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r>
        <w:rPr>
          <w:rFonts w:ascii="仿宋_GB2312" w:hAnsi="仿宋_GB2312" w:eastAsia="仿宋_GB2312" w:cs="仿宋_GB2312"/>
          <w:sz w:val="36"/>
          <w:szCs w:val="36"/>
        </w:rPr>
        <w:pict>
          <v:rect id="_x0000_s1029" o:spid="_x0000_s1029" o:spt="1" style="position:absolute;left:0pt;margin-left:322.85pt;margin-top:-23.25pt;height:33.95pt;width:85.6pt;z-index:251659264;mso-width-relative:page;mso-height-relative:page;" stroked="f" coordsize="21600,21600">
            <v:path/>
            <v:fill opacity="0f" focussize="0,0"/>
            <v:stroke on="f"/>
            <v:imagedata o:title=""/>
            <o:lock v:ext="edit"/>
            <v:textbox>
              <w:txbxContent>
                <w:p>
                  <w:pPr>
                    <w:jc w:val="center"/>
                    <w:rPr>
                      <w:b/>
                      <w:sz w:val="36"/>
                      <w:szCs w:val="36"/>
                    </w:rPr>
                  </w:pPr>
                  <w:r>
                    <w:rPr>
                      <w:rFonts w:hint="eastAsia"/>
                      <w:b/>
                      <w:sz w:val="36"/>
                      <w:szCs w:val="36"/>
                    </w:rPr>
                    <w:t>报批版</w:t>
                  </w:r>
                </w:p>
              </w:txbxContent>
            </v:textbox>
          </v:rect>
        </w:pict>
      </w: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adjustRightInd w:val="0"/>
        <w:snapToGrid w:val="0"/>
        <w:jc w:val="center"/>
        <w:outlineLvl w:val="0"/>
        <w:rPr>
          <w:rFonts w:ascii="宋体" w:hAnsi="宋体"/>
          <w:b/>
          <w:bCs/>
          <w:sz w:val="72"/>
          <w:szCs w:val="72"/>
        </w:rPr>
      </w:pPr>
      <w:r>
        <w:rPr>
          <w:rFonts w:hint="eastAsia" w:ascii="宋体" w:hAnsi="宋体"/>
          <w:b/>
          <w:bCs/>
          <w:sz w:val="72"/>
          <w:szCs w:val="72"/>
        </w:rPr>
        <w:t>建设项目环境影响报告表</w:t>
      </w:r>
    </w:p>
    <w:p>
      <w:pPr>
        <w:adjustRightInd w:val="0"/>
        <w:snapToGrid w:val="0"/>
        <w:spacing w:beforeLines="80" w:line="360" w:lineRule="auto"/>
        <w:jc w:val="center"/>
        <w:rPr>
          <w:rFonts w:ascii="宋体" w:hAnsi="宋体"/>
          <w:b/>
          <w:bCs/>
          <w:sz w:val="48"/>
          <w:szCs w:val="48"/>
        </w:rPr>
      </w:pPr>
      <w:r>
        <w:rPr>
          <w:rFonts w:hint="eastAsia" w:ascii="宋体" w:hAnsi="宋体"/>
          <w:b/>
          <w:bCs/>
          <w:sz w:val="48"/>
          <w:szCs w:val="48"/>
        </w:rPr>
        <w:t>（污染影响类）</w:t>
      </w:r>
    </w:p>
    <w:p>
      <w:pPr>
        <w:adjustRightInd w:val="0"/>
        <w:snapToGrid w:val="0"/>
        <w:spacing w:line="288" w:lineRule="auto"/>
        <w:jc w:val="center"/>
        <w:outlineLvl w:val="0"/>
        <w:rPr>
          <w:rFonts w:ascii="华文仿宋" w:hAnsi="华文仿宋" w:eastAsia="华文仿宋" w:cs="华文仿宋"/>
          <w:kern w:val="44"/>
          <w:sz w:val="44"/>
          <w:szCs w:val="44"/>
        </w:rPr>
      </w:pPr>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adjustRightInd w:val="0"/>
        <w:snapToGrid w:val="0"/>
        <w:spacing w:line="360" w:lineRule="auto"/>
        <w:ind w:firstLine="1038"/>
        <w:rPr>
          <w:rFonts w:ascii="宋体" w:hAnsi="宋体"/>
          <w:sz w:val="30"/>
          <w:szCs w:val="30"/>
          <w:u w:val="single"/>
        </w:rPr>
      </w:pPr>
      <w:r>
        <w:rPr>
          <w:rFonts w:hint="eastAsia" w:ascii="宋体" w:hAnsi="宋体"/>
          <w:sz w:val="30"/>
          <w:szCs w:val="30"/>
        </w:rPr>
        <w:t>项目名称：</w:t>
      </w:r>
      <w:r>
        <w:rPr>
          <w:rFonts w:hint="eastAsia" w:ascii="宋体" w:hAnsi="宋体"/>
          <w:sz w:val="30"/>
          <w:szCs w:val="30"/>
          <w:u w:val="single"/>
        </w:rPr>
        <w:t xml:space="preserve">      年产150万条集装袋项目       </w:t>
      </w:r>
    </w:p>
    <w:p>
      <w:pPr>
        <w:adjustRightInd w:val="0"/>
        <w:snapToGrid w:val="0"/>
        <w:spacing w:line="360" w:lineRule="auto"/>
        <w:ind w:firstLine="1038"/>
        <w:rPr>
          <w:rFonts w:ascii="宋体" w:hAnsi="宋体"/>
          <w:sz w:val="30"/>
          <w:szCs w:val="30"/>
          <w:u w:val="single"/>
        </w:rPr>
      </w:pPr>
      <w:r>
        <w:rPr>
          <w:rFonts w:hint="eastAsia" w:ascii="宋体" w:hAnsi="宋体"/>
          <w:sz w:val="30"/>
          <w:szCs w:val="30"/>
        </w:rPr>
        <w:t>建设单位（盖章）：</w:t>
      </w:r>
      <w:r>
        <w:rPr>
          <w:rFonts w:hint="eastAsia" w:ascii="宋体" w:hAnsi="宋体"/>
          <w:sz w:val="30"/>
          <w:szCs w:val="30"/>
          <w:u w:val="single"/>
        </w:rPr>
        <w:t xml:space="preserve">   洛阳市一浩包装有限公司      </w:t>
      </w:r>
    </w:p>
    <w:p>
      <w:pPr>
        <w:adjustRightInd w:val="0"/>
        <w:snapToGrid w:val="0"/>
        <w:spacing w:line="360" w:lineRule="auto"/>
        <w:ind w:firstLine="1038"/>
        <w:rPr>
          <w:rFonts w:ascii="宋体" w:hAnsi="宋体"/>
          <w:sz w:val="30"/>
          <w:szCs w:val="30"/>
          <w:u w:val="single"/>
        </w:rPr>
      </w:pPr>
      <w:r>
        <w:rPr>
          <w:rFonts w:hint="eastAsia" w:ascii="宋体" w:hAnsi="宋体"/>
          <w:sz w:val="30"/>
          <w:szCs w:val="30"/>
        </w:rPr>
        <w:t>编制日期：</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szCs w:val="30"/>
          <w:u w:val="single"/>
        </w:rPr>
        <w:t xml:space="preserve"> </w:t>
      </w:r>
      <w:r>
        <w:rPr>
          <w:sz w:val="30"/>
          <w:u w:val="single"/>
        </w:rPr>
        <w:t>20</w:t>
      </w:r>
      <w:r>
        <w:rPr>
          <w:rFonts w:hint="eastAsia"/>
          <w:sz w:val="30"/>
          <w:u w:val="single"/>
        </w:rPr>
        <w:t>23</w:t>
      </w:r>
      <w:r>
        <w:rPr>
          <w:sz w:val="30"/>
          <w:u w:val="single"/>
        </w:rPr>
        <w:t>年</w:t>
      </w:r>
      <w:r>
        <w:rPr>
          <w:rFonts w:hint="eastAsia"/>
          <w:sz w:val="30"/>
          <w:u w:val="single"/>
        </w:rPr>
        <w:t>4</w:t>
      </w:r>
      <w:r>
        <w:rPr>
          <w:sz w:val="30"/>
          <w:u w:val="single"/>
        </w:rPr>
        <w:t>月</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szCs w:val="30"/>
          <w:u w:val="single"/>
        </w:rPr>
        <w:t xml:space="preserve">     </w:t>
      </w:r>
    </w:p>
    <w:p>
      <w:pPr>
        <w:adjustRightInd w:val="0"/>
        <w:snapToGrid w:val="0"/>
        <w:spacing w:line="288" w:lineRule="auto"/>
        <w:ind w:firstLine="1040"/>
        <w:rPr>
          <w:rFonts w:ascii="仿宋_GB2312" w:eastAsia="仿宋_GB2312"/>
          <w:sz w:val="36"/>
          <w:szCs w:val="36"/>
          <w:u w:val="single"/>
        </w:rPr>
      </w:pPr>
      <w:bookmarkStart w:id="0" w:name="_Hlk57884087"/>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28"/>
          <w:szCs w:val="28"/>
        </w:rPr>
      </w:pPr>
    </w:p>
    <w:bookmarkEnd w:id="0"/>
    <w:p>
      <w:pPr>
        <w:adjustRightInd w:val="0"/>
        <w:snapToGrid w:val="0"/>
        <w:spacing w:line="288" w:lineRule="auto"/>
        <w:jc w:val="center"/>
        <w:rPr>
          <w:rFonts w:ascii="宋体" w:hAnsi="宋体"/>
          <w:sz w:val="36"/>
          <w:szCs w:val="36"/>
        </w:rPr>
      </w:pPr>
      <w:r>
        <w:rPr>
          <w:rFonts w:hint="eastAsia" w:ascii="宋体" w:hAnsi="宋体"/>
          <w:sz w:val="36"/>
          <w:szCs w:val="36"/>
        </w:rPr>
        <w:t>中华人民共和国生态环境部制</w:t>
      </w:r>
    </w:p>
    <w:p>
      <w:pPr>
        <w:adjustRightInd w:val="0"/>
        <w:snapToGrid w:val="0"/>
        <w:spacing w:line="288" w:lineRule="auto"/>
        <w:ind w:firstLine="1040"/>
        <w:rPr>
          <w:rFonts w:ascii="仿宋_GB2312" w:eastAsia="仿宋_GB2312"/>
          <w:sz w:val="36"/>
          <w:szCs w:val="36"/>
        </w:rPr>
        <w:sectPr>
          <w:footerReference r:id="rId3" w:type="default"/>
          <w:footerReference r:id="rId4" w:type="even"/>
          <w:pgSz w:w="11906" w:h="16838"/>
          <w:pgMar w:top="1701" w:right="1531" w:bottom="1701" w:left="1531" w:header="851" w:footer="1077" w:gutter="0"/>
          <w:pgNumType w:start="0"/>
          <w:cols w:space="720" w:num="1"/>
          <w:docGrid w:linePitch="312" w:charSpace="0"/>
        </w:sectPr>
      </w:pPr>
    </w:p>
    <w:p>
      <w:pPr>
        <w:pStyle w:val="19"/>
        <w:jc w:val="center"/>
        <w:outlineLvl w:val="0"/>
        <w:rPr>
          <w:rFonts w:ascii="黑体" w:hAnsi="黑体" w:eastAsia="黑体"/>
          <w:snapToGrid w:val="0"/>
          <w:sz w:val="30"/>
          <w:szCs w:val="30"/>
        </w:rPr>
      </w:pPr>
      <w:r>
        <w:rPr>
          <w:rFonts w:hint="eastAsia" w:ascii="黑体" w:hAnsi="黑体" w:eastAsia="黑体"/>
          <w:snapToGrid w:val="0"/>
          <w:sz w:val="30"/>
          <w:szCs w:val="30"/>
        </w:rPr>
        <w:t>一、建设项目基本情况</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22"/>
        <w:gridCol w:w="467"/>
        <w:gridCol w:w="910"/>
        <w:gridCol w:w="1731"/>
        <w:gridCol w:w="2244"/>
        <w:gridCol w:w="29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99" w:type="dxa"/>
            <w:gridSpan w:val="3"/>
            <w:tcMar>
              <w:top w:w="16" w:type="dxa"/>
              <w:left w:w="16" w:type="dxa"/>
              <w:right w:w="16" w:type="dxa"/>
            </w:tcMar>
            <w:vAlign w:val="center"/>
          </w:tcPr>
          <w:p>
            <w:pPr>
              <w:adjustRightInd w:val="0"/>
              <w:snapToGrid w:val="0"/>
              <w:jc w:val="center"/>
              <w:rPr>
                <w:szCs w:val="21"/>
              </w:rPr>
            </w:pPr>
            <w:r>
              <w:rPr>
                <w:rFonts w:hAnsi="宋体"/>
                <w:szCs w:val="21"/>
              </w:rPr>
              <w:t>建设项目名称</w:t>
            </w:r>
          </w:p>
        </w:tc>
        <w:tc>
          <w:tcPr>
            <w:tcW w:w="6971" w:type="dxa"/>
            <w:gridSpan w:val="3"/>
            <w:vAlign w:val="center"/>
          </w:tcPr>
          <w:p>
            <w:pPr>
              <w:adjustRightInd w:val="0"/>
              <w:snapToGrid w:val="0"/>
              <w:jc w:val="center"/>
              <w:rPr>
                <w:szCs w:val="21"/>
              </w:rPr>
            </w:pPr>
            <w:r>
              <w:rPr>
                <w:rFonts w:hint="eastAsia" w:hAnsi="宋体"/>
                <w:szCs w:val="21"/>
              </w:rPr>
              <w:t>洛阳市一浩包装有限公司年产150万条集装袋项目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99" w:type="dxa"/>
            <w:gridSpan w:val="3"/>
            <w:tcMar>
              <w:top w:w="16" w:type="dxa"/>
              <w:left w:w="16" w:type="dxa"/>
              <w:right w:w="16" w:type="dxa"/>
            </w:tcMar>
            <w:vAlign w:val="center"/>
          </w:tcPr>
          <w:p>
            <w:pPr>
              <w:adjustRightInd w:val="0"/>
              <w:snapToGrid w:val="0"/>
              <w:jc w:val="center"/>
              <w:rPr>
                <w:szCs w:val="21"/>
              </w:rPr>
            </w:pPr>
            <w:r>
              <w:rPr>
                <w:rFonts w:hAnsi="宋体"/>
                <w:szCs w:val="21"/>
              </w:rPr>
              <w:t>项目代码</w:t>
            </w:r>
          </w:p>
        </w:tc>
        <w:tc>
          <w:tcPr>
            <w:tcW w:w="6971" w:type="dxa"/>
            <w:gridSpan w:val="3"/>
            <w:vAlign w:val="center"/>
          </w:tcPr>
          <w:p>
            <w:pPr>
              <w:adjustRightInd w:val="0"/>
              <w:snapToGrid w:val="0"/>
              <w:jc w:val="center"/>
              <w:rPr>
                <w:szCs w:val="21"/>
              </w:rPr>
            </w:pPr>
            <w:r>
              <w:rPr>
                <w:szCs w:val="21"/>
              </w:rPr>
              <w:t>2303-410381-04-01-745579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99" w:type="dxa"/>
            <w:gridSpan w:val="3"/>
            <w:tcMar>
              <w:top w:w="16" w:type="dxa"/>
              <w:left w:w="16" w:type="dxa"/>
              <w:right w:w="16" w:type="dxa"/>
            </w:tcMar>
            <w:vAlign w:val="center"/>
          </w:tcPr>
          <w:p>
            <w:pPr>
              <w:adjustRightInd w:val="0"/>
              <w:snapToGrid w:val="0"/>
              <w:jc w:val="center"/>
              <w:rPr>
                <w:szCs w:val="21"/>
              </w:rPr>
            </w:pPr>
            <w:r>
              <w:rPr>
                <w:rFonts w:hAnsi="宋体"/>
                <w:szCs w:val="21"/>
              </w:rPr>
              <w:t>建设单位联系人</w:t>
            </w:r>
          </w:p>
        </w:tc>
        <w:tc>
          <w:tcPr>
            <w:tcW w:w="1731" w:type="dxa"/>
            <w:vAlign w:val="center"/>
          </w:tcPr>
          <w:p>
            <w:pPr>
              <w:adjustRightInd w:val="0"/>
              <w:snapToGrid w:val="0"/>
              <w:spacing w:line="420" w:lineRule="exact"/>
              <w:jc w:val="center"/>
              <w:rPr>
                <w:rFonts w:hint="eastAsia" w:eastAsia="宋体"/>
                <w:szCs w:val="21"/>
                <w:lang w:val="en-US" w:eastAsia="zh-CN"/>
              </w:rPr>
            </w:pPr>
            <w:r>
              <w:rPr>
                <w:rFonts w:hint="eastAsia"/>
                <w:szCs w:val="21"/>
              </w:rPr>
              <w:t>杨</w:t>
            </w:r>
            <w:r>
              <w:rPr>
                <w:rFonts w:hint="eastAsia"/>
                <w:szCs w:val="21"/>
                <w:lang w:val="en-US" w:eastAsia="zh-CN"/>
              </w:rPr>
              <w:t>*</w:t>
            </w:r>
          </w:p>
        </w:tc>
        <w:tc>
          <w:tcPr>
            <w:tcW w:w="2244" w:type="dxa"/>
            <w:vAlign w:val="center"/>
          </w:tcPr>
          <w:p>
            <w:pPr>
              <w:adjustRightInd w:val="0"/>
              <w:snapToGrid w:val="0"/>
              <w:jc w:val="center"/>
              <w:rPr>
                <w:szCs w:val="21"/>
              </w:rPr>
            </w:pPr>
            <w:r>
              <w:rPr>
                <w:rFonts w:hAnsi="宋体"/>
                <w:szCs w:val="21"/>
              </w:rPr>
              <w:t>联系方式</w:t>
            </w:r>
          </w:p>
        </w:tc>
        <w:tc>
          <w:tcPr>
            <w:tcW w:w="2996" w:type="dxa"/>
            <w:vAlign w:val="center"/>
          </w:tcPr>
          <w:p>
            <w:pPr>
              <w:adjustRightInd w:val="0"/>
              <w:snapToGrid w:val="0"/>
              <w:spacing w:line="420" w:lineRule="exact"/>
              <w:jc w:val="center"/>
              <w:rPr>
                <w:rFonts w:hint="eastAsia" w:eastAsia="宋体"/>
                <w:lang w:eastAsia="zh-CN"/>
              </w:rPr>
            </w:pPr>
            <w:r>
              <w:t>152</w:t>
            </w:r>
            <w:r>
              <w:rPr>
                <w:rFonts w:hint="eastAsia"/>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99" w:type="dxa"/>
            <w:gridSpan w:val="3"/>
            <w:tcMar>
              <w:top w:w="16" w:type="dxa"/>
              <w:left w:w="16" w:type="dxa"/>
              <w:right w:w="16" w:type="dxa"/>
            </w:tcMar>
            <w:vAlign w:val="center"/>
          </w:tcPr>
          <w:p>
            <w:pPr>
              <w:adjustRightInd w:val="0"/>
              <w:snapToGrid w:val="0"/>
              <w:jc w:val="center"/>
              <w:rPr>
                <w:szCs w:val="21"/>
              </w:rPr>
            </w:pPr>
            <w:r>
              <w:rPr>
                <w:rFonts w:hAnsi="宋体"/>
                <w:szCs w:val="21"/>
              </w:rPr>
              <w:t>建设地点</w:t>
            </w:r>
          </w:p>
        </w:tc>
        <w:tc>
          <w:tcPr>
            <w:tcW w:w="6971" w:type="dxa"/>
            <w:gridSpan w:val="3"/>
            <w:vAlign w:val="center"/>
          </w:tcPr>
          <w:p>
            <w:pPr>
              <w:adjustRightInd w:val="0"/>
              <w:snapToGrid w:val="0"/>
              <w:spacing w:line="400" w:lineRule="exact"/>
              <w:jc w:val="center"/>
              <w:rPr>
                <w:rFonts w:hAnsi="宋体"/>
                <w:szCs w:val="21"/>
              </w:rPr>
            </w:pPr>
            <w:r>
              <w:rPr>
                <w:rFonts w:hint="eastAsia" w:hAnsi="宋体"/>
                <w:szCs w:val="21"/>
                <w:u w:val="single"/>
              </w:rPr>
              <w:t xml:space="preserve">河南 </w:t>
            </w:r>
            <w:r>
              <w:rPr>
                <w:rFonts w:hint="eastAsia" w:hAnsi="宋体"/>
                <w:szCs w:val="21"/>
              </w:rPr>
              <w:t>省（自治区）</w:t>
            </w:r>
            <w:r>
              <w:rPr>
                <w:rFonts w:hint="eastAsia" w:hAnsi="宋体"/>
                <w:szCs w:val="21"/>
                <w:u w:val="single"/>
              </w:rPr>
              <w:t xml:space="preserve"> 洛阳 </w:t>
            </w:r>
            <w:r>
              <w:rPr>
                <w:rFonts w:hint="eastAsia" w:hAnsi="宋体"/>
                <w:szCs w:val="21"/>
              </w:rPr>
              <w:t>市</w:t>
            </w:r>
            <w:r>
              <w:rPr>
                <w:rFonts w:hint="eastAsia" w:hAnsi="宋体"/>
                <w:szCs w:val="21"/>
                <w:u w:val="single"/>
              </w:rPr>
              <w:t xml:space="preserve"> 偃师 </w:t>
            </w:r>
            <w:r>
              <w:rPr>
                <w:rFonts w:hint="eastAsia" w:hAnsi="宋体"/>
                <w:szCs w:val="21"/>
              </w:rPr>
              <w:t>县（区）</w:t>
            </w:r>
            <w:r>
              <w:rPr>
                <w:rFonts w:hint="eastAsia" w:hAnsi="宋体"/>
                <w:szCs w:val="21"/>
                <w:u w:val="single"/>
              </w:rPr>
              <w:t xml:space="preserve"> 岳滩镇 </w:t>
            </w:r>
            <w:r>
              <w:rPr>
                <w:rFonts w:hint="eastAsia" w:hAnsi="宋体"/>
                <w:szCs w:val="21"/>
              </w:rPr>
              <w:t>乡（街道）</w:t>
            </w:r>
          </w:p>
          <w:p>
            <w:pPr>
              <w:adjustRightInd w:val="0"/>
              <w:snapToGrid w:val="0"/>
              <w:jc w:val="center"/>
              <w:rPr>
                <w:szCs w:val="21"/>
              </w:rPr>
            </w:pPr>
            <w:r>
              <w:rPr>
                <w:rFonts w:hint="eastAsia"/>
                <w:szCs w:val="21"/>
                <w:u w:val="single"/>
              </w:rPr>
              <w:t>岳佃路东段310国道西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99" w:type="dxa"/>
            <w:gridSpan w:val="3"/>
            <w:tcMar>
              <w:top w:w="16" w:type="dxa"/>
              <w:left w:w="16" w:type="dxa"/>
              <w:right w:w="16" w:type="dxa"/>
            </w:tcMar>
            <w:vAlign w:val="center"/>
          </w:tcPr>
          <w:p>
            <w:pPr>
              <w:adjustRightInd w:val="0"/>
              <w:snapToGrid w:val="0"/>
              <w:jc w:val="center"/>
              <w:rPr>
                <w:szCs w:val="21"/>
              </w:rPr>
            </w:pPr>
            <w:r>
              <w:rPr>
                <w:rFonts w:hAnsi="宋体"/>
                <w:szCs w:val="21"/>
              </w:rPr>
              <w:t>地理坐标</w:t>
            </w:r>
          </w:p>
        </w:tc>
        <w:tc>
          <w:tcPr>
            <w:tcW w:w="6971" w:type="dxa"/>
            <w:gridSpan w:val="3"/>
            <w:vAlign w:val="center"/>
          </w:tcPr>
          <w:p>
            <w:pPr>
              <w:jc w:val="center"/>
              <w:rPr>
                <w:szCs w:val="21"/>
              </w:rPr>
            </w:pPr>
            <w:r>
              <w:rPr>
                <w:szCs w:val="21"/>
              </w:rPr>
              <w:t>（</w:t>
            </w:r>
            <w:r>
              <w:rPr>
                <w:rFonts w:hint="eastAsia"/>
                <w:szCs w:val="21"/>
              </w:rPr>
              <w:t>东经</w:t>
            </w:r>
            <w:r>
              <w:rPr>
                <w:szCs w:val="21"/>
              </w:rPr>
              <w:t>1</w:t>
            </w:r>
            <w:r>
              <w:rPr>
                <w:rFonts w:hint="eastAsia"/>
                <w:szCs w:val="21"/>
              </w:rPr>
              <w:t>1</w:t>
            </w:r>
            <w:r>
              <w:rPr>
                <w:szCs w:val="21"/>
              </w:rPr>
              <w:t>2度</w:t>
            </w:r>
            <w:r>
              <w:rPr>
                <w:rFonts w:hint="eastAsia"/>
                <w:szCs w:val="21"/>
              </w:rPr>
              <w:t>45</w:t>
            </w:r>
            <w:r>
              <w:rPr>
                <w:szCs w:val="21"/>
              </w:rPr>
              <w:t>分</w:t>
            </w:r>
            <w:r>
              <w:rPr>
                <w:rFonts w:hint="eastAsia"/>
                <w:szCs w:val="21"/>
              </w:rPr>
              <w:t>54.321</w:t>
            </w:r>
            <w:r>
              <w:rPr>
                <w:szCs w:val="21"/>
              </w:rPr>
              <w:t>秒，</w:t>
            </w:r>
            <w:r>
              <w:rPr>
                <w:rFonts w:hint="eastAsia"/>
                <w:szCs w:val="21"/>
              </w:rPr>
              <w:t>北纬</w:t>
            </w:r>
            <w:r>
              <w:rPr>
                <w:szCs w:val="21"/>
              </w:rPr>
              <w:t>34度</w:t>
            </w:r>
            <w:r>
              <w:rPr>
                <w:rFonts w:hint="eastAsia"/>
                <w:szCs w:val="21"/>
              </w:rPr>
              <w:t>41</w:t>
            </w:r>
            <w:r>
              <w:rPr>
                <w:szCs w:val="21"/>
              </w:rPr>
              <w:t>分</w:t>
            </w:r>
            <w:r>
              <w:rPr>
                <w:rFonts w:hint="eastAsia"/>
                <w:szCs w:val="21"/>
              </w:rPr>
              <w:t>44.842</w:t>
            </w:r>
            <w:r>
              <w:rPr>
                <w:szCs w:val="21"/>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899" w:type="dxa"/>
            <w:gridSpan w:val="3"/>
            <w:tcMar>
              <w:top w:w="16" w:type="dxa"/>
              <w:left w:w="16" w:type="dxa"/>
              <w:right w:w="16" w:type="dxa"/>
            </w:tcMar>
            <w:vAlign w:val="center"/>
          </w:tcPr>
          <w:p>
            <w:pPr>
              <w:adjustRightInd w:val="0"/>
              <w:snapToGrid w:val="0"/>
              <w:jc w:val="center"/>
              <w:rPr>
                <w:szCs w:val="21"/>
              </w:rPr>
            </w:pPr>
            <w:r>
              <w:rPr>
                <w:rFonts w:hAnsi="宋体"/>
                <w:szCs w:val="21"/>
              </w:rPr>
              <w:t>国民经济</w:t>
            </w:r>
          </w:p>
          <w:p>
            <w:pPr>
              <w:adjustRightInd w:val="0"/>
              <w:snapToGrid w:val="0"/>
              <w:jc w:val="center"/>
              <w:rPr>
                <w:szCs w:val="21"/>
              </w:rPr>
            </w:pPr>
            <w:r>
              <w:rPr>
                <w:rFonts w:hAnsi="宋体"/>
                <w:szCs w:val="21"/>
              </w:rPr>
              <w:t>行业类别</w:t>
            </w:r>
          </w:p>
        </w:tc>
        <w:tc>
          <w:tcPr>
            <w:tcW w:w="1731" w:type="dxa"/>
            <w:vAlign w:val="center"/>
          </w:tcPr>
          <w:p>
            <w:pPr>
              <w:adjustRightInd w:val="0"/>
              <w:snapToGrid w:val="0"/>
              <w:jc w:val="center"/>
              <w:rPr>
                <w:rFonts w:hAnsi="宋体"/>
                <w:szCs w:val="21"/>
              </w:rPr>
            </w:pPr>
            <w:r>
              <w:rPr>
                <w:rFonts w:hint="eastAsia" w:hAnsi="宋体"/>
                <w:bCs/>
                <w:szCs w:val="21"/>
              </w:rPr>
              <w:t>C2929 塑料零件及其他塑料制品制造</w:t>
            </w:r>
          </w:p>
        </w:tc>
        <w:tc>
          <w:tcPr>
            <w:tcW w:w="2244" w:type="dxa"/>
            <w:vAlign w:val="center"/>
          </w:tcPr>
          <w:p>
            <w:pPr>
              <w:adjustRightInd w:val="0"/>
              <w:snapToGrid w:val="0"/>
              <w:jc w:val="center"/>
              <w:rPr>
                <w:rFonts w:hAnsi="宋体"/>
                <w:szCs w:val="21"/>
              </w:rPr>
            </w:pPr>
            <w:r>
              <w:rPr>
                <w:rFonts w:hAnsi="宋体"/>
                <w:szCs w:val="21"/>
              </w:rPr>
              <w:t>建设项目</w:t>
            </w:r>
          </w:p>
          <w:p>
            <w:pPr>
              <w:adjustRightInd w:val="0"/>
              <w:snapToGrid w:val="0"/>
              <w:jc w:val="center"/>
              <w:rPr>
                <w:rFonts w:hAnsi="宋体"/>
                <w:szCs w:val="21"/>
              </w:rPr>
            </w:pPr>
            <w:r>
              <w:rPr>
                <w:rFonts w:hAnsi="宋体"/>
                <w:szCs w:val="21"/>
              </w:rPr>
              <w:t>行业类别</w:t>
            </w:r>
          </w:p>
        </w:tc>
        <w:tc>
          <w:tcPr>
            <w:tcW w:w="2996" w:type="dxa"/>
            <w:vAlign w:val="center"/>
          </w:tcPr>
          <w:p>
            <w:pPr>
              <w:adjustRightInd w:val="0"/>
              <w:snapToGrid w:val="0"/>
              <w:jc w:val="center"/>
              <w:rPr>
                <w:rFonts w:hAnsi="宋体"/>
                <w:bCs/>
                <w:szCs w:val="21"/>
              </w:rPr>
            </w:pPr>
            <w:r>
              <w:rPr>
                <w:rFonts w:hint="eastAsia" w:hAnsi="宋体"/>
                <w:bCs/>
                <w:szCs w:val="21"/>
              </w:rPr>
              <w:t>二十六、橡胶和塑料制品业--53 塑料制品业 292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899" w:type="dxa"/>
            <w:gridSpan w:val="3"/>
            <w:tcMar>
              <w:top w:w="16" w:type="dxa"/>
              <w:left w:w="16" w:type="dxa"/>
              <w:right w:w="16" w:type="dxa"/>
            </w:tcMar>
            <w:vAlign w:val="center"/>
          </w:tcPr>
          <w:p>
            <w:pPr>
              <w:adjustRightInd w:val="0"/>
              <w:snapToGrid w:val="0"/>
              <w:jc w:val="center"/>
              <w:rPr>
                <w:szCs w:val="21"/>
              </w:rPr>
            </w:pPr>
            <w:r>
              <w:rPr>
                <w:rFonts w:hAnsi="宋体"/>
                <w:szCs w:val="21"/>
              </w:rPr>
              <w:t>建设性质</w:t>
            </w:r>
          </w:p>
        </w:tc>
        <w:tc>
          <w:tcPr>
            <w:tcW w:w="1731" w:type="dxa"/>
            <w:vAlign w:val="center"/>
          </w:tcPr>
          <w:p>
            <w:pPr>
              <w:jc w:val="left"/>
              <w:rPr>
                <w:rFonts w:ascii="宋体" w:hAnsi="宋体" w:cs="宋体"/>
                <w:szCs w:val="21"/>
              </w:rPr>
            </w:pPr>
            <w:r>
              <w:rPr>
                <w:rFonts w:hint="eastAsia" w:ascii="宋体" w:hAnsi="宋体" w:cs="宋体"/>
                <w:szCs w:val="21"/>
              </w:rPr>
              <w:t>□新建（迁建）</w:t>
            </w:r>
          </w:p>
          <w:p>
            <w:pPr>
              <w:jc w:val="left"/>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eq \o\ac(</w:instrText>
            </w:r>
            <w:r>
              <w:rPr>
                <w:rFonts w:hint="eastAsia" w:ascii="宋体" w:hAnsi="宋体" w:cs="宋体"/>
                <w:position w:val="-3"/>
                <w:sz w:val="34"/>
                <w:szCs w:val="21"/>
              </w:rPr>
              <w:instrText xml:space="preserve">□</w:instrText>
            </w:r>
            <w:r>
              <w:rPr>
                <w:rFonts w:hint="eastAsia" w:ascii="宋体" w:hAnsi="宋体" w:cs="宋体"/>
                <w:szCs w:val="21"/>
              </w:rPr>
              <w:instrText xml:space="preserve">,√)</w:instrText>
            </w:r>
            <w:r>
              <w:rPr>
                <w:rFonts w:ascii="宋体" w:hAnsi="宋体" w:cs="宋体"/>
                <w:szCs w:val="21"/>
              </w:rPr>
              <w:fldChar w:fldCharType="end"/>
            </w:r>
            <w:r>
              <w:rPr>
                <w:rFonts w:hint="eastAsia" w:ascii="宋体" w:hAnsi="宋体" w:cs="宋体"/>
                <w:szCs w:val="21"/>
              </w:rPr>
              <w:t>改建</w:t>
            </w:r>
          </w:p>
          <w:p>
            <w:pPr>
              <w:jc w:val="left"/>
              <w:rPr>
                <w:rFonts w:ascii="宋体" w:hAnsi="宋体" w:cs="宋体"/>
                <w:szCs w:val="21"/>
              </w:rPr>
            </w:pPr>
            <w:r>
              <w:rPr>
                <w:rFonts w:hint="eastAsia" w:ascii="宋体" w:hAnsi="宋体" w:cs="宋体"/>
                <w:szCs w:val="21"/>
              </w:rPr>
              <w:t>□扩建</w:t>
            </w:r>
          </w:p>
          <w:p>
            <w:pPr>
              <w:jc w:val="left"/>
              <w:rPr>
                <w:rFonts w:ascii="宋体" w:hAnsi="宋体" w:cs="宋体"/>
                <w:szCs w:val="21"/>
              </w:rPr>
            </w:pPr>
            <w:r>
              <w:rPr>
                <w:rFonts w:hint="eastAsia" w:ascii="宋体" w:hAnsi="宋体" w:cs="宋体"/>
                <w:szCs w:val="21"/>
              </w:rPr>
              <w:t>□技术改造</w:t>
            </w:r>
          </w:p>
        </w:tc>
        <w:tc>
          <w:tcPr>
            <w:tcW w:w="2244" w:type="dxa"/>
            <w:vAlign w:val="center"/>
          </w:tcPr>
          <w:p>
            <w:pPr>
              <w:adjustRightInd w:val="0"/>
              <w:snapToGrid w:val="0"/>
              <w:jc w:val="center"/>
              <w:rPr>
                <w:rFonts w:ascii="宋体" w:hAnsi="宋体" w:cs="宋体"/>
                <w:szCs w:val="21"/>
              </w:rPr>
            </w:pPr>
            <w:r>
              <w:rPr>
                <w:rFonts w:hint="eastAsia" w:ascii="宋体" w:hAnsi="宋体" w:cs="宋体"/>
                <w:szCs w:val="21"/>
              </w:rPr>
              <w:t>建设项目</w:t>
            </w:r>
          </w:p>
          <w:p>
            <w:pPr>
              <w:adjustRightInd w:val="0"/>
              <w:snapToGrid w:val="0"/>
              <w:jc w:val="center"/>
              <w:rPr>
                <w:rFonts w:ascii="宋体" w:hAnsi="宋体" w:cs="宋体"/>
                <w:szCs w:val="21"/>
              </w:rPr>
            </w:pPr>
            <w:r>
              <w:rPr>
                <w:rFonts w:hint="eastAsia" w:ascii="宋体" w:hAnsi="宋体" w:cs="宋体"/>
                <w:szCs w:val="21"/>
              </w:rPr>
              <w:t>申报情形</w:t>
            </w:r>
          </w:p>
        </w:tc>
        <w:tc>
          <w:tcPr>
            <w:tcW w:w="2996" w:type="dxa"/>
            <w:vAlign w:val="center"/>
          </w:tcPr>
          <w:p>
            <w:pPr>
              <w:jc w:val="left"/>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eq \o\ac(</w:instrText>
            </w:r>
            <w:r>
              <w:rPr>
                <w:rFonts w:hint="eastAsia" w:ascii="宋体" w:hAnsi="宋体" w:cs="宋体"/>
                <w:position w:val="-3"/>
                <w:sz w:val="34"/>
                <w:szCs w:val="21"/>
              </w:rPr>
              <w:instrText xml:space="preserve">□</w:instrText>
            </w:r>
            <w:r>
              <w:rPr>
                <w:rFonts w:hint="eastAsia" w:ascii="宋体" w:hAnsi="宋体" w:cs="宋体"/>
                <w:szCs w:val="21"/>
              </w:rPr>
              <w:instrText xml:space="preserve">,√)</w:instrText>
            </w:r>
            <w:r>
              <w:rPr>
                <w:rFonts w:ascii="宋体" w:hAnsi="宋体" w:cs="宋体"/>
                <w:szCs w:val="21"/>
              </w:rPr>
              <w:fldChar w:fldCharType="end"/>
            </w:r>
            <w:r>
              <w:rPr>
                <w:rFonts w:hint="eastAsia" w:ascii="宋体" w:hAnsi="宋体" w:cs="宋体"/>
                <w:szCs w:val="21"/>
              </w:rPr>
              <w:t>首次申报项目</w:t>
            </w:r>
            <w:r>
              <w:rPr>
                <w:rFonts w:ascii="宋体" w:hAnsi="宋体" w:cs="宋体"/>
                <w:szCs w:val="21"/>
              </w:rPr>
              <w:t xml:space="preserve">             </w:t>
            </w:r>
          </w:p>
          <w:p>
            <w:pPr>
              <w:jc w:val="left"/>
              <w:rPr>
                <w:rFonts w:ascii="宋体" w:hAnsi="宋体" w:cs="宋体"/>
                <w:szCs w:val="21"/>
              </w:rPr>
            </w:pPr>
            <w:r>
              <w:rPr>
                <w:rFonts w:hint="eastAsia" w:ascii="宋体" w:hAnsi="宋体" w:cs="宋体"/>
                <w:szCs w:val="21"/>
              </w:rPr>
              <w:t>□不予批准后再次申报项目</w:t>
            </w:r>
          </w:p>
          <w:p>
            <w:pPr>
              <w:jc w:val="left"/>
              <w:rPr>
                <w:rFonts w:ascii="宋体" w:hAnsi="宋体" w:cs="宋体"/>
                <w:szCs w:val="21"/>
              </w:rPr>
            </w:pPr>
            <w:r>
              <w:rPr>
                <w:rFonts w:hint="eastAsia" w:ascii="宋体" w:hAnsi="宋体" w:cs="宋体"/>
                <w:szCs w:val="21"/>
              </w:rPr>
              <w:t>□超五年重新审核项目</w:t>
            </w:r>
            <w:bookmarkStart w:id="5" w:name="_GoBack"/>
            <w:bookmarkEnd w:id="5"/>
            <w:r>
              <w:rPr>
                <w:rFonts w:ascii="宋体" w:hAnsi="宋体" w:cs="宋体"/>
                <w:szCs w:val="21"/>
              </w:rPr>
              <w:t xml:space="preserve">     </w:t>
            </w:r>
          </w:p>
          <w:p>
            <w:pPr>
              <w:jc w:val="left"/>
              <w:rPr>
                <w:rFonts w:ascii="宋体" w:hAnsi="宋体" w:cs="宋体"/>
                <w:szCs w:val="21"/>
              </w:rPr>
            </w:pPr>
            <w:r>
              <w:rPr>
                <w:rFonts w:hint="eastAsia" w:ascii="宋体" w:hAnsi="宋体" w:cs="宋体"/>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899" w:type="dxa"/>
            <w:gridSpan w:val="3"/>
            <w:tcMar>
              <w:top w:w="16" w:type="dxa"/>
              <w:left w:w="16" w:type="dxa"/>
              <w:right w:w="16" w:type="dxa"/>
            </w:tcMar>
            <w:vAlign w:val="center"/>
          </w:tcPr>
          <w:p>
            <w:pPr>
              <w:adjustRightInd w:val="0"/>
              <w:snapToGrid w:val="0"/>
              <w:jc w:val="center"/>
              <w:rPr>
                <w:szCs w:val="21"/>
              </w:rPr>
            </w:pPr>
            <w:r>
              <w:rPr>
                <w:rFonts w:hAnsi="宋体"/>
                <w:szCs w:val="21"/>
              </w:rPr>
              <w:t>项目审批（核准</w:t>
            </w:r>
            <w:r>
              <w:rPr>
                <w:szCs w:val="21"/>
              </w:rPr>
              <w:t>/</w:t>
            </w:r>
          </w:p>
          <w:p>
            <w:pPr>
              <w:adjustRightInd w:val="0"/>
              <w:snapToGrid w:val="0"/>
              <w:jc w:val="center"/>
              <w:rPr>
                <w:szCs w:val="21"/>
              </w:rPr>
            </w:pPr>
            <w:r>
              <w:rPr>
                <w:rFonts w:hAnsi="宋体"/>
                <w:szCs w:val="21"/>
              </w:rPr>
              <w:t>备案）部门（选填）</w:t>
            </w:r>
          </w:p>
        </w:tc>
        <w:tc>
          <w:tcPr>
            <w:tcW w:w="1731" w:type="dxa"/>
            <w:vAlign w:val="center"/>
          </w:tcPr>
          <w:p>
            <w:pPr>
              <w:adjustRightInd w:val="0"/>
              <w:snapToGrid w:val="0"/>
              <w:jc w:val="center"/>
              <w:rPr>
                <w:rFonts w:ascii="宋体" w:hAnsi="宋体" w:cs="宋体"/>
                <w:szCs w:val="21"/>
              </w:rPr>
            </w:pPr>
            <w:r>
              <w:rPr>
                <w:rFonts w:hint="eastAsia" w:ascii="宋体" w:hAnsi="宋体" w:cs="宋体"/>
                <w:szCs w:val="21"/>
              </w:rPr>
              <w:t>洛阳市偃师区发展和改革委员会</w:t>
            </w:r>
          </w:p>
        </w:tc>
        <w:tc>
          <w:tcPr>
            <w:tcW w:w="2244" w:type="dxa"/>
            <w:vAlign w:val="center"/>
          </w:tcPr>
          <w:p>
            <w:pPr>
              <w:adjustRightInd w:val="0"/>
              <w:snapToGrid w:val="0"/>
              <w:jc w:val="center"/>
              <w:rPr>
                <w:rFonts w:ascii="宋体" w:hAnsi="宋体" w:cs="宋体"/>
                <w:szCs w:val="21"/>
              </w:rPr>
            </w:pPr>
            <w:r>
              <w:rPr>
                <w:rFonts w:hint="eastAsia" w:ascii="宋体" w:hAnsi="宋体" w:cs="宋体"/>
                <w:szCs w:val="21"/>
              </w:rPr>
              <w:t>项目审批（核准</w:t>
            </w:r>
            <w:r>
              <w:rPr>
                <w:rFonts w:ascii="宋体" w:hAnsi="宋体" w:cs="宋体"/>
                <w:szCs w:val="21"/>
              </w:rPr>
              <w:t>/</w:t>
            </w:r>
          </w:p>
          <w:p>
            <w:pPr>
              <w:adjustRightInd w:val="0"/>
              <w:snapToGrid w:val="0"/>
              <w:jc w:val="center"/>
              <w:rPr>
                <w:rFonts w:ascii="宋体" w:hAnsi="宋体" w:cs="宋体"/>
                <w:szCs w:val="21"/>
              </w:rPr>
            </w:pPr>
            <w:r>
              <w:rPr>
                <w:rFonts w:hint="eastAsia" w:ascii="宋体" w:hAnsi="宋体" w:cs="宋体"/>
                <w:szCs w:val="21"/>
              </w:rPr>
              <w:t>备案）文号（选填）</w:t>
            </w:r>
          </w:p>
        </w:tc>
        <w:tc>
          <w:tcPr>
            <w:tcW w:w="2996" w:type="dxa"/>
            <w:vAlign w:val="center"/>
          </w:tcPr>
          <w:p>
            <w:pPr>
              <w:adjustRightInd w:val="0"/>
              <w:snapToGrid w:val="0"/>
              <w:jc w:val="center"/>
              <w:rPr>
                <w:szCs w:val="21"/>
              </w:rPr>
            </w:pP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99" w:type="dxa"/>
            <w:gridSpan w:val="3"/>
            <w:tcMar>
              <w:top w:w="16" w:type="dxa"/>
              <w:left w:w="16" w:type="dxa"/>
              <w:right w:w="16" w:type="dxa"/>
            </w:tcMar>
            <w:vAlign w:val="center"/>
          </w:tcPr>
          <w:p>
            <w:pPr>
              <w:adjustRightInd w:val="0"/>
              <w:snapToGrid w:val="0"/>
              <w:jc w:val="center"/>
              <w:rPr>
                <w:szCs w:val="21"/>
              </w:rPr>
            </w:pPr>
            <w:r>
              <w:rPr>
                <w:rFonts w:hAnsi="宋体"/>
                <w:szCs w:val="21"/>
              </w:rPr>
              <w:t>总投资（万元）</w:t>
            </w:r>
          </w:p>
        </w:tc>
        <w:tc>
          <w:tcPr>
            <w:tcW w:w="1731" w:type="dxa"/>
            <w:vAlign w:val="center"/>
          </w:tcPr>
          <w:p>
            <w:pPr>
              <w:adjustRightInd w:val="0"/>
              <w:snapToGrid w:val="0"/>
              <w:jc w:val="center"/>
              <w:rPr>
                <w:szCs w:val="21"/>
              </w:rPr>
            </w:pPr>
            <w:r>
              <w:rPr>
                <w:rFonts w:hint="eastAsia"/>
                <w:szCs w:val="21"/>
              </w:rPr>
              <w:t>100</w:t>
            </w:r>
          </w:p>
        </w:tc>
        <w:tc>
          <w:tcPr>
            <w:tcW w:w="2244" w:type="dxa"/>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环保投资（万元）</w:t>
            </w:r>
          </w:p>
        </w:tc>
        <w:tc>
          <w:tcPr>
            <w:tcW w:w="2996" w:type="dxa"/>
            <w:vAlign w:val="center"/>
          </w:tcPr>
          <w:p>
            <w:pPr>
              <w:adjustRightInd w:val="0"/>
              <w:snapToGrid w:val="0"/>
              <w:jc w:val="center"/>
              <w:rPr>
                <w:szCs w:val="21"/>
              </w:rPr>
            </w:pPr>
            <w:r>
              <w:rPr>
                <w:rFonts w:hint="eastAsia"/>
                <w:szCs w:val="21"/>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99" w:type="dxa"/>
            <w:gridSpan w:val="3"/>
            <w:tcMar>
              <w:top w:w="16" w:type="dxa"/>
              <w:left w:w="16" w:type="dxa"/>
              <w:right w:w="16" w:type="dxa"/>
            </w:tcMar>
            <w:vAlign w:val="center"/>
          </w:tcPr>
          <w:p>
            <w:pPr>
              <w:adjustRightInd w:val="0"/>
              <w:snapToGrid w:val="0"/>
              <w:jc w:val="center"/>
              <w:rPr>
                <w:szCs w:val="21"/>
              </w:rPr>
            </w:pPr>
            <w:r>
              <w:rPr>
                <w:rFonts w:hAnsi="宋体"/>
                <w:szCs w:val="21"/>
              </w:rPr>
              <w:t>环保投资占比（</w:t>
            </w:r>
            <w:r>
              <w:rPr>
                <w:szCs w:val="21"/>
              </w:rPr>
              <w:t>%</w:t>
            </w:r>
            <w:r>
              <w:rPr>
                <w:rFonts w:hAnsi="宋体"/>
                <w:szCs w:val="21"/>
              </w:rPr>
              <w:t>）</w:t>
            </w:r>
          </w:p>
        </w:tc>
        <w:tc>
          <w:tcPr>
            <w:tcW w:w="1731" w:type="dxa"/>
            <w:vAlign w:val="center"/>
          </w:tcPr>
          <w:p>
            <w:pPr>
              <w:adjustRightInd w:val="0"/>
              <w:snapToGrid w:val="0"/>
              <w:jc w:val="center"/>
              <w:rPr>
                <w:szCs w:val="21"/>
              </w:rPr>
            </w:pPr>
            <w:r>
              <w:rPr>
                <w:rFonts w:hint="eastAsia"/>
                <w:szCs w:val="21"/>
              </w:rPr>
              <w:t>10</w:t>
            </w:r>
          </w:p>
        </w:tc>
        <w:tc>
          <w:tcPr>
            <w:tcW w:w="2244" w:type="dxa"/>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施工工期</w:t>
            </w:r>
          </w:p>
        </w:tc>
        <w:tc>
          <w:tcPr>
            <w:tcW w:w="2996" w:type="dxa"/>
            <w:vAlign w:val="center"/>
          </w:tcPr>
          <w:p>
            <w:pPr>
              <w:adjustRightInd w:val="0"/>
              <w:snapToGrid w:val="0"/>
              <w:jc w:val="center"/>
              <w:rPr>
                <w:szCs w:val="21"/>
              </w:rPr>
            </w:pPr>
            <w:r>
              <w:rPr>
                <w:rFonts w:hint="eastAsia" w:hAnsi="宋体"/>
                <w:szCs w:val="21"/>
              </w:rPr>
              <w:t>2</w:t>
            </w:r>
            <w:r>
              <w:rPr>
                <w:rFonts w:hAnsi="宋体"/>
                <w:szCs w:val="21"/>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17" w:hRule="atLeast"/>
          <w:jc w:val="center"/>
        </w:trPr>
        <w:tc>
          <w:tcPr>
            <w:tcW w:w="1899" w:type="dxa"/>
            <w:gridSpan w:val="3"/>
            <w:tcMar>
              <w:top w:w="16" w:type="dxa"/>
              <w:left w:w="16" w:type="dxa"/>
              <w:right w:w="16" w:type="dxa"/>
            </w:tcMar>
            <w:vAlign w:val="center"/>
          </w:tcPr>
          <w:p>
            <w:pPr>
              <w:adjustRightInd w:val="0"/>
              <w:snapToGrid w:val="0"/>
              <w:jc w:val="center"/>
              <w:rPr>
                <w:szCs w:val="21"/>
              </w:rPr>
            </w:pPr>
            <w:r>
              <w:rPr>
                <w:rFonts w:hAnsi="宋体"/>
                <w:szCs w:val="21"/>
              </w:rPr>
              <w:t>是否开工建设</w:t>
            </w:r>
          </w:p>
        </w:tc>
        <w:tc>
          <w:tcPr>
            <w:tcW w:w="1731" w:type="dxa"/>
            <w:vAlign w:val="center"/>
          </w:tcPr>
          <w:p>
            <w:pPr>
              <w:adjustRightInd w:val="0"/>
              <w:snapToGrid w:val="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eq \o\ac(</w:instrText>
            </w:r>
            <w:r>
              <w:rPr>
                <w:rFonts w:hint="eastAsia" w:ascii="宋体" w:hAnsi="宋体" w:cs="宋体"/>
                <w:position w:val="-3"/>
                <w:sz w:val="34"/>
                <w:szCs w:val="21"/>
              </w:rPr>
              <w:instrText xml:space="preserve">□,</w:instrText>
            </w:r>
            <w:r>
              <w:rPr>
                <w:rFonts w:hint="eastAsia" w:ascii="宋体" w:hAnsi="宋体" w:cs="宋体"/>
                <w:position w:val="1"/>
                <w:sz w:val="23"/>
                <w:szCs w:val="21"/>
              </w:rPr>
              <w:instrText xml:space="preserve">√</w:instrText>
            </w:r>
            <w:r>
              <w:rPr>
                <w:rFonts w:hint="eastAsia" w:ascii="宋体" w:hAnsi="宋体" w:cs="宋体"/>
                <w:szCs w:val="21"/>
              </w:rPr>
              <w:instrText xml:space="preserve">)</w:instrText>
            </w:r>
            <w:r>
              <w:rPr>
                <w:rFonts w:ascii="宋体" w:hAnsi="宋体" w:cs="宋体"/>
                <w:szCs w:val="21"/>
              </w:rPr>
              <w:fldChar w:fldCharType="end"/>
            </w:r>
            <w:r>
              <w:rPr>
                <w:rFonts w:hint="eastAsia" w:ascii="宋体" w:hAnsi="宋体" w:cs="宋体"/>
                <w:szCs w:val="21"/>
              </w:rPr>
              <w:t>否</w:t>
            </w:r>
          </w:p>
          <w:p>
            <w:pPr>
              <w:adjustRightInd w:val="0"/>
              <w:snapToGrid w:val="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eq \o\ac(□)</w:instrText>
            </w:r>
            <w:r>
              <w:rPr>
                <w:rFonts w:ascii="宋体" w:hAnsi="宋体" w:cs="宋体"/>
                <w:szCs w:val="21"/>
              </w:rPr>
              <w:fldChar w:fldCharType="end"/>
            </w:r>
            <w:r>
              <w:rPr>
                <w:rFonts w:hint="eastAsia" w:ascii="宋体" w:hAnsi="宋体" w:cs="宋体"/>
                <w:szCs w:val="21"/>
              </w:rPr>
              <w:t>是：</w:t>
            </w:r>
            <w:r>
              <w:rPr>
                <w:rFonts w:hint="eastAsia" w:ascii="宋体" w:hAnsi="宋体" w:cs="宋体"/>
                <w:szCs w:val="21"/>
                <w:u w:val="single"/>
              </w:rPr>
              <w:t xml:space="preserve">         </w:t>
            </w:r>
          </w:p>
        </w:tc>
        <w:tc>
          <w:tcPr>
            <w:tcW w:w="2244" w:type="dxa"/>
            <w:tcMar>
              <w:top w:w="16" w:type="dxa"/>
              <w:left w:w="16" w:type="dxa"/>
              <w:right w:w="16" w:type="dxa"/>
            </w:tcMar>
            <w:vAlign w:val="center"/>
          </w:tcPr>
          <w:p>
            <w:pPr>
              <w:adjustRightInd w:val="0"/>
              <w:snapToGrid w:val="0"/>
              <w:jc w:val="center"/>
              <w:rPr>
                <w:spacing w:val="-6"/>
                <w:szCs w:val="21"/>
              </w:rPr>
            </w:pPr>
            <w:r>
              <w:rPr>
                <w:rFonts w:hAnsi="宋体"/>
                <w:spacing w:val="-6"/>
                <w:szCs w:val="21"/>
              </w:rPr>
              <w:t>用地（用海）</w:t>
            </w:r>
          </w:p>
          <w:p>
            <w:pPr>
              <w:adjustRightInd w:val="0"/>
              <w:snapToGrid w:val="0"/>
              <w:jc w:val="center"/>
              <w:rPr>
                <w:rFonts w:ascii="宋体" w:hAnsi="宋体" w:cs="宋体"/>
                <w:szCs w:val="21"/>
              </w:rPr>
            </w:pPr>
            <w:r>
              <w:rPr>
                <w:rFonts w:hAnsi="宋体"/>
                <w:spacing w:val="-6"/>
                <w:szCs w:val="21"/>
              </w:rPr>
              <w:t>面积（</w:t>
            </w:r>
            <w:r>
              <w:rPr>
                <w:spacing w:val="-6"/>
                <w:szCs w:val="21"/>
              </w:rPr>
              <w:t>m</w:t>
            </w:r>
            <w:r>
              <w:rPr>
                <w:spacing w:val="-6"/>
                <w:szCs w:val="21"/>
                <w:vertAlign w:val="superscript"/>
              </w:rPr>
              <w:t>2</w:t>
            </w:r>
            <w:r>
              <w:rPr>
                <w:rFonts w:hAnsi="宋体"/>
                <w:spacing w:val="-6"/>
                <w:szCs w:val="21"/>
              </w:rPr>
              <w:t>）</w:t>
            </w:r>
          </w:p>
        </w:tc>
        <w:tc>
          <w:tcPr>
            <w:tcW w:w="2996" w:type="dxa"/>
            <w:vAlign w:val="center"/>
          </w:tcPr>
          <w:p>
            <w:pPr>
              <w:adjustRightInd w:val="0"/>
              <w:snapToGrid w:val="0"/>
              <w:jc w:val="center"/>
              <w:rPr>
                <w:szCs w:val="21"/>
              </w:rPr>
            </w:pPr>
            <w:r>
              <w:rPr>
                <w:rFonts w:hint="eastAsia"/>
                <w:szCs w:val="21"/>
              </w:rPr>
              <w:t>0（利用现有厂房）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89" w:type="dxa"/>
            <w:gridSpan w:val="2"/>
            <w:vAlign w:val="center"/>
          </w:tcPr>
          <w:p>
            <w:pPr>
              <w:autoSpaceDE w:val="0"/>
              <w:autoSpaceDN w:val="0"/>
              <w:adjustRightInd w:val="0"/>
              <w:snapToGrid w:val="0"/>
              <w:jc w:val="center"/>
              <w:rPr>
                <w:kern w:val="0"/>
                <w:sz w:val="24"/>
              </w:rPr>
            </w:pPr>
            <w:r>
              <w:rPr>
                <w:rFonts w:hAnsi="宋体"/>
                <w:kern w:val="0"/>
                <w:sz w:val="24"/>
              </w:rPr>
              <w:t>专项评价设置情况</w:t>
            </w:r>
          </w:p>
        </w:tc>
        <w:tc>
          <w:tcPr>
            <w:tcW w:w="7881" w:type="dxa"/>
            <w:gridSpan w:val="4"/>
            <w:vAlign w:val="center"/>
          </w:tcPr>
          <w:p>
            <w:pPr>
              <w:pStyle w:val="99"/>
              <w:ind w:firstLine="0" w:firstLineChars="0"/>
              <w:jc w:val="center"/>
              <w:rPr>
                <w:kern w:val="0"/>
              </w:rPr>
            </w:pPr>
            <w:r>
              <w:rPr>
                <w:rFonts w:ascii="宋体" w:hAnsi="宋体" w:cs="华文中宋"/>
                <w:kern w:val="4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89" w:type="dxa"/>
            <w:gridSpan w:val="2"/>
            <w:vAlign w:val="center"/>
          </w:tcPr>
          <w:p>
            <w:pPr>
              <w:autoSpaceDE w:val="0"/>
              <w:autoSpaceDN w:val="0"/>
              <w:adjustRightInd w:val="0"/>
              <w:snapToGrid w:val="0"/>
              <w:jc w:val="center"/>
              <w:rPr>
                <w:kern w:val="0"/>
                <w:sz w:val="24"/>
              </w:rPr>
            </w:pPr>
            <w:r>
              <w:rPr>
                <w:rFonts w:hAnsi="宋体"/>
                <w:sz w:val="24"/>
              </w:rPr>
              <w:t>规划情况</w:t>
            </w:r>
          </w:p>
        </w:tc>
        <w:tc>
          <w:tcPr>
            <w:tcW w:w="7881" w:type="dxa"/>
            <w:gridSpan w:val="4"/>
            <w:vAlign w:val="center"/>
          </w:tcPr>
          <w:p>
            <w:pPr>
              <w:pStyle w:val="99"/>
              <w:ind w:firstLine="0" w:firstLineChars="0"/>
              <w:jc w:val="center"/>
              <w:rPr>
                <w:rFonts w:ascii="宋体" w:hAnsi="宋体" w:cs="华文中宋"/>
                <w:kern w:val="44"/>
              </w:rPr>
            </w:pPr>
            <w:r>
              <w:rPr>
                <w:rFonts w:ascii="宋体" w:hAnsi="宋体" w:cs="华文中宋"/>
                <w:kern w:val="4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89" w:type="dxa"/>
            <w:gridSpan w:val="2"/>
            <w:vAlign w:val="center"/>
          </w:tcPr>
          <w:p>
            <w:pPr>
              <w:adjustRightInd w:val="0"/>
              <w:snapToGrid w:val="0"/>
              <w:jc w:val="center"/>
              <w:rPr>
                <w:kern w:val="0"/>
                <w:sz w:val="24"/>
              </w:rPr>
            </w:pPr>
            <w:r>
              <w:rPr>
                <w:rFonts w:hAnsi="宋体"/>
                <w:sz w:val="24"/>
              </w:rPr>
              <w:t>规划环境影响评价情况</w:t>
            </w:r>
          </w:p>
        </w:tc>
        <w:tc>
          <w:tcPr>
            <w:tcW w:w="7881" w:type="dxa"/>
            <w:gridSpan w:val="4"/>
            <w:vAlign w:val="center"/>
          </w:tcPr>
          <w:p>
            <w:pPr>
              <w:pStyle w:val="99"/>
              <w:ind w:firstLine="0" w:firstLineChars="0"/>
              <w:jc w:val="center"/>
              <w:rPr>
                <w:kern w:val="0"/>
                <w:szCs w:val="21"/>
              </w:rPr>
            </w:pPr>
            <w:r>
              <w:rPr>
                <w:rFonts w:ascii="宋体" w:hAnsi="宋体" w:cs="华文中宋"/>
                <w:kern w:val="4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89" w:type="dxa"/>
            <w:gridSpan w:val="2"/>
            <w:vAlign w:val="center"/>
          </w:tcPr>
          <w:p>
            <w:pPr>
              <w:adjustRightInd w:val="0"/>
              <w:snapToGrid w:val="0"/>
              <w:jc w:val="center"/>
              <w:rPr>
                <w:rFonts w:ascii="宋体" w:hAnsi="宋体" w:cs="宋体"/>
                <w:kern w:val="0"/>
                <w:szCs w:val="21"/>
              </w:rPr>
            </w:pPr>
            <w:r>
              <w:rPr>
                <w:rFonts w:hint="eastAsia" w:hAnsi="宋体"/>
                <w:sz w:val="24"/>
              </w:rPr>
              <w:t>规划及规划环境影响评价符合性分析</w:t>
            </w:r>
          </w:p>
        </w:tc>
        <w:tc>
          <w:tcPr>
            <w:tcW w:w="7881" w:type="dxa"/>
            <w:gridSpan w:val="4"/>
            <w:vAlign w:val="center"/>
          </w:tcPr>
          <w:p>
            <w:pPr>
              <w:pStyle w:val="99"/>
              <w:ind w:firstLine="0" w:firstLineChars="0"/>
              <w:jc w:val="center"/>
              <w:rPr>
                <w:rFonts w:ascii="宋体" w:hAnsi="宋体" w:cs="宋体"/>
                <w:kern w:val="0"/>
                <w:szCs w:val="21"/>
              </w:rPr>
            </w:pPr>
            <w:r>
              <w:rPr>
                <w:rFonts w:ascii="宋体" w:hAnsi="宋体" w:cs="华文中宋"/>
                <w:kern w:val="4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22" w:type="dxa"/>
            <w:vAlign w:val="center"/>
          </w:tcPr>
          <w:p>
            <w:pPr>
              <w:adjustRightInd w:val="0"/>
              <w:snapToGrid w:val="0"/>
              <w:jc w:val="center"/>
              <w:rPr>
                <w:rFonts w:ascii="宋体" w:hAnsi="宋体" w:cs="宋体"/>
                <w:kern w:val="0"/>
                <w:szCs w:val="21"/>
              </w:rPr>
            </w:pPr>
            <w:r>
              <w:rPr>
                <w:rFonts w:hint="eastAsia" w:hAnsi="宋体"/>
                <w:sz w:val="24"/>
              </w:rPr>
              <w:t>其他符合性分析</w:t>
            </w:r>
          </w:p>
        </w:tc>
        <w:tc>
          <w:tcPr>
            <w:tcW w:w="8348" w:type="dxa"/>
            <w:gridSpan w:val="5"/>
            <w:vAlign w:val="center"/>
          </w:tcPr>
          <w:p>
            <w:pPr>
              <w:pStyle w:val="100"/>
            </w:pPr>
            <w:r>
              <w:rPr>
                <w:rFonts w:hint="eastAsia"/>
              </w:rPr>
              <w:t>1、</w:t>
            </w:r>
            <w:r>
              <w:t>《产业结构调整指导目录》（2019年本）</w:t>
            </w:r>
          </w:p>
          <w:p>
            <w:pPr>
              <w:pStyle w:val="51"/>
              <w:ind w:firstLine="480"/>
            </w:pPr>
            <w:r>
              <w:t>经查《产业结构调整指导目录》（2019年本），本项目不属于《产业结构调整指导目录（2019年本）》中鼓励类、限制类或禁止类，属于允许类</w:t>
            </w:r>
            <w:r>
              <w:rPr>
                <w:rFonts w:hint="eastAsia"/>
              </w:rPr>
              <w:t>建设</w:t>
            </w:r>
            <w:r>
              <w:t>项目，且项目已在</w:t>
            </w:r>
            <w:r>
              <w:rPr>
                <w:rFonts w:hint="eastAsia"/>
              </w:rPr>
              <w:t>洛阳市偃师区发展和改革委员会</w:t>
            </w:r>
            <w:r>
              <w:t>备案，项目代码：</w:t>
            </w:r>
            <w:r>
              <w:rPr>
                <w:szCs w:val="21"/>
              </w:rPr>
              <w:t>2303-410381-04-01-745579</w:t>
            </w:r>
            <w:r>
              <w:t>（附件2），本项目符合国家产业政策。</w:t>
            </w:r>
          </w:p>
          <w:p>
            <w:pPr>
              <w:pStyle w:val="51"/>
              <w:ind w:firstLine="0" w:firstLineChars="0"/>
            </w:pPr>
            <w:r>
              <w:rPr>
                <w:rFonts w:hint="eastAsia"/>
              </w:rPr>
              <w:t>2、“三线一单”相符性分析</w:t>
            </w:r>
          </w:p>
          <w:p>
            <w:pPr>
              <w:pStyle w:val="51"/>
              <w:ind w:firstLine="480"/>
            </w:pPr>
            <w:r>
              <w:rPr>
                <w:rFonts w:hint="eastAsia"/>
              </w:rPr>
              <w:t>根据洛阳市人民政府《关于实施“三线一单”生态环境分区管控的意见》（洛政〔2021 〕7 号）以及洛阳市生态环境局《关于发布洛阳市“三线一单”生态环境准入清单（试行）的函》（洛市政〔2021 〕58 号），项目与洛阳市“三线一单”相符性分析如下：</w:t>
            </w:r>
          </w:p>
          <w:p>
            <w:pPr>
              <w:pStyle w:val="51"/>
              <w:ind w:firstLine="480"/>
            </w:pPr>
            <w:r>
              <w:rPr>
                <w:rFonts w:hint="eastAsia"/>
              </w:rPr>
              <w:t>（1 ）生态保护红线</w:t>
            </w:r>
          </w:p>
          <w:p>
            <w:pPr>
              <w:pStyle w:val="51"/>
              <w:ind w:firstLine="480"/>
            </w:pPr>
            <w:r>
              <w:rPr>
                <w:rFonts w:hint="eastAsia"/>
              </w:rPr>
              <w:t xml:space="preserve">本项目厂址位于洛阳市偃师区岳滩镇，经过现场踏勘，本项目不在自然保护区、风景名胜区、森林公园、地质公园、重要生态功能区、生态敏感区和脆弱区以及其他要求禁止建设的环境敏感区内，对照“洛阳市生态环境管控单元分布图”（附图七），本项目位于偃师区重点管控单元内，项目实施符合生态保护红线管理要求。 </w:t>
            </w:r>
          </w:p>
          <w:p>
            <w:pPr>
              <w:pStyle w:val="51"/>
              <w:ind w:firstLine="480"/>
            </w:pPr>
            <w:r>
              <w:rPr>
                <w:rFonts w:hint="eastAsia"/>
              </w:rPr>
              <w:t>（2）环境质量底线</w:t>
            </w:r>
          </w:p>
          <w:p>
            <w:pPr>
              <w:spacing w:line="520" w:lineRule="exact"/>
              <w:ind w:firstLine="480" w:firstLineChars="200"/>
              <w:rPr>
                <w:sz w:val="24"/>
              </w:rPr>
            </w:pPr>
            <w:r>
              <w:rPr>
                <w:sz w:val="24"/>
              </w:rPr>
              <w:t>大气：项目选址区域为环境空气功能区二类区，执行二级标准，根据《2021年洛阳市生态环境状况公报》，2021年洛阳市环境空气中PM</w:t>
            </w:r>
            <w:r>
              <w:rPr>
                <w:sz w:val="24"/>
                <w:vertAlign w:val="subscript"/>
              </w:rPr>
              <w:t>10</w:t>
            </w:r>
            <w:r>
              <w:rPr>
                <w:sz w:val="24"/>
              </w:rPr>
              <w:t>、PM</w:t>
            </w:r>
            <w:r>
              <w:rPr>
                <w:sz w:val="24"/>
                <w:vertAlign w:val="subscript"/>
              </w:rPr>
              <w:t>2.5</w:t>
            </w:r>
            <w:r>
              <w:rPr>
                <w:sz w:val="24"/>
              </w:rPr>
              <w:t>、O</w:t>
            </w:r>
            <w:r>
              <w:rPr>
                <w:sz w:val="24"/>
                <w:vertAlign w:val="subscript"/>
              </w:rPr>
              <w:t>3</w:t>
            </w:r>
            <w:r>
              <w:rPr>
                <w:sz w:val="24"/>
              </w:rPr>
              <w:t>均出现不同程度的超标情况。</w:t>
            </w:r>
          </w:p>
          <w:p>
            <w:pPr>
              <w:spacing w:line="520" w:lineRule="exact"/>
              <w:ind w:firstLine="480" w:firstLineChars="200"/>
              <w:rPr>
                <w:sz w:val="24"/>
              </w:rPr>
            </w:pPr>
            <w:r>
              <w:rPr>
                <w:sz w:val="24"/>
              </w:rPr>
              <w:t>本项目运营过程中</w:t>
            </w:r>
            <w:r>
              <w:rPr>
                <w:rFonts w:hint="eastAsia"/>
                <w:sz w:val="24"/>
              </w:rPr>
              <w:t>产生的有机废气</w:t>
            </w:r>
            <w:r>
              <w:rPr>
                <w:sz w:val="24"/>
              </w:rPr>
              <w:t>经</w:t>
            </w:r>
            <w:r>
              <w:rPr>
                <w:rFonts w:hint="eastAsia"/>
                <w:sz w:val="24"/>
              </w:rPr>
              <w:t>集气系统</w:t>
            </w:r>
            <w:r>
              <w:rPr>
                <w:sz w:val="24"/>
              </w:rPr>
              <w:t>收集</w:t>
            </w:r>
            <w:r>
              <w:rPr>
                <w:rFonts w:hint="eastAsia"/>
                <w:sz w:val="24"/>
              </w:rPr>
              <w:t>后由UV光氧</w:t>
            </w:r>
            <w:r>
              <w:rPr>
                <w:sz w:val="24"/>
              </w:rPr>
              <w:t>+活性炭吸附装置处理后经</w:t>
            </w:r>
            <w:r>
              <w:rPr>
                <w:rFonts w:hint="eastAsia"/>
                <w:sz w:val="24"/>
              </w:rPr>
              <w:t>15</w:t>
            </w:r>
            <w:r>
              <w:rPr>
                <w:sz w:val="24"/>
              </w:rPr>
              <w:t>m高排气筒排放，废气污染物经措施之后均达标排放，对项目区域环境空气影响较小，不会改变项目所在区域的大气环境功能。</w:t>
            </w:r>
          </w:p>
          <w:p>
            <w:pPr>
              <w:spacing w:line="520" w:lineRule="exact"/>
              <w:ind w:firstLine="480" w:firstLineChars="200"/>
              <w:rPr>
                <w:sz w:val="24"/>
              </w:rPr>
            </w:pPr>
            <w:r>
              <w:rPr>
                <w:sz w:val="24"/>
              </w:rPr>
              <w:t>地表水：距本项目最近的地表水体为伊洛河，根据《2021年洛阳市生态环境状况公报》，2021 年，伊洛河水质状况满足满足《地表水环境质量标准》(GB3838-2002) III类标准，水质状况为“良好”。</w:t>
            </w:r>
          </w:p>
          <w:p>
            <w:pPr>
              <w:spacing w:line="520" w:lineRule="exact"/>
              <w:ind w:firstLine="480" w:firstLineChars="200"/>
              <w:rPr>
                <w:sz w:val="24"/>
              </w:rPr>
            </w:pPr>
            <w:r>
              <w:rPr>
                <w:sz w:val="24"/>
              </w:rPr>
              <w:t>本项目营运期产生的废水主要为职工生活污水，</w:t>
            </w:r>
            <w:r>
              <w:rPr>
                <w:rFonts w:hint="eastAsia"/>
                <w:sz w:val="24"/>
              </w:rPr>
              <w:t>生活污水经化粪池预理后，近期用于施肥，远期管网敷设到位后经市政管网排入偃师市第三污水处理厂。</w:t>
            </w:r>
          </w:p>
          <w:p>
            <w:pPr>
              <w:spacing w:line="520" w:lineRule="exact"/>
              <w:ind w:firstLine="480" w:firstLineChars="200"/>
              <w:rPr>
                <w:sz w:val="24"/>
              </w:rPr>
            </w:pPr>
            <w:r>
              <w:rPr>
                <w:sz w:val="24"/>
              </w:rPr>
              <w:t>噪声：项目所在区域为2类声环境功能区，根据运营期厂界声环境预测结果，项目厂界声环境质量能够满足</w:t>
            </w:r>
            <w:r>
              <w:rPr>
                <w:rFonts w:hint="eastAsia"/>
                <w:sz w:val="24"/>
              </w:rPr>
              <w:t>《工业企业厂界环境噪声排放标准》(GB12348-2008)2类标准</w:t>
            </w:r>
            <w:r>
              <w:rPr>
                <w:sz w:val="24"/>
              </w:rPr>
              <w:t>，本项目建成后通过厂房隔声等降噪措施后噪声排放量小，不会改变项目所在区域的声环境功能。</w:t>
            </w:r>
          </w:p>
          <w:p>
            <w:pPr>
              <w:spacing w:line="520" w:lineRule="exact"/>
              <w:ind w:firstLine="480" w:firstLineChars="200"/>
              <w:rPr>
                <w:sz w:val="24"/>
              </w:rPr>
            </w:pPr>
            <w:r>
              <w:rPr>
                <w:sz w:val="24"/>
              </w:rPr>
              <w:t>因此，本项目建设符合环境质量底线要求。</w:t>
            </w:r>
          </w:p>
          <w:p>
            <w:pPr>
              <w:pStyle w:val="51"/>
              <w:ind w:firstLine="480"/>
            </w:pPr>
            <w:r>
              <w:rPr>
                <w:rFonts w:hint="eastAsia"/>
              </w:rPr>
              <w:t>（3）资源利用上线</w:t>
            </w:r>
          </w:p>
          <w:p>
            <w:pPr>
              <w:spacing w:line="520" w:lineRule="exact"/>
              <w:ind w:firstLine="480" w:firstLineChars="200"/>
              <w:rPr>
                <w:sz w:val="24"/>
              </w:rPr>
            </w:pPr>
            <w:r>
              <w:rPr>
                <w:sz w:val="24"/>
              </w:rPr>
              <w:t>①水资源</w:t>
            </w:r>
          </w:p>
          <w:p>
            <w:pPr>
              <w:spacing w:line="520" w:lineRule="exact"/>
              <w:ind w:firstLine="480" w:firstLineChars="200"/>
              <w:rPr>
                <w:sz w:val="24"/>
              </w:rPr>
            </w:pPr>
            <w:r>
              <w:rPr>
                <w:sz w:val="24"/>
              </w:rPr>
              <w:t>本项目属于</w:t>
            </w:r>
            <w:r>
              <w:rPr>
                <w:rFonts w:hint="eastAsia"/>
                <w:sz w:val="24"/>
              </w:rPr>
              <w:t>塑料制品</w:t>
            </w:r>
            <w:r>
              <w:rPr>
                <w:sz w:val="24"/>
              </w:rPr>
              <w:t>项目，水源来自</w:t>
            </w:r>
            <w:r>
              <w:rPr>
                <w:rFonts w:hint="eastAsia"/>
                <w:sz w:val="24"/>
              </w:rPr>
              <w:t>岳滩镇</w:t>
            </w:r>
            <w:r>
              <w:rPr>
                <w:sz w:val="24"/>
              </w:rPr>
              <w:t>自来水管网，能够满足生产和职工日常生活用水。根据水利部发布的《关于印发钢铁等十八项工业用水定额的通知》（2020 年1 月）可知，本项目不属于水利部发布的“十八项传统高耗水工业行业”。</w:t>
            </w:r>
          </w:p>
          <w:p>
            <w:pPr>
              <w:spacing w:line="520" w:lineRule="exact"/>
              <w:ind w:firstLine="480" w:firstLineChars="200"/>
              <w:rPr>
                <w:sz w:val="24"/>
              </w:rPr>
            </w:pPr>
            <w:r>
              <w:rPr>
                <w:sz w:val="24"/>
              </w:rPr>
              <w:t>本项目不涉及地下水资源开采，资源消耗量相对区域资源利用总量较少，不影响区域水资源总量。</w:t>
            </w:r>
          </w:p>
          <w:p>
            <w:pPr>
              <w:spacing w:line="520" w:lineRule="exact"/>
              <w:ind w:firstLine="480" w:firstLineChars="200"/>
              <w:rPr>
                <w:sz w:val="24"/>
              </w:rPr>
            </w:pPr>
            <w:r>
              <w:rPr>
                <w:sz w:val="24"/>
              </w:rPr>
              <w:t>②土地资源</w:t>
            </w:r>
          </w:p>
          <w:p>
            <w:pPr>
              <w:spacing w:line="520" w:lineRule="exact"/>
              <w:ind w:firstLine="480" w:firstLineChars="200"/>
              <w:rPr>
                <w:sz w:val="24"/>
              </w:rPr>
            </w:pPr>
            <w:r>
              <w:rPr>
                <w:sz w:val="24"/>
              </w:rPr>
              <w:t>本项目位于洛阳市偃师区</w:t>
            </w:r>
            <w:r>
              <w:rPr>
                <w:rFonts w:hint="eastAsia"/>
                <w:sz w:val="24"/>
              </w:rPr>
              <w:t>岳滩镇</w:t>
            </w:r>
            <w:r>
              <w:rPr>
                <w:sz w:val="24"/>
              </w:rPr>
              <w:t>，本项目建设不会改变区域各类土地类型结构及类型，能够满足土地资源利用管控要求。</w:t>
            </w:r>
          </w:p>
          <w:p>
            <w:pPr>
              <w:spacing w:line="520" w:lineRule="exact"/>
              <w:ind w:firstLine="480" w:firstLineChars="200"/>
              <w:rPr>
                <w:sz w:val="24"/>
              </w:rPr>
            </w:pPr>
            <w:r>
              <w:rPr>
                <w:sz w:val="24"/>
              </w:rPr>
              <w:t>③能源</w:t>
            </w:r>
          </w:p>
          <w:p>
            <w:pPr>
              <w:spacing w:line="520" w:lineRule="exact"/>
              <w:ind w:firstLine="480" w:firstLineChars="200"/>
              <w:rPr>
                <w:sz w:val="24"/>
              </w:rPr>
            </w:pPr>
            <w:r>
              <w:rPr>
                <w:sz w:val="24"/>
              </w:rPr>
              <w:t>本项目生产过程中所用的能源为电能，用电来自</w:t>
            </w:r>
            <w:r>
              <w:rPr>
                <w:rFonts w:hint="eastAsia"/>
                <w:sz w:val="24"/>
              </w:rPr>
              <w:t>岳滩镇</w:t>
            </w:r>
            <w:r>
              <w:rPr>
                <w:sz w:val="24"/>
              </w:rPr>
              <w:t>电网供给。本项目建设不会超过当地能源利用上线。</w:t>
            </w:r>
          </w:p>
        </w:tc>
      </w:tr>
    </w:tbl>
    <w:p>
      <w:pPr>
        <w:pStyle w:val="100"/>
        <w:sectPr>
          <w:footerReference r:id="rId5" w:type="default"/>
          <w:pgSz w:w="11906" w:h="16838"/>
          <w:pgMar w:top="1701" w:right="1531" w:bottom="1701" w:left="1531" w:header="851" w:footer="1077" w:gutter="0"/>
          <w:cols w:space="720" w:num="1"/>
          <w:docGrid w:linePitch="312" w:charSpace="0"/>
        </w:sectPr>
      </w:pPr>
    </w:p>
    <w:p>
      <w:pPr>
        <w:pStyle w:val="51"/>
        <w:ind w:firstLine="480"/>
        <w:sectPr>
          <w:pgSz w:w="16838" w:h="11906" w:orient="landscape"/>
          <w:pgMar w:top="1531" w:right="1701" w:bottom="1531" w:left="1701" w:header="851" w:footer="1077" w:gutter="0"/>
          <w:cols w:space="720" w:num="1"/>
          <w:docGrid w:linePitch="312" w:charSpace="0"/>
        </w:sectPr>
      </w:pPr>
    </w:p>
    <w:tbl>
      <w:tblPr>
        <w:tblStyle w:val="2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6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000" w:type="pct"/>
            <w:vAlign w:val="center"/>
          </w:tcPr>
          <w:p>
            <w:pPr>
              <w:pStyle w:val="51"/>
              <w:ind w:firstLine="480"/>
            </w:pPr>
            <w:r>
              <w:rPr>
                <w:rFonts w:hint="eastAsia"/>
              </w:rPr>
              <w:t>（4）洛阳市偃师区环境管控单元生态环境准入清单</w:t>
            </w:r>
          </w:p>
          <w:p>
            <w:pPr>
              <w:spacing w:line="520" w:lineRule="exact"/>
              <w:ind w:firstLine="482" w:firstLineChars="200"/>
              <w:rPr>
                <w:b/>
                <w:sz w:val="24"/>
                <w:u w:val="single"/>
              </w:rPr>
            </w:pPr>
            <w:r>
              <w:rPr>
                <w:rFonts w:hint="eastAsia"/>
                <w:b/>
                <w:sz w:val="24"/>
                <w:u w:val="single"/>
              </w:rPr>
              <w:t>本项目位于洛阳市偃师区岳滩镇。对照偃师区环境管控单元生态环境准入清单，本项目所在位置环境管控单元属于偃师区重点管控单元（环境管控单元编码：ZH41038120002），项目与洛阳市偃师区环境管控单元生态环境准入清单相符性分析见下表。</w:t>
            </w:r>
          </w:p>
          <w:p>
            <w:pPr>
              <w:pStyle w:val="48"/>
              <w:ind w:firstLine="482"/>
              <w:rPr>
                <w:rFonts w:ascii="宋体"/>
                <w:b/>
                <w:kern w:val="0"/>
                <w:u w:val="single"/>
              </w:rPr>
            </w:pPr>
            <w:r>
              <w:rPr>
                <w:rFonts w:ascii="宋体"/>
                <w:b/>
                <w:kern w:val="0"/>
                <w:u w:val="single"/>
              </w:rPr>
              <w:t>表</w:t>
            </w:r>
            <w:r>
              <w:rPr>
                <w:rFonts w:hint="eastAsia" w:ascii="宋体"/>
                <w:b/>
                <w:kern w:val="0"/>
                <w:u w:val="single"/>
              </w:rPr>
              <w:t>1</w:t>
            </w:r>
            <w:r>
              <w:rPr>
                <w:rFonts w:ascii="宋体"/>
                <w:b/>
                <w:kern w:val="0"/>
                <w:u w:val="single"/>
              </w:rPr>
              <w:t xml:space="preserve">   </w:t>
            </w:r>
            <w:r>
              <w:rPr>
                <w:rFonts w:hint="eastAsia" w:ascii="宋体"/>
                <w:b/>
                <w:kern w:val="0"/>
                <w:u w:val="single"/>
              </w:rPr>
              <w:t xml:space="preserve">            </w:t>
            </w:r>
            <w:r>
              <w:rPr>
                <w:rFonts w:ascii="宋体"/>
                <w:b/>
                <w:kern w:val="0"/>
                <w:u w:val="single"/>
              </w:rPr>
              <w:t xml:space="preserve">   偃师</w:t>
            </w:r>
            <w:r>
              <w:rPr>
                <w:rFonts w:hint="eastAsia" w:ascii="宋体"/>
                <w:b/>
                <w:kern w:val="0"/>
                <w:u w:val="single"/>
              </w:rPr>
              <w:t>区</w:t>
            </w:r>
            <w:r>
              <w:rPr>
                <w:rFonts w:ascii="宋体"/>
                <w:b/>
                <w:kern w:val="0"/>
                <w:u w:val="single"/>
              </w:rPr>
              <w:t>环境管控单元生态环境准入清单相符性分析</w:t>
            </w:r>
          </w:p>
          <w:tbl>
            <w:tblPr>
              <w:tblStyle w:val="22"/>
              <w:tblW w:w="13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132"/>
              <w:gridCol w:w="849"/>
              <w:gridCol w:w="991"/>
              <w:gridCol w:w="851"/>
              <w:gridCol w:w="849"/>
              <w:gridCol w:w="5390"/>
              <w:gridCol w:w="2691"/>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422" w:type="pct"/>
                </w:tcPr>
                <w:p>
                  <w:pPr>
                    <w:pStyle w:val="101"/>
                    <w:spacing w:line="400" w:lineRule="exact"/>
                    <w:rPr>
                      <w:b/>
                      <w:color w:val="auto"/>
                      <w:u w:val="single"/>
                    </w:rPr>
                  </w:pPr>
                  <w:r>
                    <w:rPr>
                      <w:rFonts w:hint="eastAsia"/>
                      <w:b/>
                      <w:color w:val="auto"/>
                      <w:u w:val="single"/>
                    </w:rPr>
                    <w:t>环境管控单元编码</w:t>
                  </w:r>
                </w:p>
              </w:tc>
              <w:tc>
                <w:tcPr>
                  <w:tcW w:w="316" w:type="pct"/>
                </w:tcPr>
                <w:p>
                  <w:pPr>
                    <w:pStyle w:val="101"/>
                    <w:spacing w:line="400" w:lineRule="exact"/>
                    <w:rPr>
                      <w:b/>
                      <w:color w:val="auto"/>
                      <w:u w:val="single"/>
                    </w:rPr>
                  </w:pPr>
                  <w:r>
                    <w:rPr>
                      <w:rFonts w:hint="eastAsia"/>
                      <w:b/>
                      <w:color w:val="auto"/>
                      <w:u w:val="single"/>
                    </w:rPr>
                    <w:t>管控单元分类</w:t>
                  </w:r>
                </w:p>
              </w:tc>
              <w:tc>
                <w:tcPr>
                  <w:tcW w:w="369" w:type="pct"/>
                  <w:vAlign w:val="center"/>
                </w:tcPr>
                <w:p>
                  <w:pPr>
                    <w:pStyle w:val="101"/>
                    <w:spacing w:line="400" w:lineRule="exact"/>
                    <w:rPr>
                      <w:b/>
                      <w:color w:val="auto"/>
                      <w:u w:val="single"/>
                    </w:rPr>
                  </w:pPr>
                  <w:r>
                    <w:rPr>
                      <w:rFonts w:hint="eastAsia"/>
                      <w:b/>
                      <w:color w:val="auto"/>
                      <w:u w:val="single"/>
                    </w:rPr>
                    <w:t>环境管控单元名称</w:t>
                  </w:r>
                </w:p>
              </w:tc>
              <w:tc>
                <w:tcPr>
                  <w:tcW w:w="317" w:type="pct"/>
                  <w:vAlign w:val="center"/>
                </w:tcPr>
                <w:p>
                  <w:pPr>
                    <w:pStyle w:val="101"/>
                    <w:spacing w:line="400" w:lineRule="exact"/>
                    <w:rPr>
                      <w:b/>
                      <w:color w:val="auto"/>
                      <w:u w:val="single"/>
                    </w:rPr>
                  </w:pPr>
                  <w:r>
                    <w:rPr>
                      <w:rFonts w:hint="eastAsia"/>
                      <w:b/>
                      <w:color w:val="auto"/>
                      <w:u w:val="single"/>
                    </w:rPr>
                    <w:t>乡镇</w:t>
                  </w:r>
                </w:p>
              </w:tc>
              <w:tc>
                <w:tcPr>
                  <w:tcW w:w="2323" w:type="pct"/>
                  <w:gridSpan w:val="2"/>
                  <w:vAlign w:val="center"/>
                </w:tcPr>
                <w:p>
                  <w:pPr>
                    <w:pStyle w:val="101"/>
                    <w:spacing w:line="400" w:lineRule="exact"/>
                    <w:rPr>
                      <w:b/>
                      <w:color w:val="auto"/>
                      <w:u w:val="single"/>
                    </w:rPr>
                  </w:pPr>
                  <w:r>
                    <w:rPr>
                      <w:rFonts w:hint="eastAsia"/>
                      <w:b/>
                      <w:color w:val="auto"/>
                      <w:u w:val="single"/>
                    </w:rPr>
                    <w:t>管控要求</w:t>
                  </w:r>
                </w:p>
              </w:tc>
              <w:tc>
                <w:tcPr>
                  <w:tcW w:w="1002" w:type="pct"/>
                  <w:vAlign w:val="center"/>
                </w:tcPr>
                <w:p>
                  <w:pPr>
                    <w:pStyle w:val="101"/>
                    <w:spacing w:line="400" w:lineRule="exact"/>
                    <w:rPr>
                      <w:b/>
                      <w:color w:val="auto"/>
                      <w:u w:val="single"/>
                    </w:rPr>
                  </w:pPr>
                  <w:r>
                    <w:rPr>
                      <w:rFonts w:hint="eastAsia"/>
                      <w:b/>
                      <w:color w:val="auto"/>
                      <w:u w:val="single"/>
                    </w:rPr>
                    <w:t>本项目情况</w:t>
                  </w:r>
                </w:p>
              </w:tc>
              <w:tc>
                <w:tcPr>
                  <w:tcW w:w="251" w:type="pct"/>
                  <w:vAlign w:val="center"/>
                </w:tcPr>
                <w:p>
                  <w:pPr>
                    <w:pStyle w:val="101"/>
                    <w:spacing w:line="400" w:lineRule="exact"/>
                    <w:rPr>
                      <w:b/>
                      <w:color w:val="auto"/>
                      <w:u w:val="single"/>
                    </w:rPr>
                  </w:pPr>
                  <w:r>
                    <w:rPr>
                      <w:rFonts w:hint="eastAsia"/>
                      <w:b/>
                      <w:color w:val="auto"/>
                      <w:u w:val="singl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jc w:val="center"/>
              </w:trPr>
              <w:tc>
                <w:tcPr>
                  <w:tcW w:w="422" w:type="pct"/>
                  <w:vMerge w:val="restart"/>
                  <w:vAlign w:val="center"/>
                </w:tcPr>
                <w:p>
                  <w:pPr>
                    <w:pStyle w:val="101"/>
                    <w:spacing w:line="400" w:lineRule="exact"/>
                    <w:rPr>
                      <w:b/>
                      <w:color w:val="auto"/>
                      <w:u w:val="single"/>
                    </w:rPr>
                  </w:pPr>
                  <w:r>
                    <w:rPr>
                      <w:b/>
                      <w:color w:val="auto"/>
                      <w:u w:val="single"/>
                    </w:rPr>
                    <w:t>ZH4103</w:t>
                  </w:r>
                </w:p>
                <w:p>
                  <w:pPr>
                    <w:pStyle w:val="101"/>
                    <w:spacing w:line="400" w:lineRule="exact"/>
                    <w:rPr>
                      <w:b/>
                      <w:color w:val="auto"/>
                      <w:u w:val="single"/>
                    </w:rPr>
                  </w:pPr>
                  <w:r>
                    <w:rPr>
                      <w:b/>
                      <w:color w:val="auto"/>
                      <w:u w:val="single"/>
                    </w:rPr>
                    <w:t>81</w:t>
                  </w:r>
                  <w:r>
                    <w:rPr>
                      <w:rFonts w:hint="eastAsia"/>
                      <w:b/>
                      <w:color w:val="auto"/>
                      <w:u w:val="single"/>
                    </w:rPr>
                    <w:t>2</w:t>
                  </w:r>
                  <w:r>
                    <w:rPr>
                      <w:b/>
                      <w:color w:val="auto"/>
                      <w:u w:val="single"/>
                    </w:rPr>
                    <w:t>000</w:t>
                  </w:r>
                  <w:r>
                    <w:rPr>
                      <w:rFonts w:hint="eastAsia"/>
                      <w:b/>
                      <w:color w:val="auto"/>
                      <w:u w:val="single"/>
                    </w:rPr>
                    <w:t>2</w:t>
                  </w:r>
                </w:p>
              </w:tc>
              <w:tc>
                <w:tcPr>
                  <w:tcW w:w="316" w:type="pct"/>
                  <w:vMerge w:val="restart"/>
                  <w:vAlign w:val="center"/>
                </w:tcPr>
                <w:p>
                  <w:pPr>
                    <w:pStyle w:val="101"/>
                    <w:spacing w:line="400" w:lineRule="exact"/>
                    <w:rPr>
                      <w:b/>
                      <w:color w:val="auto"/>
                      <w:u w:val="single"/>
                    </w:rPr>
                  </w:pPr>
                  <w:r>
                    <w:rPr>
                      <w:rFonts w:hint="eastAsia"/>
                      <w:b/>
                      <w:color w:val="auto"/>
                      <w:u w:val="single"/>
                    </w:rPr>
                    <w:t>重点管控单元</w:t>
                  </w:r>
                </w:p>
              </w:tc>
              <w:tc>
                <w:tcPr>
                  <w:tcW w:w="369" w:type="pct"/>
                  <w:vMerge w:val="restart"/>
                  <w:vAlign w:val="center"/>
                </w:tcPr>
                <w:p>
                  <w:pPr>
                    <w:pStyle w:val="101"/>
                    <w:spacing w:line="400" w:lineRule="exact"/>
                    <w:rPr>
                      <w:b/>
                      <w:color w:val="auto"/>
                      <w:u w:val="single"/>
                    </w:rPr>
                  </w:pPr>
                  <w:r>
                    <w:rPr>
                      <w:rFonts w:hint="eastAsia"/>
                      <w:b/>
                      <w:color w:val="auto"/>
                      <w:u w:val="single"/>
                    </w:rPr>
                    <w:t>城镇重点单元</w:t>
                  </w:r>
                </w:p>
              </w:tc>
              <w:tc>
                <w:tcPr>
                  <w:tcW w:w="317" w:type="pct"/>
                  <w:vMerge w:val="restart"/>
                  <w:vAlign w:val="center"/>
                </w:tcPr>
                <w:p>
                  <w:pPr>
                    <w:pStyle w:val="101"/>
                    <w:spacing w:line="400" w:lineRule="exact"/>
                    <w:rPr>
                      <w:b/>
                      <w:color w:val="auto"/>
                      <w:u w:val="single"/>
                    </w:rPr>
                  </w:pPr>
                  <w:r>
                    <w:rPr>
                      <w:rFonts w:hint="eastAsia"/>
                      <w:b/>
                      <w:color w:val="auto"/>
                      <w:u w:val="single"/>
                    </w:rPr>
                    <w:t>城关镇、首阳山镇、岳滩镇、翟镇</w:t>
                  </w:r>
                </w:p>
              </w:tc>
              <w:tc>
                <w:tcPr>
                  <w:tcW w:w="316" w:type="pct"/>
                  <w:vMerge w:val="restart"/>
                  <w:vAlign w:val="center"/>
                </w:tcPr>
                <w:p>
                  <w:pPr>
                    <w:pStyle w:val="101"/>
                    <w:spacing w:line="400" w:lineRule="exact"/>
                    <w:rPr>
                      <w:b/>
                      <w:color w:val="auto"/>
                      <w:u w:val="single"/>
                    </w:rPr>
                  </w:pPr>
                  <w:r>
                    <w:rPr>
                      <w:rFonts w:hint="eastAsia"/>
                      <w:b/>
                      <w:color w:val="auto"/>
                      <w:u w:val="single"/>
                    </w:rPr>
                    <w:t>空间布局约束</w:t>
                  </w:r>
                </w:p>
              </w:tc>
              <w:tc>
                <w:tcPr>
                  <w:tcW w:w="2007" w:type="pct"/>
                  <w:vAlign w:val="center"/>
                </w:tcPr>
                <w:p>
                  <w:pPr>
                    <w:pStyle w:val="101"/>
                    <w:spacing w:line="400" w:lineRule="exact"/>
                    <w:jc w:val="left"/>
                    <w:rPr>
                      <w:b/>
                      <w:color w:val="auto"/>
                      <w:u w:val="single"/>
                    </w:rPr>
                  </w:pPr>
                  <w:r>
                    <w:rPr>
                      <w:rFonts w:hint="eastAsia"/>
                      <w:b/>
                      <w:color w:val="auto"/>
                      <w:u w:val="single"/>
                    </w:rPr>
                    <w:t>1、在居民住宅区等人口密集区域和医院、学校、幼儿园、养老院等其他需要特殊保护的区域及其周边，不得新建和扩建易产生恶臭气体的生产项目或者从事其他产生恶臭气体的生产经营活动。已建成的，应当逐步搬迁或者升级改造。</w:t>
                  </w:r>
                </w:p>
              </w:tc>
              <w:tc>
                <w:tcPr>
                  <w:tcW w:w="1002" w:type="pct"/>
                  <w:vAlign w:val="center"/>
                </w:tcPr>
                <w:p>
                  <w:pPr>
                    <w:pStyle w:val="101"/>
                    <w:spacing w:line="400" w:lineRule="exact"/>
                    <w:jc w:val="left"/>
                    <w:rPr>
                      <w:b/>
                      <w:color w:val="auto"/>
                      <w:u w:val="single"/>
                    </w:rPr>
                  </w:pPr>
                  <w:r>
                    <w:rPr>
                      <w:rFonts w:hint="eastAsia"/>
                      <w:b/>
                      <w:color w:val="auto"/>
                      <w:u w:val="single"/>
                    </w:rPr>
                    <w:t>本项目为改扩建塑料制品业项目，不属于易产生恶臭气体的生产项目或者从事其他产生恶臭气体的生产经营活动</w:t>
                  </w:r>
                </w:p>
              </w:tc>
              <w:tc>
                <w:tcPr>
                  <w:tcW w:w="251" w:type="pct"/>
                  <w:vAlign w:val="center"/>
                </w:tcPr>
                <w:p>
                  <w:pPr>
                    <w:pStyle w:val="101"/>
                    <w:spacing w:line="400" w:lineRule="exact"/>
                    <w:rPr>
                      <w:b/>
                      <w:color w:val="auto"/>
                      <w:u w:val="single"/>
                    </w:rPr>
                  </w:pPr>
                  <w:r>
                    <w:rPr>
                      <w:rFonts w:hint="eastAsia"/>
                      <w:b/>
                      <w:color w:val="auto"/>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0" w:hRule="atLeast"/>
                <w:jc w:val="center"/>
              </w:trPr>
              <w:tc>
                <w:tcPr>
                  <w:tcW w:w="422" w:type="pct"/>
                  <w:vMerge w:val="continue"/>
                  <w:vAlign w:val="center"/>
                </w:tcPr>
                <w:p>
                  <w:pPr>
                    <w:pStyle w:val="101"/>
                    <w:spacing w:line="400" w:lineRule="exact"/>
                    <w:rPr>
                      <w:b/>
                      <w:color w:val="auto"/>
                      <w:u w:val="single"/>
                    </w:rPr>
                  </w:pPr>
                </w:p>
              </w:tc>
              <w:tc>
                <w:tcPr>
                  <w:tcW w:w="316" w:type="pct"/>
                  <w:vMerge w:val="continue"/>
                  <w:vAlign w:val="center"/>
                </w:tcPr>
                <w:p>
                  <w:pPr>
                    <w:pStyle w:val="101"/>
                    <w:spacing w:line="400" w:lineRule="exact"/>
                    <w:rPr>
                      <w:b/>
                      <w:color w:val="auto"/>
                      <w:u w:val="single"/>
                    </w:rPr>
                  </w:pPr>
                </w:p>
              </w:tc>
              <w:tc>
                <w:tcPr>
                  <w:tcW w:w="369" w:type="pct"/>
                  <w:vMerge w:val="continue"/>
                  <w:vAlign w:val="center"/>
                </w:tcPr>
                <w:p>
                  <w:pPr>
                    <w:pStyle w:val="101"/>
                    <w:spacing w:line="400" w:lineRule="exact"/>
                    <w:rPr>
                      <w:b/>
                      <w:color w:val="auto"/>
                      <w:u w:val="single"/>
                    </w:rPr>
                  </w:pPr>
                </w:p>
              </w:tc>
              <w:tc>
                <w:tcPr>
                  <w:tcW w:w="317" w:type="pct"/>
                  <w:vMerge w:val="continue"/>
                  <w:vAlign w:val="center"/>
                </w:tcPr>
                <w:p>
                  <w:pPr>
                    <w:pStyle w:val="101"/>
                    <w:spacing w:line="400" w:lineRule="exact"/>
                    <w:rPr>
                      <w:b/>
                      <w:color w:val="auto"/>
                      <w:u w:val="single"/>
                    </w:rPr>
                  </w:pPr>
                </w:p>
              </w:tc>
              <w:tc>
                <w:tcPr>
                  <w:tcW w:w="316" w:type="pct"/>
                  <w:vMerge w:val="continue"/>
                  <w:vAlign w:val="center"/>
                </w:tcPr>
                <w:p>
                  <w:pPr>
                    <w:pStyle w:val="101"/>
                    <w:spacing w:line="400" w:lineRule="exact"/>
                    <w:rPr>
                      <w:b/>
                      <w:color w:val="auto"/>
                      <w:u w:val="single"/>
                    </w:rPr>
                  </w:pPr>
                </w:p>
              </w:tc>
              <w:tc>
                <w:tcPr>
                  <w:tcW w:w="2007" w:type="pct"/>
                  <w:vAlign w:val="center"/>
                </w:tcPr>
                <w:p>
                  <w:pPr>
                    <w:pStyle w:val="101"/>
                    <w:spacing w:line="400" w:lineRule="exact"/>
                    <w:jc w:val="left"/>
                    <w:rPr>
                      <w:b/>
                      <w:color w:val="auto"/>
                      <w:u w:val="single"/>
                    </w:rPr>
                  </w:pPr>
                  <w:r>
                    <w:rPr>
                      <w:rFonts w:hint="eastAsia"/>
                      <w:b/>
                      <w:color w:val="auto"/>
                      <w:u w:val="single"/>
                    </w:rPr>
                    <w:t>2、禁止新建及扩建高排放、高污染项目及其他排放重金属等的工业项目。</w:t>
                  </w:r>
                </w:p>
              </w:tc>
              <w:tc>
                <w:tcPr>
                  <w:tcW w:w="1002" w:type="pct"/>
                  <w:vAlign w:val="center"/>
                </w:tcPr>
                <w:p>
                  <w:pPr>
                    <w:pStyle w:val="101"/>
                    <w:spacing w:line="400" w:lineRule="exact"/>
                    <w:jc w:val="left"/>
                    <w:rPr>
                      <w:b/>
                      <w:color w:val="auto"/>
                      <w:u w:val="single"/>
                    </w:rPr>
                  </w:pPr>
                  <w:r>
                    <w:rPr>
                      <w:rFonts w:hint="eastAsia"/>
                      <w:b/>
                      <w:color w:val="auto"/>
                      <w:u w:val="single"/>
                    </w:rPr>
                    <w:t>本项目为改扩建塑料制品业项目，使用能源为电能，不使用高污染燃料，不属于高排放、高污染项目及其他排放重金属等的工业项目。</w:t>
                  </w:r>
                </w:p>
              </w:tc>
              <w:tc>
                <w:tcPr>
                  <w:tcW w:w="251" w:type="pct"/>
                  <w:vAlign w:val="center"/>
                </w:tcPr>
                <w:p>
                  <w:pPr>
                    <w:pStyle w:val="101"/>
                    <w:spacing w:line="400" w:lineRule="exact"/>
                    <w:rPr>
                      <w:b/>
                      <w:color w:val="auto"/>
                      <w:u w:val="single"/>
                    </w:rPr>
                  </w:pPr>
                  <w:r>
                    <w:rPr>
                      <w:rFonts w:hint="eastAsia"/>
                      <w:b/>
                      <w:color w:val="auto"/>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4" w:hRule="atLeast"/>
                <w:jc w:val="center"/>
              </w:trPr>
              <w:tc>
                <w:tcPr>
                  <w:tcW w:w="422" w:type="pct"/>
                  <w:vMerge w:val="continue"/>
                  <w:vAlign w:val="center"/>
                </w:tcPr>
                <w:p>
                  <w:pPr>
                    <w:pStyle w:val="101"/>
                    <w:spacing w:line="400" w:lineRule="exact"/>
                    <w:rPr>
                      <w:b/>
                      <w:color w:val="auto"/>
                      <w:u w:val="single"/>
                    </w:rPr>
                  </w:pPr>
                </w:p>
              </w:tc>
              <w:tc>
                <w:tcPr>
                  <w:tcW w:w="316" w:type="pct"/>
                  <w:vMerge w:val="continue"/>
                  <w:vAlign w:val="center"/>
                </w:tcPr>
                <w:p>
                  <w:pPr>
                    <w:pStyle w:val="101"/>
                    <w:spacing w:line="400" w:lineRule="exact"/>
                    <w:rPr>
                      <w:b/>
                      <w:color w:val="auto"/>
                      <w:u w:val="single"/>
                    </w:rPr>
                  </w:pPr>
                </w:p>
              </w:tc>
              <w:tc>
                <w:tcPr>
                  <w:tcW w:w="369" w:type="pct"/>
                  <w:vMerge w:val="continue"/>
                  <w:vAlign w:val="center"/>
                </w:tcPr>
                <w:p>
                  <w:pPr>
                    <w:pStyle w:val="101"/>
                    <w:spacing w:line="400" w:lineRule="exact"/>
                    <w:rPr>
                      <w:b/>
                      <w:color w:val="auto"/>
                      <w:u w:val="single"/>
                    </w:rPr>
                  </w:pPr>
                </w:p>
              </w:tc>
              <w:tc>
                <w:tcPr>
                  <w:tcW w:w="317" w:type="pct"/>
                  <w:vMerge w:val="continue"/>
                  <w:vAlign w:val="center"/>
                </w:tcPr>
                <w:p>
                  <w:pPr>
                    <w:pStyle w:val="101"/>
                    <w:spacing w:line="400" w:lineRule="exact"/>
                    <w:rPr>
                      <w:b/>
                      <w:color w:val="auto"/>
                      <w:u w:val="single"/>
                    </w:rPr>
                  </w:pPr>
                </w:p>
              </w:tc>
              <w:tc>
                <w:tcPr>
                  <w:tcW w:w="316" w:type="pct"/>
                  <w:vMerge w:val="continue"/>
                  <w:vAlign w:val="center"/>
                </w:tcPr>
                <w:p>
                  <w:pPr>
                    <w:pStyle w:val="101"/>
                    <w:spacing w:line="400" w:lineRule="exact"/>
                    <w:rPr>
                      <w:b/>
                      <w:color w:val="auto"/>
                      <w:u w:val="single"/>
                    </w:rPr>
                  </w:pPr>
                </w:p>
              </w:tc>
              <w:tc>
                <w:tcPr>
                  <w:tcW w:w="2007" w:type="pct"/>
                  <w:vAlign w:val="center"/>
                </w:tcPr>
                <w:p>
                  <w:pPr>
                    <w:pStyle w:val="101"/>
                    <w:spacing w:line="400" w:lineRule="exact"/>
                    <w:jc w:val="left"/>
                    <w:rPr>
                      <w:b/>
                      <w:color w:val="auto"/>
                      <w:u w:val="single"/>
                    </w:rPr>
                  </w:pPr>
                  <w:r>
                    <w:rPr>
                      <w:rFonts w:hint="eastAsia"/>
                      <w:b/>
                      <w:color w:val="auto"/>
                      <w:u w:val="single"/>
                    </w:rPr>
                    <w:t>3、在城镇居民区等人口集中区域禁止建设畜禽养殖场、养殖小区。</w:t>
                  </w:r>
                </w:p>
              </w:tc>
              <w:tc>
                <w:tcPr>
                  <w:tcW w:w="1002" w:type="pct"/>
                  <w:vAlign w:val="center"/>
                </w:tcPr>
                <w:p>
                  <w:pPr>
                    <w:pStyle w:val="101"/>
                    <w:spacing w:line="400" w:lineRule="exact"/>
                    <w:jc w:val="left"/>
                    <w:rPr>
                      <w:b/>
                      <w:color w:val="auto"/>
                      <w:u w:val="single"/>
                    </w:rPr>
                  </w:pPr>
                  <w:r>
                    <w:rPr>
                      <w:rFonts w:hint="eastAsia"/>
                      <w:b/>
                      <w:color w:val="auto"/>
                      <w:u w:val="single"/>
                    </w:rPr>
                    <w:t>不涉及</w:t>
                  </w:r>
                </w:p>
              </w:tc>
              <w:tc>
                <w:tcPr>
                  <w:tcW w:w="251" w:type="pct"/>
                  <w:vAlign w:val="center"/>
                </w:tcPr>
                <w:p>
                  <w:pPr>
                    <w:pStyle w:val="101"/>
                    <w:spacing w:line="400" w:lineRule="exact"/>
                    <w:rPr>
                      <w:b/>
                      <w:color w:val="auto"/>
                      <w:u w:val="single"/>
                    </w:rPr>
                  </w:pPr>
                  <w:r>
                    <w:rPr>
                      <w:rFonts w:hint="eastAsia"/>
                      <w:b/>
                      <w:color w:val="auto"/>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0" w:hRule="atLeast"/>
                <w:jc w:val="center"/>
              </w:trPr>
              <w:tc>
                <w:tcPr>
                  <w:tcW w:w="422" w:type="pct"/>
                  <w:vMerge w:val="continue"/>
                  <w:vAlign w:val="center"/>
                </w:tcPr>
                <w:p>
                  <w:pPr>
                    <w:pStyle w:val="101"/>
                    <w:spacing w:line="400" w:lineRule="exact"/>
                    <w:rPr>
                      <w:b/>
                      <w:color w:val="auto"/>
                      <w:u w:val="single"/>
                    </w:rPr>
                  </w:pPr>
                </w:p>
              </w:tc>
              <w:tc>
                <w:tcPr>
                  <w:tcW w:w="316" w:type="pct"/>
                  <w:vMerge w:val="continue"/>
                  <w:vAlign w:val="center"/>
                </w:tcPr>
                <w:p>
                  <w:pPr>
                    <w:pStyle w:val="101"/>
                    <w:spacing w:line="400" w:lineRule="exact"/>
                    <w:rPr>
                      <w:b/>
                      <w:color w:val="auto"/>
                      <w:u w:val="single"/>
                    </w:rPr>
                  </w:pPr>
                </w:p>
              </w:tc>
              <w:tc>
                <w:tcPr>
                  <w:tcW w:w="369" w:type="pct"/>
                  <w:vMerge w:val="continue"/>
                  <w:vAlign w:val="center"/>
                </w:tcPr>
                <w:p>
                  <w:pPr>
                    <w:pStyle w:val="101"/>
                    <w:spacing w:line="400" w:lineRule="exact"/>
                    <w:rPr>
                      <w:b/>
                      <w:color w:val="auto"/>
                      <w:u w:val="single"/>
                    </w:rPr>
                  </w:pPr>
                </w:p>
              </w:tc>
              <w:tc>
                <w:tcPr>
                  <w:tcW w:w="317" w:type="pct"/>
                  <w:vMerge w:val="continue"/>
                  <w:vAlign w:val="center"/>
                </w:tcPr>
                <w:p>
                  <w:pPr>
                    <w:pStyle w:val="101"/>
                    <w:spacing w:line="400" w:lineRule="exact"/>
                    <w:rPr>
                      <w:b/>
                      <w:color w:val="auto"/>
                      <w:u w:val="single"/>
                    </w:rPr>
                  </w:pPr>
                </w:p>
              </w:tc>
              <w:tc>
                <w:tcPr>
                  <w:tcW w:w="316" w:type="pct"/>
                  <w:vMerge w:val="continue"/>
                  <w:vAlign w:val="center"/>
                </w:tcPr>
                <w:p>
                  <w:pPr>
                    <w:pStyle w:val="101"/>
                    <w:spacing w:line="400" w:lineRule="exact"/>
                    <w:rPr>
                      <w:b/>
                      <w:color w:val="auto"/>
                      <w:u w:val="single"/>
                    </w:rPr>
                  </w:pPr>
                </w:p>
              </w:tc>
              <w:tc>
                <w:tcPr>
                  <w:tcW w:w="2007" w:type="pct"/>
                  <w:vAlign w:val="center"/>
                </w:tcPr>
                <w:p>
                  <w:pPr>
                    <w:pStyle w:val="101"/>
                    <w:spacing w:line="400" w:lineRule="exact"/>
                    <w:jc w:val="left"/>
                    <w:rPr>
                      <w:b/>
                      <w:color w:val="auto"/>
                      <w:u w:val="single"/>
                    </w:rPr>
                  </w:pPr>
                  <w:r>
                    <w:rPr>
                      <w:rFonts w:hint="eastAsia"/>
                      <w:b/>
                      <w:color w:val="auto"/>
                      <w:u w:val="single"/>
                    </w:rPr>
                    <w:t>4、逐步关闭区内30 万千瓦以下发电机组；城市建成区内工业企业逐步退出并入园入区发展，对退城入园企业的生产、环保、安全等各方面进行严格管控，实现区域规模化集中管理。</w:t>
                  </w:r>
                </w:p>
              </w:tc>
              <w:tc>
                <w:tcPr>
                  <w:tcW w:w="1002" w:type="pct"/>
                  <w:vAlign w:val="center"/>
                </w:tcPr>
                <w:p>
                  <w:pPr>
                    <w:pStyle w:val="101"/>
                    <w:spacing w:line="400" w:lineRule="exact"/>
                    <w:jc w:val="left"/>
                    <w:rPr>
                      <w:b/>
                      <w:color w:val="auto"/>
                      <w:u w:val="single"/>
                    </w:rPr>
                  </w:pPr>
                  <w:r>
                    <w:rPr>
                      <w:rFonts w:hint="eastAsia"/>
                      <w:b/>
                      <w:color w:val="auto"/>
                      <w:u w:val="single"/>
                    </w:rPr>
                    <w:t>不涉及</w:t>
                  </w:r>
                </w:p>
              </w:tc>
              <w:tc>
                <w:tcPr>
                  <w:tcW w:w="251" w:type="pct"/>
                  <w:vAlign w:val="center"/>
                </w:tcPr>
                <w:p>
                  <w:pPr>
                    <w:pStyle w:val="101"/>
                    <w:spacing w:line="400" w:lineRule="exact"/>
                    <w:rPr>
                      <w:b/>
                      <w:color w:val="auto"/>
                      <w:u w:val="single"/>
                    </w:rPr>
                  </w:pPr>
                  <w:r>
                    <w:rPr>
                      <w:rFonts w:hint="eastAsia"/>
                      <w:b/>
                      <w:color w:val="auto"/>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0" w:hRule="atLeast"/>
                <w:jc w:val="center"/>
              </w:trPr>
              <w:tc>
                <w:tcPr>
                  <w:tcW w:w="422" w:type="pct"/>
                  <w:vMerge w:val="continue"/>
                  <w:vAlign w:val="center"/>
                </w:tcPr>
                <w:p>
                  <w:pPr>
                    <w:pStyle w:val="101"/>
                    <w:spacing w:line="400" w:lineRule="exact"/>
                    <w:rPr>
                      <w:b/>
                      <w:color w:val="auto"/>
                      <w:u w:val="single"/>
                    </w:rPr>
                  </w:pPr>
                </w:p>
              </w:tc>
              <w:tc>
                <w:tcPr>
                  <w:tcW w:w="316" w:type="pct"/>
                  <w:vMerge w:val="continue"/>
                  <w:vAlign w:val="center"/>
                </w:tcPr>
                <w:p>
                  <w:pPr>
                    <w:pStyle w:val="101"/>
                    <w:spacing w:line="400" w:lineRule="exact"/>
                    <w:rPr>
                      <w:b/>
                      <w:color w:val="auto"/>
                      <w:u w:val="single"/>
                    </w:rPr>
                  </w:pPr>
                </w:p>
              </w:tc>
              <w:tc>
                <w:tcPr>
                  <w:tcW w:w="369" w:type="pct"/>
                  <w:vMerge w:val="continue"/>
                  <w:vAlign w:val="center"/>
                </w:tcPr>
                <w:p>
                  <w:pPr>
                    <w:pStyle w:val="101"/>
                    <w:spacing w:line="400" w:lineRule="exact"/>
                    <w:rPr>
                      <w:b/>
                      <w:color w:val="auto"/>
                      <w:u w:val="single"/>
                    </w:rPr>
                  </w:pPr>
                </w:p>
              </w:tc>
              <w:tc>
                <w:tcPr>
                  <w:tcW w:w="317" w:type="pct"/>
                  <w:vMerge w:val="continue"/>
                  <w:vAlign w:val="center"/>
                </w:tcPr>
                <w:p>
                  <w:pPr>
                    <w:pStyle w:val="101"/>
                    <w:spacing w:line="400" w:lineRule="exact"/>
                    <w:rPr>
                      <w:b/>
                      <w:color w:val="auto"/>
                      <w:u w:val="single"/>
                    </w:rPr>
                  </w:pPr>
                </w:p>
              </w:tc>
              <w:tc>
                <w:tcPr>
                  <w:tcW w:w="316" w:type="pct"/>
                  <w:vMerge w:val="continue"/>
                  <w:vAlign w:val="center"/>
                </w:tcPr>
                <w:p>
                  <w:pPr>
                    <w:pStyle w:val="101"/>
                    <w:spacing w:line="400" w:lineRule="exact"/>
                    <w:rPr>
                      <w:b/>
                      <w:color w:val="auto"/>
                      <w:u w:val="single"/>
                    </w:rPr>
                  </w:pPr>
                </w:p>
              </w:tc>
              <w:tc>
                <w:tcPr>
                  <w:tcW w:w="2007" w:type="pct"/>
                  <w:vAlign w:val="center"/>
                </w:tcPr>
                <w:p>
                  <w:pPr>
                    <w:pStyle w:val="101"/>
                    <w:spacing w:line="400" w:lineRule="exact"/>
                    <w:jc w:val="left"/>
                    <w:rPr>
                      <w:b/>
                      <w:color w:val="auto"/>
                      <w:u w:val="single"/>
                    </w:rPr>
                  </w:pPr>
                  <w:r>
                    <w:rPr>
                      <w:rFonts w:hint="eastAsia"/>
                      <w:b/>
                      <w:color w:val="auto"/>
                      <w:u w:val="single"/>
                    </w:rPr>
                    <w:t>5、沿邙山大道两侧，提升改造塑编、校用设备、建材、制鞋等传统行业。积极引导制鞋企业和制鞋产业链上游配套企业逐步退城退村进园区，高标准配套VOCs 治理措施，逐步推广集中治理，实现集中集聚发展。</w:t>
                  </w:r>
                </w:p>
              </w:tc>
              <w:tc>
                <w:tcPr>
                  <w:tcW w:w="1002" w:type="pct"/>
                  <w:vAlign w:val="center"/>
                </w:tcPr>
                <w:p>
                  <w:pPr>
                    <w:pStyle w:val="101"/>
                    <w:spacing w:line="400" w:lineRule="exact"/>
                    <w:jc w:val="left"/>
                    <w:rPr>
                      <w:b/>
                      <w:color w:val="auto"/>
                      <w:u w:val="single"/>
                    </w:rPr>
                  </w:pPr>
                  <w:r>
                    <w:rPr>
                      <w:rFonts w:hint="eastAsia"/>
                      <w:b/>
                      <w:color w:val="auto"/>
                      <w:u w:val="single"/>
                    </w:rPr>
                    <w:t>不涉及</w:t>
                  </w:r>
                </w:p>
              </w:tc>
              <w:tc>
                <w:tcPr>
                  <w:tcW w:w="251" w:type="pct"/>
                  <w:vAlign w:val="center"/>
                </w:tcPr>
                <w:p>
                  <w:pPr>
                    <w:pStyle w:val="101"/>
                    <w:spacing w:line="400" w:lineRule="exact"/>
                    <w:rPr>
                      <w:b/>
                      <w:color w:val="auto"/>
                      <w:u w:val="single"/>
                    </w:rPr>
                  </w:pPr>
                  <w:r>
                    <w:rPr>
                      <w:rFonts w:hint="eastAsia"/>
                      <w:b/>
                      <w:color w:val="auto"/>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422" w:type="pct"/>
                  <w:vMerge w:val="continue"/>
                </w:tcPr>
                <w:p>
                  <w:pPr>
                    <w:pStyle w:val="101"/>
                    <w:spacing w:line="400" w:lineRule="exact"/>
                    <w:rPr>
                      <w:b/>
                      <w:color w:val="auto"/>
                      <w:u w:val="single"/>
                    </w:rPr>
                  </w:pPr>
                </w:p>
              </w:tc>
              <w:tc>
                <w:tcPr>
                  <w:tcW w:w="316" w:type="pct"/>
                  <w:vMerge w:val="continue"/>
                </w:tcPr>
                <w:p>
                  <w:pPr>
                    <w:pStyle w:val="101"/>
                    <w:spacing w:line="400" w:lineRule="exact"/>
                    <w:rPr>
                      <w:b/>
                      <w:color w:val="auto"/>
                      <w:u w:val="single"/>
                    </w:rPr>
                  </w:pPr>
                </w:p>
              </w:tc>
              <w:tc>
                <w:tcPr>
                  <w:tcW w:w="369" w:type="pct"/>
                  <w:vMerge w:val="continue"/>
                  <w:vAlign w:val="center"/>
                </w:tcPr>
                <w:p>
                  <w:pPr>
                    <w:pStyle w:val="101"/>
                    <w:spacing w:line="400" w:lineRule="exact"/>
                    <w:rPr>
                      <w:b/>
                      <w:color w:val="auto"/>
                      <w:u w:val="single"/>
                    </w:rPr>
                  </w:pPr>
                </w:p>
              </w:tc>
              <w:tc>
                <w:tcPr>
                  <w:tcW w:w="317" w:type="pct"/>
                  <w:vMerge w:val="continue"/>
                  <w:vAlign w:val="center"/>
                </w:tcPr>
                <w:p>
                  <w:pPr>
                    <w:pStyle w:val="101"/>
                    <w:spacing w:line="400" w:lineRule="exact"/>
                    <w:rPr>
                      <w:b/>
                      <w:color w:val="auto"/>
                      <w:u w:val="single"/>
                    </w:rPr>
                  </w:pPr>
                </w:p>
              </w:tc>
              <w:tc>
                <w:tcPr>
                  <w:tcW w:w="316" w:type="pct"/>
                  <w:vAlign w:val="center"/>
                </w:tcPr>
                <w:p>
                  <w:pPr>
                    <w:pStyle w:val="101"/>
                    <w:spacing w:line="400" w:lineRule="exact"/>
                    <w:jc w:val="both"/>
                    <w:rPr>
                      <w:b/>
                      <w:color w:val="auto"/>
                      <w:u w:val="single"/>
                    </w:rPr>
                  </w:pPr>
                  <w:r>
                    <w:rPr>
                      <w:rFonts w:hint="eastAsia"/>
                      <w:b/>
                      <w:color w:val="auto"/>
                      <w:u w:val="single"/>
                    </w:rPr>
                    <w:t>污染物排放管控</w:t>
                  </w:r>
                </w:p>
              </w:tc>
              <w:tc>
                <w:tcPr>
                  <w:tcW w:w="2007" w:type="pct"/>
                  <w:vAlign w:val="center"/>
                </w:tcPr>
                <w:p>
                  <w:pPr>
                    <w:pStyle w:val="101"/>
                    <w:spacing w:line="400" w:lineRule="exact"/>
                    <w:jc w:val="left"/>
                    <w:rPr>
                      <w:b/>
                      <w:color w:val="auto"/>
                      <w:u w:val="single"/>
                    </w:rPr>
                  </w:pPr>
                  <w:r>
                    <w:rPr>
                      <w:rFonts w:hint="eastAsia"/>
                      <w:b/>
                      <w:color w:val="auto"/>
                      <w:u w:val="single"/>
                    </w:rPr>
                    <w:t>优化调整货物运输结构，逐步淘汰国三及以下排放标准柴油货车，持续开展车辆更新工作。强化餐饮油烟治理和管控。</w:t>
                  </w:r>
                </w:p>
              </w:tc>
              <w:tc>
                <w:tcPr>
                  <w:tcW w:w="1002" w:type="pct"/>
                  <w:vAlign w:val="center"/>
                </w:tcPr>
                <w:p>
                  <w:pPr>
                    <w:pStyle w:val="101"/>
                    <w:spacing w:line="400" w:lineRule="exact"/>
                    <w:jc w:val="left"/>
                    <w:rPr>
                      <w:b/>
                      <w:color w:val="auto"/>
                      <w:u w:val="single"/>
                    </w:rPr>
                  </w:pPr>
                  <w:r>
                    <w:rPr>
                      <w:rFonts w:hint="eastAsia"/>
                      <w:b/>
                      <w:color w:val="auto"/>
                      <w:u w:val="single"/>
                    </w:rPr>
                    <w:t>本项目使用符合环保要求的运输车辆</w:t>
                  </w:r>
                </w:p>
              </w:tc>
              <w:tc>
                <w:tcPr>
                  <w:tcW w:w="251" w:type="pct"/>
                  <w:vAlign w:val="center"/>
                </w:tcPr>
                <w:p>
                  <w:pPr>
                    <w:pStyle w:val="101"/>
                    <w:spacing w:line="400" w:lineRule="exact"/>
                    <w:rPr>
                      <w:b/>
                      <w:color w:val="auto"/>
                      <w:u w:val="single"/>
                    </w:rPr>
                  </w:pPr>
                  <w:r>
                    <w:rPr>
                      <w:rFonts w:hint="eastAsia"/>
                      <w:b/>
                      <w:color w:val="auto"/>
                      <w:u w:val="single"/>
                    </w:rPr>
                    <w:t>相符</w:t>
                  </w:r>
                </w:p>
              </w:tc>
            </w:tr>
          </w:tbl>
          <w:p>
            <w:pPr>
              <w:spacing w:line="520" w:lineRule="exact"/>
              <w:ind w:firstLine="482" w:firstLineChars="200"/>
            </w:pPr>
            <w:r>
              <w:rPr>
                <w:b/>
                <w:sz w:val="24"/>
                <w:u w:val="single"/>
              </w:rPr>
              <w:t>由以上分析可知，</w:t>
            </w:r>
            <w:r>
              <w:rPr>
                <w:rFonts w:hint="eastAsia"/>
                <w:b/>
                <w:sz w:val="24"/>
                <w:u w:val="single"/>
              </w:rPr>
              <w:t>本项目符合洛阳市人民政府《关于实施“三线一单”生态环境分区管控的意见》（洛政〔2021〕7号）以及洛阳市生态环境局《关于发布洛阳市“三线一单”生态环境准入清单（试行）的函》（洛市政〔2021〕58号）制定生态环境准入清单-偃师区重点管控单元生态环境准入清单要求。</w:t>
            </w:r>
          </w:p>
        </w:tc>
      </w:tr>
    </w:tbl>
    <w:p>
      <w:pPr>
        <w:pStyle w:val="100"/>
        <w:sectPr>
          <w:type w:val="continuous"/>
          <w:pgSz w:w="16838" w:h="11906" w:orient="landscape"/>
          <w:pgMar w:top="1531" w:right="1701" w:bottom="1531" w:left="1701" w:header="851" w:footer="1077" w:gutter="0"/>
          <w:cols w:space="720" w:num="1"/>
          <w:docGrid w:linePitch="312" w:charSpace="0"/>
        </w:sectPr>
      </w:pPr>
    </w:p>
    <w:tbl>
      <w:tblPr>
        <w:tblStyle w:val="2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000" w:type="pct"/>
            <w:vAlign w:val="center"/>
          </w:tcPr>
          <w:p>
            <w:pPr>
              <w:pStyle w:val="100"/>
              <w:spacing w:line="460" w:lineRule="exact"/>
              <w:rPr>
                <w:bCs/>
                <w:szCs w:val="20"/>
              </w:rPr>
            </w:pPr>
            <w:r>
              <w:rPr>
                <w:rFonts w:hint="eastAsia"/>
                <w:bCs/>
                <w:szCs w:val="20"/>
              </w:rPr>
              <w:t>3</w:t>
            </w:r>
            <w:r>
              <w:rPr>
                <w:bCs/>
                <w:szCs w:val="20"/>
              </w:rPr>
              <w:t>、《黄河流域生态保护和高质量发展规划纲要》</w:t>
            </w:r>
          </w:p>
          <w:p>
            <w:pPr>
              <w:pStyle w:val="53"/>
              <w:ind w:firstLine="480"/>
              <w:rPr>
                <w:bCs/>
              </w:rPr>
            </w:pPr>
            <w:r>
              <w:rPr>
                <w:bCs/>
              </w:rPr>
              <w:t>表</w:t>
            </w:r>
            <w:r>
              <w:rPr>
                <w:rFonts w:hint="eastAsia"/>
                <w:bCs/>
              </w:rPr>
              <w:t xml:space="preserve">2   </w:t>
            </w:r>
            <w:r>
              <w:rPr>
                <w:bCs/>
              </w:rPr>
              <w:t>与《黄河流域生态保护和高质量发展规划纲要》相符性分析</w:t>
            </w:r>
          </w:p>
          <w:tbl>
            <w:tblPr>
              <w:tblStyle w:val="2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35"/>
              <w:gridCol w:w="2495"/>
              <w:gridCol w:w="1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021" w:type="pct"/>
                  <w:vAlign w:val="center"/>
                </w:tcPr>
                <w:p>
                  <w:pPr>
                    <w:spacing w:line="400" w:lineRule="exact"/>
                    <w:jc w:val="center"/>
                    <w:rPr>
                      <w:szCs w:val="21"/>
                    </w:rPr>
                  </w:pPr>
                  <w:r>
                    <w:rPr>
                      <w:szCs w:val="21"/>
                    </w:rPr>
                    <w:t>文件要求</w:t>
                  </w:r>
                </w:p>
              </w:tc>
              <w:tc>
                <w:tcPr>
                  <w:tcW w:w="1413" w:type="pct"/>
                  <w:vAlign w:val="center"/>
                </w:tcPr>
                <w:p>
                  <w:pPr>
                    <w:spacing w:line="400" w:lineRule="exact"/>
                    <w:jc w:val="center"/>
                    <w:rPr>
                      <w:szCs w:val="21"/>
                      <w:highlight w:val="yellow"/>
                    </w:rPr>
                  </w:pPr>
                  <w:r>
                    <w:rPr>
                      <w:szCs w:val="21"/>
                    </w:rPr>
                    <w:t>项目特点</w:t>
                  </w:r>
                </w:p>
              </w:tc>
              <w:tc>
                <w:tcPr>
                  <w:tcW w:w="566" w:type="pct"/>
                  <w:vAlign w:val="center"/>
                </w:tcPr>
                <w:p>
                  <w:pPr>
                    <w:spacing w:line="400" w:lineRule="exact"/>
                    <w:jc w:val="center"/>
                    <w:rPr>
                      <w:szCs w:val="21"/>
                    </w:rPr>
                  </w:pPr>
                  <w:r>
                    <w:rPr>
                      <w:szCs w:val="21"/>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021" w:type="pct"/>
                  <w:vAlign w:val="center"/>
                </w:tcPr>
                <w:p>
                  <w:pPr>
                    <w:spacing w:line="400" w:lineRule="exact"/>
                    <w:jc w:val="center"/>
                    <w:rPr>
                      <w:szCs w:val="21"/>
                    </w:rPr>
                  </w:pPr>
                  <w:r>
                    <w:rPr>
                      <w:szCs w:val="21"/>
                    </w:rPr>
                    <w:t>第二节加大工业污染协同治理力度</w:t>
                  </w:r>
                </w:p>
                <w:p>
                  <w:pPr>
                    <w:spacing w:line="400" w:lineRule="exact"/>
                    <w:ind w:firstLine="420" w:firstLineChars="200"/>
                    <w:rPr>
                      <w:szCs w:val="21"/>
                    </w:rPr>
                  </w:pPr>
                  <w:r>
                    <w:rPr>
                      <w:szCs w:val="21"/>
                    </w:rPr>
                    <w:t>推动沿黄一定范围内高耗水、高污染企业迁入合规园区，加快钢铁、煤电超低排放改造，开展煤炭、火电、钢铁、焦化、化工、有色等行业强制性清洁生产，强化工业炉窑和重点行业挥发性有机物综合治理，实行生态敏感脆弱区工业行业污染物特别排放限值要求。严禁在黄河干流及主要支流临岸一定范围内新建“两高一资”项目及相关产业园区。开展黄河干支流入河排污口专项整治行动，加快构建覆盖所有排污口的在线监测系统，规范入河排污口设置审核。严格落实排污许可制度，沿黄所有固定排污源要依法按证排污。沿黄工业园区全部建成污水集中处理设施并稳定达标排放，严控工业废水未经处理或未有效处理直接排入城镇污水处理系统，严厉打击向河湖、沙漠、湿地等偷排、直排行为。加强工业废弃物风险管控和历史遗留重金属污染区域治理，以危险废物为重点开展固体废物综合整治行动。加强生态环境风险防范，有效应对突发环境事件。健全环境信息强制性披露制度。</w:t>
                  </w:r>
                </w:p>
              </w:tc>
              <w:tc>
                <w:tcPr>
                  <w:tcW w:w="1413" w:type="pct"/>
                  <w:vAlign w:val="center"/>
                </w:tcPr>
                <w:p>
                  <w:pPr>
                    <w:spacing w:line="400" w:lineRule="exact"/>
                    <w:ind w:firstLine="420" w:firstLineChars="200"/>
                    <w:rPr>
                      <w:szCs w:val="21"/>
                      <w:highlight w:val="yellow"/>
                    </w:rPr>
                  </w:pPr>
                  <w:r>
                    <w:t>本项目为</w:t>
                  </w:r>
                  <w:r>
                    <w:rPr>
                      <w:rFonts w:hint="eastAsia"/>
                    </w:rPr>
                    <w:t>改扩建塑料制品业项目</w:t>
                  </w:r>
                  <w:r>
                    <w:t>，不属于</w:t>
                  </w:r>
                  <w:r>
                    <w:rPr>
                      <w:szCs w:val="21"/>
                    </w:rPr>
                    <w:t>“两高一资”项目；本项目有机废气经集气系统收集后经</w:t>
                  </w:r>
                  <w:r>
                    <w:rPr>
                      <w:rFonts w:hint="eastAsia"/>
                      <w:szCs w:val="21"/>
                    </w:rPr>
                    <w:t>UV光氧</w:t>
                  </w:r>
                  <w:r>
                    <w:rPr>
                      <w:szCs w:val="21"/>
                    </w:rPr>
                    <w:t>+活性炭吸附装置处理通过</w:t>
                  </w:r>
                  <w:r>
                    <w:rPr>
                      <w:rFonts w:hint="eastAsia"/>
                      <w:szCs w:val="21"/>
                    </w:rPr>
                    <w:t>15</w:t>
                  </w:r>
                  <w:r>
                    <w:rPr>
                      <w:szCs w:val="21"/>
                    </w:rPr>
                    <w:t>m高排气筒排放</w:t>
                  </w:r>
                  <w:r>
                    <w:rPr>
                      <w:rFonts w:hint="eastAsia"/>
                      <w:szCs w:val="21"/>
                    </w:rPr>
                    <w:t>，满足</w:t>
                  </w:r>
                  <w:r>
                    <w:rPr>
                      <w:rFonts w:hint="eastAsia"/>
                    </w:rPr>
                    <w:t>《合成树脂工业污染物排放标准》（GB3</w:t>
                  </w:r>
                  <w:r>
                    <w:rPr>
                      <w:rFonts w:hint="eastAsia"/>
                      <w:szCs w:val="21"/>
                    </w:rPr>
                    <w:t>1572-2015）表5特别排放限值</w:t>
                  </w:r>
                  <w:r>
                    <w:rPr>
                      <w:rFonts w:hint="eastAsia"/>
                    </w:rPr>
                    <w:t>同时满足河南省地方标准《印刷工业挥发性有机物排放标准》（DB41/1956-2020）</w:t>
                  </w:r>
                  <w:r>
                    <w:rPr>
                      <w:rFonts w:hint="eastAsia"/>
                      <w:szCs w:val="21"/>
                    </w:rPr>
                    <w:t>；生活污水经化粪池预理后，近期用于施肥，远期管网敷设到位后经市政管网排入偃师市第三污水处理厂。</w:t>
                  </w:r>
                  <w:r>
                    <w:rPr>
                      <w:szCs w:val="21"/>
                    </w:rPr>
                    <w:t>危险废物厂区危废暂存间暂存后委托有资质单位处置。</w:t>
                  </w:r>
                </w:p>
              </w:tc>
              <w:tc>
                <w:tcPr>
                  <w:tcW w:w="566" w:type="pct"/>
                  <w:vAlign w:val="center"/>
                </w:tcPr>
                <w:p>
                  <w:pPr>
                    <w:spacing w:line="400" w:lineRule="exact"/>
                    <w:jc w:val="center"/>
                    <w:rPr>
                      <w:szCs w:val="21"/>
                    </w:rPr>
                  </w:pPr>
                  <w:r>
                    <w:rPr>
                      <w:szCs w:val="21"/>
                    </w:rPr>
                    <w:t>相符</w:t>
                  </w:r>
                </w:p>
              </w:tc>
            </w:tr>
          </w:tbl>
          <w:p>
            <w:pPr>
              <w:pStyle w:val="51"/>
              <w:ind w:firstLine="480"/>
              <w:rPr>
                <w:bCs/>
              </w:rPr>
            </w:pPr>
            <w:r>
              <w:rPr>
                <w:bCs/>
              </w:rPr>
              <w:t>由上表可知，本项目满足《黄河流域生态保护和高质量发展规划纲要》相关要求。</w:t>
            </w:r>
          </w:p>
          <w:p>
            <w:pPr>
              <w:pStyle w:val="100"/>
              <w:spacing w:line="460" w:lineRule="exact"/>
              <w:rPr>
                <w:bCs/>
                <w:szCs w:val="20"/>
              </w:rPr>
            </w:pPr>
            <w:r>
              <w:rPr>
                <w:rFonts w:hint="eastAsia"/>
                <w:bCs/>
                <w:szCs w:val="20"/>
              </w:rPr>
              <w:t>4</w:t>
            </w:r>
            <w:r>
              <w:rPr>
                <w:bCs/>
                <w:szCs w:val="20"/>
              </w:rPr>
              <w:t>、《</w:t>
            </w:r>
            <w:r>
              <w:rPr>
                <w:rFonts w:hint="eastAsia"/>
                <w:bCs/>
                <w:szCs w:val="20"/>
              </w:rPr>
              <w:t>黄河生态保护治理攻坚战行动方案</w:t>
            </w:r>
            <w:r>
              <w:rPr>
                <w:bCs/>
                <w:szCs w:val="20"/>
              </w:rPr>
              <w:t>》</w:t>
            </w:r>
            <w:r>
              <w:rPr>
                <w:rFonts w:hint="eastAsia"/>
                <w:bCs/>
                <w:szCs w:val="20"/>
              </w:rPr>
              <w:t>（环综合〔2022〕51号）</w:t>
            </w:r>
          </w:p>
          <w:p>
            <w:pPr>
              <w:pStyle w:val="53"/>
              <w:ind w:firstLine="480"/>
              <w:rPr>
                <w:bCs/>
              </w:rPr>
            </w:pPr>
            <w:r>
              <w:rPr>
                <w:bCs/>
              </w:rPr>
              <w:t>表</w:t>
            </w:r>
            <w:r>
              <w:rPr>
                <w:rFonts w:hint="eastAsia"/>
                <w:bCs/>
              </w:rPr>
              <w:t>3</w:t>
            </w:r>
            <w:r>
              <w:rPr>
                <w:bCs/>
              </w:rPr>
              <w:t>与</w:t>
            </w:r>
            <w:r>
              <w:rPr>
                <w:rFonts w:hint="eastAsia"/>
                <w:bCs/>
              </w:rPr>
              <w:t>《黄河生态保护治理攻坚战行动方案》(环综合〔2022〕51号)</w:t>
            </w:r>
            <w:r>
              <w:rPr>
                <w:bCs/>
              </w:rPr>
              <w:t>相符性分析</w:t>
            </w:r>
          </w:p>
          <w:tbl>
            <w:tblPr>
              <w:tblStyle w:val="2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63"/>
              <w:gridCol w:w="2167"/>
              <w:gridCol w:w="1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3207" w:type="pct"/>
                  <w:vAlign w:val="center"/>
                </w:tcPr>
                <w:p>
                  <w:pPr>
                    <w:spacing w:line="400" w:lineRule="exact"/>
                    <w:jc w:val="center"/>
                    <w:rPr>
                      <w:szCs w:val="21"/>
                    </w:rPr>
                  </w:pPr>
                  <w:r>
                    <w:rPr>
                      <w:szCs w:val="21"/>
                    </w:rPr>
                    <w:t>文件要求</w:t>
                  </w:r>
                </w:p>
              </w:tc>
              <w:tc>
                <w:tcPr>
                  <w:tcW w:w="1227" w:type="pct"/>
                  <w:vAlign w:val="center"/>
                </w:tcPr>
                <w:p>
                  <w:pPr>
                    <w:spacing w:line="400" w:lineRule="exact"/>
                    <w:jc w:val="center"/>
                    <w:rPr>
                      <w:szCs w:val="21"/>
                      <w:highlight w:val="yellow"/>
                    </w:rPr>
                  </w:pPr>
                  <w:r>
                    <w:rPr>
                      <w:szCs w:val="21"/>
                    </w:rPr>
                    <w:t>项目特点</w:t>
                  </w:r>
                </w:p>
              </w:tc>
              <w:tc>
                <w:tcPr>
                  <w:tcW w:w="566" w:type="pct"/>
                  <w:vAlign w:val="center"/>
                </w:tcPr>
                <w:p>
                  <w:pPr>
                    <w:spacing w:line="400" w:lineRule="exact"/>
                    <w:jc w:val="center"/>
                    <w:rPr>
                      <w:szCs w:val="21"/>
                    </w:rPr>
                  </w:pPr>
                  <w:r>
                    <w:rPr>
                      <w:szCs w:val="21"/>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207" w:type="pct"/>
                  <w:vAlign w:val="center"/>
                </w:tcPr>
                <w:p>
                  <w:pPr>
                    <w:spacing w:line="400" w:lineRule="exact"/>
                    <w:ind w:firstLine="420" w:firstLineChars="200"/>
                    <w:rPr>
                      <w:szCs w:val="21"/>
                    </w:rPr>
                  </w:pPr>
                  <w:r>
                    <w:rPr>
                      <w:rFonts w:hint="eastAsia"/>
                      <w:szCs w:val="21"/>
                    </w:rPr>
                    <w:t>强化生态环境分区管控。落实生态保护红线、环境质量底线、资源利用上线硬约束，充分衔接国土空间规划和用途管制要求，因地制宜建立差别化生态环境准入清单，加快推进“三线一单”（生态保护红线、环境质量底线、资源利用上线和生态环境准入清单）成果应用。严格规划环评审查、节能审查、节水评价和项目环评准入，严控严管新增高污染、高耗能、高排放、高耗水企业。严控钢铁、煤化工、石化、有色金属等行业规模，依法依规淘汰落后产能和化解过剩产能。禁止在黄河干支流岸线一定范围内新建、扩建化工园区和化工项目。严禁“挖湖造景”等不合理用水需求。</w:t>
                  </w:r>
                </w:p>
              </w:tc>
              <w:tc>
                <w:tcPr>
                  <w:tcW w:w="1227" w:type="pct"/>
                  <w:vAlign w:val="center"/>
                </w:tcPr>
                <w:p>
                  <w:pPr>
                    <w:spacing w:line="400" w:lineRule="exact"/>
                    <w:rPr>
                      <w:szCs w:val="21"/>
                      <w:highlight w:val="yellow"/>
                    </w:rPr>
                  </w:pPr>
                  <w:r>
                    <w:t>本项目为</w:t>
                  </w:r>
                  <w:r>
                    <w:rPr>
                      <w:rFonts w:hint="eastAsia"/>
                    </w:rPr>
                    <w:t>改扩建塑料制品业项目</w:t>
                  </w:r>
                  <w:r>
                    <w:t>，不属于</w:t>
                  </w:r>
                  <w:r>
                    <w:rPr>
                      <w:szCs w:val="21"/>
                    </w:rPr>
                    <w:t>“两高一资”项目；本项目</w:t>
                  </w:r>
                  <w:r>
                    <w:rPr>
                      <w:rFonts w:hint="eastAsia"/>
                      <w:szCs w:val="21"/>
                    </w:rPr>
                    <w:t>选址位于</w:t>
                  </w:r>
                  <w:r>
                    <w:rPr>
                      <w:rFonts w:hint="eastAsia"/>
                    </w:rPr>
                    <w:t>位于偃师区岳滩镇，选址符合</w:t>
                  </w:r>
                  <w:r>
                    <w:rPr>
                      <w:rFonts w:hint="eastAsia"/>
                      <w:szCs w:val="21"/>
                    </w:rPr>
                    <w:t>“三线一单”要求。</w:t>
                  </w:r>
                </w:p>
              </w:tc>
              <w:tc>
                <w:tcPr>
                  <w:tcW w:w="566" w:type="pct"/>
                  <w:vAlign w:val="center"/>
                </w:tcPr>
                <w:p>
                  <w:pPr>
                    <w:spacing w:line="400" w:lineRule="exact"/>
                    <w:jc w:val="center"/>
                    <w:rPr>
                      <w:szCs w:val="21"/>
                    </w:rPr>
                  </w:pPr>
                  <w:r>
                    <w:rPr>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3207" w:type="pct"/>
                  <w:vAlign w:val="center"/>
                </w:tcPr>
                <w:p>
                  <w:pPr>
                    <w:pStyle w:val="19"/>
                    <w:shd w:val="clear" w:color="auto" w:fill="FFFFFF"/>
                    <w:spacing w:before="0" w:beforeAutospacing="0" w:after="0" w:afterAutospacing="0" w:line="415" w:lineRule="atLeast"/>
                    <w:rPr>
                      <w:szCs w:val="21"/>
                    </w:rPr>
                  </w:pPr>
                  <w:r>
                    <w:rPr>
                      <w:rFonts w:hint="eastAsia" w:ascii="Times New Roman" w:hAnsi="Times New Roman"/>
                      <w:kern w:val="2"/>
                      <w:sz w:val="21"/>
                      <w:szCs w:val="21"/>
                    </w:rPr>
                    <w:t>加快工业企业清洁生产和污染治理。推动构建以排污许可制为核心的固定污染源监管制度体系，开展排污许可提质增效工作。推动钢铁、焦化、化工、有色金属、造纸、印染、原料药制造、农副食品加工等重点行业实施清洁生产改造，开展自愿性清洁生产评价和认证，严格实施“双超双有高耗能”企业强制性清洁生产审核。鼓励有条件的地区开展行业、园区和产业集群整体审核试点。推动化工企业迁入合规园区，新建化工、有色金属、原料药制造等企业，应布局在符合产业定位和准入要求的合规园区，工业园区应按规定建成污水集中处理设施，依法安装自动在线监控装置并与生态环境主管部门联网。推进沿黄省区工业园区水污染整治。到2025年，沿黄工业园区全部建成污水集中处理设施并稳定达标排放。加快推进工业污废水全收集、全处理，严格煤矿等行业高浓盐水管理，推动实现工业废水稳定达标排放。严控工业废水未经处理或未有效处理直接排入城镇污水处理系统，严厉打击向河湖、沙漠、湿地、地下水等偷排、直排行为。</w:t>
                  </w:r>
                </w:p>
              </w:tc>
              <w:tc>
                <w:tcPr>
                  <w:tcW w:w="1227" w:type="pct"/>
                  <w:vAlign w:val="center"/>
                </w:tcPr>
                <w:p>
                  <w:pPr>
                    <w:spacing w:line="400" w:lineRule="exact"/>
                  </w:pPr>
                  <w:r>
                    <w:t>本项目为</w:t>
                  </w:r>
                  <w:r>
                    <w:rPr>
                      <w:rFonts w:hint="eastAsia"/>
                    </w:rPr>
                    <w:t>改扩建塑料制品业项目</w:t>
                  </w:r>
                  <w:r>
                    <w:t>，不属于</w:t>
                  </w:r>
                  <w:r>
                    <w:rPr>
                      <w:rFonts w:hint="eastAsia"/>
                      <w:szCs w:val="21"/>
                    </w:rPr>
                    <w:t>左列行业</w:t>
                  </w:r>
                  <w:r>
                    <w:rPr>
                      <w:szCs w:val="21"/>
                    </w:rPr>
                    <w:t>；本项目</w:t>
                  </w:r>
                  <w:r>
                    <w:rPr>
                      <w:rFonts w:hint="eastAsia"/>
                      <w:szCs w:val="21"/>
                    </w:rPr>
                    <w:t>选址位于</w:t>
                  </w:r>
                  <w:r>
                    <w:rPr>
                      <w:rFonts w:hint="eastAsia"/>
                    </w:rPr>
                    <w:t>偃师区岳滩镇，生活污水经化粪池处理后近期用于施肥，远期管网敷设到位后</w:t>
                  </w:r>
                  <w:r>
                    <w:rPr>
                      <w:rFonts w:hint="eastAsia"/>
                      <w:szCs w:val="21"/>
                    </w:rPr>
                    <w:t>经市政管网排入偃师市第三污水处理厂</w:t>
                  </w:r>
                </w:p>
              </w:tc>
              <w:tc>
                <w:tcPr>
                  <w:tcW w:w="566" w:type="pct"/>
                  <w:vAlign w:val="center"/>
                </w:tcPr>
                <w:p>
                  <w:pPr>
                    <w:spacing w:line="400" w:lineRule="exact"/>
                    <w:jc w:val="center"/>
                    <w:rPr>
                      <w:szCs w:val="21"/>
                    </w:rPr>
                  </w:pPr>
                  <w:r>
                    <w:rPr>
                      <w:rFonts w:hint="eastAsia"/>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3207" w:type="pct"/>
                  <w:vAlign w:val="center"/>
                </w:tcPr>
                <w:p>
                  <w:pPr>
                    <w:pStyle w:val="19"/>
                    <w:shd w:val="clear" w:color="auto" w:fill="FFFFFF"/>
                    <w:spacing w:before="0" w:beforeAutospacing="0" w:after="0" w:afterAutospacing="0" w:line="415" w:lineRule="atLeast"/>
                    <w:rPr>
                      <w:rFonts w:ascii="微软雅黑" w:hAnsi="微软雅黑" w:eastAsia="微软雅黑"/>
                      <w:sz w:val="21"/>
                      <w:szCs w:val="21"/>
                      <w:highlight w:val="yellow"/>
                    </w:rPr>
                  </w:pPr>
                  <w:r>
                    <w:rPr>
                      <w:rFonts w:hint="eastAsia" w:ascii="Times New Roman" w:hAnsi="Times New Roman"/>
                      <w:kern w:val="2"/>
                      <w:sz w:val="21"/>
                      <w:szCs w:val="21"/>
                    </w:rPr>
                    <w:t>强化固体废物协同控制与污染防治。选择一批“无废城市”开展协同增效试点，在固体废物处置全过程中协同推进碳减排。建设固体废物跨区域回收利用示范基地，推动区域固体废物集中利用处置能力共享。持续推进流域“清废行动”，加快推进沿黄省区干支流固体废物倾倒排查整治工作，全面整治固体废物非法堆存。推动省域内危险废物处置能力与产废情况总体匹配，鼓励主要产业基地根据需要配套建设危险废物集中利用处置设施，支持有条件的地区建设区域性特殊危险废物集中处置中心。加快完善医疗废物收集转运处置体系，推动地级及以上城市医疗废物集中处置设施建设，健全县域医疗废物收集转运处置体系，补齐医疗废物收集处理设施短板。</w:t>
                  </w:r>
                </w:p>
              </w:tc>
              <w:tc>
                <w:tcPr>
                  <w:tcW w:w="1227" w:type="pct"/>
                  <w:vAlign w:val="center"/>
                </w:tcPr>
                <w:p>
                  <w:pPr>
                    <w:spacing w:line="400" w:lineRule="exact"/>
                  </w:pPr>
                  <w:r>
                    <w:rPr>
                      <w:rFonts w:hint="eastAsia"/>
                      <w:szCs w:val="21"/>
                    </w:rPr>
                    <w:t>本项目</w:t>
                  </w:r>
                  <w:r>
                    <w:rPr>
                      <w:szCs w:val="21"/>
                    </w:rPr>
                    <w:t>危险废物</w:t>
                  </w:r>
                  <w:r>
                    <w:rPr>
                      <w:rFonts w:hint="eastAsia"/>
                      <w:szCs w:val="21"/>
                    </w:rPr>
                    <w:t>在</w:t>
                  </w:r>
                  <w:r>
                    <w:rPr>
                      <w:szCs w:val="21"/>
                    </w:rPr>
                    <w:t>厂区危废暂存间</w:t>
                  </w:r>
                  <w:r>
                    <w:rPr>
                      <w:rFonts w:hint="eastAsia"/>
                      <w:szCs w:val="21"/>
                    </w:rPr>
                    <w:t>内</w:t>
                  </w:r>
                  <w:r>
                    <w:rPr>
                      <w:szCs w:val="21"/>
                    </w:rPr>
                    <w:t>暂存后委托有资质单位处置。</w:t>
                  </w:r>
                </w:p>
              </w:tc>
              <w:tc>
                <w:tcPr>
                  <w:tcW w:w="566" w:type="pct"/>
                  <w:vAlign w:val="center"/>
                </w:tcPr>
                <w:p>
                  <w:pPr>
                    <w:spacing w:line="400" w:lineRule="exact"/>
                    <w:jc w:val="center"/>
                    <w:rPr>
                      <w:szCs w:val="21"/>
                    </w:rPr>
                  </w:pPr>
                  <w:r>
                    <w:rPr>
                      <w:rFonts w:hint="eastAsia"/>
                      <w:szCs w:val="21"/>
                    </w:rPr>
                    <w:t>符合</w:t>
                  </w:r>
                </w:p>
              </w:tc>
            </w:tr>
          </w:tbl>
          <w:p>
            <w:pPr>
              <w:pStyle w:val="51"/>
              <w:ind w:firstLine="480"/>
              <w:rPr>
                <w:bCs/>
              </w:rPr>
            </w:pPr>
            <w:r>
              <w:rPr>
                <w:bCs/>
              </w:rPr>
              <w:t>由上表可知，本项目满足</w:t>
            </w:r>
            <w:r>
              <w:rPr>
                <w:rFonts w:hint="eastAsia"/>
                <w:bCs/>
              </w:rPr>
              <w:t>《黄河生态保护治理攻坚战行动方案》(环综合〔2022〕51号)</w:t>
            </w:r>
            <w:r>
              <w:rPr>
                <w:bCs/>
              </w:rPr>
              <w:t>相关要求。</w:t>
            </w:r>
          </w:p>
          <w:p>
            <w:pPr>
              <w:pStyle w:val="100"/>
              <w:spacing w:line="460" w:lineRule="exact"/>
              <w:rPr>
                <w:bCs/>
                <w:szCs w:val="20"/>
              </w:rPr>
            </w:pPr>
            <w:r>
              <w:rPr>
                <w:rFonts w:hint="eastAsia"/>
                <w:bCs/>
                <w:szCs w:val="20"/>
              </w:rPr>
              <w:t>5、本项目与洛阳市人民政府关于印发《洛阳市“十四五”生态环境保护和生态经济发展规划的通知》（洛政〔2022〕32号）相符性分析</w:t>
            </w:r>
          </w:p>
          <w:p>
            <w:pPr>
              <w:pStyle w:val="48"/>
              <w:ind w:firstLine="480"/>
            </w:pPr>
            <w:r>
              <w:rPr>
                <w:rFonts w:hint="eastAsia"/>
              </w:rPr>
              <w:t xml:space="preserve">表4  </w:t>
            </w:r>
            <w:r>
              <w:t xml:space="preserve"> </w:t>
            </w:r>
            <w:r>
              <w:rPr>
                <w:rFonts w:hint="eastAsia"/>
              </w:rPr>
              <w:t>洛阳市“十四五”生态环境保护和生态经济发展规划符合性分析</w:t>
            </w:r>
          </w:p>
          <w:tbl>
            <w:tblPr>
              <w:tblStyle w:val="2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89"/>
              <w:gridCol w:w="2316"/>
              <w:gridCol w:w="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3207" w:type="pct"/>
                  <w:vAlign w:val="center"/>
                </w:tcPr>
                <w:p>
                  <w:pPr>
                    <w:spacing w:line="400" w:lineRule="exact"/>
                    <w:jc w:val="center"/>
                    <w:rPr>
                      <w:szCs w:val="21"/>
                    </w:rPr>
                  </w:pPr>
                  <w:r>
                    <w:rPr>
                      <w:rFonts w:hint="eastAsia"/>
                      <w:szCs w:val="21"/>
                    </w:rPr>
                    <w:t>管控要求</w:t>
                  </w:r>
                </w:p>
              </w:tc>
              <w:tc>
                <w:tcPr>
                  <w:tcW w:w="1227" w:type="pct"/>
                  <w:vAlign w:val="center"/>
                </w:tcPr>
                <w:p>
                  <w:pPr>
                    <w:spacing w:line="400" w:lineRule="exact"/>
                    <w:jc w:val="center"/>
                    <w:rPr>
                      <w:szCs w:val="21"/>
                      <w:highlight w:val="yellow"/>
                    </w:rPr>
                  </w:pPr>
                  <w:r>
                    <w:rPr>
                      <w:rFonts w:hint="eastAsia"/>
                      <w:szCs w:val="21"/>
                    </w:rPr>
                    <w:t>本项目情况</w:t>
                  </w:r>
                </w:p>
              </w:tc>
              <w:tc>
                <w:tcPr>
                  <w:tcW w:w="566" w:type="pct"/>
                  <w:vAlign w:val="center"/>
                </w:tcPr>
                <w:p>
                  <w:pPr>
                    <w:spacing w:line="400" w:lineRule="exact"/>
                    <w:jc w:val="center"/>
                    <w:rPr>
                      <w:szCs w:val="21"/>
                    </w:rPr>
                  </w:pPr>
                  <w:r>
                    <w:rPr>
                      <w:szCs w:val="21"/>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3207" w:type="pct"/>
                  <w:vAlign w:val="center"/>
                </w:tcPr>
                <w:p>
                  <w:pPr>
                    <w:spacing w:line="400" w:lineRule="exact"/>
                    <w:jc w:val="center"/>
                    <w:rPr>
                      <w:szCs w:val="21"/>
                    </w:rPr>
                  </w:pPr>
                  <w:r>
                    <w:rPr>
                      <w:rFonts w:hint="eastAsia"/>
                      <w:szCs w:val="21"/>
                    </w:rPr>
                    <w:t>第五章、推进生态环境提升行动，深化污染防治</w:t>
                  </w:r>
                </w:p>
                <w:p>
                  <w:pPr>
                    <w:spacing w:line="400" w:lineRule="exact"/>
                    <w:ind w:firstLine="420" w:firstLineChars="200"/>
                    <w:rPr>
                      <w:szCs w:val="21"/>
                    </w:rPr>
                  </w:pPr>
                  <w:r>
                    <w:rPr>
                      <w:rFonts w:hint="eastAsia"/>
                      <w:szCs w:val="21"/>
                    </w:rPr>
                    <w:t>加强VOCs 全过程治理。严格VOCs 产品准入和监控，推进重点行业VOCs 污染物全过程综合整治。按照“可替尽替、应代尽代”的原则，全面推进使用低VOCs 含量涂料、油墨、胶粘剂、清洗剂等。建立低VOCs 含量产品标志制度和源头替代力度，加大抽检力度。加大工业涂装、包装印刷、家具制造等行业源头替代力度，在化工行业推广使用低（无）VOCs 含量、低反应活性的原辅材料，加快芳香烃、含卤素有机化合物的绿色替代。</w:t>
                  </w:r>
                </w:p>
                <w:p>
                  <w:pPr>
                    <w:spacing w:line="400" w:lineRule="exact"/>
                    <w:ind w:firstLine="420" w:firstLineChars="200"/>
                    <w:rPr>
                      <w:szCs w:val="21"/>
                    </w:rPr>
                  </w:pPr>
                  <w:r>
                    <w:rPr>
                      <w:rFonts w:hint="eastAsia"/>
                      <w:szCs w:val="21"/>
                    </w:rPr>
                    <w:t>强化重点行业VOCs 治理减排，实施VOCs 排放总量控制。逐步取消炼油、石化、煤化工、制药、农药、化工、工业涂装、包装印刷等企业非必要的VOCs 废气排放系统旁路（因安全生产等原因除外）。引导重点行业合理安排停检修计划，减少非正常工况VOCs 排放。深化工业园区和企业集群综合治理，加快推进涉VOCs 工业园区“绿岛”项目，鼓励其他具备条件、有需求的开发区规划建设喷涂中心、活性炭回收再生处理中心、溶剂处理中心等“共享工厂”。加强VOCs 无组织排放控制，实施含VOCs 物料全方位、全链条、全环节管理，强化储存、转移和输送、设备与管线组件泄漏、敞开液面逸散以及工艺过程等无组织排放环节的污染收集处理。建筑涂装行业全面使用符合环保要求的涂料产品，加强汽修行业VOCs 综合治理。</w:t>
                  </w:r>
                </w:p>
              </w:tc>
              <w:tc>
                <w:tcPr>
                  <w:tcW w:w="1227" w:type="pct"/>
                  <w:vAlign w:val="center"/>
                </w:tcPr>
                <w:p>
                  <w:pPr>
                    <w:spacing w:line="400" w:lineRule="exact"/>
                    <w:rPr>
                      <w:szCs w:val="21"/>
                    </w:rPr>
                  </w:pPr>
                  <w:r>
                    <w:t>本项目为</w:t>
                  </w:r>
                  <w:r>
                    <w:rPr>
                      <w:rFonts w:hint="eastAsia"/>
                    </w:rPr>
                    <w:t>改扩建塑料制品业项目</w:t>
                  </w:r>
                  <w:r>
                    <w:t>，</w:t>
                  </w:r>
                  <w:r>
                    <w:rPr>
                      <w:rFonts w:hint="eastAsia"/>
                      <w:szCs w:val="21"/>
                    </w:rPr>
                    <w:t>不使用涂料、胶粘剂、清洗剂等</w:t>
                  </w:r>
                  <w:r>
                    <w:rPr>
                      <w:szCs w:val="21"/>
                    </w:rPr>
                    <w:t>；</w:t>
                  </w:r>
                  <w:r>
                    <w:rPr>
                      <w:rFonts w:hint="eastAsia"/>
                      <w:szCs w:val="21"/>
                    </w:rPr>
                    <w:t>本项目印刷工序采用的是凹版印刷，采用吸收性材料印刷，使用水性油墨，VOCs含量为10%，低于15%，属于低 VOCs 含量油墨。</w:t>
                  </w:r>
                </w:p>
                <w:p>
                  <w:pPr>
                    <w:spacing w:line="400" w:lineRule="exact"/>
                    <w:rPr>
                      <w:szCs w:val="21"/>
                      <w:highlight w:val="yellow"/>
                    </w:rPr>
                  </w:pPr>
                  <w:r>
                    <w:rPr>
                      <w:szCs w:val="21"/>
                    </w:rPr>
                    <w:t>本项目有机废气经集气系统收集后经</w:t>
                  </w:r>
                  <w:r>
                    <w:rPr>
                      <w:rFonts w:hint="eastAsia"/>
                      <w:szCs w:val="21"/>
                    </w:rPr>
                    <w:t>UV光氧</w:t>
                  </w:r>
                  <w:r>
                    <w:rPr>
                      <w:szCs w:val="21"/>
                    </w:rPr>
                    <w:t>+活性炭吸附装置处理通过</w:t>
                  </w:r>
                  <w:r>
                    <w:rPr>
                      <w:rFonts w:hint="eastAsia"/>
                      <w:szCs w:val="21"/>
                    </w:rPr>
                    <w:t>15</w:t>
                  </w:r>
                  <w:r>
                    <w:rPr>
                      <w:szCs w:val="21"/>
                    </w:rPr>
                    <w:t>m高排气筒排放</w:t>
                  </w:r>
                  <w:r>
                    <w:rPr>
                      <w:rFonts w:hint="eastAsia"/>
                      <w:szCs w:val="21"/>
                    </w:rPr>
                    <w:t>，满足</w:t>
                  </w:r>
                  <w:r>
                    <w:rPr>
                      <w:rFonts w:hint="eastAsia"/>
                    </w:rPr>
                    <w:t>《合成树脂工业污染物排放标准》（GB31572-2015）表5特别排放限值同时满足河南省地方标准《印刷工业挥发性有机物排放标准》（DB41/1956-2020）</w:t>
                  </w:r>
                  <w:r>
                    <w:rPr>
                      <w:rFonts w:hint="eastAsia"/>
                      <w:szCs w:val="21"/>
                    </w:rPr>
                    <w:t xml:space="preserve">。 </w:t>
                  </w:r>
                </w:p>
              </w:tc>
              <w:tc>
                <w:tcPr>
                  <w:tcW w:w="566" w:type="pct"/>
                  <w:vAlign w:val="center"/>
                </w:tcPr>
                <w:p>
                  <w:pPr>
                    <w:spacing w:line="400" w:lineRule="exact"/>
                    <w:jc w:val="center"/>
                    <w:rPr>
                      <w:szCs w:val="21"/>
                    </w:rPr>
                  </w:pPr>
                  <w:r>
                    <w:rPr>
                      <w:szCs w:val="21"/>
                    </w:rPr>
                    <w:t>相符</w:t>
                  </w:r>
                </w:p>
              </w:tc>
            </w:tr>
          </w:tbl>
          <w:p>
            <w:pPr>
              <w:pStyle w:val="51"/>
              <w:ind w:firstLine="480"/>
              <w:rPr>
                <w:bCs/>
              </w:rPr>
            </w:pPr>
            <w:r>
              <w:rPr>
                <w:bCs/>
              </w:rPr>
              <w:t>由上表可知，本项目满足</w:t>
            </w:r>
            <w:r>
              <w:rPr>
                <w:rFonts w:hint="eastAsia"/>
                <w:bCs/>
              </w:rPr>
              <w:t>《洛阳市“十四五”生态环境保护和生态经济发展规划的通知》（洛政〔2022〕32号）</w:t>
            </w:r>
            <w:r>
              <w:rPr>
                <w:bCs/>
              </w:rPr>
              <w:t>相关要求。</w:t>
            </w:r>
          </w:p>
          <w:p>
            <w:pPr>
              <w:pStyle w:val="100"/>
            </w:pPr>
            <w:r>
              <w:rPr>
                <w:rFonts w:hint="eastAsia"/>
              </w:rPr>
              <w:t>6</w:t>
            </w:r>
            <w:r>
              <w:rPr>
                <w:rFonts w:hAnsi="宋体"/>
              </w:rPr>
              <w:t>、</w:t>
            </w:r>
            <w:bookmarkStart w:id="1" w:name="OLE_LINK9"/>
            <w:bookmarkStart w:id="2" w:name="OLE_LINK10"/>
            <w:r>
              <w:rPr>
                <w:rFonts w:hAnsi="宋体"/>
              </w:rPr>
              <w:t>《偃师区</w:t>
            </w:r>
            <w:r>
              <w:t>2022</w:t>
            </w:r>
            <w:r>
              <w:rPr>
                <w:rFonts w:hAnsi="宋体"/>
              </w:rPr>
              <w:t>年大气、水、土壤污染防治攻坚战及农业农村污染治理攻坚战实施方案》（偃环攻坚办〔</w:t>
            </w:r>
            <w:r>
              <w:t>2022</w:t>
            </w:r>
            <w:r>
              <w:rPr>
                <w:rFonts w:hAnsi="宋体"/>
              </w:rPr>
              <w:t>〕</w:t>
            </w:r>
            <w:r>
              <w:t>8</w:t>
            </w:r>
            <w:r>
              <w:rPr>
                <w:rFonts w:hAnsi="宋体"/>
              </w:rPr>
              <w:t>号）</w:t>
            </w:r>
            <w:bookmarkEnd w:id="1"/>
            <w:bookmarkEnd w:id="2"/>
          </w:p>
          <w:p>
            <w:pPr>
              <w:pStyle w:val="48"/>
              <w:ind w:firstLine="480"/>
            </w:pPr>
            <w:r>
              <w:rPr>
                <w:rStyle w:val="52"/>
              </w:rPr>
              <w:t>表</w:t>
            </w:r>
            <w:r>
              <w:rPr>
                <w:rStyle w:val="52"/>
                <w:rFonts w:hint="eastAsia"/>
              </w:rPr>
              <w:t>5</w:t>
            </w:r>
            <w:r>
              <w:t xml:space="preserve">  与《偃师区2022年大气、水、土壤污染防治攻坚战及农业农村污染治理攻坚战实施方案》（偃环攻坚办〔2022〕8号）相符性分析</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Layout w:type="autofit"/>
              <w:tblCellMar>
                <w:top w:w="0" w:type="dxa"/>
                <w:left w:w="108" w:type="dxa"/>
                <w:bottom w:w="0" w:type="dxa"/>
                <w:right w:w="108" w:type="dxa"/>
              </w:tblCellMar>
            </w:tblPr>
            <w:tblGrid>
              <w:gridCol w:w="5069"/>
              <w:gridCol w:w="2864"/>
              <w:gridCol w:w="9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PrEx>
              <w:tc>
                <w:tcPr>
                  <w:tcW w:w="2869" w:type="pct"/>
                  <w:tcMar>
                    <w:top w:w="57" w:type="dxa"/>
                    <w:bottom w:w="57" w:type="dxa"/>
                  </w:tcMar>
                  <w:vAlign w:val="center"/>
                </w:tcPr>
                <w:p>
                  <w:pPr>
                    <w:spacing w:line="400" w:lineRule="exact"/>
                    <w:jc w:val="center"/>
                    <w:rPr>
                      <w:szCs w:val="21"/>
                    </w:rPr>
                  </w:pPr>
                  <w:r>
                    <w:rPr>
                      <w:szCs w:val="21"/>
                    </w:rPr>
                    <w:t>偃师区2022年大气污染防治攻坚战实施方案</w:t>
                  </w:r>
                </w:p>
              </w:tc>
              <w:tc>
                <w:tcPr>
                  <w:tcW w:w="1621" w:type="pct"/>
                  <w:tcMar>
                    <w:top w:w="57" w:type="dxa"/>
                    <w:bottom w:w="57" w:type="dxa"/>
                  </w:tcMar>
                  <w:vAlign w:val="center"/>
                </w:tcPr>
                <w:p>
                  <w:pPr>
                    <w:spacing w:line="400" w:lineRule="exact"/>
                    <w:jc w:val="center"/>
                    <w:rPr>
                      <w:highlight w:val="yellow"/>
                    </w:rPr>
                  </w:pPr>
                  <w:r>
                    <w:rPr>
                      <w:szCs w:val="21"/>
                    </w:rPr>
                    <w:t>项目情况</w:t>
                  </w:r>
                </w:p>
              </w:tc>
              <w:tc>
                <w:tcPr>
                  <w:tcW w:w="510" w:type="pct"/>
                  <w:tcMar>
                    <w:top w:w="57" w:type="dxa"/>
                    <w:bottom w:w="57" w:type="dxa"/>
                  </w:tcMar>
                  <w:vAlign w:val="center"/>
                </w:tcPr>
                <w:p>
                  <w:pPr>
                    <w:spacing w:line="400" w:lineRule="exact"/>
                    <w:jc w:val="center"/>
                    <w:rPr>
                      <w:szCs w:val="21"/>
                    </w:rPr>
                  </w:pPr>
                  <w:r>
                    <w:rPr>
                      <w:szCs w:val="21"/>
                    </w:rPr>
                    <w:t>相符性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PrEx>
              <w:tc>
                <w:tcPr>
                  <w:tcW w:w="5000" w:type="pct"/>
                  <w:gridSpan w:val="3"/>
                  <w:tcMar>
                    <w:top w:w="57" w:type="dxa"/>
                    <w:bottom w:w="57" w:type="dxa"/>
                  </w:tcMar>
                  <w:vAlign w:val="center"/>
                </w:tcPr>
                <w:p>
                  <w:pPr>
                    <w:spacing w:line="400" w:lineRule="exact"/>
                    <w:jc w:val="center"/>
                    <w:rPr>
                      <w:szCs w:val="21"/>
                    </w:rPr>
                  </w:pPr>
                  <w:r>
                    <w:rPr>
                      <w:szCs w:val="21"/>
                    </w:rPr>
                    <w:t>（一）调整优化产业结构，推动产业绿色升级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c>
                <w:tcPr>
                  <w:tcW w:w="2869" w:type="pct"/>
                  <w:tcMar>
                    <w:top w:w="57" w:type="dxa"/>
                    <w:bottom w:w="57" w:type="dxa"/>
                  </w:tcMar>
                  <w:vAlign w:val="center"/>
                </w:tcPr>
                <w:p>
                  <w:pPr>
                    <w:spacing w:line="400" w:lineRule="exact"/>
                    <w:rPr>
                      <w:szCs w:val="21"/>
                    </w:rPr>
                  </w:pPr>
                  <w:r>
                    <w:rPr>
                      <w:szCs w:val="21"/>
                    </w:rPr>
                    <w:t>严格落实“三线一单”、规划环评以及区域污染物削 减制度，强化项目环评及“三同时”管理，国家、省绩效分级重点行业的新建、扩建项目达到 A 级水平，改建项目达到 B 级以上绩效水平。</w:t>
                  </w:r>
                </w:p>
              </w:tc>
              <w:tc>
                <w:tcPr>
                  <w:tcW w:w="1621" w:type="pct"/>
                  <w:tcMar>
                    <w:top w:w="57" w:type="dxa"/>
                    <w:bottom w:w="57" w:type="dxa"/>
                  </w:tcMar>
                  <w:vAlign w:val="center"/>
                </w:tcPr>
                <w:p>
                  <w:pPr>
                    <w:spacing w:line="400" w:lineRule="exact"/>
                    <w:jc w:val="center"/>
                    <w:rPr>
                      <w:szCs w:val="21"/>
                      <w:highlight w:val="yellow"/>
                    </w:rPr>
                  </w:pPr>
                  <w:r>
                    <w:t>本项目</w:t>
                  </w:r>
                  <w:r>
                    <w:rPr>
                      <w:rFonts w:hint="eastAsia"/>
                    </w:rPr>
                    <w:t>改扩建塑料制品业项目</w:t>
                  </w:r>
                  <w:r>
                    <w:t>，项目建设符合</w:t>
                  </w:r>
                  <w:r>
                    <w:rPr>
                      <w:szCs w:val="21"/>
                    </w:rPr>
                    <w:t>产业政策、"三线一单"等</w:t>
                  </w:r>
                  <w:r>
                    <w:t>要求；</w:t>
                  </w:r>
                  <w:r>
                    <w:rPr>
                      <w:rFonts w:hint="eastAsia"/>
                    </w:rPr>
                    <w:t>项目建设按照塑料制品业</w:t>
                  </w:r>
                  <w:r>
                    <w:rPr>
                      <w:szCs w:val="21"/>
                    </w:rPr>
                    <w:t>A 级水平</w:t>
                  </w:r>
                  <w:r>
                    <w:rPr>
                      <w:rFonts w:hint="eastAsia"/>
                    </w:rPr>
                    <w:t>指标要求进行建设</w:t>
                  </w:r>
                </w:p>
              </w:tc>
              <w:tc>
                <w:tcPr>
                  <w:tcW w:w="510" w:type="pct"/>
                  <w:tcMar>
                    <w:top w:w="57" w:type="dxa"/>
                    <w:bottom w:w="57" w:type="dxa"/>
                  </w:tcMar>
                  <w:vAlign w:val="center"/>
                </w:tcPr>
                <w:p>
                  <w:pPr>
                    <w:spacing w:line="400" w:lineRule="exact"/>
                    <w:jc w:val="center"/>
                    <w:rPr>
                      <w:szCs w:val="21"/>
                    </w:rPr>
                  </w:pPr>
                  <w:r>
                    <w:rPr>
                      <w:szCs w:val="21"/>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c>
                <w:tcPr>
                  <w:tcW w:w="5000" w:type="pct"/>
                  <w:gridSpan w:val="3"/>
                  <w:tcMar>
                    <w:top w:w="57" w:type="dxa"/>
                    <w:bottom w:w="57" w:type="dxa"/>
                  </w:tcMar>
                  <w:vAlign w:val="center"/>
                </w:tcPr>
                <w:p>
                  <w:pPr>
                    <w:spacing w:line="400" w:lineRule="exact"/>
                    <w:jc w:val="center"/>
                    <w:rPr>
                      <w:szCs w:val="21"/>
                    </w:rPr>
                  </w:pPr>
                  <w:r>
                    <w:rPr>
                      <w:szCs w:val="21"/>
                    </w:rPr>
                    <w:t>（六）强化挥发性有机物治理，打好臭氧污染防治攻坚战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c>
                <w:tcPr>
                  <w:tcW w:w="2869" w:type="pct"/>
                  <w:tcMar>
                    <w:top w:w="57" w:type="dxa"/>
                    <w:bottom w:w="57" w:type="dxa"/>
                  </w:tcMar>
                  <w:vAlign w:val="center"/>
                </w:tcPr>
                <w:p>
                  <w:pPr>
                    <w:spacing w:line="400" w:lineRule="exact"/>
                    <w:rPr>
                      <w:szCs w:val="21"/>
                    </w:rPr>
                  </w:pPr>
                  <w:r>
                    <w:rPr>
                      <w:szCs w:val="21"/>
                    </w:rPr>
                    <w:t>（1）对汽车制造、木质家具制造、包装印刷、钢结构制造、工程机械等行业溶剂型涂料、油墨、胶黏剂、清洗剂使用企业制定低VOCs含量原辅材料替代计划。原辅材料实施源头替代的企业，在重污染天气应急管控期间可实施自主减排。</w:t>
                  </w:r>
                </w:p>
              </w:tc>
              <w:tc>
                <w:tcPr>
                  <w:tcW w:w="1621" w:type="pct"/>
                  <w:tcMar>
                    <w:top w:w="57" w:type="dxa"/>
                    <w:bottom w:w="57" w:type="dxa"/>
                  </w:tcMar>
                  <w:vAlign w:val="center"/>
                </w:tcPr>
                <w:p>
                  <w:pPr>
                    <w:spacing w:line="400" w:lineRule="exact"/>
                    <w:jc w:val="center"/>
                    <w:rPr>
                      <w:highlight w:val="yellow"/>
                    </w:rPr>
                  </w:pPr>
                  <w:r>
                    <w:rPr>
                      <w:rFonts w:hint="eastAsia"/>
                    </w:rPr>
                    <w:t>本项目印刷工序采用的是凹版印刷，采用吸收性材料印刷，使用水性油墨，VOCs含量为10%，低于15%，属于低 VOCs 含量油墨。</w:t>
                  </w:r>
                </w:p>
              </w:tc>
              <w:tc>
                <w:tcPr>
                  <w:tcW w:w="510" w:type="pct"/>
                  <w:tcMar>
                    <w:top w:w="57" w:type="dxa"/>
                    <w:bottom w:w="57" w:type="dxa"/>
                  </w:tcMar>
                  <w:vAlign w:val="center"/>
                </w:tcPr>
                <w:p>
                  <w:pPr>
                    <w:spacing w:line="400" w:lineRule="exact"/>
                    <w:jc w:val="center"/>
                    <w:rPr>
                      <w:szCs w:val="21"/>
                    </w:rPr>
                  </w:pPr>
                  <w:r>
                    <w:rPr>
                      <w:szCs w:val="21"/>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c>
                <w:tcPr>
                  <w:tcW w:w="2869" w:type="pct"/>
                  <w:tcMar>
                    <w:top w:w="57" w:type="dxa"/>
                    <w:bottom w:w="57" w:type="dxa"/>
                  </w:tcMar>
                  <w:vAlign w:val="center"/>
                </w:tcPr>
                <w:p>
                  <w:pPr>
                    <w:spacing w:line="400" w:lineRule="exact"/>
                    <w:rPr>
                      <w:szCs w:val="21"/>
                    </w:rPr>
                  </w:pPr>
                  <w:r>
                    <w:rPr>
                      <w:szCs w:val="21"/>
                    </w:rPr>
                    <w:t>开展简易低效VOCs治理设施升级改造。各县区组织对涉VOCs企业治理设施建设情况、工艺类型、处理能力、运行情况、耗材或药剂更换情况、能源消耗情况和废过滤棉、废催化剂、废吸附剂、废吸收剂、废有机溶剂等二次污染物规范化处置情况进行全面检查，对治理设施设计不规范、与生产系统不匹配，单独使用光催化、光氧化、低温等离子等低效技术，治理设施建设和运行效果差的，建立清单台账，力争2022年6月底前基本完成升级改造并开展检测验收，严把工程质量，确保稳定达标排放</w:t>
                  </w:r>
                </w:p>
              </w:tc>
              <w:tc>
                <w:tcPr>
                  <w:tcW w:w="1621" w:type="pct"/>
                  <w:tcMar>
                    <w:top w:w="57" w:type="dxa"/>
                    <w:bottom w:w="57" w:type="dxa"/>
                  </w:tcMar>
                  <w:vAlign w:val="center"/>
                </w:tcPr>
                <w:p>
                  <w:pPr>
                    <w:spacing w:line="400" w:lineRule="exact"/>
                    <w:jc w:val="center"/>
                  </w:pPr>
                  <w:r>
                    <w:t>本项目为</w:t>
                  </w:r>
                  <w:r>
                    <w:rPr>
                      <w:rFonts w:hint="eastAsia"/>
                    </w:rPr>
                    <w:t>改扩建塑料制品业项目</w:t>
                  </w:r>
                  <w:r>
                    <w:t>，</w:t>
                  </w:r>
                  <w:r>
                    <w:rPr>
                      <w:szCs w:val="21"/>
                    </w:rPr>
                    <w:t>有机废气经集气系统收集后经</w:t>
                  </w:r>
                  <w:r>
                    <w:rPr>
                      <w:rFonts w:hint="eastAsia"/>
                      <w:szCs w:val="21"/>
                    </w:rPr>
                    <w:t>UV光氧</w:t>
                  </w:r>
                  <w:r>
                    <w:rPr>
                      <w:szCs w:val="21"/>
                    </w:rPr>
                    <w:t>+活性炭吸附装置处理通过</w:t>
                  </w:r>
                  <w:r>
                    <w:rPr>
                      <w:rFonts w:hint="eastAsia"/>
                      <w:szCs w:val="21"/>
                    </w:rPr>
                    <w:t>15</w:t>
                  </w:r>
                  <w:r>
                    <w:rPr>
                      <w:szCs w:val="21"/>
                    </w:rPr>
                    <w:t>m高排气筒排放</w:t>
                  </w:r>
                  <w:r>
                    <w:rPr>
                      <w:rFonts w:hint="eastAsia"/>
                      <w:szCs w:val="21"/>
                    </w:rPr>
                    <w:t>，满足《合成树脂工业污染物排放标准》（GB31572-2015）表5特别排放限值同时满足河南省地方标准《印刷工业挥发性有机物排放标准》（DB41/1956-2020）表1特别排放限值；</w:t>
                  </w:r>
                  <w:r>
                    <w:t>治理设施产生的废活性炭在危废暂存间分区暂存，定期交由有资质的单位进行处理。</w:t>
                  </w:r>
                </w:p>
              </w:tc>
              <w:tc>
                <w:tcPr>
                  <w:tcW w:w="510" w:type="pct"/>
                  <w:tcMar>
                    <w:top w:w="57" w:type="dxa"/>
                    <w:bottom w:w="57" w:type="dxa"/>
                  </w:tcMar>
                  <w:vAlign w:val="center"/>
                </w:tcPr>
                <w:p>
                  <w:pPr>
                    <w:spacing w:line="400" w:lineRule="exact"/>
                    <w:jc w:val="center"/>
                    <w:rPr>
                      <w:szCs w:val="21"/>
                    </w:rPr>
                  </w:pPr>
                  <w:r>
                    <w:rPr>
                      <w:szCs w:val="21"/>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c>
                <w:tcPr>
                  <w:tcW w:w="2869" w:type="pct"/>
                  <w:tcMar>
                    <w:top w:w="57" w:type="dxa"/>
                    <w:bottom w:w="57" w:type="dxa"/>
                  </w:tcMar>
                  <w:vAlign w:val="center"/>
                </w:tcPr>
                <w:p>
                  <w:pPr>
                    <w:spacing w:line="400" w:lineRule="exact"/>
                    <w:rPr>
                      <w:szCs w:val="21"/>
                    </w:rPr>
                  </w:pPr>
                  <w:r>
                    <w:rPr>
                      <w:szCs w:val="21"/>
                    </w:rPr>
                    <w:t>提升VOCs无组织排放治理水平。2022年5月底前全面排查含VOCs物料储存、转移和输送、设备与管线组件、敞开液面以及工艺过程等环节无组织排放情况，组织开展VOCs抽测，开展工业涂装、印刷行业挥发性有机物排放标准执行情况检查，对达不到相关标准要求的问题进行整治。工业涂装、包装印刷等行业重点治理集气罩收集效果差、含VOCs原辅材料和废料储存不密闭等问题。对无法实现低VOCs原辅材料替代的工序，在保证安全情况下，应在密闭设备、密闭空间作业或安装二次密闭设施，收集处理VOCs废气。</w:t>
                  </w:r>
                </w:p>
              </w:tc>
              <w:tc>
                <w:tcPr>
                  <w:tcW w:w="1621" w:type="pct"/>
                  <w:tcMar>
                    <w:top w:w="57" w:type="dxa"/>
                    <w:bottom w:w="57" w:type="dxa"/>
                  </w:tcMar>
                  <w:vAlign w:val="center"/>
                </w:tcPr>
                <w:p>
                  <w:pPr>
                    <w:spacing w:line="400" w:lineRule="exact"/>
                    <w:jc w:val="center"/>
                  </w:pPr>
                  <w:r>
                    <w:rPr>
                      <w:rFonts w:hint="eastAsia"/>
                      <w:szCs w:val="21"/>
                    </w:rPr>
                    <w:t>本项目属于</w:t>
                  </w:r>
                  <w:r>
                    <w:rPr>
                      <w:rFonts w:hint="eastAsia"/>
                    </w:rPr>
                    <w:t>塑料制品业项目</w:t>
                  </w:r>
                  <w:r>
                    <w:t>，项目生产车间全封闭，原料采用纤袋存放，物料的转移均在密闭生产车间内进行；为提高VOCs收集效率，本项目</w:t>
                  </w:r>
                  <w:r>
                    <w:rPr>
                      <w:rFonts w:hint="eastAsia"/>
                    </w:rPr>
                    <w:t>有机废气经</w:t>
                  </w:r>
                  <w:r>
                    <w:t>集气设施（集气罩+</w:t>
                  </w:r>
                  <w:r>
                    <w:rPr>
                      <w:rFonts w:hint="eastAsia"/>
                    </w:rPr>
                    <w:t>二次密闭</w:t>
                  </w:r>
                  <w:r>
                    <w:t>），有机废气经1套“</w:t>
                  </w:r>
                  <w:r>
                    <w:rPr>
                      <w:rFonts w:hint="eastAsia"/>
                      <w:szCs w:val="21"/>
                    </w:rPr>
                    <w:t>UV光氧</w:t>
                  </w:r>
                  <w:r>
                    <w:t>+活性炭吸附装”处理后通过</w:t>
                  </w:r>
                  <w:r>
                    <w:rPr>
                      <w:rFonts w:hint="eastAsia"/>
                    </w:rPr>
                    <w:t>15</w:t>
                  </w:r>
                  <w:r>
                    <w:t>m高排气筒排放</w:t>
                  </w:r>
                </w:p>
              </w:tc>
              <w:tc>
                <w:tcPr>
                  <w:tcW w:w="510" w:type="pct"/>
                  <w:tcMar>
                    <w:top w:w="57" w:type="dxa"/>
                    <w:bottom w:w="57" w:type="dxa"/>
                  </w:tcMar>
                  <w:vAlign w:val="center"/>
                </w:tcPr>
                <w:p>
                  <w:pPr>
                    <w:spacing w:line="400" w:lineRule="exact"/>
                    <w:jc w:val="center"/>
                    <w:rPr>
                      <w:szCs w:val="21"/>
                    </w:rPr>
                  </w:pPr>
                  <w:r>
                    <w:rPr>
                      <w:szCs w:val="21"/>
                    </w:rPr>
                    <w:t>相符</w:t>
                  </w:r>
                </w:p>
              </w:tc>
            </w:tr>
          </w:tbl>
          <w:p>
            <w:pPr>
              <w:pStyle w:val="108"/>
              <w:spacing w:line="520" w:lineRule="exact"/>
              <w:ind w:firstLine="480" w:firstLineChars="200"/>
              <w:rPr>
                <w:rFonts w:cs="Times New Roman"/>
                <w:b w:val="0"/>
                <w:sz w:val="24"/>
                <w:szCs w:val="24"/>
              </w:rPr>
            </w:pPr>
            <w:r>
              <w:rPr>
                <w:rFonts w:cs="Times New Roman"/>
                <w:b w:val="0"/>
                <w:sz w:val="24"/>
                <w:szCs w:val="24"/>
              </w:rPr>
              <w:t>由上表可知，本项目符合《偃师区2022年大气、水、土壤污染防治攻坚战及农业农村污染治理攻坚战实施方案》（偃环攻坚办〔2022〕8号）相关要求。</w:t>
            </w:r>
          </w:p>
          <w:p>
            <w:pPr>
              <w:pStyle w:val="53"/>
              <w:ind w:firstLine="0" w:firstLineChars="0"/>
              <w:rPr>
                <w:rFonts w:eastAsia="宋体"/>
                <w:bCs/>
              </w:rPr>
            </w:pPr>
            <w:r>
              <w:rPr>
                <w:rFonts w:hint="eastAsia" w:eastAsia="宋体"/>
                <w:bCs/>
              </w:rPr>
              <w:t>7</w:t>
            </w:r>
            <w:r>
              <w:rPr>
                <w:rFonts w:hAnsi="宋体" w:eastAsia="宋体"/>
                <w:bCs/>
              </w:rPr>
              <w:t>、洛阳市偃师区环境污染防治攻坚战领导小组办公室关于印发《偃师区</w:t>
            </w:r>
            <w:r>
              <w:rPr>
                <w:rFonts w:eastAsia="宋体"/>
                <w:bCs/>
              </w:rPr>
              <w:t>2022</w:t>
            </w:r>
            <w:r>
              <w:rPr>
                <w:rFonts w:hAnsi="宋体" w:eastAsia="宋体"/>
                <w:bCs/>
              </w:rPr>
              <w:t>年挥发性有机物污染防治实施方案》的通知（偃环攻坚办【</w:t>
            </w:r>
            <w:r>
              <w:rPr>
                <w:rFonts w:eastAsia="宋体"/>
                <w:bCs/>
              </w:rPr>
              <w:t>2022</w:t>
            </w:r>
            <w:r>
              <w:rPr>
                <w:rFonts w:hAnsi="宋体" w:eastAsia="宋体"/>
                <w:bCs/>
              </w:rPr>
              <w:t>】</w:t>
            </w:r>
            <w:r>
              <w:rPr>
                <w:rFonts w:eastAsia="宋体"/>
                <w:bCs/>
              </w:rPr>
              <w:t>7</w:t>
            </w:r>
            <w:r>
              <w:rPr>
                <w:rFonts w:hAnsi="宋体" w:eastAsia="宋体"/>
                <w:bCs/>
              </w:rPr>
              <w:t>号）</w:t>
            </w:r>
          </w:p>
          <w:p>
            <w:pPr>
              <w:pStyle w:val="48"/>
              <w:ind w:firstLine="480"/>
            </w:pPr>
            <w:r>
              <w:t>表</w:t>
            </w:r>
            <w:r>
              <w:rPr>
                <w:rFonts w:hint="eastAsia"/>
              </w:rPr>
              <w:t xml:space="preserve">6 </w:t>
            </w:r>
            <w:r>
              <w:t>与《偃师区2022年挥发性有机物污染防治实施方案》（偃环攻坚办【2022】7号）相符性分析</w:t>
            </w:r>
          </w:p>
          <w:tbl>
            <w:tblPr>
              <w:tblStyle w:val="2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5"/>
              <w:gridCol w:w="4468"/>
              <w:gridCol w:w="2497"/>
              <w:gridCol w:w="1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3020" w:type="pct"/>
                  <w:gridSpan w:val="2"/>
                  <w:vAlign w:val="center"/>
                </w:tcPr>
                <w:p>
                  <w:pPr>
                    <w:spacing w:line="400" w:lineRule="exact"/>
                    <w:jc w:val="center"/>
                    <w:rPr>
                      <w:szCs w:val="21"/>
                    </w:rPr>
                  </w:pPr>
                  <w:r>
                    <w:rPr>
                      <w:szCs w:val="21"/>
                    </w:rPr>
                    <w:t>文件要求</w:t>
                  </w:r>
                </w:p>
              </w:tc>
              <w:tc>
                <w:tcPr>
                  <w:tcW w:w="1414" w:type="pct"/>
                  <w:vAlign w:val="center"/>
                </w:tcPr>
                <w:p>
                  <w:pPr>
                    <w:spacing w:line="400" w:lineRule="exact"/>
                    <w:jc w:val="center"/>
                    <w:rPr>
                      <w:szCs w:val="21"/>
                      <w:highlight w:val="yellow"/>
                    </w:rPr>
                  </w:pPr>
                  <w:r>
                    <w:rPr>
                      <w:szCs w:val="21"/>
                    </w:rPr>
                    <w:t>项目特点</w:t>
                  </w:r>
                </w:p>
              </w:tc>
              <w:tc>
                <w:tcPr>
                  <w:tcW w:w="566" w:type="pct"/>
                  <w:vAlign w:val="center"/>
                </w:tcPr>
                <w:p>
                  <w:pPr>
                    <w:spacing w:line="400" w:lineRule="exact"/>
                    <w:jc w:val="center"/>
                    <w:rPr>
                      <w:szCs w:val="21"/>
                    </w:rPr>
                  </w:pPr>
                  <w:r>
                    <w:rPr>
                      <w:szCs w:val="21"/>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90" w:type="pct"/>
                  <w:vAlign w:val="center"/>
                </w:tcPr>
                <w:p>
                  <w:pPr>
                    <w:spacing w:line="400" w:lineRule="exact"/>
                    <w:jc w:val="center"/>
                    <w:rPr>
                      <w:szCs w:val="21"/>
                    </w:rPr>
                  </w:pPr>
                  <w:r>
                    <w:rPr>
                      <w:szCs w:val="21"/>
                    </w:rPr>
                    <w:t>(一)巩固完善低VOCs含量原辅材料源头替代工作</w:t>
                  </w:r>
                </w:p>
              </w:tc>
              <w:tc>
                <w:tcPr>
                  <w:tcW w:w="2530" w:type="pct"/>
                  <w:vAlign w:val="center"/>
                </w:tcPr>
                <w:p>
                  <w:pPr>
                    <w:spacing w:line="400" w:lineRule="exact"/>
                    <w:rPr>
                      <w:szCs w:val="21"/>
                    </w:rPr>
                  </w:pPr>
                  <w:r>
                    <w:rPr>
                      <w:szCs w:val="21"/>
                    </w:rPr>
                    <w:t>完善工业企业源头替代工作。对近几年来在汽车制造、木制家具制造、包装印刷、钢结构制造、工程机械等行业，使用涂料、油墨、胶黏剂、清洗剂的企业使用低VOCs含量原辅材料工作进行动态排查，核查替代计划落实情况，记录含VOCs含量原辅材料的产品名称、VOCs含量和使用量等，建立管理台账。定期对含VOCs产品生产、销售、进口、使用企业开展抽检抽查，检查产品VOCs含量检测报告，并抽测部分批次产品。</w:t>
                  </w:r>
                </w:p>
              </w:tc>
              <w:tc>
                <w:tcPr>
                  <w:tcW w:w="1414" w:type="pct"/>
                  <w:vAlign w:val="center"/>
                </w:tcPr>
                <w:p>
                  <w:pPr>
                    <w:spacing w:line="400" w:lineRule="exact"/>
                    <w:rPr>
                      <w:szCs w:val="21"/>
                      <w:highlight w:val="yellow"/>
                    </w:rPr>
                  </w:pPr>
                  <w:r>
                    <w:rPr>
                      <w:rFonts w:hint="eastAsia"/>
                    </w:rPr>
                    <w:t>本项目印刷工序采用的是凹版印刷，采用吸收性材料印刷，使用水性油墨，VOCs含量为10%，低于15%，属于低 VOCs 含量油墨。</w:t>
                  </w:r>
                </w:p>
              </w:tc>
              <w:tc>
                <w:tcPr>
                  <w:tcW w:w="566" w:type="pct"/>
                  <w:vAlign w:val="center"/>
                </w:tcPr>
                <w:p>
                  <w:pPr>
                    <w:spacing w:line="400" w:lineRule="exact"/>
                    <w:jc w:val="center"/>
                    <w:rPr>
                      <w:szCs w:val="21"/>
                    </w:rPr>
                  </w:pPr>
                  <w:r>
                    <w:rPr>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490" w:type="pct"/>
                  <w:vAlign w:val="center"/>
                </w:tcPr>
                <w:p>
                  <w:pPr>
                    <w:spacing w:line="400" w:lineRule="exact"/>
                    <w:jc w:val="center"/>
                    <w:rPr>
                      <w:szCs w:val="21"/>
                    </w:rPr>
                  </w:pPr>
                  <w:r>
                    <w:rPr>
                      <w:szCs w:val="21"/>
                    </w:rPr>
                    <w:t>(二)强化无组织排放过程控制</w:t>
                  </w:r>
                </w:p>
              </w:tc>
              <w:tc>
                <w:tcPr>
                  <w:tcW w:w="2530" w:type="pct"/>
                  <w:vAlign w:val="center"/>
                </w:tcPr>
                <w:p>
                  <w:pPr>
                    <w:spacing w:line="400" w:lineRule="exact"/>
                    <w:rPr>
                      <w:szCs w:val="21"/>
                    </w:rPr>
                  </w:pPr>
                  <w:r>
                    <w:rPr>
                      <w:szCs w:val="21"/>
                    </w:rPr>
                    <w:t>加强无组织排放废气收集。产生VOCs的生产环节优先采用密闭设备、在密闭空间中操作或采用全密闭集气罩收集方式，并保持负压运行。无尘等级要求需设置成正压的车间,要建设内层正压、外层微负压的双层整体密闭收集空间。对采用局部收集方式的企业，距废气收集系统排风罩开口面最远处的VOCs无组织排放位置控制风速不低于0.3m/s；推广以生产线或设备为单位设置隔间，收集风量应确保隔间保持微负压。废气收集系统的输送管道应密闭、无破损。……含VOCs物料输送原则上采用重力流或泵送方式；有机液体进料应采用底部、浸入管给料方式；固体物料投加逐步推进采用密闭式投料装置。……使用VOCs质量占比大于等于10%的涂料、油墨、胶粘剂、稀释剂、清洗剂等物料存储、调配、转移、输送等环节应密闭。</w:t>
                  </w:r>
                </w:p>
              </w:tc>
              <w:tc>
                <w:tcPr>
                  <w:tcW w:w="1414" w:type="pct"/>
                  <w:vAlign w:val="center"/>
                </w:tcPr>
                <w:p>
                  <w:pPr>
                    <w:spacing w:line="400" w:lineRule="exact"/>
                    <w:rPr>
                      <w:szCs w:val="21"/>
                      <w:highlight w:val="yellow"/>
                    </w:rPr>
                  </w:pPr>
                  <w:r>
                    <w:rPr>
                      <w:rFonts w:hint="eastAsia"/>
                      <w:szCs w:val="21"/>
                    </w:rPr>
                    <w:t>本项目属于</w:t>
                  </w:r>
                  <w:r>
                    <w:rPr>
                      <w:rFonts w:hint="eastAsia"/>
                    </w:rPr>
                    <w:t>改扩建塑料制品业项目</w:t>
                  </w:r>
                  <w:r>
                    <w:t>，项目生产车间全封闭，各种物料的转移均在密闭生产车间内进行；为提高VOCs收集效率，本项目</w:t>
                  </w:r>
                  <w:r>
                    <w:rPr>
                      <w:rFonts w:hint="eastAsia"/>
                    </w:rPr>
                    <w:t>有机废气经</w:t>
                  </w:r>
                  <w:r>
                    <w:t>集气设施（集气罩+</w:t>
                  </w:r>
                  <w:r>
                    <w:rPr>
                      <w:rFonts w:hint="eastAsia"/>
                    </w:rPr>
                    <w:t>二次密闭</w:t>
                  </w:r>
                  <w:r>
                    <w:t>），有机废气经1套“</w:t>
                  </w:r>
                  <w:r>
                    <w:rPr>
                      <w:rFonts w:hint="eastAsia"/>
                      <w:szCs w:val="21"/>
                    </w:rPr>
                    <w:t>UV光氧</w:t>
                  </w:r>
                  <w:r>
                    <w:t>+活性炭吸附装”处理后通过</w:t>
                  </w:r>
                  <w:r>
                    <w:rPr>
                      <w:rFonts w:hint="eastAsia"/>
                    </w:rPr>
                    <w:t>15</w:t>
                  </w:r>
                  <w:r>
                    <w:t>m高排气筒排放</w:t>
                  </w:r>
                  <w:r>
                    <w:rPr>
                      <w:rFonts w:hint="eastAsia"/>
                    </w:rPr>
                    <w:t>。</w:t>
                  </w:r>
                  <w:r>
                    <w:rPr>
                      <w:bCs/>
                    </w:rPr>
                    <w:t>根据风量核算，集气罩边缘</w:t>
                  </w:r>
                  <w:r>
                    <w:t>控制风速不低于0.3m/s，本项目</w:t>
                  </w:r>
                  <w:r>
                    <w:rPr>
                      <w:rFonts w:hint="eastAsia"/>
                    </w:rPr>
                    <w:t>最小控制</w:t>
                  </w:r>
                  <w:r>
                    <w:t>风速取0.5m/s。</w:t>
                  </w:r>
                </w:p>
              </w:tc>
              <w:tc>
                <w:tcPr>
                  <w:tcW w:w="566" w:type="pct"/>
                  <w:vAlign w:val="center"/>
                </w:tcPr>
                <w:p>
                  <w:pPr>
                    <w:spacing w:line="400" w:lineRule="exact"/>
                    <w:jc w:val="center"/>
                    <w:rPr>
                      <w:szCs w:val="21"/>
                    </w:rPr>
                  </w:pPr>
                  <w:r>
                    <w:rPr>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490" w:type="pct"/>
                  <w:vAlign w:val="center"/>
                </w:tcPr>
                <w:p>
                  <w:pPr>
                    <w:spacing w:line="400" w:lineRule="exact"/>
                    <w:jc w:val="center"/>
                    <w:rPr>
                      <w:szCs w:val="21"/>
                    </w:rPr>
                  </w:pPr>
                  <w:r>
                    <w:rPr>
                      <w:szCs w:val="21"/>
                    </w:rPr>
                    <w:t>(三)强化工业企业V0Cs 治理</w:t>
                  </w:r>
                </w:p>
              </w:tc>
              <w:tc>
                <w:tcPr>
                  <w:tcW w:w="2530" w:type="pct"/>
                  <w:vAlign w:val="center"/>
                </w:tcPr>
                <w:p>
                  <w:pPr>
                    <w:spacing w:line="400" w:lineRule="exact"/>
                    <w:rPr>
                      <w:szCs w:val="21"/>
                    </w:rPr>
                  </w:pPr>
                  <w:r>
                    <w:rPr>
                      <w:szCs w:val="21"/>
                    </w:rPr>
                    <w:t>全面淘汰低效治理设施。各镇（街道）进一步排查单一低温等离子、光氧化、光催化、一次性活性炭吸附以及非水溶性VOCs废气采用单一喷淋吸收等低效治理技术，对于治理成效差、无法稳定达标排放的涉VOCs企业，应通过更换高效治理工艺、提升现有治理设施工程质量、依法关停等方式实施分类整治。推动VOCs排放量大，排放物质</w:t>
                  </w:r>
                  <w:r>
                    <w:rPr>
                      <w:bCs/>
                      <w:szCs w:val="21"/>
                    </w:rPr>
                    <w:t>芳香烃(如涂装、塑料等)、醛类(如家具、木材、纺织等)等为主的企业</w:t>
                  </w:r>
                  <w:r>
                    <w:rPr>
                      <w:szCs w:val="21"/>
                    </w:rPr>
                    <w:t>，排查薄弱环节，制定"一企一策"治理方案。督促未按要求更换活性炭的企业及时更换，对于VOCs治理设施产生的废过滤棉、废催化剂、废吸附剂、废吸收剂、废有机溶剂等二次污染物，应交有资质的单位处理处置。</w:t>
                  </w:r>
                </w:p>
                <w:p>
                  <w:pPr>
                    <w:spacing w:line="400" w:lineRule="exact"/>
                    <w:rPr>
                      <w:szCs w:val="21"/>
                    </w:rPr>
                  </w:pPr>
                  <w:r>
                    <w:rPr>
                      <w:szCs w:val="21"/>
                    </w:rPr>
                    <w:t>采用活性炭吸附设施的企业应对活性炭质量严格把关，采用颗粒活性炭作为吸附剂时,其碘值不低于800mg/g；采用蜂窝活性炭作为吸附剂时，其碘值不低于650mg/g；采用活性炭纤维作为吸附剂时，其比表面积不低于1100m²/g(BET法)。一次性活性炭吸附工艺宜采用颗粒活性炭作为吸附剂。</w:t>
                  </w:r>
                </w:p>
              </w:tc>
              <w:tc>
                <w:tcPr>
                  <w:tcW w:w="1414" w:type="pct"/>
                  <w:vAlign w:val="center"/>
                </w:tcPr>
                <w:p>
                  <w:pPr>
                    <w:spacing w:line="400" w:lineRule="exact"/>
                    <w:rPr>
                      <w:highlight w:val="yellow"/>
                    </w:rPr>
                  </w:pPr>
                  <w:r>
                    <w:t>本项目有机废气经“</w:t>
                  </w:r>
                  <w:r>
                    <w:rPr>
                      <w:rFonts w:hint="eastAsia"/>
                      <w:szCs w:val="21"/>
                    </w:rPr>
                    <w:t>UV光氧</w:t>
                  </w:r>
                  <w:r>
                    <w:t>+活性炭吸附装置”处理+</w:t>
                  </w:r>
                  <w:r>
                    <w:rPr>
                      <w:rFonts w:hint="eastAsia"/>
                    </w:rPr>
                    <w:t>15</w:t>
                  </w:r>
                  <w:r>
                    <w:t>m高排气筒排放。</w:t>
                  </w:r>
                  <w:r>
                    <w:rPr>
                      <w:szCs w:val="21"/>
                    </w:rPr>
                    <w:t>VOCs</w:t>
                  </w:r>
                  <w:r>
                    <w:t>治理设施产生的废活性炭在危废暂存间分区暂存，定期交由有资质单位处置或转运。</w:t>
                  </w:r>
                  <w:r>
                    <w:rPr>
                      <w:szCs w:val="21"/>
                    </w:rPr>
                    <w:t>本</w:t>
                  </w:r>
                  <w:r>
                    <w:t>项目</w:t>
                  </w:r>
                  <w:r>
                    <w:rPr>
                      <w:szCs w:val="21"/>
                    </w:rPr>
                    <w:t>采用颗粒活性炭作为吸附剂，其碘值不低于800mg/g</w:t>
                  </w:r>
                </w:p>
              </w:tc>
              <w:tc>
                <w:tcPr>
                  <w:tcW w:w="566" w:type="pct"/>
                  <w:vAlign w:val="center"/>
                </w:tcPr>
                <w:p>
                  <w:pPr>
                    <w:spacing w:line="400" w:lineRule="exact"/>
                    <w:jc w:val="center"/>
                    <w:rPr>
                      <w:szCs w:val="21"/>
                    </w:rPr>
                  </w:pPr>
                  <w:r>
                    <w:rPr>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490" w:type="pct"/>
                  <w:vAlign w:val="center"/>
                </w:tcPr>
                <w:p>
                  <w:pPr>
                    <w:spacing w:line="400" w:lineRule="exact"/>
                    <w:jc w:val="center"/>
                    <w:rPr>
                      <w:szCs w:val="21"/>
                    </w:rPr>
                  </w:pPr>
                  <w:r>
                    <w:rPr>
                      <w:szCs w:val="21"/>
                    </w:rPr>
                    <w:t>(五)完善监测监控体系</w:t>
                  </w:r>
                </w:p>
              </w:tc>
              <w:tc>
                <w:tcPr>
                  <w:tcW w:w="2530" w:type="pct"/>
                  <w:vAlign w:val="center"/>
                </w:tcPr>
                <w:p>
                  <w:pPr>
                    <w:spacing w:line="400" w:lineRule="exact"/>
                    <w:rPr>
                      <w:szCs w:val="21"/>
                    </w:rPr>
                  </w:pPr>
                  <w:r>
                    <w:rPr>
                      <w:szCs w:val="21"/>
                    </w:rPr>
                    <w:t>开展监测工作。8月底前,完成省重点行业企业VOCs监测工作；9月底前完成其余重点企业的VOCs专项监测工作；对企业自行监测及第三方检测机构强化监督管理。进一步加强排查，对挥发性有机物排污单位风量大于10000m</w:t>
                  </w:r>
                  <w:r>
                    <w:rPr>
                      <w:szCs w:val="21"/>
                      <w:vertAlign w:val="superscript"/>
                    </w:rPr>
                    <w:t>2</w:t>
                  </w:r>
                  <w:r>
                    <w:rPr>
                      <w:szCs w:val="21"/>
                    </w:rPr>
                    <w:t>/h或挥发性有机物产生量大于2kg/h以上的主要排放口须安装非甲烷总烃在线监测设施(FID检测器)。</w:t>
                  </w:r>
                </w:p>
              </w:tc>
              <w:tc>
                <w:tcPr>
                  <w:tcW w:w="1414" w:type="pct"/>
                  <w:vAlign w:val="center"/>
                </w:tcPr>
                <w:p>
                  <w:pPr>
                    <w:spacing w:line="400" w:lineRule="exact"/>
                    <w:rPr>
                      <w:highlight w:val="yellow"/>
                    </w:rPr>
                  </w:pPr>
                  <w:r>
                    <w:rPr>
                      <w:rFonts w:hint="eastAsia"/>
                      <w:szCs w:val="21"/>
                    </w:rPr>
                    <w:t>本项目属于</w:t>
                  </w:r>
                  <w:r>
                    <w:rPr>
                      <w:rFonts w:hint="eastAsia"/>
                    </w:rPr>
                    <w:t>改扩建塑料制品业项目</w:t>
                  </w:r>
                  <w:r>
                    <w:t>，属于重点行业，但废气排放口均为一般排放口，无需安装VOCs排放</w:t>
                  </w:r>
                  <w:r>
                    <w:rPr>
                      <w:szCs w:val="21"/>
                    </w:rPr>
                    <w:t>在线监测设施</w:t>
                  </w:r>
                  <w:r>
                    <w:t>。</w:t>
                  </w:r>
                </w:p>
              </w:tc>
              <w:tc>
                <w:tcPr>
                  <w:tcW w:w="566" w:type="pct"/>
                  <w:vAlign w:val="center"/>
                </w:tcPr>
                <w:p>
                  <w:pPr>
                    <w:spacing w:line="400" w:lineRule="exact"/>
                    <w:jc w:val="center"/>
                    <w:rPr>
                      <w:szCs w:val="21"/>
                    </w:rPr>
                  </w:pPr>
                  <w:r>
                    <w:rPr>
                      <w:szCs w:val="21"/>
                    </w:rPr>
                    <w:t>相符</w:t>
                  </w:r>
                </w:p>
              </w:tc>
            </w:tr>
          </w:tbl>
          <w:p>
            <w:pPr>
              <w:pStyle w:val="51"/>
              <w:ind w:firstLine="480"/>
              <w:rPr>
                <w:bCs/>
              </w:rPr>
            </w:pPr>
            <w:r>
              <w:rPr>
                <w:bCs/>
              </w:rPr>
              <w:t>由上表可知，本项目满足《偃师区2022年挥发性有机物污染防治实施方案》（偃环攻坚办【2022】7号）相关要求。</w:t>
            </w:r>
          </w:p>
          <w:p>
            <w:pPr>
              <w:pStyle w:val="48"/>
              <w:ind w:firstLine="0" w:firstLineChars="0"/>
            </w:pPr>
            <w:r>
              <w:rPr>
                <w:rFonts w:hint="eastAsia"/>
              </w:rPr>
              <w:t>8</w:t>
            </w:r>
            <w:r>
              <w:rPr>
                <w:rFonts w:hAnsi="黑体"/>
              </w:rPr>
              <w:t>、《河南省生态环境厅关于做好</w:t>
            </w:r>
            <w:r>
              <w:t>2021</w:t>
            </w:r>
            <w:r>
              <w:rPr>
                <w:rFonts w:hAnsi="黑体"/>
              </w:rPr>
              <w:t>年重点行业绩效分级和重污染天气应急减排清单修订工作的通知》（豫环文〔</w:t>
            </w:r>
            <w:r>
              <w:t>2021</w:t>
            </w:r>
            <w:r>
              <w:rPr>
                <w:rFonts w:hAnsi="黑体"/>
              </w:rPr>
              <w:t>〕</w:t>
            </w:r>
            <w:r>
              <w:t>94</w:t>
            </w:r>
            <w:r>
              <w:rPr>
                <w:rFonts w:hAnsi="黑体"/>
              </w:rPr>
              <w:t>号）</w:t>
            </w:r>
          </w:p>
          <w:p>
            <w:pPr>
              <w:pStyle w:val="48"/>
              <w:pageBreakBefore w:val="0"/>
              <w:ind w:firstLine="420"/>
              <w:rPr>
                <w:sz w:val="21"/>
                <w:szCs w:val="21"/>
              </w:rPr>
            </w:pPr>
            <w:r>
              <w:rPr>
                <w:rFonts w:hAnsi="黑体"/>
                <w:sz w:val="21"/>
                <w:szCs w:val="21"/>
              </w:rPr>
              <w:t>表</w:t>
            </w:r>
            <w:r>
              <w:rPr>
                <w:rFonts w:hint="eastAsia"/>
                <w:sz w:val="21"/>
                <w:szCs w:val="21"/>
              </w:rPr>
              <w:t>7</w:t>
            </w:r>
            <w:r>
              <w:rPr>
                <w:sz w:val="21"/>
                <w:szCs w:val="21"/>
              </w:rPr>
              <w:t xml:space="preserve">  </w:t>
            </w:r>
            <w:r>
              <w:rPr>
                <w:rFonts w:hint="eastAsia" w:hAnsi="黑体"/>
                <w:sz w:val="21"/>
                <w:szCs w:val="21"/>
              </w:rPr>
              <w:t>与《河南省生态环境厅关于做好2021年重点行业绩效分级和重污染天气应急减排清单修订工作的通知》（豫环文〔2021〕94号）相符性分析</w:t>
            </w:r>
          </w:p>
          <w:tbl>
            <w:tblPr>
              <w:tblStyle w:val="22"/>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862"/>
              <w:gridCol w:w="4144"/>
              <w:gridCol w:w="3036"/>
              <w:gridCol w:w="77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82" w:hRule="atLeast"/>
              </w:trPr>
              <w:tc>
                <w:tcPr>
                  <w:tcW w:w="2840" w:type="pct"/>
                  <w:gridSpan w:val="2"/>
                  <w:vAlign w:val="center"/>
                </w:tcPr>
                <w:p>
                  <w:pPr>
                    <w:spacing w:line="400" w:lineRule="exact"/>
                    <w:jc w:val="center"/>
                    <w:rPr>
                      <w:szCs w:val="21"/>
                    </w:rPr>
                  </w:pPr>
                  <w:r>
                    <w:rPr>
                      <w:rFonts w:hAnsi="宋体"/>
                      <w:szCs w:val="21"/>
                    </w:rPr>
                    <w:t>塑料制品行业绩效分级指标</w:t>
                  </w:r>
                  <w:r>
                    <w:rPr>
                      <w:rFonts w:hAnsi="宋体"/>
                    </w:rPr>
                    <w:t>（</w:t>
                  </w:r>
                  <w:r>
                    <w:t>A</w:t>
                  </w:r>
                  <w:r>
                    <w:rPr>
                      <w:rFonts w:hAnsi="宋体"/>
                    </w:rPr>
                    <w:t>级企业）</w:t>
                  </w:r>
                </w:p>
              </w:tc>
              <w:tc>
                <w:tcPr>
                  <w:tcW w:w="1722" w:type="pct"/>
                  <w:vAlign w:val="center"/>
                </w:tcPr>
                <w:p>
                  <w:pPr>
                    <w:spacing w:line="400" w:lineRule="exact"/>
                    <w:jc w:val="center"/>
                    <w:rPr>
                      <w:szCs w:val="21"/>
                    </w:rPr>
                  </w:pPr>
                  <w:r>
                    <w:rPr>
                      <w:rFonts w:hAnsi="宋体"/>
                      <w:szCs w:val="21"/>
                    </w:rPr>
                    <w:t>本项目情况</w:t>
                  </w:r>
                </w:p>
              </w:tc>
              <w:tc>
                <w:tcPr>
                  <w:tcW w:w="438" w:type="pct"/>
                  <w:vAlign w:val="center"/>
                </w:tcPr>
                <w:p>
                  <w:pPr>
                    <w:spacing w:line="400" w:lineRule="exact"/>
                    <w:jc w:val="center"/>
                    <w:rPr>
                      <w:szCs w:val="21"/>
                    </w:rPr>
                  </w:pPr>
                  <w:r>
                    <w:rPr>
                      <w:rFonts w:hAnsi="宋体"/>
                      <w:szCs w:val="21"/>
                    </w:rPr>
                    <w:t>是否</w:t>
                  </w:r>
                </w:p>
                <w:p>
                  <w:pPr>
                    <w:spacing w:line="400" w:lineRule="exact"/>
                    <w:jc w:val="center"/>
                    <w:rPr>
                      <w:szCs w:val="21"/>
                      <w:highlight w:val="yellow"/>
                    </w:rPr>
                  </w:pPr>
                  <w:r>
                    <w:rPr>
                      <w:rFonts w:hAnsi="宋体"/>
                      <w:szCs w:val="21"/>
                    </w:rPr>
                    <w:t>相符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89" w:type="pct"/>
                  <w:vAlign w:val="center"/>
                </w:tcPr>
                <w:p>
                  <w:pPr>
                    <w:spacing w:line="400" w:lineRule="exact"/>
                    <w:jc w:val="center"/>
                    <w:rPr>
                      <w:szCs w:val="21"/>
                      <w:highlight w:val="yellow"/>
                    </w:rPr>
                  </w:pPr>
                  <w:r>
                    <w:rPr>
                      <w:rFonts w:hAnsi="宋体"/>
                      <w:szCs w:val="21"/>
                    </w:rPr>
                    <w:t>原料、能源类型</w:t>
                  </w:r>
                </w:p>
              </w:tc>
              <w:tc>
                <w:tcPr>
                  <w:tcW w:w="2351" w:type="pct"/>
                  <w:vAlign w:val="center"/>
                </w:tcPr>
                <w:p>
                  <w:pPr>
                    <w:spacing w:line="400" w:lineRule="exact"/>
                    <w:jc w:val="left"/>
                    <w:rPr>
                      <w:szCs w:val="21"/>
                    </w:rPr>
                  </w:pPr>
                  <w:r>
                    <w:rPr>
                      <w:szCs w:val="21"/>
                    </w:rPr>
                    <w:t xml:space="preserve">1. </w:t>
                  </w:r>
                  <w:r>
                    <w:rPr>
                      <w:rFonts w:hAnsi="宋体"/>
                      <w:szCs w:val="21"/>
                    </w:rPr>
                    <w:t>原料全部使用非再生料（即使用原包料，非废旧塑料）；</w:t>
                  </w:r>
                </w:p>
                <w:p>
                  <w:pPr>
                    <w:spacing w:line="400" w:lineRule="exact"/>
                    <w:jc w:val="left"/>
                    <w:rPr>
                      <w:szCs w:val="21"/>
                    </w:rPr>
                  </w:pPr>
                  <w:r>
                    <w:rPr>
                      <w:szCs w:val="21"/>
                    </w:rPr>
                    <w:t xml:space="preserve">2. </w:t>
                  </w:r>
                  <w:r>
                    <w:rPr>
                      <w:rFonts w:hAnsi="宋体"/>
                      <w:szCs w:val="21"/>
                    </w:rPr>
                    <w:t>能源使用电、天然气、液化石油气等能源。</w:t>
                  </w:r>
                </w:p>
              </w:tc>
              <w:tc>
                <w:tcPr>
                  <w:tcW w:w="1722" w:type="pct"/>
                  <w:vAlign w:val="center"/>
                </w:tcPr>
                <w:p>
                  <w:pPr>
                    <w:spacing w:line="400" w:lineRule="exact"/>
                    <w:jc w:val="center"/>
                    <w:rPr>
                      <w:szCs w:val="21"/>
                    </w:rPr>
                  </w:pPr>
                  <w:r>
                    <w:rPr>
                      <w:rFonts w:hAnsi="宋体"/>
                      <w:szCs w:val="21"/>
                    </w:rPr>
                    <w:t>本项目原料为基布和基布丝，使用能源为电能</w:t>
                  </w:r>
                </w:p>
              </w:tc>
              <w:tc>
                <w:tcPr>
                  <w:tcW w:w="438" w:type="pct"/>
                  <w:vAlign w:val="center"/>
                </w:tcPr>
                <w:p>
                  <w:pPr>
                    <w:spacing w:line="400" w:lineRule="exact"/>
                    <w:jc w:val="center"/>
                    <w:rPr>
                      <w:szCs w:val="21"/>
                      <w:highlight w:val="yellow"/>
                    </w:rPr>
                  </w:pPr>
                  <w:r>
                    <w:rPr>
                      <w:rFonts w:hAnsi="宋体"/>
                      <w:bCs/>
                      <w:szCs w:val="21"/>
                    </w:rPr>
                    <w:t>相符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90" w:hRule="atLeast"/>
              </w:trPr>
              <w:tc>
                <w:tcPr>
                  <w:tcW w:w="489" w:type="pct"/>
                  <w:vAlign w:val="center"/>
                </w:tcPr>
                <w:p>
                  <w:pPr>
                    <w:spacing w:line="400" w:lineRule="exact"/>
                    <w:jc w:val="center"/>
                    <w:rPr>
                      <w:szCs w:val="21"/>
                    </w:rPr>
                  </w:pPr>
                  <w:r>
                    <w:rPr>
                      <w:rFonts w:hAnsi="宋体"/>
                      <w:szCs w:val="21"/>
                    </w:rPr>
                    <w:t>生产工艺及</w:t>
                  </w:r>
                </w:p>
                <w:p>
                  <w:pPr>
                    <w:spacing w:line="400" w:lineRule="exact"/>
                    <w:jc w:val="center"/>
                    <w:rPr>
                      <w:szCs w:val="21"/>
                    </w:rPr>
                  </w:pPr>
                  <w:r>
                    <w:rPr>
                      <w:rFonts w:hAnsi="宋体"/>
                      <w:szCs w:val="21"/>
                    </w:rPr>
                    <w:t>装备水平</w:t>
                  </w:r>
                </w:p>
              </w:tc>
              <w:tc>
                <w:tcPr>
                  <w:tcW w:w="2351" w:type="pct"/>
                  <w:vAlign w:val="center"/>
                </w:tcPr>
                <w:p>
                  <w:pPr>
                    <w:spacing w:line="400" w:lineRule="exact"/>
                    <w:jc w:val="left"/>
                    <w:rPr>
                      <w:szCs w:val="21"/>
                    </w:rPr>
                  </w:pPr>
                  <w:r>
                    <w:rPr>
                      <w:szCs w:val="21"/>
                    </w:rPr>
                    <w:t>1.</w:t>
                  </w:r>
                  <w:r>
                    <w:rPr>
                      <w:rFonts w:hAnsi="宋体"/>
                      <w:szCs w:val="21"/>
                    </w:rPr>
                    <w:t>属于《产业结构调整指导目录（</w:t>
                  </w:r>
                  <w:r>
                    <w:rPr>
                      <w:szCs w:val="21"/>
                    </w:rPr>
                    <w:t xml:space="preserve">2019 </w:t>
                  </w:r>
                  <w:r>
                    <w:rPr>
                      <w:rFonts w:hAnsi="宋体"/>
                      <w:szCs w:val="21"/>
                    </w:rPr>
                    <w:t>年版）》鼓励类和允许类；</w:t>
                  </w:r>
                  <w:r>
                    <w:rPr>
                      <w:szCs w:val="21"/>
                    </w:rPr>
                    <w:t>2.</w:t>
                  </w:r>
                  <w:r>
                    <w:rPr>
                      <w:rFonts w:hAnsi="宋体"/>
                      <w:szCs w:val="21"/>
                    </w:rPr>
                    <w:t>符合相关行业产业政策；</w:t>
                  </w:r>
                  <w:r>
                    <w:rPr>
                      <w:szCs w:val="21"/>
                    </w:rPr>
                    <w:t>3.</w:t>
                  </w:r>
                  <w:r>
                    <w:rPr>
                      <w:rFonts w:hAnsi="宋体"/>
                      <w:szCs w:val="21"/>
                    </w:rPr>
                    <w:t>符合河南省相关政策要求；</w:t>
                  </w:r>
                  <w:r>
                    <w:rPr>
                      <w:szCs w:val="21"/>
                    </w:rPr>
                    <w:t>4.</w:t>
                  </w:r>
                  <w:r>
                    <w:rPr>
                      <w:rFonts w:hAnsi="宋体"/>
                      <w:szCs w:val="21"/>
                    </w:rPr>
                    <w:t>符合市级规划。</w:t>
                  </w:r>
                </w:p>
              </w:tc>
              <w:tc>
                <w:tcPr>
                  <w:tcW w:w="1722" w:type="pct"/>
                  <w:vAlign w:val="center"/>
                </w:tcPr>
                <w:p>
                  <w:pPr>
                    <w:spacing w:line="400" w:lineRule="exact"/>
                    <w:rPr>
                      <w:szCs w:val="21"/>
                    </w:rPr>
                  </w:pPr>
                  <w:r>
                    <w:rPr>
                      <w:rFonts w:hAnsi="宋体"/>
                      <w:szCs w:val="21"/>
                    </w:rPr>
                    <w:t>本项目属于《产业结构调整指导目录（</w:t>
                  </w:r>
                  <w:r>
                    <w:rPr>
                      <w:szCs w:val="21"/>
                    </w:rPr>
                    <w:t>2019</w:t>
                  </w:r>
                  <w:r>
                    <w:rPr>
                      <w:rFonts w:hAnsi="宋体"/>
                      <w:szCs w:val="21"/>
                    </w:rPr>
                    <w:t>年版）》中允许类项目，生产设备均不在《高耗能落后机电设备（产品）淘汰目录（第一批</w:t>
                  </w:r>
                  <w:r>
                    <w:rPr>
                      <w:szCs w:val="21"/>
                    </w:rPr>
                    <w:t>~</w:t>
                  </w:r>
                  <w:r>
                    <w:rPr>
                      <w:rFonts w:hAnsi="宋体"/>
                      <w:szCs w:val="21"/>
                    </w:rPr>
                    <w:t>第四批）》以及《河南省部分工业行业淘汰落后生产工艺装备和产品目录》中；同时符合河南省、洛阳市相关政策规划</w:t>
                  </w:r>
                </w:p>
              </w:tc>
              <w:tc>
                <w:tcPr>
                  <w:tcW w:w="438" w:type="pct"/>
                  <w:vAlign w:val="center"/>
                </w:tcPr>
                <w:p>
                  <w:pPr>
                    <w:spacing w:line="400" w:lineRule="exact"/>
                    <w:jc w:val="center"/>
                    <w:rPr>
                      <w:szCs w:val="21"/>
                      <w:highlight w:val="yellow"/>
                    </w:rPr>
                  </w:pPr>
                  <w:r>
                    <w:rPr>
                      <w:rFonts w:hAnsi="宋体"/>
                      <w:bCs/>
                      <w:szCs w:val="21"/>
                    </w:rPr>
                    <w:t>相符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1380" w:hRule="atLeast"/>
              </w:trPr>
              <w:tc>
                <w:tcPr>
                  <w:tcW w:w="489" w:type="pct"/>
                  <w:vMerge w:val="restart"/>
                  <w:vAlign w:val="center"/>
                </w:tcPr>
                <w:p>
                  <w:pPr>
                    <w:spacing w:line="400" w:lineRule="exact"/>
                    <w:jc w:val="center"/>
                    <w:rPr>
                      <w:szCs w:val="21"/>
                      <w:highlight w:val="yellow"/>
                    </w:rPr>
                  </w:pPr>
                  <w:r>
                    <w:rPr>
                      <w:rFonts w:hAnsi="宋体"/>
                      <w:szCs w:val="21"/>
                    </w:rPr>
                    <w:t>废气收集及处理工艺</w:t>
                  </w:r>
                </w:p>
              </w:tc>
              <w:tc>
                <w:tcPr>
                  <w:tcW w:w="2351" w:type="pct"/>
                  <w:vAlign w:val="center"/>
                </w:tcPr>
                <w:p>
                  <w:pPr>
                    <w:spacing w:line="400" w:lineRule="exact"/>
                    <w:rPr>
                      <w:szCs w:val="21"/>
                      <w:highlight w:val="yellow"/>
                    </w:rPr>
                  </w:pPr>
                  <w:r>
                    <w:rPr>
                      <w:szCs w:val="21"/>
                    </w:rPr>
                    <w:t>1.</w:t>
                  </w:r>
                  <w:r>
                    <w:rPr>
                      <w:rFonts w:hAnsi="宋体"/>
                      <w:szCs w:val="21"/>
                    </w:rPr>
                    <w:t>投料、挤塑、注塑、滚塑、吹塑、压延、挤出、造粒、热定型、冷却、发泡、熟化、干燥等涉</w:t>
                  </w:r>
                  <w:r>
                    <w:rPr>
                      <w:szCs w:val="21"/>
                    </w:rPr>
                    <w:t xml:space="preserve"> VOCs </w:t>
                  </w:r>
                  <w:r>
                    <w:rPr>
                      <w:rFonts w:hAnsi="宋体"/>
                      <w:szCs w:val="21"/>
                    </w:rPr>
                    <w:t>工序采用密闭设备或在密闭空间内操作，废气有效收集至</w:t>
                  </w:r>
                  <w:r>
                    <w:rPr>
                      <w:szCs w:val="21"/>
                    </w:rPr>
                    <w:t xml:space="preserve"> VOCs </w:t>
                  </w:r>
                  <w:r>
                    <w:rPr>
                      <w:rFonts w:hAnsi="宋体"/>
                      <w:szCs w:val="21"/>
                    </w:rPr>
                    <w:t>废气处理系统，车间外无异味；采用局部集气罩的，距集气罩开口面最远处的</w:t>
                  </w:r>
                  <w:r>
                    <w:rPr>
                      <w:szCs w:val="21"/>
                    </w:rPr>
                    <w:t xml:space="preserve"> VOCs </w:t>
                  </w:r>
                  <w:r>
                    <w:rPr>
                      <w:rFonts w:hAnsi="宋体"/>
                      <w:szCs w:val="21"/>
                    </w:rPr>
                    <w:t>无组织排放位置，控制风速不低于</w:t>
                  </w:r>
                  <w:r>
                    <w:rPr>
                      <w:szCs w:val="21"/>
                    </w:rPr>
                    <w:t xml:space="preserve"> 0.3 </w:t>
                  </w:r>
                  <w:r>
                    <w:rPr>
                      <w:rFonts w:hAnsi="宋体"/>
                      <w:szCs w:val="21"/>
                    </w:rPr>
                    <w:t>米</w:t>
                  </w:r>
                  <w:r>
                    <w:rPr>
                      <w:szCs w:val="21"/>
                    </w:rPr>
                    <w:t>/</w:t>
                  </w:r>
                  <w:r>
                    <w:rPr>
                      <w:rFonts w:hAnsi="宋体"/>
                      <w:szCs w:val="21"/>
                    </w:rPr>
                    <w:t>秒；</w:t>
                  </w:r>
                </w:p>
              </w:tc>
              <w:tc>
                <w:tcPr>
                  <w:tcW w:w="1722" w:type="pct"/>
                  <w:vAlign w:val="center"/>
                </w:tcPr>
                <w:p>
                  <w:pPr>
                    <w:spacing w:line="400" w:lineRule="exact"/>
                    <w:rPr>
                      <w:szCs w:val="21"/>
                      <w:highlight w:val="yellow"/>
                    </w:rPr>
                  </w:pPr>
                  <w:r>
                    <w:rPr>
                      <w:szCs w:val="21"/>
                    </w:rPr>
                    <w:t>1</w:t>
                  </w:r>
                  <w:r>
                    <w:rPr>
                      <w:rFonts w:hAnsi="宋体"/>
                      <w:szCs w:val="21"/>
                    </w:rPr>
                    <w:t>、本项目在热切、印刷废气产生点设置集气罩</w:t>
                  </w:r>
                  <w:r>
                    <w:rPr>
                      <w:szCs w:val="21"/>
                    </w:rPr>
                    <w:t>+</w:t>
                  </w:r>
                  <w:r>
                    <w:rPr>
                      <w:rFonts w:hint="eastAsia"/>
                      <w:szCs w:val="21"/>
                    </w:rPr>
                    <w:t>区域</w:t>
                  </w:r>
                  <w:r>
                    <w:rPr>
                      <w:rFonts w:hAnsi="宋体"/>
                      <w:szCs w:val="21"/>
                    </w:rPr>
                    <w:t>二次密闭，</w:t>
                  </w:r>
                  <w:r>
                    <w:rPr>
                      <w:rFonts w:hAnsi="宋体"/>
                      <w:bCs/>
                    </w:rPr>
                    <w:t>后</w:t>
                  </w:r>
                  <w:r>
                    <w:rPr>
                      <w:rFonts w:hAnsi="宋体"/>
                      <w:szCs w:val="21"/>
                    </w:rPr>
                    <w:t>引入</w:t>
                  </w:r>
                  <w:r>
                    <w:rPr>
                      <w:rFonts w:hint="eastAsia"/>
                      <w:szCs w:val="21"/>
                    </w:rPr>
                    <w:t>UV光氧</w:t>
                  </w:r>
                  <w:r>
                    <w:rPr>
                      <w:szCs w:val="21"/>
                    </w:rPr>
                    <w:t>+</w:t>
                  </w:r>
                  <w:r>
                    <w:rPr>
                      <w:rFonts w:hAnsi="宋体"/>
                      <w:szCs w:val="21"/>
                    </w:rPr>
                    <w:t>活性氧装置进行处理，后经</w:t>
                  </w:r>
                  <w:r>
                    <w:rPr>
                      <w:szCs w:val="21"/>
                    </w:rPr>
                    <w:t>15m</w:t>
                  </w:r>
                  <w:r>
                    <w:rPr>
                      <w:rFonts w:hAnsi="宋体"/>
                      <w:szCs w:val="21"/>
                    </w:rPr>
                    <w:t>排气筒排放，最小控制风速为</w:t>
                  </w:r>
                  <w:r>
                    <w:rPr>
                      <w:szCs w:val="21"/>
                    </w:rPr>
                    <w:t>0.5m/s</w:t>
                  </w:r>
                  <w:r>
                    <w:rPr>
                      <w:rFonts w:hAnsi="宋体"/>
                      <w:szCs w:val="21"/>
                    </w:rPr>
                    <w:t>；</w:t>
                  </w:r>
                </w:p>
              </w:tc>
              <w:tc>
                <w:tcPr>
                  <w:tcW w:w="438" w:type="pct"/>
                  <w:vAlign w:val="center"/>
                </w:tcPr>
                <w:p>
                  <w:pPr>
                    <w:spacing w:line="400" w:lineRule="exact"/>
                    <w:jc w:val="center"/>
                    <w:rPr>
                      <w:szCs w:val="21"/>
                      <w:highlight w:val="yellow"/>
                    </w:rPr>
                  </w:pPr>
                  <w:r>
                    <w:rPr>
                      <w:rFonts w:hAnsi="宋体"/>
                      <w:bCs/>
                      <w:szCs w:val="21"/>
                    </w:rPr>
                    <w:t>相符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1377" w:hRule="atLeast"/>
              </w:trPr>
              <w:tc>
                <w:tcPr>
                  <w:tcW w:w="489" w:type="pct"/>
                  <w:vMerge w:val="continue"/>
                  <w:vAlign w:val="center"/>
                </w:tcPr>
                <w:p>
                  <w:pPr>
                    <w:spacing w:line="400" w:lineRule="exact"/>
                    <w:jc w:val="center"/>
                    <w:rPr>
                      <w:szCs w:val="21"/>
                    </w:rPr>
                  </w:pPr>
                </w:p>
              </w:tc>
              <w:tc>
                <w:tcPr>
                  <w:tcW w:w="2351" w:type="pct"/>
                  <w:vAlign w:val="center"/>
                </w:tcPr>
                <w:p>
                  <w:pPr>
                    <w:spacing w:line="400" w:lineRule="exact"/>
                    <w:rPr>
                      <w:szCs w:val="21"/>
                    </w:rPr>
                  </w:pPr>
                  <w:r>
                    <w:rPr>
                      <w:szCs w:val="21"/>
                    </w:rPr>
                    <w:t xml:space="preserve">2.VOCs </w:t>
                  </w:r>
                  <w:r>
                    <w:rPr>
                      <w:rFonts w:hAnsi="宋体"/>
                      <w:szCs w:val="21"/>
                    </w:rPr>
                    <w:t>治理采用燃烧工艺（包括直接燃烧、催化燃烧和蓄热燃烧），或静电、吸附、低温等离子、生物法等两级及以上组合工艺处理（采用一次性活性炭吸附的，活性炭碘值在</w:t>
                  </w:r>
                  <w:r>
                    <w:rPr>
                      <w:szCs w:val="21"/>
                    </w:rPr>
                    <w:t xml:space="preserve"> 800mg/g </w:t>
                  </w:r>
                  <w:r>
                    <w:rPr>
                      <w:rFonts w:hAnsi="宋体"/>
                      <w:szCs w:val="21"/>
                    </w:rPr>
                    <w:t>及以上）；</w:t>
                  </w:r>
                </w:p>
              </w:tc>
              <w:tc>
                <w:tcPr>
                  <w:tcW w:w="1722" w:type="pct"/>
                  <w:vAlign w:val="center"/>
                </w:tcPr>
                <w:p>
                  <w:pPr>
                    <w:spacing w:line="400" w:lineRule="exact"/>
                    <w:rPr>
                      <w:szCs w:val="21"/>
                    </w:rPr>
                  </w:pPr>
                  <w:r>
                    <w:rPr>
                      <w:szCs w:val="21"/>
                    </w:rPr>
                    <w:t>2</w:t>
                  </w:r>
                  <w:r>
                    <w:rPr>
                      <w:rFonts w:hAnsi="宋体"/>
                      <w:szCs w:val="21"/>
                    </w:rPr>
                    <w:t>、项目投产后，</w:t>
                  </w:r>
                  <w:r>
                    <w:rPr>
                      <w:szCs w:val="21"/>
                    </w:rPr>
                    <w:t>VOCs</w:t>
                  </w:r>
                  <w:r>
                    <w:rPr>
                      <w:rFonts w:hAnsi="宋体"/>
                      <w:szCs w:val="21"/>
                    </w:rPr>
                    <w:t>采用</w:t>
                  </w:r>
                  <w:r>
                    <w:rPr>
                      <w:rFonts w:hint="eastAsia"/>
                      <w:szCs w:val="21"/>
                    </w:rPr>
                    <w:t>UV光氧</w:t>
                  </w:r>
                  <w:r>
                    <w:rPr>
                      <w:szCs w:val="21"/>
                    </w:rPr>
                    <w:t>+</w:t>
                  </w:r>
                  <w:r>
                    <w:rPr>
                      <w:rFonts w:hAnsi="宋体"/>
                      <w:szCs w:val="21"/>
                    </w:rPr>
                    <w:t>活性炭吸附处理工艺，使用活性炭碘值在</w:t>
                  </w:r>
                  <w:r>
                    <w:rPr>
                      <w:szCs w:val="21"/>
                    </w:rPr>
                    <w:t>800mg/g</w:t>
                  </w:r>
                  <w:r>
                    <w:rPr>
                      <w:rFonts w:hAnsi="宋体"/>
                      <w:szCs w:val="21"/>
                    </w:rPr>
                    <w:t>及以上；</w:t>
                  </w:r>
                </w:p>
              </w:tc>
              <w:tc>
                <w:tcPr>
                  <w:tcW w:w="438" w:type="pct"/>
                  <w:vAlign w:val="center"/>
                </w:tcPr>
                <w:p>
                  <w:pPr>
                    <w:spacing w:line="400" w:lineRule="exact"/>
                    <w:jc w:val="center"/>
                    <w:rPr>
                      <w:bCs/>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1377" w:hRule="atLeast"/>
              </w:trPr>
              <w:tc>
                <w:tcPr>
                  <w:tcW w:w="489" w:type="pct"/>
                  <w:vMerge w:val="continue"/>
                  <w:vAlign w:val="center"/>
                </w:tcPr>
                <w:p>
                  <w:pPr>
                    <w:spacing w:line="400" w:lineRule="exact"/>
                    <w:jc w:val="center"/>
                    <w:rPr>
                      <w:szCs w:val="21"/>
                    </w:rPr>
                  </w:pPr>
                </w:p>
              </w:tc>
              <w:tc>
                <w:tcPr>
                  <w:tcW w:w="2351" w:type="pct"/>
                  <w:vAlign w:val="center"/>
                </w:tcPr>
                <w:p>
                  <w:pPr>
                    <w:spacing w:line="400" w:lineRule="exact"/>
                    <w:rPr>
                      <w:szCs w:val="21"/>
                    </w:rPr>
                  </w:pPr>
                  <w:r>
                    <w:rPr>
                      <w:szCs w:val="21"/>
                    </w:rPr>
                    <w:t>3</w:t>
                  </w:r>
                  <w:r>
                    <w:rPr>
                      <w:rFonts w:hAnsi="宋体"/>
                      <w:szCs w:val="21"/>
                    </w:rPr>
                    <w:t>、粉状物料投加、配混应在封闭车间内进行，</w:t>
                  </w:r>
                  <w:r>
                    <w:rPr>
                      <w:szCs w:val="21"/>
                    </w:rPr>
                    <w:t xml:space="preserve">PM </w:t>
                  </w:r>
                  <w:r>
                    <w:rPr>
                      <w:rFonts w:hAnsi="宋体"/>
                      <w:szCs w:val="21"/>
                    </w:rPr>
                    <w:t>有效收集，并采用袋式除尘等高效除尘技术；</w:t>
                  </w:r>
                </w:p>
              </w:tc>
              <w:tc>
                <w:tcPr>
                  <w:tcW w:w="1722" w:type="pct"/>
                  <w:vAlign w:val="center"/>
                </w:tcPr>
                <w:p>
                  <w:pPr>
                    <w:spacing w:line="400" w:lineRule="exact"/>
                    <w:rPr>
                      <w:szCs w:val="21"/>
                    </w:rPr>
                  </w:pPr>
                  <w:r>
                    <w:rPr>
                      <w:rFonts w:hAnsi="宋体"/>
                      <w:szCs w:val="21"/>
                    </w:rPr>
                    <w:t>不涉及</w:t>
                  </w:r>
                </w:p>
              </w:tc>
              <w:tc>
                <w:tcPr>
                  <w:tcW w:w="438" w:type="pct"/>
                  <w:vAlign w:val="center"/>
                </w:tcPr>
                <w:p>
                  <w:pPr>
                    <w:spacing w:line="400" w:lineRule="exact"/>
                    <w:jc w:val="center"/>
                    <w:rPr>
                      <w:bCs/>
                      <w:szCs w:val="21"/>
                    </w:rPr>
                  </w:pPr>
                  <w:r>
                    <w:rPr>
                      <w:rFonts w:hAnsi="宋体"/>
                      <w:bCs/>
                      <w:szCs w:val="21"/>
                    </w:rPr>
                    <w:t>相符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1377" w:hRule="atLeast"/>
              </w:trPr>
              <w:tc>
                <w:tcPr>
                  <w:tcW w:w="489" w:type="pct"/>
                  <w:vMerge w:val="continue"/>
                  <w:vAlign w:val="center"/>
                </w:tcPr>
                <w:p>
                  <w:pPr>
                    <w:spacing w:line="400" w:lineRule="exact"/>
                    <w:jc w:val="center"/>
                    <w:rPr>
                      <w:szCs w:val="21"/>
                    </w:rPr>
                  </w:pPr>
                </w:p>
              </w:tc>
              <w:tc>
                <w:tcPr>
                  <w:tcW w:w="2351" w:type="pct"/>
                  <w:vAlign w:val="center"/>
                </w:tcPr>
                <w:p>
                  <w:pPr>
                    <w:spacing w:line="400" w:lineRule="exact"/>
                    <w:rPr>
                      <w:szCs w:val="21"/>
                    </w:rPr>
                  </w:pPr>
                  <w:r>
                    <w:rPr>
                      <w:szCs w:val="21"/>
                    </w:rPr>
                    <w:t>4</w:t>
                  </w:r>
                  <w:r>
                    <w:rPr>
                      <w:rFonts w:hAnsi="宋体"/>
                      <w:szCs w:val="21"/>
                    </w:rPr>
                    <w:t>、废吸附剂应密闭的包装袋或容器储存、转运，并建立储存、处置台账；</w:t>
                  </w:r>
                </w:p>
              </w:tc>
              <w:tc>
                <w:tcPr>
                  <w:tcW w:w="1722" w:type="pct"/>
                  <w:vAlign w:val="center"/>
                </w:tcPr>
                <w:p>
                  <w:pPr>
                    <w:spacing w:line="400" w:lineRule="exact"/>
                    <w:rPr>
                      <w:szCs w:val="21"/>
                    </w:rPr>
                  </w:pPr>
                  <w:r>
                    <w:rPr>
                      <w:rFonts w:hAnsi="宋体"/>
                      <w:szCs w:val="21"/>
                    </w:rPr>
                    <w:t>本项目废活性炭经覆膜编织袋包装后暂存于危废间，并建立储存、处置台账；</w:t>
                  </w:r>
                </w:p>
              </w:tc>
              <w:tc>
                <w:tcPr>
                  <w:tcW w:w="438" w:type="pct"/>
                  <w:vAlign w:val="center"/>
                </w:tcPr>
                <w:p>
                  <w:pPr>
                    <w:spacing w:line="400" w:lineRule="exact"/>
                    <w:jc w:val="center"/>
                    <w:rPr>
                      <w:bCs/>
                      <w:szCs w:val="21"/>
                    </w:rPr>
                  </w:pPr>
                  <w:r>
                    <w:rPr>
                      <w:rFonts w:hAnsi="宋体"/>
                      <w:bCs/>
                      <w:szCs w:val="21"/>
                    </w:rPr>
                    <w:t>相符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1377" w:hRule="atLeast"/>
              </w:trPr>
              <w:tc>
                <w:tcPr>
                  <w:tcW w:w="489" w:type="pct"/>
                  <w:vMerge w:val="continue"/>
                  <w:vAlign w:val="center"/>
                </w:tcPr>
                <w:p>
                  <w:pPr>
                    <w:spacing w:line="400" w:lineRule="exact"/>
                    <w:jc w:val="center"/>
                    <w:rPr>
                      <w:szCs w:val="21"/>
                    </w:rPr>
                  </w:pPr>
                </w:p>
              </w:tc>
              <w:tc>
                <w:tcPr>
                  <w:tcW w:w="2351" w:type="pct"/>
                  <w:vAlign w:val="center"/>
                </w:tcPr>
                <w:p>
                  <w:pPr>
                    <w:spacing w:line="400" w:lineRule="exact"/>
                    <w:rPr>
                      <w:szCs w:val="21"/>
                    </w:rPr>
                  </w:pPr>
                  <w:r>
                    <w:rPr>
                      <w:szCs w:val="21"/>
                    </w:rPr>
                    <w:t>5</w:t>
                  </w:r>
                  <w:r>
                    <w:rPr>
                      <w:rFonts w:hAnsi="宋体"/>
                      <w:szCs w:val="21"/>
                    </w:rPr>
                    <w:t>、</w:t>
                  </w:r>
                  <w:r>
                    <w:rPr>
                      <w:szCs w:val="21"/>
                    </w:rPr>
                    <w:t xml:space="preserve">NOx </w:t>
                  </w:r>
                  <w:r>
                    <w:rPr>
                      <w:rFonts w:hAnsi="宋体"/>
                      <w:szCs w:val="21"/>
                    </w:rPr>
                    <w:t>治理采用低氮燃烧、</w:t>
                  </w:r>
                  <w:r>
                    <w:rPr>
                      <w:szCs w:val="21"/>
                    </w:rPr>
                    <w:t xml:space="preserve">SNCR/SCR </w:t>
                  </w:r>
                  <w:r>
                    <w:rPr>
                      <w:rFonts w:hAnsi="宋体"/>
                      <w:szCs w:val="21"/>
                    </w:rPr>
                    <w:t>等适宜技术。</w:t>
                  </w:r>
                </w:p>
              </w:tc>
              <w:tc>
                <w:tcPr>
                  <w:tcW w:w="1722" w:type="pct"/>
                  <w:vAlign w:val="center"/>
                </w:tcPr>
                <w:p>
                  <w:pPr>
                    <w:spacing w:line="400" w:lineRule="exact"/>
                    <w:rPr>
                      <w:szCs w:val="21"/>
                    </w:rPr>
                  </w:pPr>
                  <w:r>
                    <w:rPr>
                      <w:rFonts w:hAnsi="宋体"/>
                      <w:szCs w:val="21"/>
                    </w:rPr>
                    <w:t>不涉及</w:t>
                  </w:r>
                </w:p>
              </w:tc>
              <w:tc>
                <w:tcPr>
                  <w:tcW w:w="438" w:type="pct"/>
                  <w:vAlign w:val="center"/>
                </w:tcPr>
                <w:p>
                  <w:pPr>
                    <w:spacing w:line="400" w:lineRule="exact"/>
                    <w:jc w:val="center"/>
                    <w:rPr>
                      <w:bCs/>
                      <w:szCs w:val="21"/>
                    </w:rPr>
                  </w:pPr>
                  <w:r>
                    <w:rPr>
                      <w:rFonts w:hAnsi="宋体"/>
                      <w:bCs/>
                      <w:szCs w:val="21"/>
                    </w:rPr>
                    <w:t>相符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1360" w:hRule="atLeast"/>
              </w:trPr>
              <w:tc>
                <w:tcPr>
                  <w:tcW w:w="489" w:type="pct"/>
                  <w:vMerge w:val="restart"/>
                  <w:vAlign w:val="center"/>
                </w:tcPr>
                <w:p>
                  <w:pPr>
                    <w:spacing w:line="400" w:lineRule="exact"/>
                    <w:jc w:val="center"/>
                    <w:rPr>
                      <w:szCs w:val="21"/>
                      <w:highlight w:val="yellow"/>
                    </w:rPr>
                  </w:pPr>
                  <w:r>
                    <w:rPr>
                      <w:rFonts w:hAnsi="宋体"/>
                      <w:szCs w:val="21"/>
                    </w:rPr>
                    <w:t>无组织管控</w:t>
                  </w:r>
                </w:p>
              </w:tc>
              <w:tc>
                <w:tcPr>
                  <w:tcW w:w="2351" w:type="pct"/>
                  <w:vAlign w:val="center"/>
                </w:tcPr>
                <w:p>
                  <w:pPr>
                    <w:spacing w:line="400" w:lineRule="exact"/>
                    <w:rPr>
                      <w:szCs w:val="21"/>
                      <w:highlight w:val="yellow"/>
                    </w:rPr>
                  </w:pPr>
                  <w:r>
                    <w:rPr>
                      <w:szCs w:val="21"/>
                    </w:rPr>
                    <w:t xml:space="preserve">1.VOCs </w:t>
                  </w:r>
                  <w:r>
                    <w:rPr>
                      <w:rFonts w:hAnsi="宋体"/>
                      <w:szCs w:val="21"/>
                    </w:rPr>
                    <w:t>物料存储于密闭的容器、包装袋、储罐、储库、料仓中；盛装</w:t>
                  </w:r>
                  <w:r>
                    <w:rPr>
                      <w:szCs w:val="21"/>
                    </w:rPr>
                    <w:t xml:space="preserve"> VOCs </w:t>
                  </w:r>
                  <w:r>
                    <w:rPr>
                      <w:rFonts w:hAnsi="宋体"/>
                      <w:szCs w:val="21"/>
                    </w:rPr>
                    <w:t>物料的容器或包装袋存放于室内；盛装</w:t>
                  </w:r>
                  <w:r>
                    <w:rPr>
                      <w:szCs w:val="21"/>
                    </w:rPr>
                    <w:t xml:space="preserve"> VOCs </w:t>
                  </w:r>
                  <w:r>
                    <w:rPr>
                      <w:rFonts w:hAnsi="宋体"/>
                      <w:szCs w:val="21"/>
                    </w:rPr>
                    <w:t>物料的容器或包装袋在非取用状态时应加盖、封口，保持密闭；</w:t>
                  </w:r>
                </w:p>
              </w:tc>
              <w:tc>
                <w:tcPr>
                  <w:tcW w:w="1722" w:type="pct"/>
                  <w:vAlign w:val="center"/>
                </w:tcPr>
                <w:p>
                  <w:pPr>
                    <w:spacing w:line="400" w:lineRule="exact"/>
                    <w:rPr>
                      <w:szCs w:val="21"/>
                      <w:highlight w:val="yellow"/>
                    </w:rPr>
                  </w:pPr>
                  <w:r>
                    <w:rPr>
                      <w:szCs w:val="21"/>
                    </w:rPr>
                    <w:t>1</w:t>
                  </w:r>
                  <w:r>
                    <w:rPr>
                      <w:rFonts w:hAnsi="宋体"/>
                      <w:szCs w:val="21"/>
                    </w:rPr>
                    <w:t>、本项目</w:t>
                  </w:r>
                  <w:r>
                    <w:rPr>
                      <w:rFonts w:hint="eastAsia" w:hAnsi="宋体"/>
                      <w:szCs w:val="21"/>
                    </w:rPr>
                    <w:t>水性油墨</w:t>
                  </w:r>
                  <w:r>
                    <w:rPr>
                      <w:rFonts w:hAnsi="宋体"/>
                      <w:szCs w:val="21"/>
                    </w:rPr>
                    <w:t>存储于</w:t>
                  </w:r>
                  <w:r>
                    <w:rPr>
                      <w:rFonts w:hint="eastAsia" w:hAnsi="宋体"/>
                      <w:szCs w:val="21"/>
                    </w:rPr>
                    <w:t>加盖容器</w:t>
                  </w:r>
                  <w:r>
                    <w:rPr>
                      <w:rFonts w:hAnsi="宋体"/>
                      <w:szCs w:val="21"/>
                    </w:rPr>
                    <w:t>内，且存放于室内。</w:t>
                  </w:r>
                </w:p>
              </w:tc>
              <w:tc>
                <w:tcPr>
                  <w:tcW w:w="438" w:type="pct"/>
                  <w:vAlign w:val="center"/>
                </w:tcPr>
                <w:p>
                  <w:pPr>
                    <w:spacing w:line="400" w:lineRule="exact"/>
                    <w:jc w:val="center"/>
                    <w:rPr>
                      <w:szCs w:val="21"/>
                      <w:highlight w:val="yellow"/>
                    </w:rPr>
                  </w:pPr>
                  <w:r>
                    <w:rPr>
                      <w:rFonts w:hAnsi="宋体"/>
                      <w:bCs/>
                      <w:szCs w:val="21"/>
                    </w:rPr>
                    <w:t>相符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549" w:hRule="atLeast"/>
              </w:trPr>
              <w:tc>
                <w:tcPr>
                  <w:tcW w:w="489" w:type="pct"/>
                  <w:vMerge w:val="continue"/>
                  <w:vAlign w:val="center"/>
                </w:tcPr>
                <w:p>
                  <w:pPr>
                    <w:spacing w:line="400" w:lineRule="exact"/>
                    <w:jc w:val="center"/>
                    <w:rPr>
                      <w:szCs w:val="21"/>
                    </w:rPr>
                  </w:pPr>
                </w:p>
              </w:tc>
              <w:tc>
                <w:tcPr>
                  <w:tcW w:w="2351" w:type="pct"/>
                  <w:vAlign w:val="center"/>
                </w:tcPr>
                <w:p>
                  <w:pPr>
                    <w:spacing w:line="400" w:lineRule="exact"/>
                    <w:rPr>
                      <w:szCs w:val="21"/>
                    </w:rPr>
                  </w:pPr>
                  <w:r>
                    <w:rPr>
                      <w:szCs w:val="21"/>
                    </w:rPr>
                    <w:t>2.</w:t>
                  </w:r>
                  <w:r>
                    <w:rPr>
                      <w:rFonts w:hAnsi="宋体"/>
                      <w:szCs w:val="21"/>
                    </w:rPr>
                    <w:t>粉状物料采用气力输送、管状带式输送机、螺旋输送机等自动化、密闭输送方式；粒状物料采用密闭的包装袋、容器或罐车进行物料转移；液态</w:t>
                  </w:r>
                  <w:r>
                    <w:rPr>
                      <w:szCs w:val="21"/>
                    </w:rPr>
                    <w:t xml:space="preserve"> VOCs </w:t>
                  </w:r>
                  <w:r>
                    <w:rPr>
                      <w:rFonts w:hAnsi="宋体"/>
                      <w:szCs w:val="21"/>
                    </w:rPr>
                    <w:t>物料采用密闭容器或罐车输送；</w:t>
                  </w:r>
                </w:p>
              </w:tc>
              <w:tc>
                <w:tcPr>
                  <w:tcW w:w="1722" w:type="pct"/>
                  <w:vAlign w:val="center"/>
                </w:tcPr>
                <w:p>
                  <w:pPr>
                    <w:spacing w:line="400" w:lineRule="exact"/>
                    <w:rPr>
                      <w:szCs w:val="21"/>
                    </w:rPr>
                  </w:pPr>
                  <w:r>
                    <w:rPr>
                      <w:szCs w:val="21"/>
                    </w:rPr>
                    <w:t>2</w:t>
                  </w:r>
                  <w:r>
                    <w:rPr>
                      <w:rFonts w:hAnsi="宋体"/>
                      <w:szCs w:val="21"/>
                    </w:rPr>
                    <w:t>、本项目粒状物料采用密闭的包装袋进行物料转移</w:t>
                  </w:r>
                </w:p>
              </w:tc>
              <w:tc>
                <w:tcPr>
                  <w:tcW w:w="438" w:type="pct"/>
                  <w:vAlign w:val="center"/>
                </w:tcPr>
                <w:p>
                  <w:pPr>
                    <w:spacing w:line="400" w:lineRule="exact"/>
                    <w:jc w:val="center"/>
                    <w:rPr>
                      <w:bCs/>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1358" w:hRule="atLeast"/>
              </w:trPr>
              <w:tc>
                <w:tcPr>
                  <w:tcW w:w="489" w:type="pct"/>
                  <w:vMerge w:val="continue"/>
                  <w:vAlign w:val="center"/>
                </w:tcPr>
                <w:p>
                  <w:pPr>
                    <w:spacing w:line="400" w:lineRule="exact"/>
                    <w:jc w:val="center"/>
                    <w:rPr>
                      <w:szCs w:val="21"/>
                    </w:rPr>
                  </w:pPr>
                </w:p>
              </w:tc>
              <w:tc>
                <w:tcPr>
                  <w:tcW w:w="2351" w:type="pct"/>
                  <w:vAlign w:val="center"/>
                </w:tcPr>
                <w:p>
                  <w:pPr>
                    <w:spacing w:line="400" w:lineRule="exact"/>
                    <w:rPr>
                      <w:szCs w:val="21"/>
                    </w:rPr>
                  </w:pPr>
                  <w:r>
                    <w:rPr>
                      <w:szCs w:val="21"/>
                    </w:rPr>
                    <w:t>3.</w:t>
                  </w:r>
                  <w:r>
                    <w:rPr>
                      <w:rFonts w:hAnsi="宋体"/>
                      <w:szCs w:val="21"/>
                    </w:rPr>
                    <w:t>产生</w:t>
                  </w:r>
                  <w:r>
                    <w:rPr>
                      <w:szCs w:val="21"/>
                    </w:rPr>
                    <w:t xml:space="preserve"> VOCs </w:t>
                  </w:r>
                  <w:r>
                    <w:rPr>
                      <w:rFonts w:hAnsi="宋体"/>
                      <w:szCs w:val="21"/>
                    </w:rPr>
                    <w:t>的生产工序和装置应设置有效集气装置并引至</w:t>
                  </w:r>
                  <w:r>
                    <w:rPr>
                      <w:szCs w:val="21"/>
                    </w:rPr>
                    <w:t xml:space="preserve">VOCs </w:t>
                  </w:r>
                  <w:r>
                    <w:rPr>
                      <w:rFonts w:hAnsi="宋体"/>
                      <w:szCs w:val="21"/>
                    </w:rPr>
                    <w:t>末端处理设施；</w:t>
                  </w:r>
                </w:p>
              </w:tc>
              <w:tc>
                <w:tcPr>
                  <w:tcW w:w="1722" w:type="pct"/>
                  <w:vAlign w:val="center"/>
                </w:tcPr>
                <w:p>
                  <w:pPr>
                    <w:spacing w:line="400" w:lineRule="exact"/>
                    <w:rPr>
                      <w:szCs w:val="21"/>
                    </w:rPr>
                  </w:pPr>
                  <w:r>
                    <w:rPr>
                      <w:rFonts w:hAnsi="宋体"/>
                      <w:szCs w:val="21"/>
                    </w:rPr>
                    <w:t>本项目在热切、印刷废气产生点设置集气罩</w:t>
                  </w:r>
                  <w:r>
                    <w:rPr>
                      <w:szCs w:val="21"/>
                    </w:rPr>
                    <w:t>+</w:t>
                  </w:r>
                  <w:r>
                    <w:rPr>
                      <w:rFonts w:hint="eastAsia"/>
                      <w:szCs w:val="21"/>
                    </w:rPr>
                    <w:t>区域</w:t>
                  </w:r>
                  <w:r>
                    <w:rPr>
                      <w:rFonts w:hAnsi="宋体"/>
                      <w:szCs w:val="21"/>
                    </w:rPr>
                    <w:t>二次密闭，</w:t>
                  </w:r>
                  <w:r>
                    <w:rPr>
                      <w:rFonts w:hAnsi="宋体"/>
                      <w:bCs/>
                    </w:rPr>
                    <w:t>后</w:t>
                  </w:r>
                  <w:r>
                    <w:rPr>
                      <w:rFonts w:hAnsi="宋体"/>
                      <w:szCs w:val="21"/>
                    </w:rPr>
                    <w:t>引入</w:t>
                  </w:r>
                  <w:r>
                    <w:rPr>
                      <w:rFonts w:hint="eastAsia"/>
                      <w:szCs w:val="21"/>
                    </w:rPr>
                    <w:t>UV光氧</w:t>
                  </w:r>
                  <w:r>
                    <w:rPr>
                      <w:szCs w:val="21"/>
                    </w:rPr>
                    <w:t>+</w:t>
                  </w:r>
                  <w:r>
                    <w:rPr>
                      <w:rFonts w:hAnsi="宋体"/>
                      <w:szCs w:val="21"/>
                    </w:rPr>
                    <w:t>活性氧装置进行处理</w:t>
                  </w:r>
                </w:p>
              </w:tc>
              <w:tc>
                <w:tcPr>
                  <w:tcW w:w="438" w:type="pct"/>
                  <w:vAlign w:val="center"/>
                </w:tcPr>
                <w:p>
                  <w:pPr>
                    <w:spacing w:line="400" w:lineRule="exact"/>
                    <w:jc w:val="center"/>
                    <w:rPr>
                      <w:bCs/>
                      <w:szCs w:val="21"/>
                    </w:rPr>
                  </w:pPr>
                  <w:r>
                    <w:rPr>
                      <w:rFonts w:hAnsi="宋体"/>
                      <w:bCs/>
                      <w:szCs w:val="21"/>
                    </w:rPr>
                    <w:t>相符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1358" w:hRule="atLeast"/>
              </w:trPr>
              <w:tc>
                <w:tcPr>
                  <w:tcW w:w="489" w:type="pct"/>
                  <w:vMerge w:val="continue"/>
                  <w:vAlign w:val="center"/>
                </w:tcPr>
                <w:p>
                  <w:pPr>
                    <w:spacing w:line="400" w:lineRule="exact"/>
                    <w:jc w:val="center"/>
                    <w:rPr>
                      <w:szCs w:val="21"/>
                    </w:rPr>
                  </w:pPr>
                </w:p>
              </w:tc>
              <w:tc>
                <w:tcPr>
                  <w:tcW w:w="2351" w:type="pct"/>
                  <w:vAlign w:val="center"/>
                </w:tcPr>
                <w:p>
                  <w:pPr>
                    <w:spacing w:line="400" w:lineRule="exact"/>
                    <w:rPr>
                      <w:szCs w:val="21"/>
                    </w:rPr>
                  </w:pPr>
                  <w:r>
                    <w:rPr>
                      <w:szCs w:val="21"/>
                    </w:rPr>
                    <w:t>4.</w:t>
                  </w:r>
                  <w:r>
                    <w:rPr>
                      <w:rFonts w:hAnsi="宋体"/>
                      <w:szCs w:val="21"/>
                    </w:rPr>
                    <w:t>厂区道路及车间地面硬化，车间地面、墙壁、设备顶部整洁无积尘；厂内地面全部硬化或绿化，无成片裸露土地。</w:t>
                  </w:r>
                </w:p>
              </w:tc>
              <w:tc>
                <w:tcPr>
                  <w:tcW w:w="1722" w:type="pct"/>
                  <w:vAlign w:val="center"/>
                </w:tcPr>
                <w:p>
                  <w:pPr>
                    <w:spacing w:line="400" w:lineRule="exact"/>
                    <w:rPr>
                      <w:szCs w:val="21"/>
                    </w:rPr>
                  </w:pPr>
                  <w:r>
                    <w:rPr>
                      <w:rFonts w:hAnsi="宋体"/>
                      <w:szCs w:val="21"/>
                    </w:rPr>
                    <w:t>本项目厂区干净整洁，厂区道路及车间地面硬化，车间地面、墙壁、设备顶部整洁无积尘；厂内地面全部硬化或绿化，无成片裸露土地。</w:t>
                  </w:r>
                </w:p>
              </w:tc>
              <w:tc>
                <w:tcPr>
                  <w:tcW w:w="438" w:type="pct"/>
                  <w:vAlign w:val="center"/>
                </w:tcPr>
                <w:p>
                  <w:pPr>
                    <w:spacing w:line="400" w:lineRule="exact"/>
                    <w:jc w:val="center"/>
                    <w:rPr>
                      <w:bCs/>
                      <w:szCs w:val="21"/>
                    </w:rPr>
                  </w:pPr>
                  <w:r>
                    <w:rPr>
                      <w:rFonts w:hAnsi="宋体"/>
                      <w:bCs/>
                      <w:szCs w:val="21"/>
                    </w:rPr>
                    <w:t>相符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63" w:hRule="atLeast"/>
              </w:trPr>
              <w:tc>
                <w:tcPr>
                  <w:tcW w:w="489" w:type="pct"/>
                  <w:vMerge w:val="restart"/>
                  <w:vAlign w:val="center"/>
                </w:tcPr>
                <w:p>
                  <w:pPr>
                    <w:spacing w:line="400" w:lineRule="exact"/>
                    <w:jc w:val="center"/>
                    <w:rPr>
                      <w:szCs w:val="21"/>
                    </w:rPr>
                  </w:pPr>
                  <w:r>
                    <w:rPr>
                      <w:rFonts w:hAnsi="宋体"/>
                      <w:szCs w:val="21"/>
                    </w:rPr>
                    <w:t>排放限值</w:t>
                  </w:r>
                </w:p>
              </w:tc>
              <w:tc>
                <w:tcPr>
                  <w:tcW w:w="2351" w:type="pct"/>
                  <w:vAlign w:val="center"/>
                </w:tcPr>
                <w:p>
                  <w:pPr>
                    <w:spacing w:line="400" w:lineRule="exact"/>
                    <w:rPr>
                      <w:szCs w:val="21"/>
                    </w:rPr>
                  </w:pPr>
                  <w:r>
                    <w:rPr>
                      <w:szCs w:val="21"/>
                    </w:rPr>
                    <w:t>1.</w:t>
                  </w:r>
                  <w:r>
                    <w:rPr>
                      <w:rFonts w:hAnsi="宋体"/>
                      <w:szCs w:val="21"/>
                    </w:rPr>
                    <w:t>全厂有组织</w:t>
                  </w:r>
                  <w:r>
                    <w:rPr>
                      <w:szCs w:val="21"/>
                    </w:rPr>
                    <w:t xml:space="preserve"> PM</w:t>
                  </w:r>
                  <w:r>
                    <w:rPr>
                      <w:rFonts w:hAnsi="宋体"/>
                      <w:szCs w:val="21"/>
                    </w:rPr>
                    <w:t>、</w:t>
                  </w:r>
                  <w:r>
                    <w:rPr>
                      <w:szCs w:val="21"/>
                    </w:rPr>
                    <w:t>NMHC</w:t>
                  </w:r>
                  <w:r>
                    <w:rPr>
                      <w:rFonts w:hAnsi="宋体"/>
                      <w:szCs w:val="21"/>
                    </w:rPr>
                    <w:t>有组织排放浓度分别不高于</w:t>
                  </w:r>
                  <w:r>
                    <w:rPr>
                      <w:szCs w:val="21"/>
                    </w:rPr>
                    <w:t xml:space="preserve"> 10</w:t>
                  </w:r>
                  <w:r>
                    <w:rPr>
                      <w:rFonts w:hAnsi="宋体"/>
                      <w:szCs w:val="21"/>
                    </w:rPr>
                    <w:t>、</w:t>
                  </w:r>
                  <w:r>
                    <w:rPr>
                      <w:szCs w:val="21"/>
                    </w:rPr>
                    <w:t>30mg/m</w:t>
                  </w:r>
                  <w:r>
                    <w:rPr>
                      <w:szCs w:val="21"/>
                      <w:vertAlign w:val="superscript"/>
                    </w:rPr>
                    <w:t>3</w:t>
                  </w:r>
                  <w:r>
                    <w:rPr>
                      <w:rFonts w:hAnsi="宋体"/>
                      <w:szCs w:val="21"/>
                    </w:rPr>
                    <w:t>；</w:t>
                  </w:r>
                </w:p>
              </w:tc>
              <w:tc>
                <w:tcPr>
                  <w:tcW w:w="1722" w:type="pct"/>
                  <w:vAlign w:val="center"/>
                </w:tcPr>
                <w:p>
                  <w:pPr>
                    <w:spacing w:line="400" w:lineRule="exact"/>
                    <w:jc w:val="left"/>
                    <w:rPr>
                      <w:szCs w:val="21"/>
                      <w:highlight w:val="yellow"/>
                    </w:rPr>
                  </w:pPr>
                  <w:r>
                    <w:rPr>
                      <w:rFonts w:hAnsi="宋体"/>
                      <w:szCs w:val="21"/>
                    </w:rPr>
                    <w:t>项目运营后，</w:t>
                  </w:r>
                  <w:r>
                    <w:rPr>
                      <w:szCs w:val="21"/>
                    </w:rPr>
                    <w:t>NMHC</w:t>
                  </w:r>
                  <w:r>
                    <w:rPr>
                      <w:rFonts w:hAnsi="宋体"/>
                      <w:szCs w:val="21"/>
                    </w:rPr>
                    <w:t>达标排放，不涉及</w:t>
                  </w:r>
                  <w:r>
                    <w:rPr>
                      <w:szCs w:val="21"/>
                    </w:rPr>
                    <w:t>PM</w:t>
                  </w:r>
                  <w:r>
                    <w:rPr>
                      <w:rFonts w:hAnsi="宋体"/>
                      <w:szCs w:val="21"/>
                    </w:rPr>
                    <w:t>排放</w:t>
                  </w:r>
                </w:p>
              </w:tc>
              <w:tc>
                <w:tcPr>
                  <w:tcW w:w="438" w:type="pct"/>
                  <w:vAlign w:val="center"/>
                </w:tcPr>
                <w:p>
                  <w:pPr>
                    <w:spacing w:line="400" w:lineRule="exact"/>
                    <w:jc w:val="center"/>
                    <w:rPr>
                      <w:szCs w:val="21"/>
                      <w:highlight w:val="yellow"/>
                    </w:rPr>
                  </w:pPr>
                  <w:r>
                    <w:rPr>
                      <w:rFonts w:hAnsi="宋体"/>
                      <w:bCs/>
                      <w:szCs w:val="21"/>
                    </w:rPr>
                    <w:t>相符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1689" w:hRule="atLeast"/>
              </w:trPr>
              <w:tc>
                <w:tcPr>
                  <w:tcW w:w="489" w:type="pct"/>
                  <w:vMerge w:val="continue"/>
                  <w:vAlign w:val="center"/>
                </w:tcPr>
                <w:p>
                  <w:pPr>
                    <w:spacing w:line="400" w:lineRule="exact"/>
                    <w:jc w:val="center"/>
                    <w:rPr>
                      <w:szCs w:val="21"/>
                    </w:rPr>
                  </w:pPr>
                </w:p>
              </w:tc>
              <w:tc>
                <w:tcPr>
                  <w:tcW w:w="2351" w:type="pct"/>
                  <w:vAlign w:val="center"/>
                </w:tcPr>
                <w:p>
                  <w:pPr>
                    <w:spacing w:line="400" w:lineRule="exact"/>
                    <w:rPr>
                      <w:szCs w:val="21"/>
                    </w:rPr>
                  </w:pPr>
                  <w:r>
                    <w:rPr>
                      <w:szCs w:val="21"/>
                    </w:rPr>
                    <w:t xml:space="preserve">2.VOCs </w:t>
                  </w:r>
                  <w:r>
                    <w:rPr>
                      <w:rFonts w:hAnsi="宋体"/>
                      <w:szCs w:val="21"/>
                    </w:rPr>
                    <w:t>治理设施同步运行率和去除率分别达到</w:t>
                  </w:r>
                  <w:r>
                    <w:rPr>
                      <w:szCs w:val="21"/>
                    </w:rPr>
                    <w:t xml:space="preserve"> 100%</w:t>
                  </w:r>
                  <w:r>
                    <w:rPr>
                      <w:rFonts w:hAnsi="宋体"/>
                      <w:szCs w:val="21"/>
                    </w:rPr>
                    <w:t>和</w:t>
                  </w:r>
                  <w:r>
                    <w:rPr>
                      <w:szCs w:val="21"/>
                    </w:rPr>
                    <w:t xml:space="preserve"> 80%</w:t>
                  </w:r>
                  <w:r>
                    <w:rPr>
                      <w:rFonts w:hAnsi="宋体"/>
                      <w:szCs w:val="21"/>
                    </w:rPr>
                    <w:t>；去除率确实达不到的，生产车间或生产设备的无组织排放监控点</w:t>
                  </w:r>
                  <w:r>
                    <w:rPr>
                      <w:szCs w:val="21"/>
                    </w:rPr>
                    <w:t xml:space="preserve"> NMHC</w:t>
                  </w:r>
                  <w:r>
                    <w:rPr>
                      <w:rFonts w:hAnsi="宋体"/>
                      <w:szCs w:val="21"/>
                    </w:rPr>
                    <w:t>浓度低于</w:t>
                  </w:r>
                  <w:r>
                    <w:rPr>
                      <w:szCs w:val="21"/>
                    </w:rPr>
                    <w:t xml:space="preserve"> 4mg/m³</w:t>
                  </w:r>
                  <w:r>
                    <w:rPr>
                      <w:rFonts w:hAnsi="宋体"/>
                      <w:szCs w:val="21"/>
                    </w:rPr>
                    <w:t>，企业边界</w:t>
                  </w:r>
                  <w:r>
                    <w:rPr>
                      <w:szCs w:val="21"/>
                    </w:rPr>
                    <w:t xml:space="preserve"> 1hNMHC </w:t>
                  </w:r>
                  <w:r>
                    <w:rPr>
                      <w:rFonts w:hAnsi="宋体"/>
                      <w:szCs w:val="21"/>
                    </w:rPr>
                    <w:t>平均浓度低于</w:t>
                  </w:r>
                  <w:r>
                    <w:rPr>
                      <w:szCs w:val="21"/>
                    </w:rPr>
                    <w:t xml:space="preserve"> 2mg/m³</w:t>
                  </w:r>
                  <w:r>
                    <w:rPr>
                      <w:rFonts w:hAnsi="宋体"/>
                      <w:szCs w:val="21"/>
                    </w:rPr>
                    <w:t>；</w:t>
                  </w:r>
                </w:p>
              </w:tc>
              <w:tc>
                <w:tcPr>
                  <w:tcW w:w="1722" w:type="pct"/>
                  <w:vAlign w:val="center"/>
                </w:tcPr>
                <w:p>
                  <w:pPr>
                    <w:spacing w:line="400" w:lineRule="exact"/>
                    <w:jc w:val="left"/>
                    <w:rPr>
                      <w:szCs w:val="21"/>
                    </w:rPr>
                  </w:pPr>
                  <w:r>
                    <w:rPr>
                      <w:szCs w:val="21"/>
                    </w:rPr>
                    <w:t>VOCs</w:t>
                  </w:r>
                  <w:r>
                    <w:rPr>
                      <w:rFonts w:hAnsi="宋体"/>
                      <w:szCs w:val="21"/>
                    </w:rPr>
                    <w:t>治理设施按要求同步运行率达到</w:t>
                  </w:r>
                  <w:r>
                    <w:rPr>
                      <w:szCs w:val="21"/>
                    </w:rPr>
                    <w:t>100%</w:t>
                  </w:r>
                  <w:r>
                    <w:rPr>
                      <w:rFonts w:hAnsi="宋体"/>
                      <w:szCs w:val="21"/>
                    </w:rPr>
                    <w:t>，去除达到</w:t>
                  </w:r>
                  <w:r>
                    <w:rPr>
                      <w:szCs w:val="21"/>
                    </w:rPr>
                    <w:t>80%</w:t>
                  </w:r>
                </w:p>
              </w:tc>
              <w:tc>
                <w:tcPr>
                  <w:tcW w:w="438" w:type="pct"/>
                  <w:vAlign w:val="center"/>
                </w:tcPr>
                <w:p>
                  <w:pPr>
                    <w:spacing w:line="400" w:lineRule="exact"/>
                    <w:jc w:val="center"/>
                    <w:rPr>
                      <w:bCs/>
                      <w:szCs w:val="21"/>
                    </w:rPr>
                  </w:pPr>
                  <w:r>
                    <w:rPr>
                      <w:rFonts w:hAnsi="宋体"/>
                      <w:bCs/>
                      <w:szCs w:val="21"/>
                    </w:rPr>
                    <w:t>相符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1689" w:hRule="atLeast"/>
              </w:trPr>
              <w:tc>
                <w:tcPr>
                  <w:tcW w:w="489" w:type="pct"/>
                  <w:vMerge w:val="continue"/>
                  <w:vAlign w:val="center"/>
                </w:tcPr>
                <w:p>
                  <w:pPr>
                    <w:spacing w:line="400" w:lineRule="exact"/>
                    <w:jc w:val="center"/>
                    <w:rPr>
                      <w:szCs w:val="21"/>
                    </w:rPr>
                  </w:pPr>
                </w:p>
              </w:tc>
              <w:tc>
                <w:tcPr>
                  <w:tcW w:w="2351" w:type="pct"/>
                  <w:vAlign w:val="center"/>
                </w:tcPr>
                <w:p>
                  <w:pPr>
                    <w:spacing w:line="400" w:lineRule="exact"/>
                    <w:rPr>
                      <w:szCs w:val="21"/>
                    </w:rPr>
                  </w:pPr>
                  <w:r>
                    <w:rPr>
                      <w:szCs w:val="21"/>
                    </w:rPr>
                    <w:t>3.</w:t>
                  </w:r>
                  <w:r>
                    <w:rPr>
                      <w:rFonts w:hAnsi="宋体"/>
                      <w:szCs w:val="21"/>
                    </w:rPr>
                    <w:t>锅炉烟气排放限值要求：</w:t>
                  </w:r>
                </w:p>
                <w:p>
                  <w:pPr>
                    <w:spacing w:line="400" w:lineRule="exact"/>
                    <w:rPr>
                      <w:szCs w:val="21"/>
                    </w:rPr>
                  </w:pPr>
                  <w:r>
                    <w:rPr>
                      <w:rFonts w:hAnsi="宋体"/>
                      <w:szCs w:val="21"/>
                    </w:rPr>
                    <w:t>（</w:t>
                  </w:r>
                  <w:r>
                    <w:rPr>
                      <w:szCs w:val="21"/>
                    </w:rPr>
                    <w:t>1</w:t>
                  </w:r>
                  <w:r>
                    <w:rPr>
                      <w:rFonts w:hAnsi="宋体"/>
                      <w:szCs w:val="21"/>
                    </w:rPr>
                    <w:t>）</w:t>
                  </w:r>
                  <w:r>
                    <w:rPr>
                      <w:szCs w:val="21"/>
                    </w:rPr>
                    <w:t>PM</w:t>
                  </w:r>
                  <w:r>
                    <w:rPr>
                      <w:rFonts w:hAnsi="宋体"/>
                      <w:szCs w:val="21"/>
                    </w:rPr>
                    <w:t>、</w:t>
                  </w:r>
                  <w:r>
                    <w:rPr>
                      <w:szCs w:val="21"/>
                    </w:rPr>
                    <w:t>SO</w:t>
                  </w:r>
                  <w:r>
                    <w:rPr>
                      <w:szCs w:val="21"/>
                      <w:vertAlign w:val="subscript"/>
                    </w:rPr>
                    <w:t>2</w:t>
                  </w:r>
                  <w:r>
                    <w:rPr>
                      <w:rFonts w:hAnsi="宋体"/>
                      <w:szCs w:val="21"/>
                    </w:rPr>
                    <w:t>、</w:t>
                  </w:r>
                  <w:r>
                    <w:rPr>
                      <w:szCs w:val="21"/>
                    </w:rPr>
                    <w:t>NO</w:t>
                  </w:r>
                  <w:r>
                    <w:rPr>
                      <w:sz w:val="32"/>
                      <w:szCs w:val="32"/>
                      <w:vertAlign w:val="subscript"/>
                    </w:rPr>
                    <w:t>x</w:t>
                  </w:r>
                  <w:r>
                    <w:rPr>
                      <w:szCs w:val="21"/>
                    </w:rPr>
                    <w:t xml:space="preserve"> </w:t>
                  </w:r>
                  <w:r>
                    <w:rPr>
                      <w:rFonts w:hAnsi="宋体"/>
                      <w:szCs w:val="21"/>
                    </w:rPr>
                    <w:t>排放浓度分别不高于：</w:t>
                  </w:r>
                </w:p>
                <w:p>
                  <w:pPr>
                    <w:spacing w:line="400" w:lineRule="exact"/>
                    <w:rPr>
                      <w:szCs w:val="21"/>
                    </w:rPr>
                  </w:pPr>
                  <w:r>
                    <w:rPr>
                      <w:szCs w:val="21"/>
                    </w:rPr>
                    <w:t xml:space="preserve">a) </w:t>
                  </w:r>
                  <w:r>
                    <w:rPr>
                      <w:rFonts w:hAnsi="宋体"/>
                      <w:szCs w:val="21"/>
                    </w:rPr>
                    <w:t>燃煤</w:t>
                  </w:r>
                  <w:r>
                    <w:rPr>
                      <w:szCs w:val="21"/>
                    </w:rPr>
                    <w:t>/</w:t>
                  </w:r>
                  <w:r>
                    <w:rPr>
                      <w:rFonts w:hAnsi="宋体"/>
                      <w:szCs w:val="21"/>
                    </w:rPr>
                    <w:t>生物质：</w:t>
                  </w:r>
                  <w:r>
                    <w:rPr>
                      <w:szCs w:val="21"/>
                    </w:rPr>
                    <w:t>10</w:t>
                  </w:r>
                  <w:r>
                    <w:rPr>
                      <w:rFonts w:hAnsi="宋体"/>
                      <w:szCs w:val="21"/>
                    </w:rPr>
                    <w:t>、</w:t>
                  </w:r>
                  <w:r>
                    <w:rPr>
                      <w:szCs w:val="21"/>
                    </w:rPr>
                    <w:t>35</w:t>
                  </w:r>
                  <w:r>
                    <w:rPr>
                      <w:rFonts w:hAnsi="宋体"/>
                      <w:szCs w:val="21"/>
                    </w:rPr>
                    <w:t>、</w:t>
                  </w:r>
                  <w:r>
                    <w:rPr>
                      <w:szCs w:val="21"/>
                    </w:rPr>
                    <w:t>50mg/m</w:t>
                  </w:r>
                  <w:r>
                    <w:rPr>
                      <w:szCs w:val="21"/>
                      <w:vertAlign w:val="superscript"/>
                    </w:rPr>
                    <w:t>3</w:t>
                  </w:r>
                </w:p>
                <w:p>
                  <w:pPr>
                    <w:spacing w:line="400" w:lineRule="exact"/>
                    <w:rPr>
                      <w:szCs w:val="21"/>
                    </w:rPr>
                  </w:pPr>
                  <w:r>
                    <w:rPr>
                      <w:szCs w:val="21"/>
                    </w:rPr>
                    <w:t xml:space="preserve">b) </w:t>
                  </w:r>
                  <w:r>
                    <w:rPr>
                      <w:rFonts w:hAnsi="宋体"/>
                      <w:szCs w:val="21"/>
                    </w:rPr>
                    <w:t>燃油：</w:t>
                  </w:r>
                  <w:r>
                    <w:rPr>
                      <w:szCs w:val="21"/>
                    </w:rPr>
                    <w:t>10</w:t>
                  </w:r>
                  <w:r>
                    <w:rPr>
                      <w:rFonts w:hAnsi="宋体"/>
                      <w:szCs w:val="21"/>
                    </w:rPr>
                    <w:t>、</w:t>
                  </w:r>
                  <w:r>
                    <w:rPr>
                      <w:szCs w:val="21"/>
                    </w:rPr>
                    <w:t>20</w:t>
                  </w:r>
                  <w:r>
                    <w:rPr>
                      <w:rFonts w:hAnsi="宋体"/>
                      <w:szCs w:val="21"/>
                    </w:rPr>
                    <w:t>、</w:t>
                  </w:r>
                  <w:r>
                    <w:rPr>
                      <w:szCs w:val="21"/>
                    </w:rPr>
                    <w:t>80mg/m</w:t>
                  </w:r>
                  <w:r>
                    <w:rPr>
                      <w:szCs w:val="21"/>
                      <w:vertAlign w:val="superscript"/>
                    </w:rPr>
                    <w:t>3</w:t>
                  </w:r>
                  <w:r>
                    <w:rPr>
                      <w:rFonts w:hAnsi="宋体"/>
                      <w:szCs w:val="21"/>
                    </w:rPr>
                    <w:t>（基准氧含量：燃油</w:t>
                  </w:r>
                  <w:r>
                    <w:rPr>
                      <w:szCs w:val="21"/>
                    </w:rPr>
                    <w:t xml:space="preserve"> 3.5%</w:t>
                  </w:r>
                  <w:r>
                    <w:rPr>
                      <w:rFonts w:hAnsi="宋体"/>
                      <w:szCs w:val="21"/>
                    </w:rPr>
                    <w:t>，燃煤</w:t>
                  </w:r>
                  <w:r>
                    <w:rPr>
                      <w:szCs w:val="21"/>
                    </w:rPr>
                    <w:t>/</w:t>
                  </w:r>
                  <w:r>
                    <w:rPr>
                      <w:rFonts w:hAnsi="宋体"/>
                      <w:szCs w:val="21"/>
                    </w:rPr>
                    <w:t>生物质</w:t>
                  </w:r>
                  <w:r>
                    <w:rPr>
                      <w:szCs w:val="21"/>
                    </w:rPr>
                    <w:t xml:space="preserve"> 9%</w:t>
                  </w:r>
                  <w:r>
                    <w:rPr>
                      <w:rFonts w:hAnsi="宋体"/>
                      <w:szCs w:val="21"/>
                    </w:rPr>
                    <w:t>）</w:t>
                  </w:r>
                  <w:r>
                    <w:rPr>
                      <w:szCs w:val="21"/>
                    </w:rPr>
                    <w:t xml:space="preserve"> </w:t>
                  </w:r>
                </w:p>
                <w:p>
                  <w:pPr>
                    <w:spacing w:line="400" w:lineRule="exact"/>
                    <w:rPr>
                      <w:szCs w:val="21"/>
                    </w:rPr>
                  </w:pPr>
                  <w:r>
                    <w:rPr>
                      <w:rFonts w:hAnsi="宋体"/>
                      <w:szCs w:val="21"/>
                    </w:rPr>
                    <w:t>（</w:t>
                  </w:r>
                  <w:r>
                    <w:rPr>
                      <w:szCs w:val="21"/>
                    </w:rPr>
                    <w:t>2</w:t>
                  </w:r>
                  <w:r>
                    <w:rPr>
                      <w:rFonts w:hAnsi="宋体"/>
                      <w:szCs w:val="21"/>
                    </w:rPr>
                    <w:t>）氨逃逸排放浓度不高于</w:t>
                  </w:r>
                  <w:r>
                    <w:rPr>
                      <w:szCs w:val="21"/>
                    </w:rPr>
                    <w:t xml:space="preserve"> 8mg/m</w:t>
                  </w:r>
                  <w:r>
                    <w:rPr>
                      <w:szCs w:val="21"/>
                      <w:vertAlign w:val="superscript"/>
                    </w:rPr>
                    <w:t>3</w:t>
                  </w:r>
                  <w:r>
                    <w:rPr>
                      <w:rFonts w:hAnsi="宋体"/>
                      <w:szCs w:val="21"/>
                    </w:rPr>
                    <w:t>（使用氨水、尿素作还原剂）。</w:t>
                  </w:r>
                </w:p>
              </w:tc>
              <w:tc>
                <w:tcPr>
                  <w:tcW w:w="1722" w:type="pct"/>
                  <w:vAlign w:val="center"/>
                </w:tcPr>
                <w:p>
                  <w:pPr>
                    <w:spacing w:line="400" w:lineRule="exact"/>
                    <w:jc w:val="left"/>
                    <w:rPr>
                      <w:szCs w:val="21"/>
                    </w:rPr>
                  </w:pPr>
                  <w:r>
                    <w:rPr>
                      <w:rFonts w:hAnsi="宋体"/>
                      <w:szCs w:val="21"/>
                    </w:rPr>
                    <w:t>不涉及</w:t>
                  </w:r>
                </w:p>
              </w:tc>
              <w:tc>
                <w:tcPr>
                  <w:tcW w:w="438" w:type="pct"/>
                  <w:vAlign w:val="center"/>
                </w:tcPr>
                <w:p>
                  <w:pPr>
                    <w:spacing w:line="400" w:lineRule="exact"/>
                    <w:jc w:val="center"/>
                    <w:rPr>
                      <w:bCs/>
                      <w:szCs w:val="21"/>
                    </w:rPr>
                  </w:pPr>
                  <w:r>
                    <w:rPr>
                      <w:bCs/>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1110" w:hRule="atLeast"/>
              </w:trPr>
              <w:tc>
                <w:tcPr>
                  <w:tcW w:w="489" w:type="pct"/>
                  <w:vMerge w:val="restart"/>
                  <w:vAlign w:val="center"/>
                </w:tcPr>
                <w:p>
                  <w:pPr>
                    <w:spacing w:line="400" w:lineRule="exact"/>
                    <w:jc w:val="center"/>
                    <w:rPr>
                      <w:szCs w:val="21"/>
                    </w:rPr>
                  </w:pPr>
                  <w:r>
                    <w:rPr>
                      <w:rFonts w:hAnsi="宋体"/>
                      <w:szCs w:val="21"/>
                    </w:rPr>
                    <w:t>监测监控水平</w:t>
                  </w:r>
                </w:p>
              </w:tc>
              <w:tc>
                <w:tcPr>
                  <w:tcW w:w="2351" w:type="pct"/>
                  <w:vAlign w:val="center"/>
                </w:tcPr>
                <w:p>
                  <w:pPr>
                    <w:widowControl/>
                    <w:spacing w:line="400" w:lineRule="exact"/>
                    <w:rPr>
                      <w:szCs w:val="21"/>
                    </w:rPr>
                  </w:pPr>
                  <w:r>
                    <w:rPr>
                      <w:kern w:val="0"/>
                      <w:szCs w:val="21"/>
                    </w:rPr>
                    <w:t>1.</w:t>
                  </w:r>
                  <w:r>
                    <w:rPr>
                      <w:rFonts w:hAnsi="宋体"/>
                      <w:kern w:val="0"/>
                      <w:szCs w:val="21"/>
                    </w:rPr>
                    <w:t>有组织排放口按生态环境部门要求安装烟气排放自动监控设施（</w:t>
                  </w:r>
                  <w:r>
                    <w:rPr>
                      <w:kern w:val="0"/>
                      <w:szCs w:val="21"/>
                    </w:rPr>
                    <w:t>CEMS</w:t>
                  </w:r>
                  <w:r>
                    <w:rPr>
                      <w:rFonts w:hAnsi="宋体"/>
                      <w:kern w:val="0"/>
                      <w:szCs w:val="21"/>
                    </w:rPr>
                    <w:t>），并按要求联网；</w:t>
                  </w:r>
                </w:p>
              </w:tc>
              <w:tc>
                <w:tcPr>
                  <w:tcW w:w="1722" w:type="pct"/>
                  <w:vAlign w:val="center"/>
                </w:tcPr>
                <w:p>
                  <w:pPr>
                    <w:widowControl/>
                    <w:spacing w:line="400" w:lineRule="exact"/>
                    <w:rPr>
                      <w:szCs w:val="21"/>
                    </w:rPr>
                  </w:pPr>
                  <w:r>
                    <w:rPr>
                      <w:rFonts w:hAnsi="宋体"/>
                      <w:kern w:val="0"/>
                      <w:szCs w:val="21"/>
                    </w:rPr>
                    <w:t>本项目不属于重点排污单位，监管部门未要求安装烟气排放自动监控设施。</w:t>
                  </w:r>
                </w:p>
              </w:tc>
              <w:tc>
                <w:tcPr>
                  <w:tcW w:w="438" w:type="pct"/>
                  <w:vMerge w:val="restart"/>
                  <w:vAlign w:val="center"/>
                </w:tcPr>
                <w:p>
                  <w:pPr>
                    <w:spacing w:line="400" w:lineRule="exact"/>
                    <w:jc w:val="center"/>
                    <w:rPr>
                      <w:szCs w:val="21"/>
                      <w:highlight w:val="yellow"/>
                    </w:rPr>
                  </w:pPr>
                  <w:r>
                    <w:rPr>
                      <w:rFonts w:hAnsi="宋体"/>
                      <w:bCs/>
                      <w:szCs w:val="21"/>
                    </w:rPr>
                    <w:t>相符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65" w:hRule="atLeast"/>
              </w:trPr>
              <w:tc>
                <w:tcPr>
                  <w:tcW w:w="489" w:type="pct"/>
                  <w:vMerge w:val="continue"/>
                  <w:vAlign w:val="center"/>
                </w:tcPr>
                <w:p>
                  <w:pPr>
                    <w:spacing w:line="400" w:lineRule="exact"/>
                    <w:jc w:val="center"/>
                    <w:rPr>
                      <w:rFonts w:hAnsi="宋体"/>
                      <w:szCs w:val="21"/>
                    </w:rPr>
                  </w:pPr>
                </w:p>
              </w:tc>
              <w:tc>
                <w:tcPr>
                  <w:tcW w:w="2351" w:type="pct"/>
                  <w:vAlign w:val="center"/>
                </w:tcPr>
                <w:p>
                  <w:pPr>
                    <w:widowControl/>
                    <w:spacing w:line="400" w:lineRule="exact"/>
                    <w:rPr>
                      <w:kern w:val="0"/>
                      <w:szCs w:val="21"/>
                    </w:rPr>
                  </w:pPr>
                  <w:r>
                    <w:rPr>
                      <w:kern w:val="0"/>
                      <w:szCs w:val="21"/>
                    </w:rPr>
                    <w:t>2.</w:t>
                  </w:r>
                  <w:r>
                    <w:rPr>
                      <w:rFonts w:hAnsi="宋体"/>
                      <w:kern w:val="0"/>
                      <w:szCs w:val="21"/>
                    </w:rPr>
                    <w:t>有组织排放口按照排污许可证要求开展自行监测；</w:t>
                  </w:r>
                </w:p>
              </w:tc>
              <w:tc>
                <w:tcPr>
                  <w:tcW w:w="1722" w:type="pct"/>
                  <w:vAlign w:val="center"/>
                </w:tcPr>
                <w:p>
                  <w:pPr>
                    <w:widowControl/>
                    <w:spacing w:line="400" w:lineRule="exact"/>
                    <w:rPr>
                      <w:kern w:val="0"/>
                      <w:szCs w:val="21"/>
                    </w:rPr>
                  </w:pPr>
                  <w:r>
                    <w:rPr>
                      <w:rFonts w:hAnsi="宋体"/>
                      <w:kern w:val="0"/>
                      <w:szCs w:val="21"/>
                    </w:rPr>
                    <w:t>项目运营后，有组织排放口按照排污许可证要求开展自行监测；</w:t>
                  </w:r>
                </w:p>
              </w:tc>
              <w:tc>
                <w:tcPr>
                  <w:tcW w:w="438" w:type="pct"/>
                  <w:vMerge w:val="continue"/>
                  <w:vAlign w:val="center"/>
                </w:tcPr>
                <w:p>
                  <w:pPr>
                    <w:spacing w:line="400" w:lineRule="exact"/>
                    <w:jc w:val="center"/>
                    <w:rPr>
                      <w:rFonts w:hAnsi="宋体"/>
                      <w:bCs/>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1480" w:hRule="atLeast"/>
              </w:trPr>
              <w:tc>
                <w:tcPr>
                  <w:tcW w:w="489" w:type="pct"/>
                  <w:vMerge w:val="continue"/>
                  <w:vAlign w:val="center"/>
                </w:tcPr>
                <w:p>
                  <w:pPr>
                    <w:spacing w:line="400" w:lineRule="exact"/>
                    <w:jc w:val="center"/>
                    <w:rPr>
                      <w:rFonts w:hAnsi="宋体"/>
                      <w:szCs w:val="21"/>
                    </w:rPr>
                  </w:pPr>
                </w:p>
              </w:tc>
              <w:tc>
                <w:tcPr>
                  <w:tcW w:w="2351" w:type="pct"/>
                  <w:vAlign w:val="center"/>
                </w:tcPr>
                <w:p>
                  <w:pPr>
                    <w:widowControl/>
                    <w:spacing w:line="400" w:lineRule="exact"/>
                    <w:rPr>
                      <w:kern w:val="0"/>
                      <w:szCs w:val="21"/>
                    </w:rPr>
                  </w:pPr>
                  <w:r>
                    <w:rPr>
                      <w:kern w:val="0"/>
                      <w:szCs w:val="21"/>
                    </w:rPr>
                    <w:t>3.</w:t>
                  </w:r>
                  <w:r>
                    <w:rPr>
                      <w:rFonts w:hAnsi="宋体"/>
                      <w:kern w:val="0"/>
                      <w:szCs w:val="21"/>
                    </w:rPr>
                    <w:t>涉气生产工序、生产装置及污染治理设施按生态环境部门要求安装用电监管设备，用电监管设备与省、市生态环境部门用电监管平台联网。</w:t>
                  </w:r>
                </w:p>
              </w:tc>
              <w:tc>
                <w:tcPr>
                  <w:tcW w:w="1722" w:type="pct"/>
                  <w:vAlign w:val="center"/>
                </w:tcPr>
                <w:p>
                  <w:pPr>
                    <w:widowControl/>
                    <w:spacing w:line="400" w:lineRule="exact"/>
                    <w:rPr>
                      <w:kern w:val="0"/>
                      <w:szCs w:val="21"/>
                    </w:rPr>
                  </w:pPr>
                  <w:r>
                    <w:rPr>
                      <w:rFonts w:hAnsi="宋体"/>
                      <w:kern w:val="0"/>
                      <w:szCs w:val="21"/>
                    </w:rPr>
                    <w:t>项目运营后，涉气生产工序、生产装置及污染治理设施按生态环境部门要求安装用电监管设备，用电监管设备与省、市生态环境部门用电监管平台联网。</w:t>
                  </w:r>
                </w:p>
              </w:tc>
              <w:tc>
                <w:tcPr>
                  <w:tcW w:w="438" w:type="pct"/>
                  <w:vMerge w:val="continue"/>
                  <w:vAlign w:val="center"/>
                </w:tcPr>
                <w:p>
                  <w:pPr>
                    <w:spacing w:line="400" w:lineRule="exact"/>
                    <w:jc w:val="center"/>
                    <w:rPr>
                      <w:rFonts w:hAnsi="宋体"/>
                      <w:bCs/>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90" w:hRule="atLeast"/>
              </w:trPr>
              <w:tc>
                <w:tcPr>
                  <w:tcW w:w="489" w:type="pct"/>
                  <w:vAlign w:val="center"/>
                </w:tcPr>
                <w:p>
                  <w:pPr>
                    <w:spacing w:line="400" w:lineRule="exact"/>
                    <w:jc w:val="center"/>
                    <w:rPr>
                      <w:szCs w:val="21"/>
                    </w:rPr>
                  </w:pPr>
                  <w:r>
                    <w:rPr>
                      <w:rFonts w:hAnsi="宋体"/>
                      <w:szCs w:val="21"/>
                    </w:rPr>
                    <w:t>环保</w:t>
                  </w:r>
                </w:p>
                <w:p>
                  <w:pPr>
                    <w:spacing w:line="400" w:lineRule="exact"/>
                    <w:jc w:val="center"/>
                    <w:rPr>
                      <w:szCs w:val="21"/>
                    </w:rPr>
                  </w:pPr>
                  <w:r>
                    <w:rPr>
                      <w:rFonts w:hAnsi="宋体"/>
                      <w:szCs w:val="21"/>
                    </w:rPr>
                    <w:t>档案</w:t>
                  </w:r>
                </w:p>
              </w:tc>
              <w:tc>
                <w:tcPr>
                  <w:tcW w:w="2351" w:type="pct"/>
                  <w:vAlign w:val="center"/>
                </w:tcPr>
                <w:p>
                  <w:pPr>
                    <w:widowControl/>
                    <w:spacing w:line="360" w:lineRule="auto"/>
                    <w:jc w:val="left"/>
                    <w:rPr>
                      <w:kern w:val="0"/>
                      <w:szCs w:val="21"/>
                    </w:rPr>
                  </w:pPr>
                  <w:r>
                    <w:rPr>
                      <w:kern w:val="0"/>
                      <w:szCs w:val="21"/>
                    </w:rPr>
                    <w:t>1.</w:t>
                  </w:r>
                  <w:r>
                    <w:rPr>
                      <w:rFonts w:hAnsi="宋体"/>
                      <w:kern w:val="0"/>
                      <w:szCs w:val="21"/>
                    </w:rPr>
                    <w:t>环评批复文件和竣工环保验收文件或环境现状评估备案证明；</w:t>
                  </w:r>
                </w:p>
                <w:p>
                  <w:pPr>
                    <w:widowControl/>
                    <w:spacing w:line="360" w:lineRule="auto"/>
                    <w:jc w:val="left"/>
                    <w:rPr>
                      <w:kern w:val="0"/>
                      <w:szCs w:val="21"/>
                    </w:rPr>
                  </w:pPr>
                  <w:r>
                    <w:rPr>
                      <w:kern w:val="0"/>
                      <w:szCs w:val="21"/>
                    </w:rPr>
                    <w:t>2.</w:t>
                  </w:r>
                  <w:r>
                    <w:rPr>
                      <w:rFonts w:hAnsi="宋体"/>
                      <w:kern w:val="0"/>
                      <w:szCs w:val="21"/>
                    </w:rPr>
                    <w:t>国家版排污许可证；</w:t>
                  </w:r>
                </w:p>
                <w:p>
                  <w:pPr>
                    <w:widowControl/>
                    <w:spacing w:line="360" w:lineRule="auto"/>
                    <w:jc w:val="left"/>
                    <w:rPr>
                      <w:kern w:val="0"/>
                      <w:szCs w:val="21"/>
                    </w:rPr>
                  </w:pPr>
                  <w:r>
                    <w:rPr>
                      <w:kern w:val="0"/>
                      <w:szCs w:val="21"/>
                    </w:rPr>
                    <w:t>3.</w:t>
                  </w:r>
                  <w:r>
                    <w:rPr>
                      <w:rFonts w:hAnsi="宋体"/>
                      <w:kern w:val="0"/>
                      <w:szCs w:val="21"/>
                    </w:rPr>
                    <w:t>环境管理制度（有组织、无组织排放长效管理机制，主要包括岗位责任制度、达标公示制度和定期巡查维护制度等）；</w:t>
                  </w:r>
                </w:p>
                <w:p>
                  <w:pPr>
                    <w:widowControl/>
                    <w:spacing w:line="360" w:lineRule="auto"/>
                    <w:jc w:val="left"/>
                    <w:rPr>
                      <w:kern w:val="0"/>
                      <w:szCs w:val="21"/>
                    </w:rPr>
                  </w:pPr>
                  <w:r>
                    <w:rPr>
                      <w:kern w:val="0"/>
                      <w:szCs w:val="21"/>
                    </w:rPr>
                    <w:t>4.</w:t>
                  </w:r>
                  <w:r>
                    <w:rPr>
                      <w:rFonts w:hAnsi="宋体"/>
                      <w:kern w:val="0"/>
                      <w:szCs w:val="21"/>
                    </w:rPr>
                    <w:t>废气治理设施运行管理规程；</w:t>
                  </w:r>
                </w:p>
                <w:p>
                  <w:pPr>
                    <w:widowControl/>
                    <w:spacing w:line="360" w:lineRule="auto"/>
                    <w:jc w:val="left"/>
                    <w:rPr>
                      <w:kern w:val="0"/>
                      <w:szCs w:val="21"/>
                    </w:rPr>
                  </w:pPr>
                  <w:r>
                    <w:rPr>
                      <w:kern w:val="0"/>
                      <w:szCs w:val="21"/>
                    </w:rPr>
                    <w:t>5.</w:t>
                  </w:r>
                  <w:r>
                    <w:rPr>
                      <w:rFonts w:hAnsi="宋体"/>
                      <w:kern w:val="0"/>
                      <w:szCs w:val="21"/>
                    </w:rPr>
                    <w:t>一年内废气监测报告（符合排污许可证监测项目及频次要求）</w:t>
                  </w:r>
                </w:p>
              </w:tc>
              <w:tc>
                <w:tcPr>
                  <w:tcW w:w="1722" w:type="pct"/>
                  <w:vAlign w:val="center"/>
                </w:tcPr>
                <w:p>
                  <w:pPr>
                    <w:spacing w:line="400" w:lineRule="exact"/>
                    <w:rPr>
                      <w:kern w:val="0"/>
                      <w:szCs w:val="21"/>
                      <w:highlight w:val="yellow"/>
                    </w:rPr>
                  </w:pPr>
                  <w:r>
                    <w:rPr>
                      <w:rFonts w:hAnsi="宋体"/>
                    </w:rPr>
                    <w:t>项目建成后按要求整理环保档案</w:t>
                  </w:r>
                </w:p>
              </w:tc>
              <w:tc>
                <w:tcPr>
                  <w:tcW w:w="438" w:type="pct"/>
                  <w:vAlign w:val="center"/>
                </w:tcPr>
                <w:p>
                  <w:pPr>
                    <w:spacing w:line="400" w:lineRule="exact"/>
                    <w:jc w:val="center"/>
                    <w:rPr>
                      <w:szCs w:val="21"/>
                      <w:highlight w:val="yellow"/>
                    </w:rPr>
                  </w:pPr>
                  <w:r>
                    <w:rPr>
                      <w:rFonts w:hAnsi="宋体"/>
                      <w:bCs/>
                      <w:szCs w:val="21"/>
                    </w:rPr>
                    <w:t>相符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65" w:hRule="atLeast"/>
              </w:trPr>
              <w:tc>
                <w:tcPr>
                  <w:tcW w:w="489" w:type="pct"/>
                  <w:vAlign w:val="center"/>
                </w:tcPr>
                <w:p>
                  <w:pPr>
                    <w:spacing w:line="400" w:lineRule="exact"/>
                    <w:jc w:val="center"/>
                    <w:rPr>
                      <w:szCs w:val="21"/>
                    </w:rPr>
                  </w:pPr>
                  <w:r>
                    <w:rPr>
                      <w:rFonts w:hAnsi="宋体"/>
                      <w:szCs w:val="21"/>
                    </w:rPr>
                    <w:t>台账</w:t>
                  </w:r>
                </w:p>
                <w:p>
                  <w:pPr>
                    <w:spacing w:line="400" w:lineRule="exact"/>
                    <w:jc w:val="center"/>
                    <w:rPr>
                      <w:szCs w:val="21"/>
                    </w:rPr>
                  </w:pPr>
                  <w:r>
                    <w:rPr>
                      <w:rFonts w:hAnsi="宋体"/>
                      <w:szCs w:val="21"/>
                    </w:rPr>
                    <w:t>记录</w:t>
                  </w:r>
                </w:p>
              </w:tc>
              <w:tc>
                <w:tcPr>
                  <w:tcW w:w="2351" w:type="pct"/>
                  <w:vAlign w:val="center"/>
                </w:tcPr>
                <w:p>
                  <w:pPr>
                    <w:widowControl/>
                    <w:spacing w:line="360" w:lineRule="auto"/>
                    <w:jc w:val="left"/>
                    <w:rPr>
                      <w:kern w:val="0"/>
                      <w:szCs w:val="21"/>
                    </w:rPr>
                  </w:pPr>
                  <w:r>
                    <w:rPr>
                      <w:kern w:val="0"/>
                      <w:szCs w:val="21"/>
                    </w:rPr>
                    <w:t>1.</w:t>
                  </w:r>
                  <w:r>
                    <w:rPr>
                      <w:rFonts w:hAnsi="宋体"/>
                      <w:kern w:val="0"/>
                      <w:szCs w:val="21"/>
                    </w:rPr>
                    <w:t>生产设施运行管理信息（生产时间、运行负荷、产品产量等）；</w:t>
                  </w:r>
                </w:p>
                <w:p>
                  <w:pPr>
                    <w:widowControl/>
                    <w:spacing w:line="360" w:lineRule="auto"/>
                    <w:jc w:val="left"/>
                    <w:rPr>
                      <w:kern w:val="0"/>
                      <w:szCs w:val="21"/>
                    </w:rPr>
                  </w:pPr>
                  <w:r>
                    <w:rPr>
                      <w:kern w:val="0"/>
                      <w:szCs w:val="21"/>
                    </w:rPr>
                    <w:t>2.</w:t>
                  </w:r>
                  <w:r>
                    <w:rPr>
                      <w:rFonts w:hAnsi="宋体"/>
                      <w:kern w:val="0"/>
                      <w:szCs w:val="21"/>
                    </w:rPr>
                    <w:t>废气污染治理设施运行管理信息；</w:t>
                  </w:r>
                </w:p>
                <w:p>
                  <w:pPr>
                    <w:widowControl/>
                    <w:spacing w:line="360" w:lineRule="auto"/>
                    <w:jc w:val="left"/>
                    <w:rPr>
                      <w:kern w:val="0"/>
                      <w:szCs w:val="21"/>
                    </w:rPr>
                  </w:pPr>
                  <w:r>
                    <w:rPr>
                      <w:kern w:val="0"/>
                      <w:szCs w:val="21"/>
                    </w:rPr>
                    <w:t>3.</w:t>
                  </w:r>
                  <w:r>
                    <w:rPr>
                      <w:rFonts w:hAnsi="宋体"/>
                      <w:kern w:val="0"/>
                      <w:szCs w:val="21"/>
                    </w:rPr>
                    <w:t>监测记录信息（主要污染排放口废气排放记录等）；</w:t>
                  </w:r>
                </w:p>
                <w:p>
                  <w:pPr>
                    <w:widowControl/>
                    <w:spacing w:line="360" w:lineRule="auto"/>
                    <w:jc w:val="left"/>
                    <w:rPr>
                      <w:kern w:val="0"/>
                      <w:szCs w:val="21"/>
                    </w:rPr>
                  </w:pPr>
                  <w:r>
                    <w:rPr>
                      <w:kern w:val="0"/>
                      <w:szCs w:val="21"/>
                    </w:rPr>
                    <w:t>4.</w:t>
                  </w:r>
                  <w:r>
                    <w:rPr>
                      <w:rFonts w:hAnsi="宋体"/>
                      <w:kern w:val="0"/>
                      <w:szCs w:val="21"/>
                    </w:rPr>
                    <w:t>主要原辅材料消耗记录；</w:t>
                  </w:r>
                </w:p>
                <w:p>
                  <w:pPr>
                    <w:widowControl/>
                    <w:spacing w:line="360" w:lineRule="auto"/>
                    <w:jc w:val="left"/>
                    <w:rPr>
                      <w:kern w:val="0"/>
                      <w:szCs w:val="21"/>
                    </w:rPr>
                  </w:pPr>
                  <w:r>
                    <w:rPr>
                      <w:kern w:val="0"/>
                      <w:szCs w:val="21"/>
                    </w:rPr>
                    <w:t>5.</w:t>
                  </w:r>
                  <w:r>
                    <w:rPr>
                      <w:rFonts w:hAnsi="宋体"/>
                      <w:kern w:val="0"/>
                      <w:szCs w:val="21"/>
                    </w:rPr>
                    <w:t>燃料消耗记录；</w:t>
                  </w:r>
                </w:p>
                <w:p>
                  <w:pPr>
                    <w:widowControl/>
                    <w:spacing w:line="360" w:lineRule="auto"/>
                    <w:jc w:val="left"/>
                    <w:rPr>
                      <w:kern w:val="0"/>
                      <w:szCs w:val="21"/>
                    </w:rPr>
                  </w:pPr>
                  <w:r>
                    <w:rPr>
                      <w:kern w:val="0"/>
                      <w:szCs w:val="21"/>
                    </w:rPr>
                    <w:t>6.</w:t>
                  </w:r>
                  <w:r>
                    <w:rPr>
                      <w:rFonts w:hAnsi="宋体"/>
                      <w:kern w:val="0"/>
                      <w:szCs w:val="21"/>
                    </w:rPr>
                    <w:t>固废、危废处理记录。</w:t>
                  </w:r>
                </w:p>
              </w:tc>
              <w:tc>
                <w:tcPr>
                  <w:tcW w:w="1722" w:type="pct"/>
                  <w:vAlign w:val="center"/>
                </w:tcPr>
                <w:p>
                  <w:pPr>
                    <w:spacing w:line="400" w:lineRule="exact"/>
                    <w:jc w:val="center"/>
                    <w:rPr>
                      <w:szCs w:val="21"/>
                    </w:rPr>
                  </w:pPr>
                  <w:r>
                    <w:rPr>
                      <w:rFonts w:hAnsi="宋体"/>
                      <w:szCs w:val="21"/>
                    </w:rPr>
                    <w:t>本项目建成投产按要求进行台账记录。</w:t>
                  </w:r>
                </w:p>
              </w:tc>
              <w:tc>
                <w:tcPr>
                  <w:tcW w:w="438" w:type="pct"/>
                  <w:vAlign w:val="center"/>
                </w:tcPr>
                <w:p>
                  <w:pPr>
                    <w:spacing w:line="400" w:lineRule="exact"/>
                    <w:jc w:val="center"/>
                    <w:rPr>
                      <w:szCs w:val="21"/>
                      <w:highlight w:val="yellow"/>
                    </w:rPr>
                  </w:pPr>
                  <w:r>
                    <w:rPr>
                      <w:rFonts w:hAnsi="宋体"/>
                      <w:bCs/>
                      <w:szCs w:val="21"/>
                    </w:rPr>
                    <w:t>相符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90" w:hRule="atLeast"/>
              </w:trPr>
              <w:tc>
                <w:tcPr>
                  <w:tcW w:w="489" w:type="pct"/>
                  <w:vAlign w:val="center"/>
                </w:tcPr>
                <w:p>
                  <w:pPr>
                    <w:spacing w:line="400" w:lineRule="exact"/>
                    <w:jc w:val="center"/>
                    <w:rPr>
                      <w:szCs w:val="21"/>
                    </w:rPr>
                  </w:pPr>
                  <w:r>
                    <w:rPr>
                      <w:rFonts w:hAnsi="宋体"/>
                      <w:szCs w:val="21"/>
                    </w:rPr>
                    <w:t>人员</w:t>
                  </w:r>
                </w:p>
                <w:p>
                  <w:pPr>
                    <w:spacing w:line="400" w:lineRule="exact"/>
                    <w:jc w:val="center"/>
                    <w:rPr>
                      <w:szCs w:val="21"/>
                    </w:rPr>
                  </w:pPr>
                  <w:r>
                    <w:rPr>
                      <w:rFonts w:hAnsi="宋体"/>
                      <w:szCs w:val="21"/>
                    </w:rPr>
                    <w:t>配置</w:t>
                  </w:r>
                </w:p>
              </w:tc>
              <w:tc>
                <w:tcPr>
                  <w:tcW w:w="2351" w:type="pct"/>
                  <w:vAlign w:val="center"/>
                </w:tcPr>
                <w:p>
                  <w:pPr>
                    <w:widowControl/>
                    <w:spacing w:line="360" w:lineRule="auto"/>
                    <w:jc w:val="left"/>
                    <w:rPr>
                      <w:kern w:val="0"/>
                      <w:szCs w:val="21"/>
                    </w:rPr>
                  </w:pPr>
                  <w:r>
                    <w:rPr>
                      <w:rFonts w:hAnsi="宋体"/>
                      <w:kern w:val="0"/>
                      <w:szCs w:val="21"/>
                    </w:rPr>
                    <w:t>配备专职环保人员，并具备相应的环境管理能力（学历、培训、从业经验等）。</w:t>
                  </w:r>
                </w:p>
              </w:tc>
              <w:tc>
                <w:tcPr>
                  <w:tcW w:w="1722" w:type="pct"/>
                  <w:vAlign w:val="center"/>
                </w:tcPr>
                <w:p>
                  <w:pPr>
                    <w:spacing w:line="400" w:lineRule="exact"/>
                    <w:jc w:val="center"/>
                    <w:rPr>
                      <w:szCs w:val="21"/>
                    </w:rPr>
                  </w:pPr>
                  <w:r>
                    <w:rPr>
                      <w:rFonts w:hAnsi="宋体"/>
                      <w:szCs w:val="21"/>
                    </w:rPr>
                    <w:t>项目配备专职环保人员，并具备相应的环境管理能力。</w:t>
                  </w:r>
                </w:p>
              </w:tc>
              <w:tc>
                <w:tcPr>
                  <w:tcW w:w="438" w:type="pct"/>
                  <w:vAlign w:val="center"/>
                </w:tcPr>
                <w:p>
                  <w:pPr>
                    <w:spacing w:line="400" w:lineRule="exact"/>
                    <w:jc w:val="center"/>
                    <w:rPr>
                      <w:szCs w:val="21"/>
                      <w:highlight w:val="yellow"/>
                    </w:rPr>
                  </w:pPr>
                  <w:r>
                    <w:rPr>
                      <w:rFonts w:hAnsi="宋体"/>
                      <w:bCs/>
                      <w:szCs w:val="21"/>
                    </w:rPr>
                    <w:t>相符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7" w:hRule="atLeast"/>
              </w:trPr>
              <w:tc>
                <w:tcPr>
                  <w:tcW w:w="489" w:type="pct"/>
                  <w:vAlign w:val="center"/>
                </w:tcPr>
                <w:p>
                  <w:pPr>
                    <w:spacing w:line="400" w:lineRule="exact"/>
                    <w:jc w:val="center"/>
                    <w:rPr>
                      <w:szCs w:val="21"/>
                    </w:rPr>
                  </w:pPr>
                  <w:r>
                    <w:rPr>
                      <w:rFonts w:hAnsi="宋体"/>
                      <w:szCs w:val="21"/>
                    </w:rPr>
                    <w:t>运输方式</w:t>
                  </w:r>
                </w:p>
              </w:tc>
              <w:tc>
                <w:tcPr>
                  <w:tcW w:w="2351" w:type="pct"/>
                  <w:vAlign w:val="center"/>
                </w:tcPr>
                <w:p>
                  <w:pPr>
                    <w:widowControl/>
                    <w:spacing w:line="360" w:lineRule="auto"/>
                    <w:jc w:val="left"/>
                    <w:rPr>
                      <w:kern w:val="0"/>
                      <w:szCs w:val="21"/>
                    </w:rPr>
                  </w:pPr>
                  <w:r>
                    <w:rPr>
                      <w:kern w:val="0"/>
                      <w:szCs w:val="21"/>
                    </w:rPr>
                    <w:t>1.</w:t>
                  </w:r>
                  <w:r>
                    <w:rPr>
                      <w:rFonts w:hAnsi="宋体"/>
                      <w:kern w:val="0"/>
                      <w:szCs w:val="21"/>
                    </w:rPr>
                    <w:t>公路运输使用国五及以上排放标准的重型载货车辆（含燃气）或新能源车辆比例不低于</w:t>
                  </w:r>
                  <w:r>
                    <w:rPr>
                      <w:kern w:val="0"/>
                      <w:szCs w:val="21"/>
                    </w:rPr>
                    <w:t>80%</w:t>
                  </w:r>
                  <w:r>
                    <w:rPr>
                      <w:rFonts w:hAnsi="宋体"/>
                      <w:kern w:val="0"/>
                      <w:szCs w:val="21"/>
                    </w:rPr>
                    <w:t>，其他车辆达到国四排放标准；</w:t>
                  </w:r>
                </w:p>
                <w:p>
                  <w:pPr>
                    <w:widowControl/>
                    <w:spacing w:line="360" w:lineRule="auto"/>
                    <w:jc w:val="left"/>
                    <w:rPr>
                      <w:kern w:val="0"/>
                      <w:szCs w:val="21"/>
                    </w:rPr>
                  </w:pPr>
                  <w:r>
                    <w:rPr>
                      <w:kern w:val="0"/>
                      <w:szCs w:val="21"/>
                    </w:rPr>
                    <w:t>2.</w:t>
                  </w:r>
                  <w:r>
                    <w:rPr>
                      <w:rFonts w:hAnsi="宋体"/>
                      <w:kern w:val="0"/>
                      <w:szCs w:val="21"/>
                    </w:rPr>
                    <w:t>厂内运输车辆达到国五及以上排放标准（含燃气）或使用新能源车辆比例不低于</w:t>
                  </w:r>
                  <w:r>
                    <w:rPr>
                      <w:kern w:val="0"/>
                      <w:szCs w:val="21"/>
                    </w:rPr>
                    <w:t xml:space="preserve"> 80%</w:t>
                  </w:r>
                  <w:r>
                    <w:rPr>
                      <w:rFonts w:hAnsi="宋体"/>
                      <w:kern w:val="0"/>
                      <w:szCs w:val="21"/>
                    </w:rPr>
                    <w:t>，其他车辆达到国四排放标准；</w:t>
                  </w:r>
                </w:p>
                <w:p>
                  <w:pPr>
                    <w:widowControl/>
                    <w:spacing w:line="360" w:lineRule="auto"/>
                    <w:jc w:val="left"/>
                    <w:rPr>
                      <w:kern w:val="0"/>
                      <w:szCs w:val="21"/>
                    </w:rPr>
                  </w:pPr>
                  <w:r>
                    <w:rPr>
                      <w:kern w:val="0"/>
                      <w:szCs w:val="21"/>
                    </w:rPr>
                    <w:t>3.</w:t>
                  </w:r>
                  <w:r>
                    <w:rPr>
                      <w:rFonts w:hAnsi="宋体"/>
                      <w:kern w:val="0"/>
                      <w:szCs w:val="21"/>
                    </w:rPr>
                    <w:t>厂内非道路移动机械达到国三及以上排放标准或使用新能源机械比例不低于</w:t>
                  </w:r>
                  <w:r>
                    <w:rPr>
                      <w:kern w:val="0"/>
                      <w:szCs w:val="21"/>
                    </w:rPr>
                    <w:t>80%</w:t>
                  </w:r>
                  <w:r>
                    <w:rPr>
                      <w:rFonts w:hAnsi="宋体"/>
                      <w:kern w:val="0"/>
                      <w:szCs w:val="21"/>
                    </w:rPr>
                    <w:t>。</w:t>
                  </w:r>
                </w:p>
              </w:tc>
              <w:tc>
                <w:tcPr>
                  <w:tcW w:w="1722" w:type="pct"/>
                  <w:vAlign w:val="center"/>
                </w:tcPr>
                <w:p>
                  <w:pPr>
                    <w:spacing w:line="360" w:lineRule="auto"/>
                    <w:jc w:val="center"/>
                    <w:rPr>
                      <w:kern w:val="0"/>
                      <w:szCs w:val="21"/>
                    </w:rPr>
                  </w:pPr>
                  <w:r>
                    <w:rPr>
                      <w:kern w:val="0"/>
                      <w:szCs w:val="21"/>
                    </w:rPr>
                    <w:t>1.</w:t>
                  </w:r>
                  <w:r>
                    <w:rPr>
                      <w:rFonts w:hAnsi="宋体"/>
                      <w:kern w:val="0"/>
                      <w:szCs w:val="21"/>
                    </w:rPr>
                    <w:t>本项目公路运输使用国五及以上排放标准的重型载货车辆（含燃气）或新能源车辆。</w:t>
                  </w:r>
                </w:p>
                <w:p>
                  <w:pPr>
                    <w:widowControl/>
                    <w:spacing w:line="360" w:lineRule="auto"/>
                    <w:jc w:val="center"/>
                    <w:rPr>
                      <w:kern w:val="0"/>
                      <w:szCs w:val="21"/>
                    </w:rPr>
                  </w:pPr>
                  <w:r>
                    <w:rPr>
                      <w:kern w:val="0"/>
                      <w:szCs w:val="21"/>
                    </w:rPr>
                    <w:t>2.</w:t>
                  </w:r>
                  <w:r>
                    <w:rPr>
                      <w:rFonts w:hAnsi="宋体"/>
                      <w:kern w:val="0"/>
                      <w:szCs w:val="21"/>
                    </w:rPr>
                    <w:t>厂内运输车辆使用国五及以上排放标准（含燃气）或使用新能源车辆。</w:t>
                  </w:r>
                </w:p>
                <w:p>
                  <w:pPr>
                    <w:spacing w:line="360" w:lineRule="auto"/>
                    <w:jc w:val="center"/>
                    <w:rPr>
                      <w:kern w:val="0"/>
                      <w:szCs w:val="21"/>
                    </w:rPr>
                  </w:pPr>
                  <w:r>
                    <w:rPr>
                      <w:kern w:val="0"/>
                      <w:szCs w:val="21"/>
                    </w:rPr>
                    <w:t>3.</w:t>
                  </w:r>
                  <w:r>
                    <w:rPr>
                      <w:rFonts w:hAnsi="宋体"/>
                      <w:kern w:val="0"/>
                      <w:szCs w:val="21"/>
                    </w:rPr>
                    <w:t>厂内非道路移动机械达到国三及以上排放标准。</w:t>
                  </w:r>
                </w:p>
              </w:tc>
              <w:tc>
                <w:tcPr>
                  <w:tcW w:w="438" w:type="pct"/>
                  <w:vAlign w:val="center"/>
                </w:tcPr>
                <w:p>
                  <w:pPr>
                    <w:spacing w:line="400" w:lineRule="exact"/>
                    <w:jc w:val="center"/>
                    <w:rPr>
                      <w:szCs w:val="21"/>
                      <w:highlight w:val="yellow"/>
                    </w:rPr>
                  </w:pPr>
                  <w:r>
                    <w:rPr>
                      <w:rFonts w:hAnsi="宋体"/>
                      <w:bCs/>
                      <w:szCs w:val="21"/>
                    </w:rPr>
                    <w:t>相符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1220" w:hRule="atLeast"/>
              </w:trPr>
              <w:tc>
                <w:tcPr>
                  <w:tcW w:w="489" w:type="pct"/>
                  <w:vAlign w:val="center"/>
                </w:tcPr>
                <w:p>
                  <w:pPr>
                    <w:spacing w:line="400" w:lineRule="exact"/>
                    <w:jc w:val="center"/>
                    <w:rPr>
                      <w:szCs w:val="21"/>
                    </w:rPr>
                  </w:pPr>
                  <w:r>
                    <w:rPr>
                      <w:rFonts w:hAnsi="宋体"/>
                      <w:szCs w:val="21"/>
                    </w:rPr>
                    <w:t>运输监管</w:t>
                  </w:r>
                </w:p>
              </w:tc>
              <w:tc>
                <w:tcPr>
                  <w:tcW w:w="2351" w:type="pct"/>
                  <w:vAlign w:val="center"/>
                </w:tcPr>
                <w:p>
                  <w:pPr>
                    <w:widowControl/>
                    <w:spacing w:line="360" w:lineRule="auto"/>
                    <w:jc w:val="center"/>
                    <w:rPr>
                      <w:kern w:val="0"/>
                      <w:szCs w:val="21"/>
                    </w:rPr>
                  </w:pPr>
                  <w:r>
                    <w:rPr>
                      <w:rFonts w:hAnsi="宋体"/>
                      <w:kern w:val="0"/>
                      <w:szCs w:val="21"/>
                    </w:rPr>
                    <w:t>日均进出货物</w:t>
                  </w:r>
                  <w:r>
                    <w:rPr>
                      <w:kern w:val="0"/>
                      <w:szCs w:val="21"/>
                    </w:rPr>
                    <w:t>150</w:t>
                  </w:r>
                  <w:r>
                    <w:rPr>
                      <w:rFonts w:hAnsi="宋体"/>
                      <w:kern w:val="0"/>
                      <w:szCs w:val="21"/>
                    </w:rPr>
                    <w:t>吨（或载货车辆日进出</w:t>
                  </w:r>
                  <w:r>
                    <w:rPr>
                      <w:kern w:val="0"/>
                      <w:szCs w:val="21"/>
                    </w:rPr>
                    <w:t>10</w:t>
                  </w:r>
                  <w:r>
                    <w:rPr>
                      <w:rFonts w:hAnsi="宋体"/>
                      <w:kern w:val="0"/>
                      <w:szCs w:val="21"/>
                    </w:rPr>
                    <w:t>辆次）及以上（货物包括原料、辅料、燃料、产品和其他与生产相关物料）的企业，或纳入我省重点行业年产值</w:t>
                  </w:r>
                  <w:r>
                    <w:rPr>
                      <w:kern w:val="0"/>
                      <w:szCs w:val="21"/>
                    </w:rPr>
                    <w:t>1000</w:t>
                  </w:r>
                  <w:r>
                    <w:rPr>
                      <w:rFonts w:hAnsi="宋体"/>
                      <w:kern w:val="0"/>
                      <w:szCs w:val="21"/>
                    </w:rPr>
                    <w:t>万及以上的企业，应参照《重污染天气重点行业移动</w:t>
                  </w:r>
                  <w:r>
                    <w:rPr>
                      <w:kern w:val="0"/>
                      <w:szCs w:val="21"/>
                    </w:rPr>
                    <w:cr/>
                  </w:r>
                  <w:r>
                    <w:rPr>
                      <w:rFonts w:hAnsi="宋体"/>
                      <w:kern w:val="0"/>
                      <w:szCs w:val="21"/>
                    </w:rPr>
                    <w:t>应急</w:t>
                  </w:r>
                  <w:r>
                    <w:rPr>
                      <w:kern w:val="0"/>
                      <w:szCs w:val="21"/>
                    </w:rPr>
                    <w:cr/>
                  </w:r>
                  <w:r>
                    <w:rPr>
                      <w:rFonts w:hAnsi="宋体"/>
                      <w:kern w:val="0"/>
                      <w:szCs w:val="21"/>
                    </w:rPr>
                    <w:t>理技术指南》建立门禁视频监控系统和电子台账；其他企业建立电子台账。</w:t>
                  </w:r>
                </w:p>
              </w:tc>
              <w:tc>
                <w:tcPr>
                  <w:tcW w:w="1722" w:type="pct"/>
                  <w:vAlign w:val="center"/>
                </w:tcPr>
                <w:p>
                  <w:pPr>
                    <w:spacing w:line="400" w:lineRule="exact"/>
                    <w:jc w:val="center"/>
                    <w:rPr>
                      <w:kern w:val="0"/>
                      <w:szCs w:val="21"/>
                    </w:rPr>
                  </w:pPr>
                  <w:r>
                    <w:rPr>
                      <w:rFonts w:hAnsi="宋体"/>
                      <w:kern w:val="0"/>
                      <w:szCs w:val="21"/>
                    </w:rPr>
                    <w:t>本项目建成后厂区货运出入口按要求建立电子台账。</w:t>
                  </w:r>
                </w:p>
              </w:tc>
              <w:tc>
                <w:tcPr>
                  <w:tcW w:w="438" w:type="pct"/>
                  <w:vAlign w:val="center"/>
                </w:tcPr>
                <w:p>
                  <w:pPr>
                    <w:spacing w:line="400" w:lineRule="exact"/>
                    <w:jc w:val="center"/>
                    <w:rPr>
                      <w:szCs w:val="21"/>
                    </w:rPr>
                  </w:pPr>
                  <w:r>
                    <w:rPr>
                      <w:rFonts w:hAnsi="宋体"/>
                      <w:bCs/>
                      <w:szCs w:val="21"/>
                    </w:rPr>
                    <w:t>相符</w:t>
                  </w:r>
                </w:p>
              </w:tc>
            </w:tr>
          </w:tbl>
          <w:p>
            <w:pPr>
              <w:pStyle w:val="91"/>
              <w:ind w:firstLine="480" w:firstLineChars="200"/>
              <w:rPr>
                <w:rFonts w:ascii="宋体" w:hAnsi="宋体" w:eastAsia="宋体"/>
                <w:b w:val="0"/>
                <w:color w:val="auto"/>
              </w:rPr>
            </w:pPr>
            <w:r>
              <w:rPr>
                <w:rFonts w:hint="eastAsia" w:ascii="宋体" w:hAnsi="宋体" w:eastAsia="宋体"/>
                <w:b w:val="0"/>
                <w:color w:val="auto"/>
              </w:rPr>
              <w:t>由上表可知，本项目建成后可符合《河南省生态环境厅关于做好2021年重点行业绩效分级和重污染天气应急减排清单修订工作的通知》（豫环文〔2021〕94号）中塑料制品企业绩效分级A级企业要求。</w:t>
            </w:r>
          </w:p>
          <w:p>
            <w:pPr>
              <w:pStyle w:val="99"/>
              <w:ind w:firstLine="0" w:firstLineChars="0"/>
              <w:rPr>
                <w:b/>
                <w:u w:val="single"/>
              </w:rPr>
            </w:pPr>
            <w:r>
              <w:rPr>
                <w:rFonts w:hint="eastAsia"/>
                <w:b/>
                <w:u w:val="single"/>
              </w:rPr>
              <w:t>9</w:t>
            </w:r>
            <w:r>
              <w:rPr>
                <w:b/>
                <w:u w:val="single"/>
              </w:rPr>
              <w:t>、与《重污染天气重点行业应急减排措施制定技术指南（2020 年修订版）》相符性分析</w:t>
            </w:r>
          </w:p>
          <w:p>
            <w:pPr>
              <w:pStyle w:val="99"/>
              <w:ind w:firstLine="482"/>
              <w:rPr>
                <w:b/>
                <w:u w:val="single"/>
              </w:rPr>
            </w:pPr>
            <w:r>
              <w:rPr>
                <w:rFonts w:hint="eastAsia"/>
                <w:b/>
                <w:u w:val="single"/>
              </w:rPr>
              <w:t>本项目涉及印刷工序，需满足</w:t>
            </w:r>
            <w:r>
              <w:rPr>
                <w:b/>
                <w:u w:val="single"/>
              </w:rPr>
              <w:t>《重污染天气重点行业应急减排措施制定技术指南（2020 年修订版）》“三十一、包装印刷，（四）绩效分级指标”中“包装印刷业绩效分级指标”</w:t>
            </w:r>
          </w:p>
          <w:p>
            <w:pPr>
              <w:pStyle w:val="99"/>
              <w:ind w:firstLine="482"/>
              <w:rPr>
                <w:b/>
                <w:u w:val="single"/>
              </w:rPr>
            </w:pPr>
            <w:r>
              <w:rPr>
                <w:b/>
                <w:u w:val="single"/>
              </w:rPr>
              <w:t xml:space="preserve">表 </w:t>
            </w:r>
            <w:r>
              <w:rPr>
                <w:rFonts w:hint="eastAsia"/>
                <w:b/>
                <w:u w:val="single"/>
              </w:rPr>
              <w:t>8</w:t>
            </w:r>
            <w:r>
              <w:rPr>
                <w:b/>
                <w:u w:val="single"/>
              </w:rPr>
              <w:t xml:space="preserve"> </w:t>
            </w:r>
            <w:r>
              <w:rPr>
                <w:rFonts w:hint="eastAsia"/>
                <w:b/>
                <w:u w:val="single"/>
              </w:rPr>
              <w:t xml:space="preserve">      </w:t>
            </w:r>
            <w:r>
              <w:rPr>
                <w:b/>
                <w:u w:val="single"/>
              </w:rPr>
              <w:t>与包装印刷业绩效分级指标相符性分析一览表</w:t>
            </w:r>
          </w:p>
          <w:tbl>
            <w:tblPr>
              <w:tblStyle w:val="22"/>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694"/>
              <w:gridCol w:w="709"/>
              <w:gridCol w:w="4194"/>
              <w:gridCol w:w="2440"/>
              <w:gridCol w:w="77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c>
                <w:tcPr>
                  <w:tcW w:w="3175" w:type="pct"/>
                  <w:gridSpan w:val="3"/>
                  <w:vAlign w:val="center"/>
                </w:tcPr>
                <w:p>
                  <w:pPr>
                    <w:pStyle w:val="62"/>
                    <w:spacing w:line="400" w:lineRule="exact"/>
                    <w:rPr>
                      <w:b/>
                      <w:sz w:val="21"/>
                      <w:szCs w:val="21"/>
                      <w:highlight w:val="yellow"/>
                      <w:u w:val="single"/>
                    </w:rPr>
                  </w:pPr>
                  <w:r>
                    <w:rPr>
                      <w:rFonts w:hint="eastAsia" w:hAnsi="宋体"/>
                      <w:b/>
                      <w:sz w:val="21"/>
                      <w:szCs w:val="21"/>
                      <w:u w:val="single"/>
                    </w:rPr>
                    <w:t>《重污染天气重点行业应急减排措施制定技术指南（2020 年修订版）》“三十一、包装印刷，（四）绩效分级指标”中“包装印刷业绩效分级指标”</w:t>
                  </w:r>
                  <w:r>
                    <w:rPr>
                      <w:rFonts w:hAnsi="宋体"/>
                      <w:b/>
                      <w:sz w:val="21"/>
                      <w:szCs w:val="21"/>
                      <w:u w:val="single"/>
                    </w:rPr>
                    <w:t>（</w:t>
                  </w:r>
                  <w:r>
                    <w:rPr>
                      <w:rFonts w:hint="eastAsia"/>
                      <w:b/>
                      <w:sz w:val="21"/>
                      <w:szCs w:val="21"/>
                      <w:u w:val="single"/>
                    </w:rPr>
                    <w:t>A</w:t>
                  </w:r>
                  <w:r>
                    <w:rPr>
                      <w:rFonts w:hAnsi="宋体"/>
                      <w:b/>
                      <w:sz w:val="21"/>
                      <w:szCs w:val="21"/>
                      <w:u w:val="single"/>
                    </w:rPr>
                    <w:t>级企业）</w:t>
                  </w:r>
                </w:p>
              </w:tc>
              <w:tc>
                <w:tcPr>
                  <w:tcW w:w="1384" w:type="pct"/>
                  <w:vAlign w:val="center"/>
                </w:tcPr>
                <w:p>
                  <w:pPr>
                    <w:pStyle w:val="62"/>
                    <w:spacing w:line="400" w:lineRule="exact"/>
                    <w:rPr>
                      <w:b/>
                      <w:sz w:val="21"/>
                      <w:szCs w:val="21"/>
                      <w:u w:val="single"/>
                    </w:rPr>
                  </w:pPr>
                  <w:r>
                    <w:rPr>
                      <w:rFonts w:hAnsi="宋体"/>
                      <w:b/>
                      <w:sz w:val="21"/>
                      <w:szCs w:val="21"/>
                      <w:u w:val="single"/>
                    </w:rPr>
                    <w:t>本项目情况</w:t>
                  </w:r>
                </w:p>
              </w:tc>
              <w:tc>
                <w:tcPr>
                  <w:tcW w:w="441" w:type="pct"/>
                  <w:vAlign w:val="center"/>
                </w:tcPr>
                <w:p>
                  <w:pPr>
                    <w:pStyle w:val="62"/>
                    <w:spacing w:line="400" w:lineRule="exact"/>
                    <w:rPr>
                      <w:b/>
                      <w:sz w:val="21"/>
                      <w:szCs w:val="21"/>
                      <w:u w:val="single"/>
                    </w:rPr>
                  </w:pPr>
                  <w:r>
                    <w:rPr>
                      <w:rFonts w:hAnsi="宋体"/>
                      <w:b/>
                      <w:sz w:val="21"/>
                      <w:szCs w:val="21"/>
                      <w:u w:val="single"/>
                    </w:rPr>
                    <w:t>是否</w:t>
                  </w:r>
                </w:p>
                <w:p>
                  <w:pPr>
                    <w:pStyle w:val="62"/>
                    <w:spacing w:line="400" w:lineRule="exact"/>
                    <w:rPr>
                      <w:b/>
                      <w:sz w:val="21"/>
                      <w:szCs w:val="21"/>
                      <w:u w:val="single"/>
                    </w:rPr>
                  </w:pPr>
                  <w:r>
                    <w:rPr>
                      <w:rFonts w:hAnsi="宋体"/>
                      <w:b/>
                      <w:sz w:val="21"/>
                      <w:szCs w:val="21"/>
                      <w:u w:val="single"/>
                    </w:rPr>
                    <w:t>相符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c>
                <w:tcPr>
                  <w:tcW w:w="394" w:type="pct"/>
                  <w:vAlign w:val="center"/>
                </w:tcPr>
                <w:p>
                  <w:pPr>
                    <w:pStyle w:val="62"/>
                    <w:spacing w:line="400" w:lineRule="exact"/>
                    <w:rPr>
                      <w:b/>
                      <w:sz w:val="21"/>
                      <w:szCs w:val="21"/>
                      <w:u w:val="single"/>
                    </w:rPr>
                  </w:pPr>
                  <w:r>
                    <w:rPr>
                      <w:rFonts w:hint="eastAsia" w:hAnsi="宋体"/>
                      <w:b/>
                      <w:sz w:val="21"/>
                      <w:szCs w:val="21"/>
                      <w:u w:val="single"/>
                    </w:rPr>
                    <w:t>原辅材料</w:t>
                  </w:r>
                </w:p>
              </w:tc>
              <w:tc>
                <w:tcPr>
                  <w:tcW w:w="2781" w:type="pct"/>
                  <w:gridSpan w:val="2"/>
                  <w:vAlign w:val="center"/>
                </w:tcPr>
                <w:p>
                  <w:pPr>
                    <w:pStyle w:val="62"/>
                    <w:spacing w:line="400" w:lineRule="exact"/>
                    <w:jc w:val="left"/>
                    <w:rPr>
                      <w:b/>
                      <w:sz w:val="21"/>
                      <w:szCs w:val="21"/>
                      <w:u w:val="single"/>
                    </w:rPr>
                  </w:pPr>
                  <w:r>
                    <w:rPr>
                      <w:rFonts w:hint="eastAsia"/>
                      <w:b/>
                      <w:sz w:val="21"/>
                      <w:szCs w:val="21"/>
                      <w:u w:val="single"/>
                    </w:rPr>
                    <w:t>1、 凹版印刷工艺釆用吸收性材料印刷时，使用水性油墨(VOCs≤15%)、能量固化油墨(VOCs≤10%)等低 VOCs 含量油墨比例达 60%及以上；釆用非吸收性材料印刷时，使用水性油墨(VOCs≤30%)、能量固化油墨(VOCs≤10%)等低 VOCs 含量油墨比例达 30%及以上；</w:t>
                  </w:r>
                </w:p>
                <w:p>
                  <w:pPr>
                    <w:pStyle w:val="62"/>
                    <w:spacing w:line="400" w:lineRule="exact"/>
                    <w:jc w:val="left"/>
                    <w:rPr>
                      <w:b/>
                      <w:sz w:val="21"/>
                      <w:szCs w:val="21"/>
                      <w:u w:val="single"/>
                    </w:rPr>
                  </w:pPr>
                  <w:r>
                    <w:rPr>
                      <w:rFonts w:hint="eastAsia"/>
                      <w:b/>
                      <w:sz w:val="21"/>
                      <w:szCs w:val="21"/>
                      <w:u w:val="single"/>
                    </w:rPr>
                    <w:t>2、 柔版印刷工艺釆用吸收性材料印刷时，使用水性油墨(VOCs≤5%)的比例达100%：釆用非吸收性材料印刷时，使用水性油墨(VOCs≤25%)比例达 60%及以上；</w:t>
                  </w:r>
                </w:p>
                <w:p>
                  <w:pPr>
                    <w:pStyle w:val="62"/>
                    <w:spacing w:line="400" w:lineRule="exact"/>
                    <w:jc w:val="left"/>
                    <w:rPr>
                      <w:b/>
                      <w:sz w:val="21"/>
                      <w:szCs w:val="21"/>
                      <w:u w:val="single"/>
                    </w:rPr>
                  </w:pPr>
                  <w:r>
                    <w:rPr>
                      <w:rFonts w:hint="eastAsia"/>
                      <w:b/>
                      <w:sz w:val="21"/>
                      <w:szCs w:val="21"/>
                      <w:u w:val="single"/>
                    </w:rPr>
                    <w:t>3、 平版印刷工艺使用符合《油墨中可挥发性有机化合物(VOCs)含量的限值》(GB38507-2020)中 VOCs 含量限值要求的油墨产品比例达 100%； 100%使用无(免)醇润版液(润版液原液中 VOCs≤10%)，或使用无水印刷技术，或使用零醇润版胶印技术；</w:t>
                  </w:r>
                </w:p>
                <w:p>
                  <w:pPr>
                    <w:pStyle w:val="62"/>
                    <w:spacing w:line="400" w:lineRule="exact"/>
                    <w:jc w:val="left"/>
                    <w:rPr>
                      <w:b/>
                      <w:sz w:val="21"/>
                      <w:szCs w:val="21"/>
                      <w:u w:val="single"/>
                    </w:rPr>
                  </w:pPr>
                  <w:r>
                    <w:rPr>
                      <w:rFonts w:hint="eastAsia"/>
                      <w:b/>
                      <w:sz w:val="21"/>
                      <w:szCs w:val="21"/>
                      <w:u w:val="single"/>
                    </w:rPr>
                    <w:t>4、 丝网印刷工艺使用水性油墨(VOCs≤30% )、能量固化油墨(VOCs≤5%)的比例达 60%及以上；</w:t>
                  </w:r>
                </w:p>
                <w:p>
                  <w:pPr>
                    <w:pStyle w:val="62"/>
                    <w:spacing w:line="400" w:lineRule="exact"/>
                    <w:jc w:val="left"/>
                    <w:rPr>
                      <w:b/>
                      <w:sz w:val="21"/>
                      <w:szCs w:val="21"/>
                      <w:u w:val="single"/>
                    </w:rPr>
                  </w:pPr>
                  <w:r>
                    <w:rPr>
                      <w:rFonts w:hint="eastAsia"/>
                      <w:b/>
                      <w:sz w:val="21"/>
                      <w:szCs w:val="21"/>
                      <w:u w:val="single"/>
                    </w:rPr>
                    <w:t>5、 印铁制罐生产过程 100%使用水性油墨(VOCs≤25%)、能量固化油墨(VOCs≤2%）；100%使用水性涂料、能量固化涂料替代溶剂型涂料；</w:t>
                  </w:r>
                </w:p>
                <w:p>
                  <w:pPr>
                    <w:pStyle w:val="62"/>
                    <w:spacing w:line="400" w:lineRule="exact"/>
                    <w:jc w:val="left"/>
                    <w:rPr>
                      <w:b/>
                      <w:sz w:val="21"/>
                      <w:szCs w:val="21"/>
                      <w:u w:val="single"/>
                    </w:rPr>
                  </w:pPr>
                  <w:r>
                    <w:rPr>
                      <w:rFonts w:hint="eastAsia"/>
                      <w:b/>
                      <w:sz w:val="21"/>
                      <w:szCs w:val="21"/>
                      <w:u w:val="single"/>
                    </w:rPr>
                    <w:t>6、 复合、覆膜：使用符合《胶粘剂挥发性有机化合物限量》(GB 33372-2020)的无溶剂、水基型等非溶剂型胶粘剂比例达75%及以上；</w:t>
                  </w:r>
                </w:p>
                <w:p>
                  <w:pPr>
                    <w:pStyle w:val="62"/>
                    <w:spacing w:line="400" w:lineRule="exact"/>
                    <w:jc w:val="left"/>
                    <w:rPr>
                      <w:b/>
                      <w:sz w:val="21"/>
                      <w:szCs w:val="21"/>
                      <w:u w:val="single"/>
                    </w:rPr>
                  </w:pPr>
                  <w:r>
                    <w:rPr>
                      <w:rFonts w:hint="eastAsia"/>
                      <w:b/>
                      <w:sz w:val="21"/>
                      <w:szCs w:val="21"/>
                      <w:u w:val="single"/>
                    </w:rPr>
                    <w:t>7、 上光：使用水性、UV 等非溶剂型光油比例 100%；</w:t>
                  </w:r>
                </w:p>
                <w:p>
                  <w:pPr>
                    <w:pStyle w:val="62"/>
                    <w:spacing w:line="400" w:lineRule="exact"/>
                    <w:jc w:val="left"/>
                    <w:rPr>
                      <w:b/>
                      <w:sz w:val="21"/>
                      <w:szCs w:val="21"/>
                      <w:u w:val="single"/>
                    </w:rPr>
                  </w:pPr>
                  <w:r>
                    <w:rPr>
                      <w:rFonts w:hint="eastAsia"/>
                      <w:b/>
                      <w:sz w:val="21"/>
                      <w:szCs w:val="21"/>
                      <w:u w:val="single"/>
                    </w:rPr>
                    <w:t>8、 清洗：采用胶印油墨、UV 油墨印刷时，使用符合《清洗剂挥发性有机化合物含量限值》(GB 38508-2020)的低 VOCs 含量清洗剂比例达到 100%</w:t>
                  </w:r>
                </w:p>
              </w:tc>
              <w:tc>
                <w:tcPr>
                  <w:tcW w:w="1384" w:type="pct"/>
                  <w:vAlign w:val="center"/>
                </w:tcPr>
                <w:p>
                  <w:pPr>
                    <w:pStyle w:val="62"/>
                    <w:spacing w:line="400" w:lineRule="exact"/>
                    <w:jc w:val="left"/>
                    <w:rPr>
                      <w:b/>
                      <w:sz w:val="21"/>
                      <w:szCs w:val="21"/>
                      <w:highlight w:val="yellow"/>
                      <w:u w:val="single"/>
                    </w:rPr>
                  </w:pPr>
                  <w:r>
                    <w:rPr>
                      <w:rFonts w:hint="eastAsia" w:hAnsi="宋体"/>
                      <w:b/>
                      <w:sz w:val="21"/>
                      <w:szCs w:val="21"/>
                      <w:u w:val="single"/>
                    </w:rPr>
                    <w:t>本项目印刷工序采用的是</w:t>
                  </w:r>
                  <w:r>
                    <w:rPr>
                      <w:rFonts w:hint="eastAsia"/>
                      <w:b/>
                      <w:sz w:val="21"/>
                      <w:szCs w:val="21"/>
                      <w:u w:val="single"/>
                    </w:rPr>
                    <w:t>凹版</w:t>
                  </w:r>
                  <w:r>
                    <w:rPr>
                      <w:rFonts w:hint="eastAsia" w:hAnsi="宋体"/>
                      <w:b/>
                      <w:sz w:val="21"/>
                      <w:szCs w:val="21"/>
                      <w:u w:val="single"/>
                    </w:rPr>
                    <w:t>印刷，采用吸收性材料印刷，使用水性油墨，VOCs含量为10%，低于15%，属于</w:t>
                  </w:r>
                  <w:r>
                    <w:rPr>
                      <w:rFonts w:hint="eastAsia"/>
                      <w:b/>
                      <w:sz w:val="21"/>
                      <w:szCs w:val="21"/>
                      <w:u w:val="single"/>
                    </w:rPr>
                    <w:t>低 VOCs 含量油墨</w:t>
                  </w:r>
                  <w:r>
                    <w:rPr>
                      <w:rFonts w:hint="eastAsia" w:hAnsi="宋体"/>
                      <w:b/>
                      <w:sz w:val="21"/>
                      <w:szCs w:val="21"/>
                      <w:u w:val="single"/>
                    </w:rPr>
                    <w:t>；项目墨辊清洁使用抹布，不使用清洗剂</w:t>
                  </w:r>
                </w:p>
              </w:tc>
              <w:tc>
                <w:tcPr>
                  <w:tcW w:w="441" w:type="pct"/>
                  <w:vAlign w:val="center"/>
                </w:tcPr>
                <w:p>
                  <w:pPr>
                    <w:pStyle w:val="62"/>
                    <w:spacing w:line="400" w:lineRule="exact"/>
                    <w:rPr>
                      <w:b/>
                      <w:sz w:val="21"/>
                      <w:szCs w:val="21"/>
                      <w:u w:val="single"/>
                    </w:rPr>
                  </w:pPr>
                  <w:r>
                    <w:rPr>
                      <w:rFonts w:hAnsi="宋体"/>
                      <w:b/>
                      <w:sz w:val="21"/>
                      <w:szCs w:val="21"/>
                      <w:u w:val="singl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c>
                <w:tcPr>
                  <w:tcW w:w="394" w:type="pct"/>
                  <w:vAlign w:val="center"/>
                </w:tcPr>
                <w:p>
                  <w:pPr>
                    <w:pStyle w:val="62"/>
                    <w:spacing w:line="400" w:lineRule="exact"/>
                    <w:jc w:val="left"/>
                    <w:rPr>
                      <w:b/>
                      <w:sz w:val="21"/>
                      <w:szCs w:val="21"/>
                      <w:highlight w:val="yellow"/>
                      <w:u w:val="single"/>
                    </w:rPr>
                  </w:pPr>
                  <w:r>
                    <w:rPr>
                      <w:rFonts w:hint="eastAsia" w:hAnsi="宋体"/>
                      <w:b/>
                      <w:sz w:val="21"/>
                      <w:szCs w:val="21"/>
                      <w:u w:val="single"/>
                    </w:rPr>
                    <w:t>无组织排放</w:t>
                  </w:r>
                </w:p>
              </w:tc>
              <w:tc>
                <w:tcPr>
                  <w:tcW w:w="2781" w:type="pct"/>
                  <w:gridSpan w:val="2"/>
                  <w:vAlign w:val="center"/>
                </w:tcPr>
                <w:p>
                  <w:pPr>
                    <w:pStyle w:val="62"/>
                    <w:spacing w:line="400" w:lineRule="exact"/>
                    <w:jc w:val="left"/>
                    <w:rPr>
                      <w:b/>
                      <w:sz w:val="21"/>
                      <w:szCs w:val="21"/>
                      <w:u w:val="single"/>
                    </w:rPr>
                  </w:pPr>
                  <w:r>
                    <w:rPr>
                      <w:rFonts w:hint="eastAsia"/>
                      <w:b/>
                      <w:sz w:val="21"/>
                      <w:szCs w:val="21"/>
                      <w:u w:val="single"/>
                    </w:rPr>
                    <w:t>1、满足《挥发性有机物无组织排放控制标准》(GB 37822-2019)特别控制要求；</w:t>
                  </w:r>
                </w:p>
                <w:p>
                  <w:pPr>
                    <w:pStyle w:val="62"/>
                    <w:spacing w:line="400" w:lineRule="exact"/>
                    <w:jc w:val="left"/>
                    <w:rPr>
                      <w:b/>
                      <w:sz w:val="21"/>
                      <w:szCs w:val="21"/>
                      <w:u w:val="single"/>
                    </w:rPr>
                  </w:pPr>
                  <w:r>
                    <w:rPr>
                      <w:rFonts w:hint="eastAsia"/>
                      <w:b/>
                      <w:sz w:val="21"/>
                      <w:szCs w:val="21"/>
                      <w:u w:val="single"/>
                    </w:rPr>
                    <w:t>2、调配过程：胶印工艺使用自动配墨系统；凹印工艺调配稀释剂釆用管道集中输送系统：设置专门的调配间进行调墨、调胶等，废气排至 VOCs 废气收集处理系统；</w:t>
                  </w:r>
                </w:p>
                <w:p>
                  <w:pPr>
                    <w:pStyle w:val="62"/>
                    <w:spacing w:line="400" w:lineRule="exact"/>
                    <w:jc w:val="left"/>
                    <w:rPr>
                      <w:b/>
                      <w:sz w:val="21"/>
                      <w:szCs w:val="21"/>
                      <w:u w:val="single"/>
                    </w:rPr>
                  </w:pPr>
                  <w:r>
                    <w:rPr>
                      <w:rFonts w:hint="eastAsia"/>
                      <w:b/>
                      <w:sz w:val="21"/>
                      <w:szCs w:val="21"/>
                      <w:u w:val="single"/>
                    </w:rPr>
                    <w:t>3、供墨过程：在密闭设备或密闭负压空间内操作；向墨槽中加油墨或稀释剂时采用漏斗或软管等接驳工具；</w:t>
                  </w:r>
                </w:p>
                <w:p>
                  <w:pPr>
                    <w:pStyle w:val="62"/>
                    <w:spacing w:line="400" w:lineRule="exact"/>
                    <w:jc w:val="left"/>
                    <w:rPr>
                      <w:b/>
                      <w:sz w:val="21"/>
                      <w:szCs w:val="21"/>
                      <w:u w:val="single"/>
                    </w:rPr>
                  </w:pPr>
                  <w:r>
                    <w:rPr>
                      <w:rFonts w:hint="eastAsia"/>
                      <w:b/>
                      <w:sz w:val="21"/>
                      <w:szCs w:val="21"/>
                      <w:u w:val="single"/>
                    </w:rPr>
                    <w:t>4、印刷过程：柔版印刷机采用封闭刮刀；凹版印刷机通过安装盖板、改变墨槽开口形状等减小墨盘、墨桶、搅墨机等开口面积；烘箱密闭，保持负压；印刷机整体排风收集；</w:t>
                  </w:r>
                </w:p>
                <w:p>
                  <w:pPr>
                    <w:pStyle w:val="62"/>
                    <w:spacing w:line="400" w:lineRule="exact"/>
                    <w:jc w:val="left"/>
                    <w:rPr>
                      <w:b/>
                      <w:sz w:val="21"/>
                      <w:szCs w:val="21"/>
                      <w:u w:val="single"/>
                    </w:rPr>
                  </w:pPr>
                  <w:r>
                    <w:rPr>
                      <w:rFonts w:hint="eastAsia"/>
                      <w:b/>
                      <w:sz w:val="21"/>
                      <w:szCs w:val="21"/>
                      <w:u w:val="single"/>
                    </w:rPr>
                    <w:t>5、清洗过程：清洗专用清洗间、排风收集；沾染清洗剂的毛巾或抹布储存于密闭容器；</w:t>
                  </w:r>
                </w:p>
                <w:p>
                  <w:pPr>
                    <w:pStyle w:val="62"/>
                    <w:spacing w:line="400" w:lineRule="exact"/>
                    <w:jc w:val="left"/>
                    <w:rPr>
                      <w:b/>
                      <w:sz w:val="21"/>
                      <w:szCs w:val="21"/>
                      <w:u w:val="single"/>
                    </w:rPr>
                  </w:pPr>
                  <w:r>
                    <w:rPr>
                      <w:rFonts w:hint="eastAsia"/>
                      <w:b/>
                      <w:sz w:val="21"/>
                      <w:szCs w:val="21"/>
                      <w:u w:val="single"/>
                    </w:rPr>
                    <w:t>6、复合过程：烘箱密闭，保持负压；干式复合机整机封闭集气收集；</w:t>
                  </w:r>
                </w:p>
                <w:p>
                  <w:pPr>
                    <w:pStyle w:val="62"/>
                    <w:spacing w:line="400" w:lineRule="exact"/>
                    <w:jc w:val="left"/>
                    <w:rPr>
                      <w:b/>
                      <w:sz w:val="21"/>
                      <w:szCs w:val="21"/>
                      <w:highlight w:val="yellow"/>
                      <w:u w:val="single"/>
                    </w:rPr>
                  </w:pPr>
                  <w:r>
                    <w:rPr>
                      <w:rFonts w:hint="eastAsia"/>
                      <w:b/>
                      <w:sz w:val="21"/>
                      <w:szCs w:val="21"/>
                      <w:u w:val="single"/>
                    </w:rPr>
                    <w:t>7、存储过程：油墨、稀释剂、胶粘剂、清洗剂、上光油等 VOCs 物料密闭存储，存放于无阳光直射的场所；废油墨、废清洗剂、废活性炭等含 VOCs 的废物应分类放置于贴有标识的容器内，加盖密封，存放于无阳光直射的场所。</w:t>
                  </w:r>
                </w:p>
              </w:tc>
              <w:tc>
                <w:tcPr>
                  <w:tcW w:w="1384" w:type="pct"/>
                  <w:vAlign w:val="center"/>
                </w:tcPr>
                <w:p>
                  <w:pPr>
                    <w:pStyle w:val="62"/>
                    <w:spacing w:line="400" w:lineRule="exact"/>
                    <w:jc w:val="left"/>
                    <w:rPr>
                      <w:rFonts w:hAnsi="宋体"/>
                      <w:b/>
                      <w:sz w:val="21"/>
                      <w:szCs w:val="21"/>
                      <w:u w:val="single"/>
                    </w:rPr>
                  </w:pPr>
                  <w:r>
                    <w:rPr>
                      <w:rFonts w:hint="eastAsia" w:hAnsi="宋体"/>
                      <w:b/>
                      <w:sz w:val="21"/>
                      <w:szCs w:val="21"/>
                      <w:u w:val="single"/>
                    </w:rPr>
                    <w:t>1、按照满足《挥发性有机物无组织排放控制标准》(GB37822-2019)特别控制要求进行建设；</w:t>
                  </w:r>
                </w:p>
                <w:p>
                  <w:pPr>
                    <w:pStyle w:val="62"/>
                    <w:spacing w:line="400" w:lineRule="exact"/>
                    <w:jc w:val="left"/>
                    <w:rPr>
                      <w:rFonts w:hAnsi="宋体"/>
                      <w:b/>
                      <w:sz w:val="21"/>
                      <w:szCs w:val="21"/>
                      <w:u w:val="single"/>
                    </w:rPr>
                  </w:pPr>
                  <w:r>
                    <w:rPr>
                      <w:rFonts w:hint="eastAsia" w:hAnsi="宋体"/>
                      <w:b/>
                      <w:sz w:val="21"/>
                      <w:szCs w:val="21"/>
                      <w:u w:val="single"/>
                    </w:rPr>
                    <w:t>2、项目外购桶装水性油墨，直接开封加墨使用，不进行调配。</w:t>
                  </w:r>
                </w:p>
                <w:p>
                  <w:pPr>
                    <w:pStyle w:val="62"/>
                    <w:spacing w:line="400" w:lineRule="exact"/>
                    <w:jc w:val="left"/>
                    <w:rPr>
                      <w:rFonts w:hAnsi="宋体"/>
                      <w:b/>
                      <w:sz w:val="21"/>
                      <w:szCs w:val="21"/>
                      <w:u w:val="single"/>
                    </w:rPr>
                  </w:pPr>
                  <w:r>
                    <w:rPr>
                      <w:rFonts w:hint="eastAsia" w:hAnsi="宋体"/>
                      <w:b/>
                      <w:sz w:val="21"/>
                      <w:szCs w:val="21"/>
                      <w:u w:val="single"/>
                    </w:rPr>
                    <w:t>3、供墨过程：密闭负压空间内操作，加油墨墨时采用漏斗或软管等接驳工具；</w:t>
                  </w:r>
                </w:p>
                <w:p>
                  <w:pPr>
                    <w:pStyle w:val="62"/>
                    <w:spacing w:line="400" w:lineRule="exact"/>
                    <w:jc w:val="left"/>
                    <w:rPr>
                      <w:b/>
                      <w:sz w:val="21"/>
                      <w:szCs w:val="21"/>
                      <w:u w:val="single"/>
                    </w:rPr>
                  </w:pPr>
                  <w:r>
                    <w:rPr>
                      <w:rFonts w:hint="eastAsia" w:hAnsi="宋体"/>
                      <w:b/>
                      <w:sz w:val="21"/>
                      <w:szCs w:val="21"/>
                      <w:u w:val="single"/>
                    </w:rPr>
                    <w:t>4、印刷过程：项目为</w:t>
                  </w:r>
                  <w:r>
                    <w:rPr>
                      <w:rFonts w:hint="eastAsia"/>
                      <w:b/>
                      <w:sz w:val="21"/>
                      <w:szCs w:val="21"/>
                      <w:u w:val="single"/>
                    </w:rPr>
                    <w:t>凹版，印刷机安装盖板，保持负压、印刷机整体排风收集；</w:t>
                  </w:r>
                </w:p>
                <w:p>
                  <w:pPr>
                    <w:pStyle w:val="62"/>
                    <w:spacing w:line="400" w:lineRule="exact"/>
                    <w:jc w:val="left"/>
                    <w:rPr>
                      <w:rFonts w:hAnsi="宋体"/>
                      <w:b/>
                      <w:sz w:val="21"/>
                      <w:szCs w:val="21"/>
                      <w:u w:val="single"/>
                    </w:rPr>
                  </w:pPr>
                  <w:r>
                    <w:rPr>
                      <w:rFonts w:hint="eastAsia" w:hAnsi="宋体"/>
                      <w:b/>
                      <w:sz w:val="21"/>
                      <w:szCs w:val="21"/>
                      <w:u w:val="single"/>
                    </w:rPr>
                    <w:t>5、清洗过程：不涉及；</w:t>
                  </w:r>
                </w:p>
                <w:p>
                  <w:pPr>
                    <w:pStyle w:val="62"/>
                    <w:spacing w:line="400" w:lineRule="exact"/>
                    <w:jc w:val="left"/>
                    <w:rPr>
                      <w:rFonts w:hAnsi="宋体"/>
                      <w:b/>
                      <w:sz w:val="21"/>
                      <w:szCs w:val="21"/>
                      <w:u w:val="single"/>
                    </w:rPr>
                  </w:pPr>
                  <w:r>
                    <w:rPr>
                      <w:rFonts w:hint="eastAsia" w:hAnsi="宋体"/>
                      <w:b/>
                      <w:sz w:val="21"/>
                      <w:szCs w:val="21"/>
                      <w:u w:val="single"/>
                    </w:rPr>
                    <w:t>6、复合过程：不涉及；</w:t>
                  </w:r>
                </w:p>
                <w:p>
                  <w:pPr>
                    <w:pStyle w:val="62"/>
                    <w:spacing w:line="400" w:lineRule="exact"/>
                    <w:jc w:val="left"/>
                    <w:rPr>
                      <w:b/>
                      <w:sz w:val="21"/>
                      <w:szCs w:val="21"/>
                      <w:highlight w:val="yellow"/>
                      <w:u w:val="single"/>
                    </w:rPr>
                  </w:pPr>
                  <w:r>
                    <w:rPr>
                      <w:rFonts w:hint="eastAsia" w:hAnsi="宋体"/>
                      <w:b/>
                      <w:sz w:val="21"/>
                      <w:szCs w:val="21"/>
                      <w:u w:val="single"/>
                    </w:rPr>
                    <w:t>7. 存储过程：油墨密闭存储，存放于车间内（无阳光直射）；废油墨桶加盖封闭放置于车间内危废暂存间，废活性炭放置于过塑编织袋内，存放于车间内危废暂存间</w:t>
                  </w:r>
                </w:p>
              </w:tc>
              <w:tc>
                <w:tcPr>
                  <w:tcW w:w="441" w:type="pct"/>
                  <w:vAlign w:val="center"/>
                </w:tcPr>
                <w:p>
                  <w:pPr>
                    <w:spacing w:line="400" w:lineRule="exact"/>
                    <w:jc w:val="center"/>
                    <w:rPr>
                      <w:b/>
                      <w:szCs w:val="21"/>
                      <w:highlight w:val="yellow"/>
                      <w:u w:val="single"/>
                    </w:rPr>
                  </w:pPr>
                  <w:r>
                    <w:rPr>
                      <w:rFonts w:hAnsi="宋体"/>
                      <w:b/>
                      <w:szCs w:val="21"/>
                      <w:u w:val="singl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c>
                <w:tcPr>
                  <w:tcW w:w="394" w:type="pct"/>
                  <w:vAlign w:val="center"/>
                </w:tcPr>
                <w:p>
                  <w:pPr>
                    <w:pStyle w:val="62"/>
                    <w:spacing w:line="400" w:lineRule="exact"/>
                    <w:rPr>
                      <w:b/>
                      <w:sz w:val="21"/>
                      <w:szCs w:val="21"/>
                      <w:highlight w:val="yellow"/>
                      <w:u w:val="single"/>
                    </w:rPr>
                  </w:pPr>
                  <w:r>
                    <w:rPr>
                      <w:rFonts w:hint="eastAsia" w:hAnsi="宋体"/>
                      <w:b/>
                      <w:sz w:val="21"/>
                      <w:szCs w:val="21"/>
                      <w:u w:val="single"/>
                    </w:rPr>
                    <w:t>污染治理技术</w:t>
                  </w:r>
                </w:p>
              </w:tc>
              <w:tc>
                <w:tcPr>
                  <w:tcW w:w="2781" w:type="pct"/>
                  <w:gridSpan w:val="2"/>
                  <w:vAlign w:val="center"/>
                </w:tcPr>
                <w:p>
                  <w:pPr>
                    <w:pStyle w:val="62"/>
                    <w:spacing w:line="400" w:lineRule="exact"/>
                    <w:jc w:val="left"/>
                    <w:rPr>
                      <w:rFonts w:hAnsi="宋体"/>
                      <w:b/>
                      <w:sz w:val="21"/>
                      <w:szCs w:val="21"/>
                      <w:u w:val="single"/>
                    </w:rPr>
                  </w:pPr>
                  <w:r>
                    <w:rPr>
                      <w:rFonts w:hint="eastAsia" w:hAnsi="宋体"/>
                      <w:b/>
                      <w:sz w:val="21"/>
                      <w:szCs w:val="21"/>
                      <w:u w:val="single"/>
                    </w:rPr>
                    <w:t>1、 使用溶剂型原辅材料时，调墨、供墨、涂布（上光）、印刷、覆膜、复合、清洗等工序含VOCs废气采用燃烧、吸附+燃烧、吸附+冷凝回收、吸附等治理技术，处理效率≥90%；</w:t>
                  </w:r>
                </w:p>
                <w:p>
                  <w:pPr>
                    <w:pStyle w:val="62"/>
                    <w:spacing w:line="400" w:lineRule="exact"/>
                    <w:jc w:val="left"/>
                    <w:rPr>
                      <w:b/>
                      <w:sz w:val="21"/>
                      <w:szCs w:val="21"/>
                      <w:highlight w:val="yellow"/>
                      <w:u w:val="single"/>
                    </w:rPr>
                  </w:pPr>
                  <w:r>
                    <w:rPr>
                      <w:rFonts w:hint="eastAsia" w:hAnsi="宋体"/>
                      <w:b/>
                      <w:sz w:val="21"/>
                      <w:szCs w:val="21"/>
                      <w:u w:val="single"/>
                    </w:rPr>
                    <w:t>2、 采用平版印刷工艺或使用非溶剂型原辅材料时，当车间或生产设施排气中NMHC 初始排放速率≥2kg/h 时，建设末端治污设施，处理效率≥80%。</w:t>
                  </w:r>
                </w:p>
              </w:tc>
              <w:tc>
                <w:tcPr>
                  <w:tcW w:w="1384" w:type="pct"/>
                  <w:vAlign w:val="center"/>
                </w:tcPr>
                <w:p>
                  <w:pPr>
                    <w:pStyle w:val="62"/>
                    <w:spacing w:line="400" w:lineRule="exact"/>
                    <w:jc w:val="left"/>
                    <w:rPr>
                      <w:b/>
                      <w:sz w:val="21"/>
                      <w:szCs w:val="21"/>
                      <w:highlight w:val="yellow"/>
                      <w:u w:val="single"/>
                    </w:rPr>
                  </w:pPr>
                  <w:r>
                    <w:rPr>
                      <w:rFonts w:hint="eastAsia"/>
                      <w:b/>
                      <w:sz w:val="21"/>
                      <w:szCs w:val="21"/>
                      <w:u w:val="single"/>
                    </w:rPr>
                    <w:t>项目使用水性油墨，印刷工序含VOCs废气采用UV光氧+活性炭吸附，处理效率≥80%；</w:t>
                  </w:r>
                </w:p>
              </w:tc>
              <w:tc>
                <w:tcPr>
                  <w:tcW w:w="441" w:type="pct"/>
                  <w:vAlign w:val="center"/>
                </w:tcPr>
                <w:p>
                  <w:pPr>
                    <w:pStyle w:val="62"/>
                    <w:spacing w:line="400" w:lineRule="exact"/>
                    <w:rPr>
                      <w:b/>
                      <w:sz w:val="21"/>
                      <w:szCs w:val="21"/>
                      <w:highlight w:val="yellow"/>
                      <w:u w:val="single"/>
                    </w:rPr>
                  </w:pPr>
                  <w:r>
                    <w:rPr>
                      <w:rFonts w:hAnsi="宋体"/>
                      <w:b/>
                      <w:sz w:val="21"/>
                      <w:szCs w:val="21"/>
                      <w:u w:val="singl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c>
                <w:tcPr>
                  <w:tcW w:w="394" w:type="pct"/>
                  <w:vAlign w:val="center"/>
                </w:tcPr>
                <w:p>
                  <w:pPr>
                    <w:pStyle w:val="62"/>
                    <w:spacing w:line="400" w:lineRule="exact"/>
                    <w:rPr>
                      <w:b/>
                      <w:sz w:val="21"/>
                      <w:szCs w:val="21"/>
                      <w:highlight w:val="yellow"/>
                      <w:u w:val="single"/>
                    </w:rPr>
                  </w:pPr>
                  <w:r>
                    <w:rPr>
                      <w:rFonts w:hint="eastAsia" w:hAnsi="宋体"/>
                      <w:b/>
                      <w:sz w:val="21"/>
                      <w:szCs w:val="21"/>
                      <w:u w:val="single"/>
                    </w:rPr>
                    <w:t>排放限值</w:t>
                  </w:r>
                </w:p>
              </w:tc>
              <w:tc>
                <w:tcPr>
                  <w:tcW w:w="2781" w:type="pct"/>
                  <w:gridSpan w:val="2"/>
                  <w:vAlign w:val="center"/>
                </w:tcPr>
                <w:p>
                  <w:pPr>
                    <w:pStyle w:val="62"/>
                    <w:spacing w:line="400" w:lineRule="exact"/>
                    <w:jc w:val="left"/>
                    <w:rPr>
                      <w:b/>
                      <w:sz w:val="21"/>
                      <w:szCs w:val="21"/>
                      <w:u w:val="single"/>
                    </w:rPr>
                  </w:pPr>
                  <w:r>
                    <w:rPr>
                      <w:rFonts w:hint="eastAsia"/>
                      <w:b/>
                      <w:sz w:val="21"/>
                      <w:szCs w:val="21"/>
                      <w:u w:val="single"/>
                    </w:rPr>
                    <w:t>1、 在连续一年的监测数据中，车间或生产设施排气筒排放的 NMHC 为 20-30mg/m</w:t>
                  </w:r>
                  <w:r>
                    <w:rPr>
                      <w:rFonts w:hint="eastAsia"/>
                      <w:b/>
                      <w:sz w:val="21"/>
                      <w:szCs w:val="21"/>
                      <w:u w:val="single"/>
                      <w:vertAlign w:val="superscript"/>
                    </w:rPr>
                    <w:t>3</w:t>
                  </w:r>
                  <w:r>
                    <w:rPr>
                      <w:rFonts w:hint="eastAsia"/>
                      <w:b/>
                      <w:sz w:val="21"/>
                      <w:szCs w:val="21"/>
                      <w:u w:val="single"/>
                    </w:rPr>
                    <w:t>、TVOC 为 40-50mg/m</w:t>
                  </w:r>
                  <w:r>
                    <w:rPr>
                      <w:rFonts w:hint="eastAsia"/>
                      <w:b/>
                      <w:sz w:val="21"/>
                      <w:szCs w:val="21"/>
                      <w:u w:val="single"/>
                      <w:vertAlign w:val="superscript"/>
                    </w:rPr>
                    <w:t>3</w:t>
                  </w:r>
                  <w:r>
                    <w:rPr>
                      <w:rFonts w:hint="eastAsia"/>
                      <w:b/>
                      <w:sz w:val="21"/>
                      <w:szCs w:val="21"/>
                      <w:u w:val="single"/>
                    </w:rPr>
                    <w:t>；</w:t>
                  </w:r>
                </w:p>
                <w:p>
                  <w:pPr>
                    <w:pStyle w:val="62"/>
                    <w:spacing w:line="400" w:lineRule="exact"/>
                    <w:jc w:val="left"/>
                    <w:rPr>
                      <w:b/>
                      <w:sz w:val="21"/>
                      <w:szCs w:val="21"/>
                      <w:u w:val="single"/>
                    </w:rPr>
                  </w:pPr>
                  <w:r>
                    <w:rPr>
                      <w:rFonts w:hint="eastAsia"/>
                      <w:b/>
                      <w:sz w:val="21"/>
                      <w:szCs w:val="21"/>
                      <w:u w:val="single"/>
                    </w:rPr>
                    <w:t>2、 厂区内无组织排放监控点 NMHC 的1h 平均浓度值不高于 6mg/m</w:t>
                  </w:r>
                  <w:r>
                    <w:rPr>
                      <w:rFonts w:hint="eastAsia"/>
                      <w:b/>
                      <w:sz w:val="21"/>
                      <w:szCs w:val="21"/>
                      <w:u w:val="single"/>
                      <w:vertAlign w:val="superscript"/>
                    </w:rPr>
                    <w:t>3</w:t>
                  </w:r>
                  <w:r>
                    <w:rPr>
                      <w:rFonts w:hint="eastAsia"/>
                      <w:b/>
                      <w:sz w:val="21"/>
                      <w:szCs w:val="21"/>
                      <w:u w:val="single"/>
                    </w:rPr>
                    <w:t>、任意一次浓度值不高于 20mg/m</w:t>
                  </w:r>
                  <w:r>
                    <w:rPr>
                      <w:rFonts w:hint="eastAsia"/>
                      <w:b/>
                      <w:sz w:val="21"/>
                      <w:szCs w:val="21"/>
                      <w:u w:val="single"/>
                      <w:vertAlign w:val="superscript"/>
                    </w:rPr>
                    <w:t>3</w:t>
                  </w:r>
                  <w:r>
                    <w:rPr>
                      <w:rFonts w:hint="eastAsia"/>
                      <w:b/>
                      <w:sz w:val="21"/>
                      <w:szCs w:val="21"/>
                      <w:u w:val="single"/>
                    </w:rPr>
                    <w:t>；</w:t>
                  </w:r>
                </w:p>
                <w:p>
                  <w:pPr>
                    <w:pStyle w:val="62"/>
                    <w:spacing w:line="400" w:lineRule="exact"/>
                    <w:jc w:val="left"/>
                    <w:rPr>
                      <w:b/>
                      <w:sz w:val="21"/>
                      <w:szCs w:val="21"/>
                      <w:highlight w:val="yellow"/>
                      <w:u w:val="single"/>
                    </w:rPr>
                  </w:pPr>
                  <w:r>
                    <w:rPr>
                      <w:rFonts w:hint="eastAsia"/>
                      <w:b/>
                      <w:sz w:val="21"/>
                      <w:szCs w:val="21"/>
                      <w:u w:val="single"/>
                    </w:rPr>
                    <w:t>3、 其他各项污染物稳定达到现行排放控制要求，并从严地方要求。</w:t>
                  </w:r>
                </w:p>
              </w:tc>
              <w:tc>
                <w:tcPr>
                  <w:tcW w:w="1384" w:type="pct"/>
                  <w:vAlign w:val="center"/>
                </w:tcPr>
                <w:p>
                  <w:pPr>
                    <w:pStyle w:val="62"/>
                    <w:spacing w:line="400" w:lineRule="exact"/>
                    <w:jc w:val="left"/>
                    <w:rPr>
                      <w:b/>
                      <w:sz w:val="21"/>
                      <w:szCs w:val="21"/>
                      <w:highlight w:val="yellow"/>
                      <w:u w:val="single"/>
                    </w:rPr>
                  </w:pPr>
                  <w:r>
                    <w:rPr>
                      <w:rFonts w:hint="eastAsia"/>
                      <w:b/>
                      <w:sz w:val="21"/>
                      <w:szCs w:val="21"/>
                      <w:u w:val="single"/>
                    </w:rPr>
                    <w:t>经计算，项目排气筒NMHC 有组织排放浓度不高于10mg/m</w:t>
                  </w:r>
                  <w:r>
                    <w:rPr>
                      <w:rFonts w:hint="eastAsia"/>
                      <w:b/>
                      <w:sz w:val="21"/>
                      <w:szCs w:val="21"/>
                      <w:u w:val="single"/>
                      <w:vertAlign w:val="superscript"/>
                    </w:rPr>
                    <w:t>3</w:t>
                  </w:r>
                </w:p>
              </w:tc>
              <w:tc>
                <w:tcPr>
                  <w:tcW w:w="441" w:type="pct"/>
                  <w:vAlign w:val="center"/>
                </w:tcPr>
                <w:p>
                  <w:pPr>
                    <w:pStyle w:val="62"/>
                    <w:spacing w:line="400" w:lineRule="exact"/>
                    <w:rPr>
                      <w:b/>
                      <w:sz w:val="21"/>
                      <w:szCs w:val="21"/>
                      <w:highlight w:val="yellow"/>
                      <w:u w:val="single"/>
                    </w:rPr>
                  </w:pPr>
                  <w:r>
                    <w:rPr>
                      <w:rFonts w:hAnsi="宋体"/>
                      <w:b/>
                      <w:sz w:val="21"/>
                      <w:szCs w:val="21"/>
                      <w:u w:val="singl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376" w:hRule="atLeast"/>
              </w:trPr>
              <w:tc>
                <w:tcPr>
                  <w:tcW w:w="394" w:type="pct"/>
                  <w:vAlign w:val="center"/>
                </w:tcPr>
                <w:p>
                  <w:pPr>
                    <w:spacing w:line="400" w:lineRule="exact"/>
                    <w:jc w:val="center"/>
                    <w:rPr>
                      <w:b/>
                      <w:szCs w:val="21"/>
                      <w:highlight w:val="yellow"/>
                      <w:u w:val="single"/>
                    </w:rPr>
                  </w:pPr>
                  <w:r>
                    <w:rPr>
                      <w:rFonts w:hAnsi="宋体"/>
                      <w:b/>
                      <w:szCs w:val="21"/>
                      <w:u w:val="single"/>
                    </w:rPr>
                    <w:t>监测监控水平</w:t>
                  </w:r>
                </w:p>
              </w:tc>
              <w:tc>
                <w:tcPr>
                  <w:tcW w:w="2781" w:type="pct"/>
                  <w:gridSpan w:val="2"/>
                  <w:vAlign w:val="center"/>
                </w:tcPr>
                <w:p>
                  <w:pPr>
                    <w:widowControl/>
                    <w:spacing w:line="400" w:lineRule="exact"/>
                    <w:jc w:val="left"/>
                    <w:rPr>
                      <w:b/>
                      <w:bCs/>
                      <w:kern w:val="0"/>
                      <w:szCs w:val="21"/>
                      <w:u w:val="single"/>
                    </w:rPr>
                  </w:pPr>
                  <w:r>
                    <w:rPr>
                      <w:rFonts w:hint="eastAsia"/>
                      <w:b/>
                      <w:bCs/>
                      <w:kern w:val="0"/>
                      <w:szCs w:val="21"/>
                      <w:u w:val="single"/>
                    </w:rPr>
                    <w:t>1、 严格执行《排污许可证申请与核发技术规范 印刷工业》（HJ 1066-2019）规定的自行监测管理要求；</w:t>
                  </w:r>
                </w:p>
                <w:p>
                  <w:pPr>
                    <w:widowControl/>
                    <w:spacing w:line="400" w:lineRule="exact"/>
                    <w:jc w:val="left"/>
                    <w:rPr>
                      <w:b/>
                      <w:bCs/>
                      <w:kern w:val="0"/>
                      <w:szCs w:val="21"/>
                      <w:u w:val="single"/>
                    </w:rPr>
                  </w:pPr>
                  <w:r>
                    <w:rPr>
                      <w:rFonts w:hint="eastAsia"/>
                      <w:b/>
                      <w:bCs/>
                      <w:kern w:val="0"/>
                      <w:szCs w:val="21"/>
                      <w:u w:val="single"/>
                    </w:rPr>
                    <w:t>2、 重点排污企业风量大于 10000m</w:t>
                  </w:r>
                  <w:r>
                    <w:rPr>
                      <w:rFonts w:hint="eastAsia"/>
                      <w:b/>
                      <w:bCs/>
                      <w:kern w:val="0"/>
                      <w:szCs w:val="21"/>
                      <w:u w:val="single"/>
                      <w:vertAlign w:val="superscript"/>
                    </w:rPr>
                    <w:t>3</w:t>
                  </w:r>
                  <w:r>
                    <w:rPr>
                      <w:rFonts w:hint="eastAsia"/>
                      <w:b/>
                      <w:bCs/>
                      <w:kern w:val="0"/>
                      <w:szCs w:val="21"/>
                      <w:u w:val="single"/>
                    </w:rPr>
                    <w:t>/h 的主要排放口安装 NMHC 在线监测设施（FID 检测器），自动监控数据保存一年以上；</w:t>
                  </w:r>
                </w:p>
                <w:p>
                  <w:pPr>
                    <w:widowControl/>
                    <w:spacing w:line="400" w:lineRule="exact"/>
                    <w:jc w:val="left"/>
                    <w:rPr>
                      <w:b/>
                      <w:bCs/>
                      <w:szCs w:val="21"/>
                      <w:highlight w:val="yellow"/>
                      <w:u w:val="single"/>
                    </w:rPr>
                  </w:pPr>
                  <w:r>
                    <w:rPr>
                      <w:rFonts w:hint="eastAsia"/>
                      <w:b/>
                      <w:bCs/>
                      <w:kern w:val="0"/>
                      <w:szCs w:val="21"/>
                      <w:u w:val="single"/>
                    </w:rPr>
                    <w:t>3、 安装 DCS 系统、仪器仪表等装置，连续测量并记录治理设施控制指标温度、压力（压差）、时间和频率值。再生式活性炭连续自动测量并记录温度、再生时间和更换周期；更换式活性炭记录温度、更换周期及更换量；数据保存一年以上</w:t>
                  </w:r>
                </w:p>
              </w:tc>
              <w:tc>
                <w:tcPr>
                  <w:tcW w:w="1384" w:type="pct"/>
                  <w:vAlign w:val="center"/>
                </w:tcPr>
                <w:p>
                  <w:pPr>
                    <w:widowControl/>
                    <w:spacing w:line="400" w:lineRule="exact"/>
                    <w:jc w:val="left"/>
                    <w:rPr>
                      <w:b/>
                      <w:bCs/>
                      <w:kern w:val="0"/>
                      <w:szCs w:val="21"/>
                      <w:u w:val="single"/>
                    </w:rPr>
                  </w:pPr>
                  <w:r>
                    <w:rPr>
                      <w:b/>
                      <w:bCs/>
                      <w:kern w:val="0"/>
                      <w:szCs w:val="21"/>
                      <w:u w:val="single"/>
                    </w:rPr>
                    <w:t>1</w:t>
                  </w:r>
                  <w:r>
                    <w:rPr>
                      <w:rFonts w:hAnsi="宋体"/>
                      <w:b/>
                      <w:bCs/>
                      <w:kern w:val="0"/>
                      <w:szCs w:val="21"/>
                      <w:u w:val="single"/>
                    </w:rPr>
                    <w:t>、本项目</w:t>
                  </w:r>
                  <w:r>
                    <w:rPr>
                      <w:rFonts w:hint="eastAsia" w:hAnsi="宋体"/>
                      <w:b/>
                      <w:bCs/>
                      <w:kern w:val="0"/>
                      <w:szCs w:val="21"/>
                      <w:u w:val="single"/>
                    </w:rPr>
                    <w:t>建成后</w:t>
                  </w:r>
                  <w:r>
                    <w:rPr>
                      <w:rFonts w:hint="eastAsia"/>
                      <w:b/>
                      <w:bCs/>
                      <w:kern w:val="0"/>
                      <w:szCs w:val="21"/>
                      <w:u w:val="single"/>
                    </w:rPr>
                    <w:t>严格执行《排污许可证申请与核发技术规范 印刷工业》（HJ 1066-2019）规定的自行监测管理要求；</w:t>
                  </w:r>
                </w:p>
                <w:p>
                  <w:pPr>
                    <w:widowControl/>
                    <w:spacing w:line="400" w:lineRule="exact"/>
                    <w:rPr>
                      <w:b/>
                      <w:szCs w:val="21"/>
                      <w:highlight w:val="yellow"/>
                      <w:u w:val="single"/>
                    </w:rPr>
                  </w:pPr>
                  <w:r>
                    <w:rPr>
                      <w:rFonts w:hint="eastAsia" w:hAnsi="宋体"/>
                      <w:b/>
                      <w:bCs/>
                      <w:kern w:val="0"/>
                      <w:szCs w:val="21"/>
                      <w:u w:val="single"/>
                    </w:rPr>
                    <w:t>2、</w:t>
                  </w:r>
                  <w:r>
                    <w:rPr>
                      <w:rFonts w:hAnsi="宋体"/>
                      <w:b/>
                      <w:bCs/>
                      <w:kern w:val="0"/>
                      <w:szCs w:val="21"/>
                      <w:u w:val="single"/>
                    </w:rPr>
                    <w:t>不属于大气环境重点排污单位</w:t>
                  </w:r>
                  <w:r>
                    <w:rPr>
                      <w:rFonts w:hint="eastAsia" w:hAnsi="宋体"/>
                      <w:b/>
                      <w:bCs/>
                      <w:kern w:val="0"/>
                      <w:szCs w:val="21"/>
                      <w:u w:val="single"/>
                    </w:rPr>
                    <w:t>，排放口均属于一般排放口</w:t>
                  </w:r>
                  <w:r>
                    <w:rPr>
                      <w:rFonts w:hAnsi="宋体"/>
                      <w:b/>
                      <w:bCs/>
                      <w:kern w:val="0"/>
                      <w:szCs w:val="21"/>
                      <w:u w:val="single"/>
                    </w:rPr>
                    <w:t>，无需安装烟气排放自动监控设施</w:t>
                  </w:r>
                </w:p>
              </w:tc>
              <w:tc>
                <w:tcPr>
                  <w:tcW w:w="441" w:type="pct"/>
                  <w:vAlign w:val="center"/>
                </w:tcPr>
                <w:p>
                  <w:pPr>
                    <w:spacing w:line="400" w:lineRule="exact"/>
                    <w:jc w:val="center"/>
                    <w:rPr>
                      <w:b/>
                      <w:szCs w:val="21"/>
                      <w:highlight w:val="yellow"/>
                      <w:u w:val="single"/>
                    </w:rPr>
                  </w:pPr>
                  <w:r>
                    <w:rPr>
                      <w:rFonts w:hAnsi="宋体"/>
                      <w:b/>
                      <w:szCs w:val="21"/>
                      <w:u w:val="singl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1223" w:hRule="atLeast"/>
              </w:trPr>
              <w:tc>
                <w:tcPr>
                  <w:tcW w:w="394" w:type="pct"/>
                  <w:vMerge w:val="restart"/>
                  <w:vAlign w:val="center"/>
                </w:tcPr>
                <w:p>
                  <w:pPr>
                    <w:spacing w:line="400" w:lineRule="exact"/>
                    <w:jc w:val="center"/>
                    <w:rPr>
                      <w:b/>
                      <w:szCs w:val="21"/>
                      <w:highlight w:val="yellow"/>
                      <w:u w:val="single"/>
                    </w:rPr>
                  </w:pPr>
                  <w:r>
                    <w:rPr>
                      <w:rFonts w:hint="eastAsia" w:hAnsi="宋体"/>
                      <w:b/>
                      <w:szCs w:val="21"/>
                      <w:u w:val="single"/>
                    </w:rPr>
                    <w:t>环境管理水平</w:t>
                  </w:r>
                </w:p>
              </w:tc>
              <w:tc>
                <w:tcPr>
                  <w:tcW w:w="402" w:type="pct"/>
                  <w:vAlign w:val="center"/>
                </w:tcPr>
                <w:p>
                  <w:pPr>
                    <w:widowControl/>
                    <w:spacing w:line="400" w:lineRule="exact"/>
                    <w:jc w:val="left"/>
                    <w:rPr>
                      <w:b/>
                      <w:bCs/>
                      <w:kern w:val="0"/>
                      <w:szCs w:val="21"/>
                      <w:u w:val="single"/>
                    </w:rPr>
                  </w:pPr>
                  <w:r>
                    <w:rPr>
                      <w:rFonts w:hint="eastAsia"/>
                      <w:b/>
                      <w:bCs/>
                      <w:kern w:val="0"/>
                      <w:szCs w:val="21"/>
                      <w:u w:val="single"/>
                    </w:rPr>
                    <w:t>环保档案齐全</w:t>
                  </w:r>
                </w:p>
              </w:tc>
              <w:tc>
                <w:tcPr>
                  <w:tcW w:w="2379" w:type="pct"/>
                  <w:vAlign w:val="center"/>
                </w:tcPr>
                <w:p>
                  <w:pPr>
                    <w:widowControl/>
                    <w:spacing w:line="400" w:lineRule="exact"/>
                    <w:jc w:val="left"/>
                    <w:rPr>
                      <w:rFonts w:hAnsi="宋体"/>
                      <w:b/>
                      <w:bCs/>
                      <w:kern w:val="0"/>
                      <w:szCs w:val="21"/>
                      <w:u w:val="single"/>
                    </w:rPr>
                  </w:pPr>
                  <w:r>
                    <w:rPr>
                      <w:b/>
                      <w:bCs/>
                      <w:kern w:val="0"/>
                      <w:szCs w:val="21"/>
                      <w:u w:val="single"/>
                    </w:rPr>
                    <w:t>1</w:t>
                  </w:r>
                  <w:r>
                    <w:rPr>
                      <w:rFonts w:hint="eastAsia"/>
                      <w:b/>
                      <w:bCs/>
                      <w:kern w:val="0"/>
                      <w:szCs w:val="21"/>
                      <w:u w:val="single"/>
                    </w:rPr>
                    <w:t>、</w:t>
                  </w:r>
                  <w:r>
                    <w:rPr>
                      <w:rFonts w:hAnsi="宋体"/>
                      <w:b/>
                      <w:bCs/>
                      <w:kern w:val="0"/>
                      <w:szCs w:val="21"/>
                      <w:u w:val="single"/>
                    </w:rPr>
                    <w:t>环评批复文件</w:t>
                  </w:r>
                  <w:r>
                    <w:rPr>
                      <w:rFonts w:hint="eastAsia" w:hAnsi="宋体"/>
                      <w:b/>
                      <w:bCs/>
                      <w:kern w:val="0"/>
                      <w:szCs w:val="21"/>
                      <w:u w:val="single"/>
                    </w:rPr>
                    <w:t>；</w:t>
                  </w:r>
                </w:p>
                <w:p>
                  <w:pPr>
                    <w:widowControl/>
                    <w:spacing w:line="400" w:lineRule="exact"/>
                    <w:jc w:val="left"/>
                    <w:rPr>
                      <w:rFonts w:hAnsi="宋体"/>
                      <w:b/>
                      <w:bCs/>
                      <w:kern w:val="0"/>
                      <w:szCs w:val="21"/>
                      <w:u w:val="single"/>
                    </w:rPr>
                  </w:pPr>
                  <w:r>
                    <w:rPr>
                      <w:rFonts w:hint="eastAsia" w:hAnsi="宋体"/>
                      <w:b/>
                      <w:bCs/>
                      <w:kern w:val="0"/>
                      <w:szCs w:val="21"/>
                      <w:u w:val="single"/>
                    </w:rPr>
                    <w:t>2、排污许可证及季度、年度执行报告；</w:t>
                  </w:r>
                </w:p>
                <w:p>
                  <w:pPr>
                    <w:widowControl/>
                    <w:spacing w:line="400" w:lineRule="exact"/>
                    <w:jc w:val="left"/>
                    <w:rPr>
                      <w:rFonts w:hAnsi="宋体"/>
                      <w:b/>
                      <w:bCs/>
                      <w:kern w:val="0"/>
                      <w:szCs w:val="21"/>
                      <w:u w:val="single"/>
                    </w:rPr>
                  </w:pPr>
                  <w:r>
                    <w:rPr>
                      <w:rFonts w:hint="eastAsia" w:hAnsi="宋体"/>
                      <w:b/>
                      <w:bCs/>
                      <w:kern w:val="0"/>
                      <w:szCs w:val="21"/>
                      <w:u w:val="single"/>
                    </w:rPr>
                    <w:t>3、竣工验收文件；</w:t>
                  </w:r>
                </w:p>
                <w:p>
                  <w:pPr>
                    <w:widowControl/>
                    <w:spacing w:line="400" w:lineRule="exact"/>
                    <w:jc w:val="left"/>
                    <w:rPr>
                      <w:rFonts w:hAnsi="宋体"/>
                      <w:b/>
                      <w:bCs/>
                      <w:kern w:val="0"/>
                      <w:szCs w:val="21"/>
                      <w:u w:val="single"/>
                    </w:rPr>
                  </w:pPr>
                  <w:r>
                    <w:rPr>
                      <w:rFonts w:hint="eastAsia" w:hAnsi="宋体"/>
                      <w:b/>
                      <w:bCs/>
                      <w:kern w:val="0"/>
                      <w:szCs w:val="21"/>
                      <w:u w:val="single"/>
                    </w:rPr>
                    <w:t>4、废气治理设施运行管理规程；</w:t>
                  </w:r>
                </w:p>
                <w:p>
                  <w:pPr>
                    <w:widowControl/>
                    <w:spacing w:line="400" w:lineRule="exact"/>
                    <w:jc w:val="left"/>
                    <w:rPr>
                      <w:b/>
                      <w:bCs/>
                      <w:kern w:val="0"/>
                      <w:szCs w:val="21"/>
                      <w:u w:val="single"/>
                    </w:rPr>
                  </w:pPr>
                  <w:r>
                    <w:rPr>
                      <w:rFonts w:hint="eastAsia" w:hAnsi="宋体"/>
                      <w:b/>
                      <w:bCs/>
                      <w:kern w:val="0"/>
                      <w:szCs w:val="21"/>
                      <w:u w:val="single"/>
                    </w:rPr>
                    <w:t>5、一年内废气监测报告。</w:t>
                  </w:r>
                </w:p>
              </w:tc>
              <w:tc>
                <w:tcPr>
                  <w:tcW w:w="1384" w:type="pct"/>
                  <w:vAlign w:val="center"/>
                </w:tcPr>
                <w:p>
                  <w:pPr>
                    <w:spacing w:line="400" w:lineRule="exact"/>
                    <w:jc w:val="left"/>
                    <w:rPr>
                      <w:b/>
                      <w:bCs/>
                      <w:kern w:val="0"/>
                      <w:szCs w:val="21"/>
                      <w:u w:val="single"/>
                    </w:rPr>
                  </w:pPr>
                  <w:r>
                    <w:rPr>
                      <w:rFonts w:hAnsi="宋体"/>
                      <w:b/>
                      <w:szCs w:val="21"/>
                      <w:u w:val="single"/>
                    </w:rPr>
                    <w:t>项目建成投入运营后，</w:t>
                  </w:r>
                  <w:r>
                    <w:rPr>
                      <w:rFonts w:hint="eastAsia" w:hAnsi="宋体"/>
                      <w:b/>
                      <w:szCs w:val="21"/>
                      <w:u w:val="single"/>
                    </w:rPr>
                    <w:t>按相关要求完善</w:t>
                  </w:r>
                  <w:r>
                    <w:rPr>
                      <w:rFonts w:hint="eastAsia"/>
                      <w:b/>
                      <w:bCs/>
                      <w:kern w:val="0"/>
                      <w:szCs w:val="21"/>
                      <w:u w:val="single"/>
                    </w:rPr>
                    <w:t>环保档案</w:t>
                  </w:r>
                </w:p>
              </w:tc>
              <w:tc>
                <w:tcPr>
                  <w:tcW w:w="441" w:type="pct"/>
                  <w:vAlign w:val="center"/>
                </w:tcPr>
                <w:p>
                  <w:pPr>
                    <w:spacing w:line="400" w:lineRule="exact"/>
                    <w:jc w:val="center"/>
                    <w:rPr>
                      <w:b/>
                      <w:szCs w:val="21"/>
                      <w:u w:val="single"/>
                    </w:rPr>
                  </w:pPr>
                  <w:r>
                    <w:rPr>
                      <w:rFonts w:hAnsi="宋体"/>
                      <w:b/>
                      <w:szCs w:val="21"/>
                      <w:u w:val="singl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1223" w:hRule="atLeast"/>
              </w:trPr>
              <w:tc>
                <w:tcPr>
                  <w:tcW w:w="394" w:type="pct"/>
                  <w:vMerge w:val="continue"/>
                  <w:vAlign w:val="center"/>
                </w:tcPr>
                <w:p>
                  <w:pPr>
                    <w:spacing w:line="400" w:lineRule="exact"/>
                    <w:jc w:val="center"/>
                    <w:rPr>
                      <w:rFonts w:hAnsi="宋体"/>
                      <w:b/>
                      <w:szCs w:val="21"/>
                      <w:highlight w:val="yellow"/>
                      <w:u w:val="single"/>
                    </w:rPr>
                  </w:pPr>
                </w:p>
              </w:tc>
              <w:tc>
                <w:tcPr>
                  <w:tcW w:w="402" w:type="pct"/>
                  <w:vAlign w:val="center"/>
                </w:tcPr>
                <w:p>
                  <w:pPr>
                    <w:widowControl/>
                    <w:spacing w:line="400" w:lineRule="exact"/>
                    <w:jc w:val="left"/>
                    <w:rPr>
                      <w:b/>
                      <w:bCs/>
                      <w:kern w:val="0"/>
                      <w:szCs w:val="21"/>
                      <w:highlight w:val="yellow"/>
                      <w:u w:val="single"/>
                    </w:rPr>
                  </w:pPr>
                  <w:r>
                    <w:rPr>
                      <w:rFonts w:hint="eastAsia"/>
                      <w:b/>
                      <w:bCs/>
                      <w:kern w:val="0"/>
                      <w:szCs w:val="21"/>
                      <w:u w:val="single"/>
                    </w:rPr>
                    <w:t>台账记录</w:t>
                  </w:r>
                </w:p>
              </w:tc>
              <w:tc>
                <w:tcPr>
                  <w:tcW w:w="2379" w:type="pct"/>
                  <w:vAlign w:val="center"/>
                </w:tcPr>
                <w:p>
                  <w:pPr>
                    <w:widowControl/>
                    <w:spacing w:line="400" w:lineRule="exact"/>
                    <w:jc w:val="left"/>
                    <w:rPr>
                      <w:b/>
                      <w:bCs/>
                      <w:kern w:val="0"/>
                      <w:szCs w:val="21"/>
                      <w:u w:val="single"/>
                    </w:rPr>
                  </w:pPr>
                  <w:r>
                    <w:rPr>
                      <w:rFonts w:hint="eastAsia"/>
                      <w:b/>
                      <w:bCs/>
                      <w:kern w:val="0"/>
                      <w:szCs w:val="21"/>
                      <w:u w:val="single"/>
                    </w:rPr>
                    <w:t>1、生产设施运行管理信息（生产时间、运行负荷、产品产量等，必须具备近一年及以上所用油墨的固含量、VOCs含量、含水率（水性油墨）等信息的检测报告）；2、废气污染治理设施运行管理信息（燃烧室温度、冷凝温度、过滤材料更换频次、吸附剂更换频次、催化剂更换频次）；</w:t>
                  </w:r>
                </w:p>
                <w:p>
                  <w:pPr>
                    <w:widowControl/>
                    <w:spacing w:line="400" w:lineRule="exact"/>
                    <w:jc w:val="left"/>
                    <w:rPr>
                      <w:b/>
                      <w:bCs/>
                      <w:kern w:val="0"/>
                      <w:szCs w:val="21"/>
                      <w:u w:val="single"/>
                    </w:rPr>
                  </w:pPr>
                  <w:r>
                    <w:rPr>
                      <w:rFonts w:hint="eastAsia"/>
                      <w:b/>
                      <w:bCs/>
                      <w:kern w:val="0"/>
                      <w:szCs w:val="21"/>
                      <w:u w:val="single"/>
                    </w:rPr>
                    <w:t>3、监测记录信息（主要污染排放口废气排放记录（手工监测和在线监测）等）；</w:t>
                  </w:r>
                </w:p>
                <w:p>
                  <w:pPr>
                    <w:widowControl/>
                    <w:spacing w:line="400" w:lineRule="exact"/>
                    <w:jc w:val="left"/>
                    <w:rPr>
                      <w:b/>
                      <w:bCs/>
                      <w:kern w:val="0"/>
                      <w:szCs w:val="21"/>
                      <w:u w:val="single"/>
                    </w:rPr>
                  </w:pPr>
                  <w:r>
                    <w:rPr>
                      <w:rFonts w:hint="eastAsia"/>
                      <w:b/>
                      <w:bCs/>
                      <w:kern w:val="0"/>
                      <w:szCs w:val="21"/>
                      <w:u w:val="single"/>
                    </w:rPr>
                    <w:t>4、主要原辅材料消耗记录；</w:t>
                  </w:r>
                </w:p>
                <w:p>
                  <w:pPr>
                    <w:widowControl/>
                    <w:spacing w:line="400" w:lineRule="exact"/>
                    <w:jc w:val="left"/>
                    <w:rPr>
                      <w:b/>
                      <w:bCs/>
                      <w:kern w:val="0"/>
                      <w:szCs w:val="21"/>
                      <w:highlight w:val="yellow"/>
                      <w:u w:val="single"/>
                    </w:rPr>
                  </w:pPr>
                  <w:r>
                    <w:rPr>
                      <w:rFonts w:hint="eastAsia"/>
                      <w:b/>
                      <w:bCs/>
                      <w:kern w:val="0"/>
                      <w:szCs w:val="21"/>
                      <w:u w:val="single"/>
                    </w:rPr>
                    <w:t>5、燃料（天然气）消耗记录。</w:t>
                  </w:r>
                </w:p>
              </w:tc>
              <w:tc>
                <w:tcPr>
                  <w:tcW w:w="1384" w:type="pct"/>
                  <w:vAlign w:val="center"/>
                </w:tcPr>
                <w:p>
                  <w:pPr>
                    <w:spacing w:line="400" w:lineRule="exact"/>
                    <w:jc w:val="center"/>
                    <w:rPr>
                      <w:b/>
                      <w:szCs w:val="21"/>
                      <w:u w:val="single"/>
                    </w:rPr>
                  </w:pPr>
                  <w:r>
                    <w:rPr>
                      <w:rFonts w:hAnsi="宋体"/>
                      <w:b/>
                      <w:szCs w:val="21"/>
                      <w:u w:val="single"/>
                    </w:rPr>
                    <w:t>项目建成投产</w:t>
                  </w:r>
                  <w:r>
                    <w:rPr>
                      <w:rFonts w:hint="eastAsia" w:hAnsi="宋体"/>
                      <w:b/>
                      <w:szCs w:val="21"/>
                      <w:u w:val="single"/>
                    </w:rPr>
                    <w:t>后</w:t>
                  </w:r>
                  <w:r>
                    <w:rPr>
                      <w:rFonts w:hAnsi="宋体"/>
                      <w:b/>
                      <w:szCs w:val="21"/>
                      <w:u w:val="single"/>
                    </w:rPr>
                    <w:t>按要求进行台账记录。</w:t>
                  </w:r>
                </w:p>
              </w:tc>
              <w:tc>
                <w:tcPr>
                  <w:tcW w:w="441" w:type="pct"/>
                  <w:vAlign w:val="center"/>
                </w:tcPr>
                <w:p>
                  <w:pPr>
                    <w:spacing w:line="400" w:lineRule="exact"/>
                    <w:jc w:val="center"/>
                    <w:rPr>
                      <w:b/>
                      <w:szCs w:val="21"/>
                      <w:u w:val="single"/>
                    </w:rPr>
                  </w:pPr>
                  <w:r>
                    <w:rPr>
                      <w:rFonts w:hAnsi="宋体"/>
                      <w:b/>
                      <w:szCs w:val="21"/>
                      <w:u w:val="singl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1223" w:hRule="atLeast"/>
              </w:trPr>
              <w:tc>
                <w:tcPr>
                  <w:tcW w:w="394" w:type="pct"/>
                  <w:vMerge w:val="continue"/>
                  <w:vAlign w:val="center"/>
                </w:tcPr>
                <w:p>
                  <w:pPr>
                    <w:spacing w:line="400" w:lineRule="exact"/>
                    <w:jc w:val="center"/>
                    <w:rPr>
                      <w:rFonts w:hAnsi="宋体"/>
                      <w:b/>
                      <w:szCs w:val="21"/>
                      <w:highlight w:val="yellow"/>
                      <w:u w:val="single"/>
                    </w:rPr>
                  </w:pPr>
                </w:p>
              </w:tc>
              <w:tc>
                <w:tcPr>
                  <w:tcW w:w="402" w:type="pct"/>
                  <w:vAlign w:val="center"/>
                </w:tcPr>
                <w:p>
                  <w:pPr>
                    <w:widowControl/>
                    <w:spacing w:line="400" w:lineRule="exact"/>
                    <w:jc w:val="left"/>
                    <w:rPr>
                      <w:b/>
                      <w:bCs/>
                      <w:kern w:val="0"/>
                      <w:szCs w:val="21"/>
                      <w:highlight w:val="yellow"/>
                      <w:u w:val="single"/>
                    </w:rPr>
                  </w:pPr>
                  <w:r>
                    <w:rPr>
                      <w:rFonts w:hint="eastAsia"/>
                      <w:b/>
                      <w:bCs/>
                      <w:kern w:val="0"/>
                      <w:szCs w:val="21"/>
                      <w:u w:val="single"/>
                    </w:rPr>
                    <w:t>人员配置</w:t>
                  </w:r>
                </w:p>
              </w:tc>
              <w:tc>
                <w:tcPr>
                  <w:tcW w:w="2379" w:type="pct"/>
                  <w:vAlign w:val="center"/>
                </w:tcPr>
                <w:p>
                  <w:pPr>
                    <w:widowControl/>
                    <w:spacing w:line="400" w:lineRule="exact"/>
                    <w:jc w:val="left"/>
                    <w:rPr>
                      <w:b/>
                      <w:bCs/>
                      <w:kern w:val="0"/>
                      <w:szCs w:val="21"/>
                      <w:highlight w:val="yellow"/>
                      <w:u w:val="single"/>
                    </w:rPr>
                  </w:pPr>
                  <w:r>
                    <w:rPr>
                      <w:rFonts w:hint="eastAsia"/>
                      <w:b/>
                      <w:bCs/>
                      <w:kern w:val="0"/>
                      <w:szCs w:val="21"/>
                      <w:u w:val="single"/>
                    </w:rPr>
                    <w:t>设置环保部门，配备专职环保人员，并具备相应的环境管理能力</w:t>
                  </w:r>
                </w:p>
              </w:tc>
              <w:tc>
                <w:tcPr>
                  <w:tcW w:w="1384" w:type="pct"/>
                  <w:vAlign w:val="center"/>
                </w:tcPr>
                <w:p>
                  <w:pPr>
                    <w:spacing w:line="400" w:lineRule="exact"/>
                    <w:jc w:val="left"/>
                    <w:rPr>
                      <w:rFonts w:hAnsi="宋体"/>
                      <w:b/>
                      <w:szCs w:val="21"/>
                      <w:highlight w:val="yellow"/>
                      <w:u w:val="single"/>
                    </w:rPr>
                  </w:pPr>
                  <w:r>
                    <w:rPr>
                      <w:rFonts w:hint="eastAsia" w:hAnsi="宋体"/>
                      <w:b/>
                      <w:szCs w:val="21"/>
                      <w:u w:val="single"/>
                    </w:rPr>
                    <w:t>项目建成后配备具有</w:t>
                  </w:r>
                  <w:r>
                    <w:rPr>
                      <w:rFonts w:hint="eastAsia"/>
                      <w:b/>
                      <w:bCs/>
                      <w:kern w:val="0"/>
                      <w:szCs w:val="21"/>
                      <w:u w:val="single"/>
                    </w:rPr>
                    <w:t>环境管理能力的专职环保人员</w:t>
                  </w:r>
                </w:p>
              </w:tc>
              <w:tc>
                <w:tcPr>
                  <w:tcW w:w="441" w:type="pct"/>
                  <w:vAlign w:val="center"/>
                </w:tcPr>
                <w:p>
                  <w:pPr>
                    <w:spacing w:line="400" w:lineRule="exact"/>
                    <w:jc w:val="center"/>
                    <w:rPr>
                      <w:rFonts w:hAnsi="宋体"/>
                      <w:b/>
                      <w:szCs w:val="21"/>
                      <w:highlight w:val="yellow"/>
                      <w:u w:val="single"/>
                    </w:rPr>
                  </w:pPr>
                  <w:r>
                    <w:rPr>
                      <w:rFonts w:hAnsi="宋体"/>
                      <w:b/>
                      <w:szCs w:val="21"/>
                      <w:u w:val="singl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454" w:hRule="atLeast"/>
              </w:trPr>
              <w:tc>
                <w:tcPr>
                  <w:tcW w:w="394" w:type="pct"/>
                  <w:vAlign w:val="center"/>
                </w:tcPr>
                <w:p>
                  <w:pPr>
                    <w:spacing w:line="400" w:lineRule="exact"/>
                    <w:jc w:val="center"/>
                    <w:rPr>
                      <w:b/>
                      <w:szCs w:val="21"/>
                      <w:u w:val="single"/>
                    </w:rPr>
                  </w:pPr>
                  <w:r>
                    <w:rPr>
                      <w:rFonts w:hAnsi="宋体"/>
                      <w:b/>
                      <w:szCs w:val="21"/>
                      <w:u w:val="single"/>
                    </w:rPr>
                    <w:t>运输方式</w:t>
                  </w:r>
                </w:p>
              </w:tc>
              <w:tc>
                <w:tcPr>
                  <w:tcW w:w="2781" w:type="pct"/>
                  <w:gridSpan w:val="2"/>
                  <w:vAlign w:val="center"/>
                </w:tcPr>
                <w:p>
                  <w:pPr>
                    <w:widowControl/>
                    <w:spacing w:line="400" w:lineRule="exact"/>
                    <w:jc w:val="left"/>
                    <w:rPr>
                      <w:b/>
                      <w:bCs/>
                      <w:kern w:val="0"/>
                      <w:szCs w:val="21"/>
                      <w:u w:val="single"/>
                    </w:rPr>
                  </w:pPr>
                  <w:r>
                    <w:rPr>
                      <w:rFonts w:hint="eastAsia"/>
                      <w:b/>
                      <w:bCs/>
                      <w:kern w:val="0"/>
                      <w:szCs w:val="21"/>
                      <w:u w:val="single"/>
                    </w:rPr>
                    <w:t>1、物料公路运输全部使用达到国五及以上排放标准重型载货车辆（含燃气）或新能源车辆；</w:t>
                  </w:r>
                </w:p>
                <w:p>
                  <w:pPr>
                    <w:widowControl/>
                    <w:spacing w:line="400" w:lineRule="exact"/>
                    <w:jc w:val="left"/>
                    <w:rPr>
                      <w:b/>
                      <w:bCs/>
                      <w:kern w:val="0"/>
                      <w:szCs w:val="21"/>
                      <w:u w:val="single"/>
                    </w:rPr>
                  </w:pPr>
                  <w:r>
                    <w:rPr>
                      <w:rFonts w:hint="eastAsia"/>
                      <w:b/>
                      <w:bCs/>
                      <w:kern w:val="0"/>
                      <w:szCs w:val="21"/>
                      <w:u w:val="single"/>
                    </w:rPr>
                    <w:t>2、厂内运输车辆全部达到国五及以上排放标准车辆（含燃气）或新能源车辆；</w:t>
                  </w:r>
                </w:p>
                <w:p>
                  <w:pPr>
                    <w:widowControl/>
                    <w:spacing w:line="400" w:lineRule="exact"/>
                    <w:jc w:val="left"/>
                    <w:rPr>
                      <w:b/>
                      <w:bCs/>
                      <w:kern w:val="0"/>
                      <w:szCs w:val="21"/>
                      <w:highlight w:val="yellow"/>
                      <w:u w:val="single"/>
                    </w:rPr>
                  </w:pPr>
                  <w:r>
                    <w:rPr>
                      <w:rFonts w:hint="eastAsia"/>
                      <w:b/>
                      <w:bCs/>
                      <w:kern w:val="0"/>
                      <w:szCs w:val="21"/>
                      <w:u w:val="single"/>
                    </w:rPr>
                    <w:t>3、厂内非道路移动机械全部使用达到国三及以上排放标准或新能源机械。</w:t>
                  </w:r>
                </w:p>
              </w:tc>
              <w:tc>
                <w:tcPr>
                  <w:tcW w:w="1384" w:type="pct"/>
                  <w:vAlign w:val="center"/>
                </w:tcPr>
                <w:p>
                  <w:pPr>
                    <w:spacing w:line="400" w:lineRule="exact"/>
                    <w:jc w:val="center"/>
                    <w:rPr>
                      <w:b/>
                      <w:bCs/>
                      <w:kern w:val="0"/>
                      <w:szCs w:val="21"/>
                      <w:u w:val="single"/>
                    </w:rPr>
                  </w:pPr>
                  <w:r>
                    <w:rPr>
                      <w:b/>
                      <w:bCs/>
                      <w:kern w:val="0"/>
                      <w:szCs w:val="21"/>
                      <w:u w:val="single"/>
                    </w:rPr>
                    <w:t>1.</w:t>
                  </w:r>
                  <w:r>
                    <w:rPr>
                      <w:rFonts w:hAnsi="宋体"/>
                      <w:b/>
                      <w:bCs/>
                      <w:kern w:val="0"/>
                      <w:szCs w:val="21"/>
                      <w:u w:val="single"/>
                    </w:rPr>
                    <w:t>本项目公路运输使用国五及以上排放标准的重型载货车辆（含燃气）或新能源车辆。</w:t>
                  </w:r>
                </w:p>
                <w:p>
                  <w:pPr>
                    <w:widowControl/>
                    <w:spacing w:line="400" w:lineRule="exact"/>
                    <w:jc w:val="center"/>
                    <w:rPr>
                      <w:b/>
                      <w:bCs/>
                      <w:kern w:val="0"/>
                      <w:szCs w:val="21"/>
                      <w:u w:val="single"/>
                    </w:rPr>
                  </w:pPr>
                  <w:r>
                    <w:rPr>
                      <w:b/>
                      <w:bCs/>
                      <w:kern w:val="0"/>
                      <w:szCs w:val="21"/>
                      <w:u w:val="single"/>
                    </w:rPr>
                    <w:t>2.</w:t>
                  </w:r>
                  <w:r>
                    <w:rPr>
                      <w:rFonts w:hAnsi="宋体"/>
                      <w:b/>
                      <w:bCs/>
                      <w:kern w:val="0"/>
                      <w:szCs w:val="21"/>
                      <w:u w:val="single"/>
                    </w:rPr>
                    <w:t>厂内运输车辆使用国五及以上排放标准（含燃气）或使用新能源车辆。</w:t>
                  </w:r>
                </w:p>
                <w:p>
                  <w:pPr>
                    <w:spacing w:line="400" w:lineRule="exact"/>
                    <w:jc w:val="center"/>
                    <w:rPr>
                      <w:b/>
                      <w:bCs/>
                      <w:kern w:val="0"/>
                      <w:szCs w:val="21"/>
                      <w:u w:val="single"/>
                    </w:rPr>
                  </w:pPr>
                  <w:r>
                    <w:rPr>
                      <w:b/>
                      <w:bCs/>
                      <w:kern w:val="0"/>
                      <w:szCs w:val="21"/>
                      <w:u w:val="single"/>
                    </w:rPr>
                    <w:t>3.</w:t>
                  </w:r>
                  <w:r>
                    <w:rPr>
                      <w:rFonts w:hAnsi="宋体"/>
                      <w:b/>
                      <w:bCs/>
                      <w:kern w:val="0"/>
                      <w:szCs w:val="21"/>
                      <w:u w:val="single"/>
                    </w:rPr>
                    <w:t>厂内非道路移动机械达到国三及以上排放标准</w:t>
                  </w:r>
                  <w:r>
                    <w:rPr>
                      <w:b/>
                      <w:szCs w:val="21"/>
                      <w:u w:val="single"/>
                    </w:rPr>
                    <w:t>或新能源机</w:t>
                  </w:r>
                  <w:r>
                    <w:rPr>
                      <w:rFonts w:hint="eastAsia"/>
                      <w:b/>
                      <w:szCs w:val="21"/>
                      <w:u w:val="single"/>
                    </w:rPr>
                    <w:t>械</w:t>
                  </w:r>
                  <w:r>
                    <w:rPr>
                      <w:rFonts w:hAnsi="宋体"/>
                      <w:b/>
                      <w:bCs/>
                      <w:kern w:val="0"/>
                      <w:szCs w:val="21"/>
                      <w:u w:val="single"/>
                    </w:rPr>
                    <w:t>。</w:t>
                  </w:r>
                </w:p>
              </w:tc>
              <w:tc>
                <w:tcPr>
                  <w:tcW w:w="441" w:type="pct"/>
                  <w:vAlign w:val="center"/>
                </w:tcPr>
                <w:p>
                  <w:pPr>
                    <w:spacing w:line="400" w:lineRule="exact"/>
                    <w:jc w:val="center"/>
                    <w:rPr>
                      <w:b/>
                      <w:szCs w:val="21"/>
                      <w:u w:val="single"/>
                    </w:rPr>
                  </w:pPr>
                  <w:r>
                    <w:rPr>
                      <w:rFonts w:hAnsi="宋体"/>
                      <w:b/>
                      <w:szCs w:val="21"/>
                      <w:u w:val="singl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40" w:hRule="atLeast"/>
              </w:trPr>
              <w:tc>
                <w:tcPr>
                  <w:tcW w:w="394" w:type="pct"/>
                  <w:vAlign w:val="center"/>
                </w:tcPr>
                <w:p>
                  <w:pPr>
                    <w:spacing w:line="400" w:lineRule="exact"/>
                    <w:jc w:val="center"/>
                    <w:rPr>
                      <w:b/>
                      <w:szCs w:val="21"/>
                      <w:u w:val="single"/>
                    </w:rPr>
                  </w:pPr>
                  <w:r>
                    <w:rPr>
                      <w:rFonts w:hAnsi="宋体"/>
                      <w:b/>
                      <w:szCs w:val="21"/>
                      <w:u w:val="single"/>
                    </w:rPr>
                    <w:t>运输监管</w:t>
                  </w:r>
                </w:p>
              </w:tc>
              <w:tc>
                <w:tcPr>
                  <w:tcW w:w="2781" w:type="pct"/>
                  <w:gridSpan w:val="2"/>
                  <w:vAlign w:val="center"/>
                </w:tcPr>
                <w:p>
                  <w:pPr>
                    <w:widowControl/>
                    <w:spacing w:line="400" w:lineRule="exact"/>
                    <w:jc w:val="center"/>
                    <w:rPr>
                      <w:b/>
                      <w:bCs/>
                      <w:kern w:val="0"/>
                      <w:szCs w:val="21"/>
                      <w:highlight w:val="yellow"/>
                      <w:u w:val="single"/>
                    </w:rPr>
                  </w:pPr>
                  <w:r>
                    <w:rPr>
                      <w:rFonts w:hint="eastAsia"/>
                      <w:b/>
                      <w:szCs w:val="21"/>
                      <w:u w:val="single"/>
                    </w:rPr>
                    <w:t>参照《重污染天气重点行业移动源应急管理技术指南》建立门禁系统和电子台账</w:t>
                  </w:r>
                </w:p>
              </w:tc>
              <w:tc>
                <w:tcPr>
                  <w:tcW w:w="1384" w:type="pct"/>
                  <w:vAlign w:val="center"/>
                </w:tcPr>
                <w:p>
                  <w:pPr>
                    <w:spacing w:line="400" w:lineRule="exact"/>
                    <w:jc w:val="center"/>
                    <w:rPr>
                      <w:b/>
                      <w:bCs/>
                      <w:kern w:val="0"/>
                      <w:szCs w:val="21"/>
                      <w:u w:val="single"/>
                    </w:rPr>
                  </w:pPr>
                  <w:r>
                    <w:rPr>
                      <w:rFonts w:hAnsi="宋体"/>
                      <w:b/>
                      <w:bCs/>
                      <w:kern w:val="0"/>
                      <w:szCs w:val="21"/>
                      <w:u w:val="single"/>
                    </w:rPr>
                    <w:t>本项目日均进出货物</w:t>
                  </w:r>
                  <w:r>
                    <w:rPr>
                      <w:b/>
                      <w:bCs/>
                      <w:kern w:val="0"/>
                      <w:szCs w:val="21"/>
                      <w:u w:val="single"/>
                    </w:rPr>
                    <w:t xml:space="preserve"> 150 </w:t>
                  </w:r>
                  <w:r>
                    <w:rPr>
                      <w:rFonts w:hAnsi="宋体"/>
                      <w:b/>
                      <w:bCs/>
                      <w:kern w:val="0"/>
                      <w:szCs w:val="21"/>
                      <w:u w:val="single"/>
                    </w:rPr>
                    <w:t>吨及以下</w:t>
                  </w:r>
                </w:p>
              </w:tc>
              <w:tc>
                <w:tcPr>
                  <w:tcW w:w="441" w:type="pct"/>
                  <w:vAlign w:val="center"/>
                </w:tcPr>
                <w:p>
                  <w:pPr>
                    <w:spacing w:line="400" w:lineRule="exact"/>
                    <w:jc w:val="center"/>
                    <w:rPr>
                      <w:b/>
                      <w:szCs w:val="21"/>
                      <w:u w:val="single"/>
                    </w:rPr>
                  </w:pPr>
                  <w:r>
                    <w:rPr>
                      <w:rFonts w:hAnsi="宋体"/>
                      <w:b/>
                      <w:szCs w:val="21"/>
                      <w:u w:val="single"/>
                    </w:rPr>
                    <w:t>不涉及</w:t>
                  </w:r>
                </w:p>
              </w:tc>
            </w:tr>
          </w:tbl>
          <w:p>
            <w:pPr>
              <w:pStyle w:val="108"/>
              <w:spacing w:line="520" w:lineRule="exact"/>
              <w:ind w:firstLine="482" w:firstLineChars="200"/>
              <w:rPr>
                <w:sz w:val="24"/>
                <w:szCs w:val="24"/>
                <w:u w:val="single"/>
              </w:rPr>
            </w:pPr>
            <w:r>
              <w:rPr>
                <w:rFonts w:hint="eastAsia"/>
                <w:sz w:val="24"/>
                <w:szCs w:val="24"/>
                <w:u w:val="single"/>
              </w:rPr>
              <w:t>由上表可知，本项目符合《重污染天气重点行业应急减排措施制定技术指南（2020 年修订版）》“三十一、包装印刷，（四）绩效分级指标”中“包装印刷业绩效分级指标”（A级企业）要求。</w:t>
            </w:r>
          </w:p>
          <w:p>
            <w:pPr>
              <w:pStyle w:val="51"/>
              <w:ind w:firstLine="0" w:firstLineChars="0"/>
            </w:pPr>
            <w:r>
              <w:rPr>
                <w:rFonts w:hint="eastAsia"/>
              </w:rPr>
              <w:t>10、</w:t>
            </w:r>
            <w:r>
              <w:t>饮用水源</w:t>
            </w:r>
          </w:p>
          <w:p>
            <w:pPr>
              <w:pStyle w:val="99"/>
              <w:ind w:firstLine="480"/>
            </w:pPr>
            <w:r>
              <w:rPr>
                <w:rFonts w:hint="eastAsia"/>
                <w:shd w:val="clear" w:color="auto" w:fill="FFFFFF"/>
              </w:rPr>
              <w:t>项目厂址位于洛阳市偃师区岳滩镇，根据河南省人民政府办公厅发布的《关于印发河南省乡镇集中式饮用水水源保护区划的通知》（豫政办[2016]23号）</w:t>
            </w:r>
            <w:r>
              <w:t>。</w:t>
            </w:r>
          </w:p>
          <w:p>
            <w:pPr>
              <w:pStyle w:val="99"/>
              <w:ind w:firstLine="480"/>
            </w:pPr>
            <w:r>
              <w:t>偃师区现有10处乡镇地下水井群。根据调查，距离本项目较近的为偃师区</w:t>
            </w:r>
            <w:r>
              <w:rPr>
                <w:rFonts w:hint="eastAsia"/>
              </w:rPr>
              <w:t>岳滩镇</w:t>
            </w:r>
            <w:r>
              <w:t>镇饮用水水源井群（共2眼井）。</w:t>
            </w:r>
          </w:p>
          <w:p>
            <w:pPr>
              <w:adjustRightInd w:val="0"/>
              <w:snapToGrid w:val="0"/>
              <w:spacing w:line="520" w:lineRule="exact"/>
              <w:ind w:firstLine="480" w:firstLineChars="200"/>
              <w:rPr>
                <w:sz w:val="24"/>
              </w:rPr>
            </w:pPr>
            <w:r>
              <w:rPr>
                <w:sz w:val="24"/>
              </w:rPr>
              <w:t>偃师市岳滩镇共有3处集中式饮用水水源地，分别为：</w:t>
            </w:r>
          </w:p>
          <w:p>
            <w:pPr>
              <w:adjustRightInd w:val="0"/>
              <w:snapToGrid w:val="0"/>
              <w:spacing w:line="520" w:lineRule="exact"/>
              <w:ind w:firstLine="480" w:firstLineChars="200"/>
              <w:rPr>
                <w:sz w:val="24"/>
              </w:rPr>
            </w:pPr>
            <w:r>
              <w:rPr>
                <w:sz w:val="24"/>
              </w:rPr>
              <w:t>①偃师市岳滩镇东水厂地下水井群(共2眼井)</w:t>
            </w:r>
          </w:p>
          <w:p>
            <w:pPr>
              <w:adjustRightInd w:val="0"/>
              <w:snapToGrid w:val="0"/>
              <w:spacing w:line="520" w:lineRule="exact"/>
              <w:ind w:firstLine="480" w:firstLineChars="200"/>
              <w:rPr>
                <w:sz w:val="24"/>
              </w:rPr>
            </w:pPr>
            <w:r>
              <w:rPr>
                <w:sz w:val="24"/>
              </w:rPr>
              <w:t>一级保护区范围：水厂厂区及外围东200米、西170米、南180米、北200米至310国道的区域。</w:t>
            </w:r>
          </w:p>
          <w:p>
            <w:pPr>
              <w:adjustRightInd w:val="0"/>
              <w:snapToGrid w:val="0"/>
              <w:spacing w:line="520" w:lineRule="exact"/>
              <w:ind w:firstLine="480" w:firstLineChars="200"/>
              <w:rPr>
                <w:sz w:val="24"/>
              </w:rPr>
            </w:pPr>
            <w:r>
              <w:rPr>
                <w:sz w:val="24"/>
              </w:rPr>
              <w:t>②偃师市岳滩镇西水厂地下水井群(共2眼井)</w:t>
            </w:r>
          </w:p>
          <w:p>
            <w:pPr>
              <w:adjustRightInd w:val="0"/>
              <w:snapToGrid w:val="0"/>
              <w:spacing w:line="520" w:lineRule="exact"/>
              <w:ind w:firstLine="480" w:firstLineChars="200"/>
              <w:rPr>
                <w:sz w:val="24"/>
              </w:rPr>
            </w:pPr>
            <w:r>
              <w:rPr>
                <w:sz w:val="24"/>
              </w:rPr>
              <w:t>一级保护区范围：水厂厂区及外围东190米、西190米、南180米、北190米的区域。</w:t>
            </w:r>
          </w:p>
          <w:p>
            <w:pPr>
              <w:adjustRightInd w:val="0"/>
              <w:snapToGrid w:val="0"/>
              <w:spacing w:line="520" w:lineRule="exact"/>
              <w:ind w:firstLine="480" w:firstLineChars="200"/>
              <w:rPr>
                <w:sz w:val="24"/>
              </w:rPr>
            </w:pPr>
            <w:r>
              <w:rPr>
                <w:sz w:val="24"/>
              </w:rPr>
              <w:t>③偃师市岳滩镇三水厂地下水井群(共2眼井)</w:t>
            </w:r>
          </w:p>
          <w:p>
            <w:pPr>
              <w:adjustRightInd w:val="0"/>
              <w:snapToGrid w:val="0"/>
              <w:spacing w:line="520" w:lineRule="exact"/>
              <w:ind w:firstLine="480" w:firstLineChars="200"/>
              <w:rPr>
                <w:sz w:val="24"/>
              </w:rPr>
            </w:pPr>
            <w:r>
              <w:rPr>
                <w:sz w:val="24"/>
              </w:rPr>
              <w:t>一级保护区范围：水厂厂区及外围东221米、西217米、南187米、北202米的区域。</w:t>
            </w:r>
          </w:p>
          <w:p>
            <w:pPr>
              <w:adjustRightInd w:val="0"/>
              <w:snapToGrid w:val="0"/>
              <w:spacing w:line="520" w:lineRule="exact"/>
              <w:ind w:firstLine="480" w:firstLineChars="200"/>
              <w:rPr>
                <w:sz w:val="24"/>
              </w:rPr>
            </w:pPr>
            <w:r>
              <w:rPr>
                <w:sz w:val="24"/>
              </w:rPr>
              <w:t>本项目位于</w:t>
            </w:r>
            <w:r>
              <w:rPr>
                <w:rFonts w:hint="eastAsia"/>
                <w:sz w:val="24"/>
              </w:rPr>
              <w:t>偃师区岳滩镇</w:t>
            </w:r>
            <w:r>
              <w:rPr>
                <w:sz w:val="24"/>
              </w:rPr>
              <w:t>，距离最近的水源地为偃师市岳滩镇</w:t>
            </w:r>
            <w:r>
              <w:rPr>
                <w:rFonts w:hint="eastAsia"/>
                <w:sz w:val="24"/>
              </w:rPr>
              <w:t>三</w:t>
            </w:r>
            <w:r>
              <w:rPr>
                <w:sz w:val="24"/>
              </w:rPr>
              <w:t>水厂，本项目</w:t>
            </w:r>
            <w:r>
              <w:rPr>
                <w:rFonts w:hint="eastAsia"/>
                <w:sz w:val="24"/>
              </w:rPr>
              <w:t>位于三水厂</w:t>
            </w:r>
            <w:r>
              <w:rPr>
                <w:sz w:val="24"/>
              </w:rPr>
              <w:t>一级保护区</w:t>
            </w:r>
            <w:r>
              <w:rPr>
                <w:rFonts w:hint="eastAsia"/>
                <w:sz w:val="24"/>
              </w:rPr>
              <w:t>下游约0.06</w:t>
            </w:r>
            <w:r>
              <w:rPr>
                <w:sz w:val="24"/>
              </w:rPr>
              <w:t>km</w:t>
            </w:r>
            <w:r>
              <w:rPr>
                <w:rFonts w:hint="eastAsia"/>
                <w:sz w:val="24"/>
              </w:rPr>
              <w:t>处</w:t>
            </w:r>
            <w:r>
              <w:rPr>
                <w:sz w:val="24"/>
              </w:rPr>
              <w:t>，项目厂址与偃师市岳滩镇</w:t>
            </w:r>
            <w:r>
              <w:rPr>
                <w:rFonts w:hint="eastAsia"/>
                <w:sz w:val="24"/>
              </w:rPr>
              <w:t>三</w:t>
            </w:r>
            <w:r>
              <w:rPr>
                <w:sz w:val="24"/>
              </w:rPr>
              <w:t>水厂饮用水水源保护区的位置关系见附图六。本项目不在水源保护区范围内，符合饮用水源保护规划。</w:t>
            </w:r>
          </w:p>
          <w:p>
            <w:pPr>
              <w:pStyle w:val="51"/>
              <w:ind w:firstLine="0" w:firstLineChars="0"/>
            </w:pPr>
            <w:r>
              <w:rPr>
                <w:rFonts w:hint="eastAsia"/>
              </w:rPr>
              <w:t>11、大遗址保护规划相符性分析</w:t>
            </w:r>
          </w:p>
          <w:p>
            <w:pPr>
              <w:adjustRightInd w:val="0"/>
              <w:snapToGrid w:val="0"/>
              <w:spacing w:line="520" w:lineRule="exact"/>
              <w:ind w:firstLine="480" w:firstLineChars="200"/>
              <w:rPr>
                <w:sz w:val="24"/>
              </w:rPr>
            </w:pPr>
            <w:r>
              <w:rPr>
                <w:sz w:val="24"/>
              </w:rPr>
              <w:t>根据《洛阳市城市总体规划》（2011-2020年）-《大遗址保护区划图》，洛阳分为邙山陵墓群、汉魏洛阳城遗址、东汉陵墓南兆城、隋唐洛阳城遗址等保护区域，偃师境内的主要为邙山陵墓群东段和汉魏洛阳城遗址。</w:t>
            </w:r>
          </w:p>
          <w:p>
            <w:pPr>
              <w:adjustRightInd w:val="0"/>
              <w:snapToGrid w:val="0"/>
              <w:spacing w:line="520" w:lineRule="exact"/>
              <w:ind w:firstLine="480" w:firstLineChars="200"/>
              <w:rPr>
                <w:sz w:val="24"/>
              </w:rPr>
            </w:pPr>
            <w:r>
              <w:rPr>
                <w:sz w:val="24"/>
              </w:rPr>
              <w:t>本项目位于洛阳市偃师区</w:t>
            </w:r>
            <w:r>
              <w:rPr>
                <w:rFonts w:hint="eastAsia"/>
                <w:sz w:val="24"/>
              </w:rPr>
              <w:t>岳滩镇</w:t>
            </w:r>
            <w:r>
              <w:rPr>
                <w:sz w:val="24"/>
              </w:rPr>
              <w:t>。根据《洛阳市城市总体规划》（2011-2020年）-《大遗址保护区划图》，</w:t>
            </w:r>
            <w:r>
              <w:rPr>
                <w:rFonts w:hint="eastAsia"/>
                <w:sz w:val="24"/>
              </w:rPr>
              <w:t>本项目</w:t>
            </w:r>
            <w:r>
              <w:rPr>
                <w:sz w:val="24"/>
              </w:rPr>
              <w:t>不在其保护范围和建设控制地带内（见附图八），项目建设不会对文物造成影响。</w:t>
            </w:r>
          </w:p>
          <w:p>
            <w:pPr>
              <w:pStyle w:val="51"/>
              <w:ind w:firstLine="480"/>
            </w:pPr>
          </w:p>
          <w:p>
            <w:pPr>
              <w:pStyle w:val="51"/>
              <w:ind w:firstLine="480"/>
            </w:pPr>
          </w:p>
          <w:p>
            <w:pPr>
              <w:pStyle w:val="51"/>
              <w:ind w:firstLine="480"/>
            </w:pPr>
          </w:p>
          <w:p>
            <w:pPr>
              <w:pStyle w:val="51"/>
              <w:ind w:firstLine="480"/>
            </w:pPr>
          </w:p>
          <w:p>
            <w:pPr>
              <w:pStyle w:val="51"/>
              <w:ind w:firstLine="480"/>
            </w:pPr>
          </w:p>
          <w:p>
            <w:pPr>
              <w:pStyle w:val="51"/>
              <w:ind w:firstLine="480"/>
            </w:pPr>
          </w:p>
          <w:p>
            <w:pPr>
              <w:pStyle w:val="51"/>
              <w:ind w:firstLine="480"/>
            </w:pPr>
          </w:p>
          <w:p>
            <w:pPr>
              <w:pStyle w:val="51"/>
              <w:ind w:firstLine="480"/>
            </w:pPr>
          </w:p>
          <w:p>
            <w:pPr>
              <w:pStyle w:val="51"/>
              <w:ind w:firstLine="480"/>
            </w:pPr>
          </w:p>
          <w:p>
            <w:pPr>
              <w:pStyle w:val="51"/>
              <w:ind w:firstLine="480"/>
            </w:pPr>
          </w:p>
          <w:p>
            <w:pPr>
              <w:pStyle w:val="51"/>
              <w:ind w:firstLine="480"/>
            </w:pPr>
          </w:p>
          <w:p>
            <w:pPr>
              <w:pStyle w:val="51"/>
              <w:ind w:firstLine="480"/>
            </w:pPr>
          </w:p>
        </w:tc>
      </w:tr>
    </w:tbl>
    <w:p>
      <w:pPr>
        <w:spacing w:line="360" w:lineRule="auto"/>
        <w:outlineLvl w:val="0"/>
        <w:rPr>
          <w:rFonts w:eastAsia="黑体"/>
          <w:sz w:val="30"/>
        </w:rPr>
        <w:sectPr>
          <w:pgSz w:w="11906" w:h="16838"/>
          <w:pgMar w:top="1701" w:right="1531" w:bottom="1701" w:left="1531" w:header="851" w:footer="1077" w:gutter="0"/>
          <w:cols w:space="720" w:num="1"/>
          <w:docGrid w:linePitch="312" w:charSpace="0"/>
        </w:sectPr>
      </w:pPr>
    </w:p>
    <w:p>
      <w:pPr>
        <w:pStyle w:val="19"/>
        <w:spacing w:before="0" w:beforeAutospacing="0" w:after="0" w:afterAutospacing="0" w:line="800" w:lineRule="exact"/>
        <w:jc w:val="center"/>
        <w:outlineLvl w:val="0"/>
        <w:rPr>
          <w:rFonts w:ascii="黑体" w:hAnsi="黑体" w:eastAsia="黑体"/>
          <w:snapToGrid w:val="0"/>
          <w:sz w:val="30"/>
          <w:szCs w:val="30"/>
        </w:rPr>
      </w:pPr>
      <w:r>
        <w:rPr>
          <w:rFonts w:hint="eastAsia" w:ascii="黑体" w:hAnsi="黑体" w:eastAsia="黑体"/>
          <w:snapToGrid w:val="0"/>
          <w:sz w:val="30"/>
          <w:szCs w:val="30"/>
        </w:rPr>
        <w:t>二、建设项目工程分析</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6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22" w:type="dxa"/>
            <w:vAlign w:val="center"/>
          </w:tcPr>
          <w:p>
            <w:pPr>
              <w:pStyle w:val="19"/>
              <w:adjustRightInd w:val="0"/>
              <w:snapToGrid w:val="0"/>
              <w:spacing w:before="0" w:beforeAutospacing="0" w:after="0" w:afterAutospacing="0"/>
              <w:jc w:val="center"/>
              <w:rPr>
                <w:rFonts w:cs="宋体"/>
                <w:sz w:val="21"/>
                <w:szCs w:val="21"/>
              </w:rPr>
            </w:pPr>
            <w:r>
              <w:rPr>
                <w:rFonts w:hint="eastAsia" w:cs="宋体"/>
                <w:sz w:val="21"/>
                <w:szCs w:val="21"/>
              </w:rPr>
              <w:t>建设内容</w:t>
            </w:r>
          </w:p>
        </w:tc>
        <w:tc>
          <w:tcPr>
            <w:tcW w:w="8638" w:type="dxa"/>
          </w:tcPr>
          <w:p>
            <w:pPr>
              <w:pStyle w:val="91"/>
              <w:rPr>
                <w:color w:val="auto"/>
              </w:rPr>
            </w:pPr>
            <w:r>
              <w:rPr>
                <w:color w:val="auto"/>
              </w:rPr>
              <w:t>1.</w:t>
            </w:r>
            <w:r>
              <w:rPr>
                <w:rFonts w:hint="eastAsia"/>
                <w:color w:val="auto"/>
              </w:rPr>
              <w:t>项目由来</w:t>
            </w:r>
          </w:p>
          <w:p>
            <w:pPr>
              <w:pStyle w:val="79"/>
            </w:pPr>
            <w:r>
              <w:rPr>
                <w:rFonts w:hint="eastAsia"/>
              </w:rPr>
              <w:t>洛阳市一浩包装有限公司</w:t>
            </w:r>
            <w:r>
              <w:t>成立于</w:t>
            </w:r>
            <w:r>
              <w:rPr>
                <w:rFonts w:hint="eastAsia"/>
              </w:rPr>
              <w:t>2022年8月10日，法人代表鲍宾柯，主要从事项目：塑料制品制造等。公司统一社会信用代码为：91410307MA9LR73U30。</w:t>
            </w:r>
            <w:r>
              <w:t>为满足市场需求</w:t>
            </w:r>
            <w:r>
              <w:rPr>
                <w:rFonts w:hint="eastAsia"/>
              </w:rPr>
              <w:t>，洛阳市一浩包装有限公司租赁偃师区岳滩镇标准化车间1间（2层），投资1000万元，年产50万条集装袋项目，仅涉及编织和缝纫，</w:t>
            </w:r>
            <w:r>
              <w:rPr>
                <w:rFonts w:hint="eastAsia"/>
                <w:bCs/>
              </w:rPr>
              <w:t>《建设项目环境影响评价分类管理名录》（2021 年版）</w:t>
            </w:r>
            <w:r>
              <w:rPr>
                <w:rFonts w:hint="eastAsia"/>
              </w:rPr>
              <w:t>未作规定，不纳入建设项目环境影响评价管理，直接纳入排污许可管理。</w:t>
            </w:r>
          </w:p>
          <w:p>
            <w:pPr>
              <w:pStyle w:val="79"/>
              <w:ind w:firstLine="482"/>
              <w:rPr>
                <w:b/>
                <w:u w:val="single"/>
              </w:rPr>
            </w:pPr>
            <w:r>
              <w:rPr>
                <w:rFonts w:hint="eastAsia"/>
                <w:b/>
                <w:u w:val="single"/>
              </w:rPr>
              <w:t>洛阳市一浩包装有限公司于2022年12月开始建设，并在投产前（2023年3月）完成了排污许可证的填报工作（登记管理），并取得固定污染源排污登记回执，登记编号为</w:t>
            </w:r>
            <w:r>
              <w:rPr>
                <w:b/>
                <w:u w:val="single"/>
              </w:rPr>
              <w:t>91410307MA9LR73U30001Y</w:t>
            </w:r>
            <w:r>
              <w:rPr>
                <w:rFonts w:hint="eastAsia"/>
                <w:b/>
                <w:u w:val="single"/>
              </w:rPr>
              <w:t>，登记日期为2023 年03月03日，有效时间为2023 年03月03日至2028年03月02日。</w:t>
            </w:r>
          </w:p>
          <w:p>
            <w:pPr>
              <w:pStyle w:val="79"/>
              <w:ind w:firstLine="482"/>
              <w:rPr>
                <w:bCs/>
              </w:rPr>
            </w:pPr>
            <w:r>
              <w:rPr>
                <w:rFonts w:hint="eastAsia"/>
                <w:b/>
                <w:u w:val="single"/>
              </w:rPr>
              <w:t>项目投产后，发现冷裁基布容易出现毛边且根据市场需要，编织袋上需要进行印刷，将现有冷裁工艺改为热裁工艺且增加印刷工序，生产效率提高，并在此基础上增加缝纫机和编织机（吊带）数量。</w:t>
            </w:r>
            <w:r>
              <w:rPr>
                <w:rFonts w:hint="eastAsia"/>
                <w:bCs/>
              </w:rPr>
              <w:t>根据《中华人民共和国环境保护法》、《中华人民共和国环境影响评价法》和国务院（2017）第682 号令《建设项目环境保护管理条例》中有关规定，本项目应开展环境影响评价工作。经查阅《建设项目环境影响评价分类管理名录》（2021 年版），本项目属于“二十六、橡胶和塑料制品业--53塑料制品业 292” ，根据规定，“以再生塑料为原料生产的；有电镀工艺的；年用溶剂型胶粘剂10吨及以上的；年用溶剂型涂料（含稀释剂）10吨及以上的”应编制环境影响报告书，“其他（年用非溶剂型低VOCs含量涂料10吨以下的除外）”应编制环境影响报告表，本项目不涉及再生料、电镀和溶剂型粘胶剂，因此，本项目应编制环境影响报告表。</w:t>
            </w:r>
          </w:p>
          <w:p>
            <w:pPr>
              <w:pStyle w:val="79"/>
            </w:pPr>
            <w:r>
              <w:rPr>
                <w:rFonts w:hint="eastAsia"/>
              </w:rPr>
              <w:t>受建设单位委托，我公司承担了该项目的环境影响评价工作，委托书见附件1。我公司接受委托后，立即组织有关技术人员进行了现场调查、环境保护目标识</w:t>
            </w:r>
          </w:p>
        </w:tc>
      </w:tr>
    </w:tbl>
    <w:p>
      <w:pPr>
        <w:pStyle w:val="91"/>
        <w:rPr>
          <w:color w:val="auto"/>
        </w:rPr>
        <w:sectPr>
          <w:pgSz w:w="11906" w:h="16838"/>
          <w:pgMar w:top="1701" w:right="1531" w:bottom="1701" w:left="1531" w:header="851" w:footer="851" w:gutter="0"/>
          <w:cols w:space="720" w:num="1"/>
          <w:docGrid w:linePitch="312" w:charSpace="0"/>
        </w:sectPr>
      </w:pPr>
    </w:p>
    <w:tbl>
      <w:tblPr>
        <w:tblStyle w:val="2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6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000" w:type="pct"/>
            <w:vAlign w:val="center"/>
          </w:tcPr>
          <w:p>
            <w:pPr>
              <w:pStyle w:val="79"/>
              <w:ind w:firstLine="0" w:firstLineChars="0"/>
            </w:pPr>
            <w:r>
              <w:rPr>
                <w:rFonts w:hint="eastAsia"/>
              </w:rPr>
              <w:t>别、资料收集与分析等工作，并在此基础上，根据国家建设项目环境影响评价技术导则和规范的要求，本着“客观、公正、科学、规范”的精神，编制完成了该项目环境影响报告表。</w:t>
            </w:r>
          </w:p>
          <w:p>
            <w:pPr>
              <w:pStyle w:val="91"/>
              <w:rPr>
                <w:color w:val="auto"/>
              </w:rPr>
            </w:pPr>
            <w:r>
              <w:rPr>
                <w:rFonts w:hint="eastAsia"/>
                <w:color w:val="auto"/>
              </w:rPr>
              <w:t>2建设内容</w:t>
            </w:r>
          </w:p>
          <w:p>
            <w:pPr>
              <w:pStyle w:val="91"/>
              <w:rPr>
                <w:color w:val="auto"/>
              </w:rPr>
            </w:pPr>
            <w:r>
              <w:rPr>
                <w:rFonts w:hint="eastAsia"/>
                <w:color w:val="auto"/>
              </w:rPr>
              <w:t>2.1</w:t>
            </w:r>
            <w:r>
              <w:rPr>
                <w:color w:val="auto"/>
              </w:rPr>
              <w:t>项目基本情况</w:t>
            </w:r>
          </w:p>
          <w:p>
            <w:pPr>
              <w:pStyle w:val="79"/>
              <w:rPr>
                <w:b/>
              </w:rPr>
            </w:pPr>
            <w:r>
              <w:t>本</w:t>
            </w:r>
            <w:r>
              <w:rPr>
                <w:rFonts w:hint="eastAsia"/>
              </w:rPr>
              <w:t>项目利用现有标准化厂房一栋(两层)建设，建设规模为年产150万条生装袋，主要设备为缝纫机、吊带机、热裁机、打包机等，主要生产工艺为原料-裁切-印刷-缝纫-成品。</w:t>
            </w:r>
          </w:p>
          <w:p>
            <w:pPr>
              <w:pStyle w:val="91"/>
              <w:rPr>
                <w:color w:val="auto"/>
              </w:rPr>
            </w:pPr>
            <w:r>
              <w:rPr>
                <w:color w:val="auto"/>
              </w:rPr>
              <w:t xml:space="preserve">2. </w:t>
            </w:r>
            <w:r>
              <w:rPr>
                <w:rFonts w:hint="eastAsia"/>
                <w:color w:val="auto"/>
              </w:rPr>
              <w:t>2</w:t>
            </w:r>
            <w:r>
              <w:rPr>
                <w:color w:val="auto"/>
              </w:rPr>
              <w:t>地理位置与交通</w:t>
            </w:r>
          </w:p>
          <w:p>
            <w:pPr>
              <w:spacing w:line="520" w:lineRule="exact"/>
              <w:ind w:firstLine="480" w:firstLineChars="200"/>
              <w:jc w:val="left"/>
              <w:rPr>
                <w:sz w:val="24"/>
              </w:rPr>
            </w:pPr>
            <w:r>
              <w:rPr>
                <w:sz w:val="24"/>
              </w:rPr>
              <w:t>本项目位于</w:t>
            </w:r>
            <w:r>
              <w:rPr>
                <w:rFonts w:hint="eastAsia"/>
                <w:sz w:val="24"/>
              </w:rPr>
              <w:t>洛阳市偃师区岳滩镇</w:t>
            </w:r>
            <w:r>
              <w:rPr>
                <w:sz w:val="24"/>
              </w:rPr>
              <w:t>。</w:t>
            </w:r>
          </w:p>
          <w:p>
            <w:pPr>
              <w:pStyle w:val="51"/>
              <w:ind w:firstLine="480"/>
            </w:pPr>
            <w:r>
              <w:t>周围环境现状为：</w:t>
            </w:r>
            <w:r>
              <w:rPr>
                <w:rFonts w:hint="eastAsia"/>
              </w:rPr>
              <w:t>本项目东侧为河南神鸿达印刷材料有限公司和西侧为编织袋厂、南侧为涝洼渠、北侧为岳酒路，</w:t>
            </w:r>
            <w:r>
              <w:rPr>
                <w:rFonts w:hint="eastAsia"/>
                <w:bCs/>
              </w:rPr>
              <w:t>距厂区最近的敏感点为北侧30m的后马郡村散户</w:t>
            </w:r>
            <w:r>
              <w:rPr>
                <w:rFonts w:hint="eastAsia"/>
              </w:rPr>
              <w:t>。</w:t>
            </w:r>
          </w:p>
          <w:p>
            <w:pPr>
              <w:pStyle w:val="51"/>
              <w:ind w:firstLine="480"/>
            </w:pPr>
            <w:r>
              <w:t>本项目地理位置图见附图</w:t>
            </w:r>
            <w:r>
              <w:rPr>
                <w:rFonts w:hint="eastAsia"/>
              </w:rPr>
              <w:t>一</w:t>
            </w:r>
            <w:r>
              <w:t>，周围环境示意图见附图</w:t>
            </w:r>
            <w:r>
              <w:rPr>
                <w:rFonts w:hint="eastAsia"/>
              </w:rPr>
              <w:t>二</w:t>
            </w:r>
            <w:r>
              <w:t>。</w:t>
            </w:r>
          </w:p>
          <w:p>
            <w:pPr>
              <w:pStyle w:val="91"/>
              <w:rPr>
                <w:color w:val="auto"/>
              </w:rPr>
            </w:pPr>
            <w:r>
              <w:rPr>
                <w:color w:val="auto"/>
              </w:rPr>
              <w:t>3. 建设内容</w:t>
            </w:r>
          </w:p>
          <w:p>
            <w:pPr>
              <w:pStyle w:val="53"/>
              <w:ind w:firstLine="480"/>
            </w:pPr>
            <w:r>
              <w:t>表</w:t>
            </w:r>
            <w:r>
              <w:rPr>
                <w:rFonts w:hint="eastAsia"/>
              </w:rPr>
              <w:t>9</w:t>
            </w:r>
            <w:r>
              <w:t xml:space="preserve">         </w:t>
            </w:r>
            <w:r>
              <w:rPr>
                <w:rFonts w:hint="eastAsia"/>
              </w:rPr>
              <w:t xml:space="preserve">            </w:t>
            </w:r>
            <w:r>
              <w:t xml:space="preserve">     </w:t>
            </w:r>
            <w:r>
              <w:rPr>
                <w:rFonts w:hint="eastAsia"/>
              </w:rPr>
              <w:t>本项目</w:t>
            </w:r>
            <w:r>
              <w:t>组成情况表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601"/>
              <w:gridCol w:w="1093"/>
              <w:gridCol w:w="4758"/>
              <w:gridCol w:w="4678"/>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393"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b/>
                      <w:szCs w:val="21"/>
                    </w:rPr>
                  </w:pPr>
                  <w:r>
                    <w:rPr>
                      <w:b/>
                      <w:szCs w:val="21"/>
                    </w:rPr>
                    <w:t>工程</w:t>
                  </w:r>
                </w:p>
                <w:p>
                  <w:pPr>
                    <w:snapToGrid w:val="0"/>
                    <w:spacing w:line="400" w:lineRule="exact"/>
                    <w:jc w:val="center"/>
                    <w:rPr>
                      <w:b/>
                      <w:szCs w:val="21"/>
                    </w:rPr>
                  </w:pPr>
                  <w:r>
                    <w:rPr>
                      <w:b/>
                      <w:szCs w:val="21"/>
                    </w:rPr>
                    <w:t>分类</w:t>
                  </w:r>
                </w:p>
              </w:tc>
              <w:tc>
                <w:tcPr>
                  <w:tcW w:w="631" w:type="pct"/>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b/>
                      <w:szCs w:val="21"/>
                    </w:rPr>
                  </w:pPr>
                  <w:r>
                    <w:rPr>
                      <w:b/>
                      <w:szCs w:val="21"/>
                    </w:rPr>
                    <w:t>工程组成</w:t>
                  </w:r>
                </w:p>
              </w:tc>
              <w:tc>
                <w:tcPr>
                  <w:tcW w:w="177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b/>
                      <w:szCs w:val="21"/>
                    </w:rPr>
                  </w:pPr>
                  <w:r>
                    <w:rPr>
                      <w:rFonts w:hint="eastAsia"/>
                      <w:b/>
                      <w:szCs w:val="21"/>
                    </w:rPr>
                    <w:t>现有</w:t>
                  </w:r>
                  <w:r>
                    <w:rPr>
                      <w:b/>
                      <w:szCs w:val="21"/>
                    </w:rPr>
                    <w:t>工程内容</w:t>
                  </w:r>
                </w:p>
              </w:tc>
              <w:tc>
                <w:tcPr>
                  <w:tcW w:w="174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b/>
                      <w:szCs w:val="21"/>
                    </w:rPr>
                  </w:pPr>
                  <w:r>
                    <w:rPr>
                      <w:rFonts w:hint="eastAsia"/>
                      <w:b/>
                      <w:szCs w:val="21"/>
                    </w:rPr>
                    <w:t>改扩建后</w:t>
                  </w:r>
                  <w:r>
                    <w:rPr>
                      <w:b/>
                      <w:szCs w:val="21"/>
                    </w:rPr>
                    <w:t>工程内容</w:t>
                  </w:r>
                </w:p>
              </w:tc>
              <w:tc>
                <w:tcPr>
                  <w:tcW w:w="46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393" w:type="pct"/>
                  <w:tcBorders>
                    <w:top w:val="single" w:color="auto" w:sz="4" w:space="0"/>
                    <w:left w:val="single" w:color="auto" w:sz="4" w:space="0"/>
                    <w:right w:val="single" w:color="auto" w:sz="4" w:space="0"/>
                  </w:tcBorders>
                  <w:vAlign w:val="center"/>
                </w:tcPr>
                <w:p>
                  <w:pPr>
                    <w:pStyle w:val="105"/>
                    <w:widowControl/>
                    <w:spacing w:line="400" w:lineRule="exact"/>
                    <w:rPr>
                      <w:rFonts w:hint="default" w:ascii="Times New Roman" w:hAnsi="Times New Roman" w:eastAsia="宋体"/>
                      <w:bCs/>
                      <w:kern w:val="2"/>
                      <w:sz w:val="21"/>
                    </w:rPr>
                  </w:pPr>
                  <w:r>
                    <w:rPr>
                      <w:rFonts w:hint="default" w:ascii="Times New Roman" w:hAnsi="Times New Roman" w:eastAsia="宋体"/>
                      <w:bCs/>
                      <w:kern w:val="2"/>
                      <w:sz w:val="21"/>
                    </w:rPr>
                    <w:t>主体工程</w:t>
                  </w:r>
                </w:p>
              </w:tc>
              <w:tc>
                <w:tcPr>
                  <w:tcW w:w="631" w:type="pct"/>
                  <w:gridSpan w:val="2"/>
                  <w:tcBorders>
                    <w:top w:val="single" w:color="auto" w:sz="4" w:space="0"/>
                    <w:left w:val="single" w:color="auto" w:sz="4" w:space="0"/>
                    <w:bottom w:val="single" w:color="auto" w:sz="4" w:space="0"/>
                    <w:right w:val="single" w:color="auto" w:sz="4" w:space="0"/>
                  </w:tcBorders>
                  <w:vAlign w:val="center"/>
                </w:tcPr>
                <w:p>
                  <w:pPr>
                    <w:pStyle w:val="105"/>
                    <w:widowControl/>
                    <w:spacing w:line="400" w:lineRule="exact"/>
                    <w:rPr>
                      <w:rFonts w:hint="default" w:ascii="Times New Roman" w:hAnsi="Times New Roman" w:eastAsia="宋体"/>
                      <w:bCs/>
                      <w:kern w:val="2"/>
                      <w:sz w:val="21"/>
                    </w:rPr>
                  </w:pPr>
                  <w:r>
                    <w:rPr>
                      <w:rFonts w:ascii="Times New Roman" w:hAnsi="Times New Roman" w:eastAsia="宋体"/>
                      <w:bCs/>
                      <w:kern w:val="2"/>
                      <w:sz w:val="21"/>
                    </w:rPr>
                    <w:t>生产</w:t>
                  </w:r>
                </w:p>
                <w:p>
                  <w:pPr>
                    <w:pStyle w:val="105"/>
                    <w:widowControl/>
                    <w:spacing w:line="400" w:lineRule="exact"/>
                    <w:rPr>
                      <w:rFonts w:hint="default" w:ascii="Times New Roman" w:hAnsi="Times New Roman" w:eastAsia="宋体"/>
                      <w:bCs/>
                      <w:kern w:val="2"/>
                      <w:sz w:val="21"/>
                    </w:rPr>
                  </w:pPr>
                  <w:r>
                    <w:rPr>
                      <w:rFonts w:hint="default" w:ascii="Times New Roman" w:hAnsi="Times New Roman" w:eastAsia="宋体"/>
                      <w:bCs/>
                      <w:kern w:val="2"/>
                      <w:sz w:val="21"/>
                    </w:rPr>
                    <w:t>车间</w:t>
                  </w:r>
                </w:p>
              </w:tc>
              <w:tc>
                <w:tcPr>
                  <w:tcW w:w="1772" w:type="pct"/>
                  <w:tcBorders>
                    <w:top w:val="single" w:color="auto" w:sz="4" w:space="0"/>
                    <w:left w:val="single" w:color="auto" w:sz="4" w:space="0"/>
                    <w:bottom w:val="single" w:color="auto" w:sz="4" w:space="0"/>
                    <w:right w:val="single" w:color="auto" w:sz="4" w:space="0"/>
                  </w:tcBorders>
                  <w:vAlign w:val="center"/>
                </w:tcPr>
                <w:p>
                  <w:pPr>
                    <w:pStyle w:val="105"/>
                    <w:widowControl/>
                    <w:spacing w:line="400" w:lineRule="exact"/>
                    <w:rPr>
                      <w:rFonts w:hint="default" w:ascii="Times New Roman" w:hAnsi="Times New Roman" w:eastAsia="宋体"/>
                      <w:bCs/>
                      <w:kern w:val="2"/>
                      <w:sz w:val="21"/>
                      <w:szCs w:val="21"/>
                    </w:rPr>
                  </w:pPr>
                  <w:r>
                    <w:rPr>
                      <w:rFonts w:ascii="Times New Roman" w:hAnsi="Times New Roman" w:eastAsia="宋体"/>
                      <w:bCs/>
                      <w:kern w:val="2"/>
                      <w:sz w:val="21"/>
                      <w:szCs w:val="21"/>
                    </w:rPr>
                    <w:t>2F，钢架结构，H=12m，占地</w:t>
                  </w:r>
                  <w:r>
                    <w:rPr>
                      <w:rFonts w:hint="default" w:ascii="Times New Roman" w:hAnsi="Times New Roman" w:eastAsia="宋体"/>
                      <w:bCs/>
                      <w:kern w:val="2"/>
                      <w:sz w:val="21"/>
                      <w:szCs w:val="21"/>
                    </w:rPr>
                    <w:t>面积</w:t>
                  </w:r>
                  <w:r>
                    <w:rPr>
                      <w:rFonts w:ascii="Times New Roman" w:hAnsi="Times New Roman" w:eastAsia="宋体"/>
                      <w:bCs/>
                      <w:kern w:val="2"/>
                      <w:sz w:val="21"/>
                      <w:szCs w:val="21"/>
                    </w:rPr>
                    <w:t>3200</w:t>
                  </w:r>
                  <w:r>
                    <w:rPr>
                      <w:rFonts w:hint="default" w:ascii="Times New Roman" w:hAnsi="Times New Roman" w:eastAsia="宋体"/>
                      <w:bCs/>
                      <w:kern w:val="2"/>
                      <w:sz w:val="21"/>
                      <w:szCs w:val="21"/>
                    </w:rPr>
                    <w:t>m</w:t>
                  </w:r>
                  <w:r>
                    <w:rPr>
                      <w:rFonts w:hint="default" w:ascii="Times New Roman" w:hAnsi="Times New Roman" w:eastAsia="宋体"/>
                      <w:bCs/>
                      <w:kern w:val="2"/>
                      <w:sz w:val="21"/>
                      <w:szCs w:val="21"/>
                      <w:vertAlign w:val="superscript"/>
                    </w:rPr>
                    <w:t>2</w:t>
                  </w:r>
                  <w:r>
                    <w:rPr>
                      <w:rFonts w:hint="default" w:ascii="Times New Roman" w:hAnsi="Times New Roman" w:eastAsia="宋体"/>
                      <w:bCs/>
                      <w:kern w:val="2"/>
                      <w:sz w:val="21"/>
                      <w:szCs w:val="21"/>
                    </w:rPr>
                    <w:t>，</w:t>
                  </w:r>
                  <w:r>
                    <w:rPr>
                      <w:rFonts w:ascii="Times New Roman" w:hAnsi="Times New Roman" w:eastAsia="宋体"/>
                      <w:bCs/>
                      <w:kern w:val="2"/>
                      <w:sz w:val="21"/>
                      <w:szCs w:val="21"/>
                    </w:rPr>
                    <w:t>1楼南侧为缝纫区，北侧为冷裁区， 2楼为吊带编织区和冷裁区</w:t>
                  </w:r>
                </w:p>
              </w:tc>
              <w:tc>
                <w:tcPr>
                  <w:tcW w:w="1742" w:type="pct"/>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spacing w:val="-3"/>
                      <w:szCs w:val="21"/>
                    </w:rPr>
                  </w:pPr>
                  <w:r>
                    <w:rPr>
                      <w:bCs/>
                      <w:szCs w:val="21"/>
                    </w:rPr>
                    <w:t>2F，钢架结构，H=12m，占地面积3200m</w:t>
                  </w:r>
                  <w:r>
                    <w:rPr>
                      <w:bCs/>
                      <w:szCs w:val="21"/>
                      <w:vertAlign w:val="superscript"/>
                    </w:rPr>
                    <w:t>2</w:t>
                  </w:r>
                  <w:r>
                    <w:rPr>
                      <w:bCs/>
                      <w:szCs w:val="21"/>
                    </w:rPr>
                    <w:t>，1楼南侧为缝纫区，东北侧为原料区，西北侧为印刷、热切区，2楼为吊带编织区</w:t>
                  </w:r>
                </w:p>
              </w:tc>
              <w:tc>
                <w:tcPr>
                  <w:tcW w:w="4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spacing w:val="-3"/>
                      <w:szCs w:val="21"/>
                    </w:rPr>
                  </w:pPr>
                  <w:r>
                    <w:rPr>
                      <w:rFonts w:hint="eastAsia"/>
                      <w:spacing w:val="-3"/>
                      <w:szCs w:val="21"/>
                    </w:rPr>
                    <w:t>租赁已建厂房</w:t>
                  </w:r>
                  <w:r>
                    <w:rPr>
                      <w:spacing w:val="-3"/>
                      <w:szCs w:val="21"/>
                    </w:rPr>
                    <w:t>，</w:t>
                  </w:r>
                  <w:r>
                    <w:rPr>
                      <w:bCs/>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blHeader/>
              </w:trPr>
              <w:tc>
                <w:tcPr>
                  <w:tcW w:w="393" w:type="pct"/>
                  <w:tcBorders>
                    <w:top w:val="single" w:color="auto" w:sz="4" w:space="0"/>
                    <w:left w:val="single" w:color="auto" w:sz="4" w:space="0"/>
                    <w:right w:val="single" w:color="auto" w:sz="4" w:space="0"/>
                  </w:tcBorders>
                  <w:vAlign w:val="center"/>
                </w:tcPr>
                <w:p>
                  <w:pPr>
                    <w:pStyle w:val="105"/>
                    <w:widowControl/>
                    <w:spacing w:line="400" w:lineRule="exact"/>
                    <w:rPr>
                      <w:rFonts w:hint="default" w:ascii="Times New Roman" w:hAnsi="Times New Roman" w:eastAsia="宋体"/>
                      <w:bCs/>
                      <w:kern w:val="2"/>
                      <w:sz w:val="21"/>
                    </w:rPr>
                  </w:pPr>
                  <w:r>
                    <w:rPr>
                      <w:rFonts w:hint="default" w:ascii="Times New Roman" w:hAnsi="Times New Roman" w:eastAsia="宋体"/>
                      <w:bCs/>
                      <w:kern w:val="2"/>
                      <w:sz w:val="21"/>
                    </w:rPr>
                    <w:t>辅助工程</w:t>
                  </w:r>
                </w:p>
              </w:tc>
              <w:tc>
                <w:tcPr>
                  <w:tcW w:w="631" w:type="pct"/>
                  <w:gridSpan w:val="2"/>
                  <w:tcBorders>
                    <w:top w:val="single" w:color="auto" w:sz="4" w:space="0"/>
                    <w:left w:val="single" w:color="auto" w:sz="4" w:space="0"/>
                    <w:bottom w:val="single" w:color="auto" w:sz="4" w:space="0"/>
                    <w:right w:val="single" w:color="auto" w:sz="4" w:space="0"/>
                  </w:tcBorders>
                  <w:vAlign w:val="center"/>
                </w:tcPr>
                <w:p>
                  <w:pPr>
                    <w:pStyle w:val="105"/>
                    <w:widowControl/>
                    <w:spacing w:line="400" w:lineRule="exact"/>
                    <w:rPr>
                      <w:rFonts w:hint="default" w:ascii="Times New Roman" w:hAnsi="Times New Roman" w:eastAsia="宋体"/>
                      <w:bCs/>
                      <w:kern w:val="2"/>
                      <w:sz w:val="21"/>
                      <w:szCs w:val="21"/>
                    </w:rPr>
                  </w:pPr>
                  <w:r>
                    <w:rPr>
                      <w:rFonts w:ascii="Times New Roman" w:hAnsi="Times New Roman" w:eastAsia="宋体"/>
                      <w:bCs/>
                      <w:kern w:val="2"/>
                      <w:sz w:val="21"/>
                      <w:szCs w:val="21"/>
                    </w:rPr>
                    <w:t>办公室</w:t>
                  </w:r>
                </w:p>
              </w:tc>
              <w:tc>
                <w:tcPr>
                  <w:tcW w:w="1772" w:type="pct"/>
                  <w:tcBorders>
                    <w:top w:val="single" w:color="auto" w:sz="4" w:space="0"/>
                    <w:left w:val="single" w:color="auto" w:sz="4" w:space="0"/>
                    <w:bottom w:val="single" w:color="auto" w:sz="4" w:space="0"/>
                    <w:right w:val="single" w:color="auto" w:sz="4" w:space="0"/>
                  </w:tcBorders>
                  <w:vAlign w:val="center"/>
                </w:tcPr>
                <w:p>
                  <w:pPr>
                    <w:pStyle w:val="105"/>
                    <w:widowControl/>
                    <w:spacing w:line="400" w:lineRule="exact"/>
                    <w:rPr>
                      <w:rFonts w:hint="default" w:ascii="Times New Roman" w:hAnsi="Times New Roman" w:eastAsia="宋体"/>
                      <w:bCs/>
                      <w:kern w:val="2"/>
                      <w:sz w:val="21"/>
                      <w:szCs w:val="21"/>
                    </w:rPr>
                  </w:pPr>
                  <w:r>
                    <w:rPr>
                      <w:rFonts w:ascii="Times New Roman" w:hAnsi="Times New Roman" w:eastAsia="宋体"/>
                      <w:sz w:val="21"/>
                      <w:szCs w:val="21"/>
                    </w:rPr>
                    <w:t>400m</w:t>
                  </w:r>
                  <w:r>
                    <w:rPr>
                      <w:rFonts w:ascii="Times New Roman" w:hAnsi="Times New Roman" w:eastAsia="宋体"/>
                      <w:sz w:val="21"/>
                      <w:szCs w:val="21"/>
                      <w:vertAlign w:val="superscript"/>
                    </w:rPr>
                    <w:t>2</w:t>
                  </w:r>
                  <w:r>
                    <w:rPr>
                      <w:rFonts w:ascii="Times New Roman" w:hAnsi="Times New Roman" w:eastAsia="宋体"/>
                      <w:sz w:val="21"/>
                      <w:szCs w:val="21"/>
                    </w:rPr>
                    <w:t>，</w:t>
                  </w:r>
                  <w:r>
                    <w:rPr>
                      <w:rFonts w:ascii="Times New Roman" w:hAnsi="Times New Roman" w:eastAsia="宋体"/>
                      <w:bCs/>
                      <w:kern w:val="2"/>
                      <w:sz w:val="21"/>
                      <w:szCs w:val="21"/>
                    </w:rPr>
                    <w:t>2F，</w:t>
                  </w:r>
                  <w:r>
                    <w:rPr>
                      <w:rFonts w:ascii="Times New Roman" w:hAnsi="Times New Roman" w:eastAsia="宋体"/>
                      <w:spacing w:val="-3"/>
                      <w:kern w:val="2"/>
                      <w:sz w:val="21"/>
                      <w:szCs w:val="21"/>
                    </w:rPr>
                    <w:t>位于厂区东北角</w:t>
                  </w:r>
                </w:p>
              </w:tc>
              <w:tc>
                <w:tcPr>
                  <w:tcW w:w="1742" w:type="pct"/>
                  <w:tcBorders>
                    <w:top w:val="single" w:color="auto" w:sz="4" w:space="0"/>
                    <w:left w:val="single" w:color="auto" w:sz="4" w:space="0"/>
                    <w:bottom w:val="single" w:color="auto" w:sz="4" w:space="0"/>
                    <w:right w:val="single" w:color="auto" w:sz="4" w:space="0"/>
                  </w:tcBorders>
                  <w:vAlign w:val="center"/>
                </w:tcPr>
                <w:p>
                  <w:pPr>
                    <w:pStyle w:val="105"/>
                    <w:widowControl/>
                    <w:spacing w:line="400" w:lineRule="exact"/>
                    <w:rPr>
                      <w:rFonts w:hint="default" w:ascii="Times New Roman" w:hAnsi="Times New Roman" w:eastAsia="宋体"/>
                      <w:bCs/>
                      <w:kern w:val="2"/>
                      <w:sz w:val="21"/>
                      <w:szCs w:val="21"/>
                    </w:rPr>
                  </w:pPr>
                  <w:r>
                    <w:rPr>
                      <w:rFonts w:ascii="Times New Roman" w:hAnsi="Times New Roman" w:eastAsia="宋体"/>
                      <w:sz w:val="21"/>
                      <w:szCs w:val="21"/>
                    </w:rPr>
                    <w:t>400m</w:t>
                  </w:r>
                  <w:r>
                    <w:rPr>
                      <w:rFonts w:ascii="Times New Roman" w:hAnsi="Times New Roman" w:eastAsia="宋体"/>
                      <w:sz w:val="21"/>
                      <w:szCs w:val="21"/>
                      <w:vertAlign w:val="superscript"/>
                    </w:rPr>
                    <w:t>2</w:t>
                  </w:r>
                  <w:r>
                    <w:rPr>
                      <w:rFonts w:ascii="Times New Roman" w:hAnsi="Times New Roman" w:eastAsia="宋体"/>
                      <w:sz w:val="21"/>
                      <w:szCs w:val="21"/>
                    </w:rPr>
                    <w:t>，</w:t>
                  </w:r>
                  <w:r>
                    <w:rPr>
                      <w:rFonts w:ascii="Times New Roman" w:hAnsi="Times New Roman" w:eastAsia="宋体"/>
                      <w:bCs/>
                      <w:kern w:val="2"/>
                      <w:sz w:val="21"/>
                      <w:szCs w:val="21"/>
                    </w:rPr>
                    <w:t>2F，</w:t>
                  </w:r>
                  <w:r>
                    <w:rPr>
                      <w:rFonts w:ascii="Times New Roman" w:hAnsi="Times New Roman" w:eastAsia="宋体"/>
                      <w:spacing w:val="-3"/>
                      <w:kern w:val="2"/>
                      <w:sz w:val="21"/>
                      <w:szCs w:val="21"/>
                    </w:rPr>
                    <w:t>位于厂区东北角</w:t>
                  </w:r>
                </w:p>
              </w:tc>
              <w:tc>
                <w:tcPr>
                  <w:tcW w:w="462" w:type="pct"/>
                  <w:tcBorders>
                    <w:top w:val="single" w:color="auto" w:sz="4" w:space="0"/>
                    <w:left w:val="single" w:color="auto" w:sz="4" w:space="0"/>
                    <w:bottom w:val="single" w:color="auto" w:sz="4" w:space="0"/>
                    <w:right w:val="single" w:color="auto" w:sz="4" w:space="0"/>
                  </w:tcBorders>
                  <w:vAlign w:val="center"/>
                </w:tcPr>
                <w:p>
                  <w:pPr>
                    <w:pStyle w:val="105"/>
                    <w:widowControl/>
                    <w:spacing w:line="400" w:lineRule="exact"/>
                    <w:rPr>
                      <w:rFonts w:hint="default" w:ascii="Times New Roman" w:hAnsi="Times New Roman" w:eastAsia="宋体"/>
                      <w:bCs/>
                      <w:kern w:val="2"/>
                      <w:sz w:val="21"/>
                    </w:rPr>
                  </w:pPr>
                  <w:r>
                    <w:rPr>
                      <w:rFonts w:ascii="Times New Roman" w:hAnsi="Times New Roman" w:eastAsia="宋体"/>
                      <w:spacing w:val="-3"/>
                      <w:kern w:val="2"/>
                      <w:sz w:val="21"/>
                      <w:szCs w:val="21"/>
                    </w:rPr>
                    <w:t>租赁，</w:t>
                  </w:r>
                  <w:r>
                    <w:rPr>
                      <w:rFonts w:ascii="Times New Roman" w:hAnsi="Times New Roman" w:eastAsia="宋体"/>
                      <w:bCs/>
                      <w:kern w:val="2"/>
                      <w:sz w:val="21"/>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393" w:type="pct"/>
                  <w:vMerge w:val="restart"/>
                  <w:tcBorders>
                    <w:top w:val="single" w:color="auto" w:sz="4" w:space="0"/>
                    <w:left w:val="single" w:color="auto" w:sz="4" w:space="0"/>
                    <w:bottom w:val="single" w:color="auto" w:sz="4" w:space="0"/>
                    <w:right w:val="single" w:color="auto" w:sz="4" w:space="0"/>
                  </w:tcBorders>
                  <w:vAlign w:val="center"/>
                </w:tcPr>
                <w:p>
                  <w:pPr>
                    <w:pStyle w:val="105"/>
                    <w:widowControl/>
                    <w:spacing w:line="400" w:lineRule="exact"/>
                    <w:rPr>
                      <w:rFonts w:hint="default" w:ascii="Times New Roman" w:hAnsi="Times New Roman" w:eastAsia="宋体"/>
                      <w:bCs/>
                      <w:kern w:val="2"/>
                      <w:sz w:val="21"/>
                    </w:rPr>
                  </w:pPr>
                  <w:r>
                    <w:rPr>
                      <w:rFonts w:hint="default" w:ascii="Times New Roman" w:hAnsi="Times New Roman" w:eastAsia="宋体"/>
                      <w:bCs/>
                      <w:kern w:val="2"/>
                      <w:sz w:val="21"/>
                    </w:rPr>
                    <w:t>公用工程</w:t>
                  </w:r>
                </w:p>
              </w:tc>
              <w:tc>
                <w:tcPr>
                  <w:tcW w:w="631" w:type="pct"/>
                  <w:gridSpan w:val="2"/>
                  <w:tcBorders>
                    <w:top w:val="single" w:color="auto" w:sz="4" w:space="0"/>
                    <w:left w:val="single" w:color="auto" w:sz="4" w:space="0"/>
                    <w:bottom w:val="single" w:color="auto" w:sz="4" w:space="0"/>
                    <w:right w:val="single" w:color="auto" w:sz="4" w:space="0"/>
                  </w:tcBorders>
                  <w:vAlign w:val="center"/>
                </w:tcPr>
                <w:p>
                  <w:pPr>
                    <w:pStyle w:val="105"/>
                    <w:widowControl/>
                    <w:spacing w:line="400" w:lineRule="exact"/>
                    <w:rPr>
                      <w:rFonts w:hint="default" w:ascii="Times New Roman" w:hAnsi="Times New Roman" w:eastAsia="宋体"/>
                      <w:bCs/>
                      <w:kern w:val="2"/>
                      <w:sz w:val="21"/>
                    </w:rPr>
                  </w:pPr>
                  <w:r>
                    <w:rPr>
                      <w:rFonts w:hint="default" w:ascii="Times New Roman" w:hAnsi="Times New Roman" w:eastAsia="宋体"/>
                      <w:bCs/>
                      <w:kern w:val="2"/>
                      <w:sz w:val="21"/>
                    </w:rPr>
                    <w:t>供水系统</w:t>
                  </w:r>
                </w:p>
              </w:tc>
              <w:tc>
                <w:tcPr>
                  <w:tcW w:w="1772" w:type="pct"/>
                  <w:tcBorders>
                    <w:top w:val="single" w:color="auto" w:sz="4" w:space="0"/>
                    <w:left w:val="single" w:color="auto" w:sz="4" w:space="0"/>
                    <w:bottom w:val="single" w:color="auto" w:sz="4" w:space="0"/>
                    <w:right w:val="single" w:color="auto" w:sz="4" w:space="0"/>
                  </w:tcBorders>
                  <w:vAlign w:val="center"/>
                </w:tcPr>
                <w:p>
                  <w:pPr>
                    <w:pStyle w:val="105"/>
                    <w:widowControl/>
                    <w:spacing w:line="400" w:lineRule="exact"/>
                    <w:rPr>
                      <w:rFonts w:hint="default" w:ascii="Times New Roman" w:hAnsi="Times New Roman" w:eastAsia="宋体"/>
                      <w:bCs/>
                      <w:kern w:val="2"/>
                      <w:sz w:val="21"/>
                    </w:rPr>
                  </w:pPr>
                  <w:r>
                    <w:rPr>
                      <w:rFonts w:ascii="Times New Roman" w:hAnsi="Times New Roman" w:eastAsia="宋体"/>
                      <w:bCs/>
                      <w:kern w:val="2"/>
                      <w:sz w:val="21"/>
                    </w:rPr>
                    <w:t>由岳滩镇自来</w:t>
                  </w:r>
                  <w:r>
                    <w:rPr>
                      <w:rFonts w:hint="default" w:ascii="Times New Roman" w:hAnsi="Times New Roman" w:eastAsia="宋体"/>
                      <w:bCs/>
                      <w:kern w:val="2"/>
                      <w:sz w:val="21"/>
                    </w:rPr>
                    <w:t>水管网供水</w:t>
                  </w:r>
                </w:p>
              </w:tc>
              <w:tc>
                <w:tcPr>
                  <w:tcW w:w="1742" w:type="pct"/>
                  <w:tcBorders>
                    <w:top w:val="single" w:color="auto" w:sz="4" w:space="0"/>
                    <w:left w:val="single" w:color="auto" w:sz="4" w:space="0"/>
                    <w:bottom w:val="single" w:color="auto" w:sz="4" w:space="0"/>
                    <w:right w:val="single" w:color="auto" w:sz="4" w:space="0"/>
                  </w:tcBorders>
                  <w:vAlign w:val="center"/>
                </w:tcPr>
                <w:p>
                  <w:pPr>
                    <w:pStyle w:val="105"/>
                    <w:widowControl/>
                    <w:spacing w:line="400" w:lineRule="exact"/>
                    <w:rPr>
                      <w:rFonts w:hint="default" w:ascii="Times New Roman" w:hAnsi="Times New Roman" w:eastAsia="宋体"/>
                      <w:bCs/>
                      <w:kern w:val="2"/>
                      <w:sz w:val="21"/>
                    </w:rPr>
                  </w:pPr>
                  <w:r>
                    <w:rPr>
                      <w:rFonts w:ascii="Times New Roman" w:hAnsi="Times New Roman" w:eastAsia="宋体"/>
                      <w:bCs/>
                      <w:kern w:val="2"/>
                      <w:sz w:val="21"/>
                    </w:rPr>
                    <w:t>由岳滩镇自来</w:t>
                  </w:r>
                  <w:r>
                    <w:rPr>
                      <w:rFonts w:hint="default" w:ascii="Times New Roman" w:hAnsi="Times New Roman" w:eastAsia="宋体"/>
                      <w:bCs/>
                      <w:kern w:val="2"/>
                      <w:sz w:val="21"/>
                    </w:rPr>
                    <w:t>水管网供水</w:t>
                  </w:r>
                </w:p>
              </w:tc>
              <w:tc>
                <w:tcPr>
                  <w:tcW w:w="462" w:type="pct"/>
                  <w:tcBorders>
                    <w:top w:val="single" w:color="auto" w:sz="4" w:space="0"/>
                    <w:left w:val="single" w:color="auto" w:sz="4" w:space="0"/>
                    <w:bottom w:val="single" w:color="auto" w:sz="4" w:space="0"/>
                    <w:right w:val="single" w:color="auto" w:sz="4" w:space="0"/>
                  </w:tcBorders>
                  <w:vAlign w:val="center"/>
                </w:tcPr>
                <w:p>
                  <w:pPr>
                    <w:pStyle w:val="105"/>
                    <w:widowControl/>
                    <w:spacing w:line="400" w:lineRule="exact"/>
                    <w:rPr>
                      <w:rFonts w:hint="default" w:ascii="Times New Roman" w:hAnsi="Times New Roman" w:eastAsia="宋体"/>
                      <w:bCs/>
                      <w:kern w:val="2"/>
                      <w:sz w:val="21"/>
                    </w:rPr>
                  </w:pPr>
                  <w:r>
                    <w:rPr>
                      <w:rFonts w:ascii="Times New Roman" w:hAnsi="Times New Roman" w:eastAsia="宋体"/>
                      <w:bCs/>
                      <w:kern w:val="2"/>
                      <w:sz w:val="21"/>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blHeader/>
              </w:trPr>
              <w:tc>
                <w:tcPr>
                  <w:tcW w:w="393" w:type="pct"/>
                  <w:vMerge w:val="continue"/>
                  <w:tcBorders>
                    <w:top w:val="single" w:color="auto" w:sz="4" w:space="0"/>
                    <w:left w:val="single" w:color="auto" w:sz="4" w:space="0"/>
                    <w:bottom w:val="single" w:color="auto" w:sz="4" w:space="0"/>
                    <w:right w:val="single" w:color="auto" w:sz="4" w:space="0"/>
                  </w:tcBorders>
                  <w:vAlign w:val="center"/>
                </w:tcPr>
                <w:p>
                  <w:pPr>
                    <w:pStyle w:val="105"/>
                    <w:widowControl/>
                    <w:spacing w:line="400" w:lineRule="exact"/>
                    <w:ind w:firstLine="420"/>
                    <w:rPr>
                      <w:rFonts w:hint="default" w:ascii="Times New Roman" w:hAnsi="Times New Roman" w:eastAsia="宋体"/>
                      <w:bCs/>
                      <w:kern w:val="2"/>
                      <w:sz w:val="21"/>
                    </w:rPr>
                  </w:pPr>
                </w:p>
              </w:tc>
              <w:tc>
                <w:tcPr>
                  <w:tcW w:w="631" w:type="pct"/>
                  <w:gridSpan w:val="2"/>
                  <w:tcBorders>
                    <w:top w:val="single" w:color="auto" w:sz="4" w:space="0"/>
                    <w:left w:val="single" w:color="auto" w:sz="4" w:space="0"/>
                    <w:right w:val="single" w:color="auto" w:sz="4" w:space="0"/>
                  </w:tcBorders>
                  <w:vAlign w:val="center"/>
                </w:tcPr>
                <w:p>
                  <w:pPr>
                    <w:pStyle w:val="105"/>
                    <w:widowControl/>
                    <w:spacing w:line="400" w:lineRule="exact"/>
                    <w:rPr>
                      <w:rFonts w:hint="default" w:ascii="Times New Roman" w:hAnsi="Times New Roman" w:eastAsia="宋体"/>
                      <w:bCs/>
                      <w:kern w:val="2"/>
                      <w:sz w:val="21"/>
                    </w:rPr>
                  </w:pPr>
                  <w:r>
                    <w:rPr>
                      <w:rFonts w:hint="default" w:ascii="Times New Roman" w:hAnsi="Times New Roman" w:eastAsia="宋体"/>
                      <w:kern w:val="2"/>
                      <w:sz w:val="21"/>
                      <w:szCs w:val="21"/>
                    </w:rPr>
                    <w:t>排水系统</w:t>
                  </w:r>
                </w:p>
              </w:tc>
              <w:tc>
                <w:tcPr>
                  <w:tcW w:w="1772" w:type="pct"/>
                  <w:tcBorders>
                    <w:top w:val="single" w:color="auto" w:sz="4" w:space="0"/>
                    <w:left w:val="single" w:color="auto" w:sz="4" w:space="0"/>
                    <w:right w:val="single" w:color="auto" w:sz="4" w:space="0"/>
                  </w:tcBorders>
                  <w:vAlign w:val="center"/>
                </w:tcPr>
                <w:p>
                  <w:pPr>
                    <w:pStyle w:val="105"/>
                    <w:widowControl/>
                    <w:spacing w:line="360" w:lineRule="exact"/>
                    <w:jc w:val="left"/>
                    <w:rPr>
                      <w:rFonts w:hint="default"/>
                    </w:rPr>
                  </w:pPr>
                  <w:r>
                    <w:rPr>
                      <w:rStyle w:val="31"/>
                      <w:rFonts w:hint="default" w:ascii="Times New Roman" w:hAnsi="Times New Roman" w:eastAsia="宋体"/>
                      <w:kern w:val="0"/>
                    </w:rPr>
                    <w:t>生活污水经</w:t>
                  </w:r>
                  <w:r>
                    <w:rPr>
                      <w:rStyle w:val="31"/>
                      <w:rFonts w:ascii="Times New Roman" w:hAnsi="Times New Roman" w:eastAsia="宋体"/>
                      <w:kern w:val="0"/>
                    </w:rPr>
                    <w:t>厂区现有</w:t>
                  </w:r>
                  <w:r>
                    <w:rPr>
                      <w:rStyle w:val="31"/>
                      <w:rFonts w:hint="default" w:ascii="Times New Roman" w:hAnsi="Times New Roman" w:eastAsia="宋体"/>
                      <w:kern w:val="0"/>
                    </w:rPr>
                    <w:t>化粪池</w:t>
                  </w:r>
                  <w:r>
                    <w:rPr>
                      <w:rStyle w:val="31"/>
                      <w:rFonts w:ascii="Times New Roman" w:hAnsi="Times New Roman" w:eastAsia="宋体"/>
                      <w:kern w:val="0"/>
                    </w:rPr>
                    <w:t>（10m</w:t>
                  </w:r>
                  <w:r>
                    <w:rPr>
                      <w:rStyle w:val="31"/>
                      <w:rFonts w:ascii="Times New Roman" w:hAnsi="Times New Roman" w:eastAsia="宋体"/>
                      <w:kern w:val="0"/>
                      <w:vertAlign w:val="superscript"/>
                    </w:rPr>
                    <w:t>3</w:t>
                  </w:r>
                  <w:r>
                    <w:rPr>
                      <w:rStyle w:val="31"/>
                      <w:rFonts w:ascii="Times New Roman" w:hAnsi="Times New Roman" w:eastAsia="宋体"/>
                      <w:kern w:val="0"/>
                    </w:rPr>
                    <w:t>）</w:t>
                  </w:r>
                  <w:r>
                    <w:rPr>
                      <w:rStyle w:val="31"/>
                      <w:rFonts w:hint="default" w:ascii="Times New Roman" w:hAnsi="Times New Roman" w:eastAsia="宋体"/>
                      <w:kern w:val="0"/>
                    </w:rPr>
                    <w:t>处理后</w:t>
                  </w:r>
                  <w:r>
                    <w:rPr>
                      <w:rStyle w:val="31"/>
                      <w:rFonts w:ascii="Times New Roman" w:hAnsi="Times New Roman" w:eastAsia="宋体"/>
                      <w:kern w:val="0"/>
                    </w:rPr>
                    <w:t>用于施肥</w:t>
                  </w:r>
                </w:p>
              </w:tc>
              <w:tc>
                <w:tcPr>
                  <w:tcW w:w="1742" w:type="pct"/>
                  <w:tcBorders>
                    <w:top w:val="single" w:color="auto" w:sz="4" w:space="0"/>
                    <w:left w:val="single" w:color="auto" w:sz="4" w:space="0"/>
                    <w:right w:val="single" w:color="auto" w:sz="4" w:space="0"/>
                  </w:tcBorders>
                </w:tcPr>
                <w:p>
                  <w:pPr>
                    <w:pStyle w:val="105"/>
                    <w:widowControl/>
                    <w:spacing w:line="360" w:lineRule="exact"/>
                    <w:rPr>
                      <w:rFonts w:hint="default" w:ascii="Times New Roman" w:hAnsi="Times New Roman" w:eastAsia="宋体"/>
                      <w:kern w:val="2"/>
                      <w:sz w:val="21"/>
                      <w:szCs w:val="21"/>
                    </w:rPr>
                  </w:pPr>
                  <w:r>
                    <w:rPr>
                      <w:rStyle w:val="31"/>
                      <w:rFonts w:hint="default" w:ascii="Times New Roman" w:hAnsi="Times New Roman" w:eastAsia="宋体"/>
                      <w:kern w:val="0"/>
                    </w:rPr>
                    <w:t>生活污水经</w:t>
                  </w:r>
                  <w:r>
                    <w:rPr>
                      <w:rStyle w:val="31"/>
                      <w:rFonts w:ascii="Times New Roman" w:hAnsi="Times New Roman" w:eastAsia="宋体"/>
                      <w:kern w:val="0"/>
                    </w:rPr>
                    <w:t>厂区现有</w:t>
                  </w:r>
                  <w:r>
                    <w:rPr>
                      <w:rStyle w:val="31"/>
                      <w:rFonts w:hint="default" w:ascii="Times New Roman" w:hAnsi="Times New Roman" w:eastAsia="宋体"/>
                      <w:kern w:val="0"/>
                    </w:rPr>
                    <w:t>化粪池</w:t>
                  </w:r>
                  <w:r>
                    <w:rPr>
                      <w:rStyle w:val="31"/>
                      <w:rFonts w:ascii="Times New Roman" w:hAnsi="Times New Roman" w:eastAsia="宋体"/>
                      <w:kern w:val="0"/>
                    </w:rPr>
                    <w:t>（10m</w:t>
                  </w:r>
                  <w:r>
                    <w:rPr>
                      <w:rStyle w:val="31"/>
                      <w:rFonts w:ascii="Times New Roman" w:hAnsi="Times New Roman" w:eastAsia="宋体"/>
                      <w:kern w:val="0"/>
                      <w:vertAlign w:val="superscript"/>
                    </w:rPr>
                    <w:t>3</w:t>
                  </w:r>
                  <w:r>
                    <w:rPr>
                      <w:rStyle w:val="31"/>
                      <w:rFonts w:ascii="Times New Roman" w:hAnsi="Times New Roman" w:eastAsia="宋体"/>
                      <w:kern w:val="0"/>
                    </w:rPr>
                    <w:t>）</w:t>
                  </w:r>
                  <w:r>
                    <w:rPr>
                      <w:rStyle w:val="31"/>
                      <w:rFonts w:hint="default" w:ascii="Times New Roman" w:hAnsi="Times New Roman" w:eastAsia="宋体"/>
                      <w:kern w:val="0"/>
                    </w:rPr>
                    <w:t>处理后</w:t>
                  </w:r>
                  <w:r>
                    <w:rPr>
                      <w:rStyle w:val="31"/>
                      <w:rFonts w:ascii="Times New Roman" w:hAnsi="Times New Roman" w:eastAsia="宋体"/>
                      <w:kern w:val="0"/>
                    </w:rPr>
                    <w:t>近期用于施肥，远期管网敷设到位后通过市政管网排入偃师市第三污水处理厂。</w:t>
                  </w:r>
                </w:p>
              </w:tc>
              <w:tc>
                <w:tcPr>
                  <w:tcW w:w="462" w:type="pct"/>
                  <w:tcBorders>
                    <w:top w:val="single" w:color="auto" w:sz="4" w:space="0"/>
                    <w:left w:val="single" w:color="auto" w:sz="4" w:space="0"/>
                    <w:right w:val="single" w:color="auto" w:sz="4" w:space="0"/>
                  </w:tcBorders>
                  <w:vAlign w:val="center"/>
                </w:tcPr>
                <w:p>
                  <w:pPr>
                    <w:pStyle w:val="105"/>
                    <w:widowControl/>
                    <w:spacing w:line="360" w:lineRule="exact"/>
                    <w:rPr>
                      <w:rFonts w:hint="default" w:ascii="Times New Roman" w:hAnsi="Times New Roman" w:eastAsia="宋体"/>
                      <w:kern w:val="2"/>
                      <w:sz w:val="21"/>
                    </w:rPr>
                  </w:pPr>
                  <w:r>
                    <w:rPr>
                      <w:rFonts w:ascii="Times New Roman" w:hAnsi="Times New Roman" w:eastAsia="宋体"/>
                      <w:kern w:val="2"/>
                      <w:sz w:val="21"/>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93"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420"/>
                    <w:jc w:val="center"/>
                    <w:rPr>
                      <w:bCs/>
                    </w:rPr>
                  </w:pPr>
                </w:p>
              </w:tc>
              <w:tc>
                <w:tcPr>
                  <w:tcW w:w="631" w:type="pct"/>
                  <w:gridSpan w:val="2"/>
                  <w:tcBorders>
                    <w:top w:val="single" w:color="auto" w:sz="4" w:space="0"/>
                    <w:left w:val="single" w:color="auto" w:sz="4" w:space="0"/>
                    <w:bottom w:val="single" w:color="auto" w:sz="4" w:space="0"/>
                    <w:right w:val="single" w:color="auto" w:sz="4" w:space="0"/>
                  </w:tcBorders>
                  <w:vAlign w:val="center"/>
                </w:tcPr>
                <w:p>
                  <w:pPr>
                    <w:pStyle w:val="105"/>
                    <w:widowControl/>
                    <w:spacing w:line="400" w:lineRule="exact"/>
                    <w:rPr>
                      <w:rFonts w:hint="default" w:ascii="Times New Roman" w:hAnsi="Times New Roman" w:eastAsia="宋体"/>
                      <w:bCs/>
                      <w:kern w:val="2"/>
                      <w:sz w:val="21"/>
                    </w:rPr>
                  </w:pPr>
                  <w:r>
                    <w:rPr>
                      <w:rFonts w:hint="default" w:ascii="Times New Roman" w:hAnsi="Times New Roman" w:eastAsia="宋体"/>
                      <w:bCs/>
                      <w:kern w:val="2"/>
                      <w:sz w:val="21"/>
                    </w:rPr>
                    <w:t>供电系统</w:t>
                  </w:r>
                </w:p>
              </w:tc>
              <w:tc>
                <w:tcPr>
                  <w:tcW w:w="1772" w:type="pct"/>
                  <w:tcBorders>
                    <w:top w:val="single" w:color="auto" w:sz="4" w:space="0"/>
                    <w:left w:val="single" w:color="auto" w:sz="4" w:space="0"/>
                    <w:bottom w:val="single" w:color="auto" w:sz="4" w:space="0"/>
                    <w:right w:val="single" w:color="auto" w:sz="4" w:space="0"/>
                  </w:tcBorders>
                  <w:vAlign w:val="center"/>
                </w:tcPr>
                <w:p>
                  <w:pPr>
                    <w:pStyle w:val="105"/>
                    <w:widowControl/>
                    <w:spacing w:line="400" w:lineRule="exact"/>
                    <w:rPr>
                      <w:rFonts w:hint="default" w:ascii="Times New Roman" w:hAnsi="Times New Roman" w:eastAsia="宋体"/>
                      <w:bCs/>
                      <w:kern w:val="2"/>
                      <w:sz w:val="21"/>
                    </w:rPr>
                  </w:pPr>
                  <w:r>
                    <w:rPr>
                      <w:rFonts w:ascii="Times New Roman" w:hAnsi="Times New Roman" w:eastAsia="宋体"/>
                      <w:bCs/>
                      <w:kern w:val="2"/>
                      <w:sz w:val="21"/>
                    </w:rPr>
                    <w:t>由岳滩镇供电系统供给</w:t>
                  </w:r>
                </w:p>
              </w:tc>
              <w:tc>
                <w:tcPr>
                  <w:tcW w:w="1742" w:type="pct"/>
                  <w:tcBorders>
                    <w:top w:val="single" w:color="auto" w:sz="4" w:space="0"/>
                    <w:left w:val="single" w:color="auto" w:sz="4" w:space="0"/>
                    <w:bottom w:val="single" w:color="auto" w:sz="4" w:space="0"/>
                    <w:right w:val="single" w:color="auto" w:sz="4" w:space="0"/>
                  </w:tcBorders>
                </w:tcPr>
                <w:p>
                  <w:pPr>
                    <w:pStyle w:val="105"/>
                    <w:widowControl/>
                    <w:spacing w:line="400" w:lineRule="exact"/>
                    <w:rPr>
                      <w:rFonts w:hint="default" w:ascii="Times New Roman" w:hAnsi="Times New Roman" w:eastAsia="宋体"/>
                      <w:bCs/>
                      <w:kern w:val="2"/>
                      <w:sz w:val="21"/>
                      <w:szCs w:val="21"/>
                    </w:rPr>
                  </w:pPr>
                  <w:r>
                    <w:rPr>
                      <w:rFonts w:ascii="Times New Roman" w:hAnsi="Times New Roman" w:eastAsia="宋体"/>
                      <w:bCs/>
                      <w:kern w:val="2"/>
                      <w:sz w:val="21"/>
                    </w:rPr>
                    <w:t>由岳滩镇供电系统供给</w:t>
                  </w:r>
                </w:p>
              </w:tc>
              <w:tc>
                <w:tcPr>
                  <w:tcW w:w="462" w:type="pct"/>
                  <w:tcBorders>
                    <w:top w:val="single" w:color="auto" w:sz="4" w:space="0"/>
                    <w:left w:val="single" w:color="auto" w:sz="4" w:space="0"/>
                    <w:bottom w:val="single" w:color="auto" w:sz="4" w:space="0"/>
                    <w:right w:val="single" w:color="auto" w:sz="4" w:space="0"/>
                  </w:tcBorders>
                  <w:vAlign w:val="center"/>
                </w:tcPr>
                <w:p>
                  <w:pPr>
                    <w:pStyle w:val="105"/>
                    <w:widowControl/>
                    <w:spacing w:line="400" w:lineRule="exact"/>
                    <w:rPr>
                      <w:rFonts w:hint="default" w:ascii="Times New Roman" w:hAnsi="Times New Roman" w:eastAsia="宋体"/>
                      <w:bCs/>
                      <w:kern w:val="2"/>
                      <w:sz w:val="21"/>
                    </w:rPr>
                  </w:pPr>
                  <w:r>
                    <w:rPr>
                      <w:rFonts w:ascii="Times New Roman" w:hAnsi="Times New Roman" w:eastAsia="宋体"/>
                      <w:bCs/>
                      <w:kern w:val="2"/>
                      <w:sz w:val="21"/>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Header/>
              </w:trPr>
              <w:tc>
                <w:tcPr>
                  <w:tcW w:w="393" w:type="pct"/>
                  <w:vMerge w:val="restart"/>
                  <w:tcBorders>
                    <w:top w:val="single" w:color="auto" w:sz="4" w:space="0"/>
                    <w:left w:val="single" w:color="auto" w:sz="4" w:space="0"/>
                    <w:right w:val="single" w:color="auto" w:sz="4" w:space="0"/>
                  </w:tcBorders>
                  <w:vAlign w:val="center"/>
                </w:tcPr>
                <w:p>
                  <w:pPr>
                    <w:pStyle w:val="105"/>
                    <w:spacing w:line="400" w:lineRule="exact"/>
                    <w:rPr>
                      <w:rFonts w:hint="default" w:ascii="Times New Roman" w:hAnsi="Times New Roman"/>
                      <w:bCs/>
                    </w:rPr>
                  </w:pPr>
                  <w:r>
                    <w:rPr>
                      <w:rFonts w:hint="default" w:ascii="Times New Roman" w:hAnsi="Times New Roman" w:eastAsia="宋体"/>
                      <w:bCs/>
                      <w:kern w:val="2"/>
                      <w:sz w:val="21"/>
                    </w:rPr>
                    <w:t>环保工程</w:t>
                  </w:r>
                </w:p>
              </w:tc>
              <w:tc>
                <w:tcPr>
                  <w:tcW w:w="631" w:type="pct"/>
                  <w:gridSpan w:val="2"/>
                  <w:tcBorders>
                    <w:top w:val="single" w:color="auto" w:sz="4" w:space="0"/>
                    <w:left w:val="single" w:color="auto" w:sz="4" w:space="0"/>
                    <w:right w:val="single" w:color="auto" w:sz="4" w:space="0"/>
                  </w:tcBorders>
                  <w:vAlign w:val="center"/>
                </w:tcPr>
                <w:p>
                  <w:pPr>
                    <w:pStyle w:val="105"/>
                    <w:widowControl/>
                    <w:spacing w:line="400" w:lineRule="exact"/>
                    <w:rPr>
                      <w:rFonts w:hint="default" w:ascii="Times New Roman" w:hAnsi="Times New Roman" w:eastAsia="宋体"/>
                      <w:kern w:val="2"/>
                      <w:sz w:val="21"/>
                    </w:rPr>
                  </w:pPr>
                  <w:r>
                    <w:rPr>
                      <w:rFonts w:ascii="Times New Roman" w:hAnsi="Times New Roman" w:eastAsia="宋体"/>
                      <w:sz w:val="21"/>
                      <w:szCs w:val="21"/>
                    </w:rPr>
                    <w:t>废气治理</w:t>
                  </w:r>
                </w:p>
              </w:tc>
              <w:tc>
                <w:tcPr>
                  <w:tcW w:w="1772"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pPr>
                  <w:r>
                    <w:rPr>
                      <w:rFonts w:hint="eastAsia"/>
                    </w:rPr>
                    <w:t>/</w:t>
                  </w:r>
                </w:p>
              </w:tc>
              <w:tc>
                <w:tcPr>
                  <w:tcW w:w="1742" w:type="pct"/>
                  <w:tcBorders>
                    <w:top w:val="single" w:color="auto" w:sz="4" w:space="0"/>
                    <w:left w:val="single" w:color="auto" w:sz="4" w:space="0"/>
                    <w:bottom w:val="single" w:color="auto" w:sz="4" w:space="0"/>
                    <w:right w:val="single" w:color="auto" w:sz="4" w:space="0"/>
                  </w:tcBorders>
                </w:tcPr>
                <w:p>
                  <w:pPr>
                    <w:widowControl/>
                    <w:spacing w:line="400" w:lineRule="exact"/>
                    <w:jc w:val="center"/>
                  </w:pPr>
                  <w:r>
                    <w:rPr>
                      <w:rFonts w:hint="eastAsia"/>
                    </w:rPr>
                    <w:t>热切和印刷废气：经集气系统（集气罩+二次密闭装置）+UV光氧+活性炭吸附装置+15m高排气筒（DA001）</w:t>
                  </w:r>
                </w:p>
              </w:tc>
              <w:tc>
                <w:tcPr>
                  <w:tcW w:w="462"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pPr>
                  <w: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blHeader/>
              </w:trPr>
              <w:tc>
                <w:tcPr>
                  <w:tcW w:w="393" w:type="pct"/>
                  <w:vMerge w:val="continue"/>
                  <w:tcBorders>
                    <w:left w:val="single" w:color="auto" w:sz="4" w:space="0"/>
                    <w:right w:val="single" w:color="auto" w:sz="4" w:space="0"/>
                  </w:tcBorders>
                  <w:vAlign w:val="center"/>
                </w:tcPr>
                <w:p>
                  <w:pPr>
                    <w:pStyle w:val="105"/>
                    <w:widowControl/>
                    <w:spacing w:line="400" w:lineRule="exact"/>
                    <w:rPr>
                      <w:rFonts w:hint="default"/>
                    </w:rPr>
                  </w:pPr>
                </w:p>
              </w:tc>
              <w:tc>
                <w:tcPr>
                  <w:tcW w:w="631" w:type="pct"/>
                  <w:gridSpan w:val="2"/>
                  <w:tcBorders>
                    <w:left w:val="single" w:color="auto" w:sz="4" w:space="0"/>
                    <w:right w:val="single" w:color="auto" w:sz="4" w:space="0"/>
                  </w:tcBorders>
                  <w:vAlign w:val="center"/>
                </w:tcPr>
                <w:p>
                  <w:pPr>
                    <w:pStyle w:val="105"/>
                    <w:widowControl/>
                    <w:spacing w:line="360" w:lineRule="exact"/>
                    <w:rPr>
                      <w:rFonts w:hint="default" w:ascii="Times New Roman" w:hAnsi="Times New Roman" w:eastAsia="宋体"/>
                      <w:kern w:val="2"/>
                      <w:sz w:val="21"/>
                    </w:rPr>
                  </w:pPr>
                  <w:r>
                    <w:rPr>
                      <w:rFonts w:ascii="Times New Roman" w:hAnsi="Times New Roman" w:eastAsia="宋体"/>
                      <w:kern w:val="2"/>
                      <w:sz w:val="21"/>
                    </w:rPr>
                    <w:t>废水治理</w:t>
                  </w:r>
                </w:p>
              </w:tc>
              <w:tc>
                <w:tcPr>
                  <w:tcW w:w="1772" w:type="pct"/>
                  <w:tcBorders>
                    <w:top w:val="single" w:color="auto" w:sz="4" w:space="0"/>
                    <w:left w:val="single" w:color="auto" w:sz="4" w:space="0"/>
                    <w:bottom w:val="single" w:color="auto" w:sz="4" w:space="0"/>
                    <w:right w:val="single" w:color="auto" w:sz="4" w:space="0"/>
                  </w:tcBorders>
                  <w:vAlign w:val="center"/>
                </w:tcPr>
                <w:p>
                  <w:pPr>
                    <w:pStyle w:val="105"/>
                    <w:widowControl/>
                    <w:spacing w:line="360" w:lineRule="exact"/>
                    <w:jc w:val="left"/>
                    <w:rPr>
                      <w:rFonts w:hint="default"/>
                    </w:rPr>
                  </w:pPr>
                  <w:r>
                    <w:rPr>
                      <w:rStyle w:val="31"/>
                      <w:rFonts w:hint="default" w:ascii="Times New Roman" w:hAnsi="Times New Roman" w:eastAsia="宋体"/>
                      <w:kern w:val="0"/>
                    </w:rPr>
                    <w:t>生活污水经</w:t>
                  </w:r>
                  <w:r>
                    <w:rPr>
                      <w:rStyle w:val="31"/>
                      <w:rFonts w:ascii="Times New Roman" w:hAnsi="Times New Roman" w:eastAsia="宋体"/>
                      <w:kern w:val="0"/>
                    </w:rPr>
                    <w:t>厂区现有</w:t>
                  </w:r>
                  <w:r>
                    <w:rPr>
                      <w:rStyle w:val="31"/>
                      <w:rFonts w:hint="default" w:ascii="Times New Roman" w:hAnsi="Times New Roman" w:eastAsia="宋体"/>
                      <w:kern w:val="0"/>
                    </w:rPr>
                    <w:t>化粪池</w:t>
                  </w:r>
                  <w:r>
                    <w:rPr>
                      <w:rStyle w:val="31"/>
                      <w:rFonts w:ascii="Times New Roman" w:hAnsi="Times New Roman" w:eastAsia="宋体"/>
                      <w:kern w:val="0"/>
                    </w:rPr>
                    <w:t>（10m</w:t>
                  </w:r>
                  <w:r>
                    <w:rPr>
                      <w:rStyle w:val="31"/>
                      <w:rFonts w:ascii="Times New Roman" w:hAnsi="Times New Roman" w:eastAsia="宋体"/>
                      <w:kern w:val="0"/>
                      <w:vertAlign w:val="superscript"/>
                    </w:rPr>
                    <w:t>3</w:t>
                  </w:r>
                  <w:r>
                    <w:rPr>
                      <w:rStyle w:val="31"/>
                      <w:rFonts w:ascii="Times New Roman" w:hAnsi="Times New Roman" w:eastAsia="宋体"/>
                      <w:kern w:val="0"/>
                    </w:rPr>
                    <w:t>）</w:t>
                  </w:r>
                  <w:r>
                    <w:rPr>
                      <w:rStyle w:val="31"/>
                      <w:rFonts w:hint="default" w:ascii="Times New Roman" w:hAnsi="Times New Roman" w:eastAsia="宋体"/>
                      <w:kern w:val="0"/>
                    </w:rPr>
                    <w:t>处理后</w:t>
                  </w:r>
                  <w:r>
                    <w:rPr>
                      <w:rStyle w:val="31"/>
                      <w:rFonts w:ascii="Times New Roman" w:hAnsi="Times New Roman" w:eastAsia="宋体"/>
                      <w:kern w:val="0"/>
                    </w:rPr>
                    <w:t>用于施肥</w:t>
                  </w:r>
                </w:p>
              </w:tc>
              <w:tc>
                <w:tcPr>
                  <w:tcW w:w="1742" w:type="pct"/>
                  <w:tcBorders>
                    <w:left w:val="single" w:color="auto" w:sz="4" w:space="0"/>
                    <w:right w:val="single" w:color="auto" w:sz="4" w:space="0"/>
                  </w:tcBorders>
                </w:tcPr>
                <w:p>
                  <w:pPr>
                    <w:pStyle w:val="105"/>
                    <w:widowControl/>
                    <w:spacing w:line="360" w:lineRule="exact"/>
                    <w:rPr>
                      <w:rFonts w:hint="default" w:ascii="Times New Roman" w:hAnsi="Times New Roman" w:eastAsia="宋体"/>
                      <w:kern w:val="2"/>
                      <w:sz w:val="21"/>
                      <w:szCs w:val="21"/>
                    </w:rPr>
                  </w:pPr>
                  <w:r>
                    <w:rPr>
                      <w:rStyle w:val="31"/>
                      <w:rFonts w:hint="default" w:ascii="Times New Roman" w:hAnsi="Times New Roman" w:eastAsia="宋体"/>
                      <w:kern w:val="0"/>
                    </w:rPr>
                    <w:t>生活污水经</w:t>
                  </w:r>
                  <w:r>
                    <w:rPr>
                      <w:rStyle w:val="31"/>
                      <w:rFonts w:ascii="Times New Roman" w:hAnsi="Times New Roman" w:eastAsia="宋体"/>
                      <w:kern w:val="0"/>
                    </w:rPr>
                    <w:t>厂区现有</w:t>
                  </w:r>
                  <w:r>
                    <w:rPr>
                      <w:rStyle w:val="31"/>
                      <w:rFonts w:hint="default" w:ascii="Times New Roman" w:hAnsi="Times New Roman" w:eastAsia="宋体"/>
                      <w:kern w:val="0"/>
                    </w:rPr>
                    <w:t>化粪池</w:t>
                  </w:r>
                  <w:r>
                    <w:rPr>
                      <w:rStyle w:val="31"/>
                      <w:rFonts w:ascii="Times New Roman" w:hAnsi="Times New Roman" w:eastAsia="宋体"/>
                      <w:kern w:val="0"/>
                    </w:rPr>
                    <w:t>（10m</w:t>
                  </w:r>
                  <w:r>
                    <w:rPr>
                      <w:rStyle w:val="31"/>
                      <w:rFonts w:ascii="Times New Roman" w:hAnsi="Times New Roman" w:eastAsia="宋体"/>
                      <w:kern w:val="0"/>
                      <w:vertAlign w:val="superscript"/>
                    </w:rPr>
                    <w:t>3</w:t>
                  </w:r>
                  <w:r>
                    <w:rPr>
                      <w:rStyle w:val="31"/>
                      <w:rFonts w:ascii="Times New Roman" w:hAnsi="Times New Roman" w:eastAsia="宋体"/>
                      <w:kern w:val="0"/>
                    </w:rPr>
                    <w:t>）</w:t>
                  </w:r>
                  <w:r>
                    <w:rPr>
                      <w:rStyle w:val="31"/>
                      <w:rFonts w:hint="default" w:ascii="Times New Roman" w:hAnsi="Times New Roman" w:eastAsia="宋体"/>
                      <w:kern w:val="0"/>
                    </w:rPr>
                    <w:t>处理后</w:t>
                  </w:r>
                  <w:r>
                    <w:rPr>
                      <w:rStyle w:val="31"/>
                      <w:rFonts w:ascii="Times New Roman" w:hAnsi="Times New Roman" w:eastAsia="宋体"/>
                      <w:kern w:val="0"/>
                    </w:rPr>
                    <w:t>近期用于施肥，远期管网敷设到位后通过市政管网排入偃师市第三污水处理厂。</w:t>
                  </w:r>
                </w:p>
              </w:tc>
              <w:tc>
                <w:tcPr>
                  <w:tcW w:w="462" w:type="pct"/>
                  <w:tcBorders>
                    <w:left w:val="single" w:color="auto" w:sz="4" w:space="0"/>
                    <w:right w:val="single" w:color="auto" w:sz="4" w:space="0"/>
                  </w:tcBorders>
                  <w:vAlign w:val="center"/>
                </w:tcPr>
                <w:p>
                  <w:pPr>
                    <w:pStyle w:val="105"/>
                    <w:widowControl/>
                    <w:spacing w:line="360" w:lineRule="exact"/>
                    <w:rPr>
                      <w:rFonts w:hint="default" w:ascii="Times New Roman" w:hAnsi="Times New Roman" w:eastAsia="宋体"/>
                      <w:kern w:val="2"/>
                      <w:sz w:val="21"/>
                    </w:rPr>
                  </w:pPr>
                  <w:r>
                    <w:rPr>
                      <w:rFonts w:ascii="Times New Roman" w:hAnsi="Times New Roman" w:eastAsia="宋体"/>
                      <w:kern w:val="2"/>
                      <w:sz w:val="21"/>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393" w:type="pct"/>
                  <w:vMerge w:val="continue"/>
                  <w:tcBorders>
                    <w:left w:val="single" w:color="auto" w:sz="4" w:space="0"/>
                    <w:right w:val="single" w:color="auto" w:sz="4" w:space="0"/>
                  </w:tcBorders>
                  <w:vAlign w:val="center"/>
                </w:tcPr>
                <w:p>
                  <w:pPr>
                    <w:spacing w:line="400" w:lineRule="exact"/>
                    <w:ind w:firstLine="420"/>
                    <w:jc w:val="center"/>
                    <w:rPr>
                      <w:bCs/>
                    </w:rPr>
                  </w:pPr>
                </w:p>
              </w:tc>
              <w:tc>
                <w:tcPr>
                  <w:tcW w:w="631" w:type="pct"/>
                  <w:gridSpan w:val="2"/>
                  <w:tcBorders>
                    <w:top w:val="single" w:color="auto" w:sz="4" w:space="0"/>
                    <w:left w:val="single" w:color="auto" w:sz="4" w:space="0"/>
                    <w:bottom w:val="single" w:color="auto" w:sz="4" w:space="0"/>
                    <w:right w:val="single" w:color="auto" w:sz="4" w:space="0"/>
                  </w:tcBorders>
                  <w:vAlign w:val="center"/>
                </w:tcPr>
                <w:p>
                  <w:pPr>
                    <w:pStyle w:val="5"/>
                    <w:widowControl/>
                    <w:spacing w:line="400" w:lineRule="exact"/>
                    <w:jc w:val="center"/>
                    <w:rPr>
                      <w:bCs/>
                      <w:sz w:val="21"/>
                      <w:szCs w:val="21"/>
                    </w:rPr>
                  </w:pPr>
                  <w:r>
                    <w:rPr>
                      <w:bCs/>
                      <w:sz w:val="21"/>
                      <w:szCs w:val="21"/>
                    </w:rPr>
                    <w:t>噪声治理</w:t>
                  </w:r>
                </w:p>
              </w:tc>
              <w:tc>
                <w:tcPr>
                  <w:tcW w:w="1772" w:type="pct"/>
                  <w:tcBorders>
                    <w:top w:val="single" w:color="auto" w:sz="4" w:space="0"/>
                    <w:left w:val="single" w:color="auto" w:sz="4" w:space="0"/>
                    <w:bottom w:val="single" w:color="auto" w:sz="4" w:space="0"/>
                    <w:right w:val="single" w:color="auto" w:sz="4" w:space="0"/>
                  </w:tcBorders>
                  <w:vAlign w:val="center"/>
                </w:tcPr>
                <w:p>
                  <w:pPr>
                    <w:pStyle w:val="105"/>
                    <w:widowControl/>
                    <w:spacing w:line="400" w:lineRule="exact"/>
                    <w:rPr>
                      <w:rFonts w:hint="default" w:ascii="Times New Roman" w:hAnsi="Times New Roman" w:eastAsia="宋体"/>
                      <w:bCs/>
                      <w:kern w:val="2"/>
                      <w:sz w:val="21"/>
                    </w:rPr>
                  </w:pPr>
                  <w:r>
                    <w:rPr>
                      <w:rFonts w:hint="default" w:ascii="Times New Roman" w:hAnsi="Times New Roman" w:eastAsia="宋体"/>
                      <w:bCs/>
                      <w:kern w:val="2"/>
                      <w:sz w:val="21"/>
                    </w:rPr>
                    <w:t>车间隔声、距离衰减</w:t>
                  </w:r>
                </w:p>
              </w:tc>
              <w:tc>
                <w:tcPr>
                  <w:tcW w:w="1742" w:type="pct"/>
                  <w:tcBorders>
                    <w:top w:val="single" w:color="auto" w:sz="4" w:space="0"/>
                    <w:left w:val="single" w:color="auto" w:sz="4" w:space="0"/>
                    <w:bottom w:val="single" w:color="auto" w:sz="4" w:space="0"/>
                    <w:right w:val="single" w:color="auto" w:sz="4" w:space="0"/>
                  </w:tcBorders>
                </w:tcPr>
                <w:p>
                  <w:pPr>
                    <w:widowControl/>
                    <w:spacing w:line="400" w:lineRule="exact"/>
                    <w:jc w:val="center"/>
                    <w:rPr>
                      <w:bCs/>
                      <w:szCs w:val="21"/>
                    </w:rPr>
                  </w:pPr>
                  <w:r>
                    <w:rPr>
                      <w:bCs/>
                    </w:rPr>
                    <w:t>车间隔声、距离衰减</w:t>
                  </w:r>
                </w:p>
              </w:tc>
              <w:tc>
                <w:tcPr>
                  <w:tcW w:w="462"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bCs/>
                    </w:rPr>
                  </w:pPr>
                  <w:r>
                    <w:rPr>
                      <w:bCs/>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blHeader/>
              </w:trPr>
              <w:tc>
                <w:tcPr>
                  <w:tcW w:w="393" w:type="pct"/>
                  <w:vMerge w:val="continue"/>
                  <w:tcBorders>
                    <w:left w:val="single" w:color="auto" w:sz="4" w:space="0"/>
                    <w:right w:val="single" w:color="auto" w:sz="4" w:space="0"/>
                  </w:tcBorders>
                  <w:vAlign w:val="center"/>
                </w:tcPr>
                <w:p>
                  <w:pPr>
                    <w:spacing w:line="400" w:lineRule="exact"/>
                    <w:ind w:firstLine="420"/>
                    <w:jc w:val="center"/>
                    <w:rPr>
                      <w:bCs/>
                    </w:rPr>
                  </w:pPr>
                </w:p>
              </w:tc>
              <w:tc>
                <w:tcPr>
                  <w:tcW w:w="224" w:type="pct"/>
                  <w:vMerge w:val="restart"/>
                  <w:tcBorders>
                    <w:top w:val="single" w:color="auto" w:sz="4" w:space="0"/>
                    <w:left w:val="single" w:color="auto" w:sz="4" w:space="0"/>
                    <w:right w:val="single" w:color="auto" w:sz="4" w:space="0"/>
                  </w:tcBorders>
                  <w:vAlign w:val="center"/>
                </w:tcPr>
                <w:p>
                  <w:pPr>
                    <w:pStyle w:val="5"/>
                    <w:widowControl/>
                    <w:spacing w:line="400" w:lineRule="exact"/>
                    <w:jc w:val="center"/>
                    <w:rPr>
                      <w:bCs/>
                      <w:sz w:val="21"/>
                      <w:szCs w:val="21"/>
                    </w:rPr>
                  </w:pPr>
                  <w:r>
                    <w:rPr>
                      <w:bCs/>
                      <w:sz w:val="21"/>
                      <w:szCs w:val="21"/>
                    </w:rPr>
                    <w:t>固废治理</w:t>
                  </w:r>
                </w:p>
              </w:tc>
              <w:tc>
                <w:tcPr>
                  <w:tcW w:w="407" w:type="pct"/>
                  <w:tcBorders>
                    <w:top w:val="single" w:color="auto" w:sz="4" w:space="0"/>
                    <w:left w:val="single" w:color="auto" w:sz="4" w:space="0"/>
                    <w:bottom w:val="single" w:color="auto" w:sz="4" w:space="0"/>
                    <w:right w:val="single" w:color="auto" w:sz="4" w:space="0"/>
                  </w:tcBorders>
                  <w:vAlign w:val="center"/>
                </w:tcPr>
                <w:p>
                  <w:pPr>
                    <w:pStyle w:val="5"/>
                    <w:widowControl/>
                    <w:spacing w:line="400" w:lineRule="exact"/>
                    <w:jc w:val="center"/>
                    <w:rPr>
                      <w:bCs/>
                      <w:sz w:val="21"/>
                      <w:szCs w:val="21"/>
                    </w:rPr>
                  </w:pPr>
                  <w:r>
                    <w:rPr>
                      <w:bCs/>
                      <w:sz w:val="21"/>
                      <w:szCs w:val="21"/>
                    </w:rPr>
                    <w:t>生活垃圾</w:t>
                  </w:r>
                </w:p>
              </w:tc>
              <w:tc>
                <w:tcPr>
                  <w:tcW w:w="1772" w:type="pct"/>
                  <w:tcBorders>
                    <w:top w:val="single" w:color="auto" w:sz="4" w:space="0"/>
                    <w:left w:val="single" w:color="auto" w:sz="4" w:space="0"/>
                    <w:right w:val="single" w:color="auto" w:sz="4" w:space="0"/>
                  </w:tcBorders>
                  <w:vAlign w:val="center"/>
                </w:tcPr>
                <w:p>
                  <w:pPr>
                    <w:pStyle w:val="105"/>
                    <w:widowControl/>
                    <w:spacing w:line="400" w:lineRule="exact"/>
                    <w:rPr>
                      <w:rFonts w:hint="default" w:ascii="Times New Roman" w:hAnsi="Times New Roman" w:eastAsia="宋体"/>
                      <w:bCs/>
                      <w:kern w:val="2"/>
                      <w:sz w:val="21"/>
                    </w:rPr>
                  </w:pPr>
                  <w:r>
                    <w:rPr>
                      <w:rFonts w:hint="default" w:ascii="Times New Roman" w:hAnsi="Times New Roman" w:eastAsia="宋体"/>
                      <w:bCs/>
                      <w:kern w:val="2"/>
                      <w:sz w:val="21"/>
                    </w:rPr>
                    <w:t>生活垃圾经收集后定期由环卫工人运至当地垃圾中转站</w:t>
                  </w:r>
                </w:p>
              </w:tc>
              <w:tc>
                <w:tcPr>
                  <w:tcW w:w="1742" w:type="pct"/>
                  <w:tcBorders>
                    <w:top w:val="single" w:color="auto" w:sz="4" w:space="0"/>
                    <w:left w:val="single" w:color="auto" w:sz="4" w:space="0"/>
                    <w:right w:val="single" w:color="auto" w:sz="4" w:space="0"/>
                  </w:tcBorders>
                </w:tcPr>
                <w:p>
                  <w:pPr>
                    <w:pStyle w:val="105"/>
                    <w:widowControl/>
                    <w:spacing w:line="400" w:lineRule="exact"/>
                    <w:rPr>
                      <w:rFonts w:hint="default" w:ascii="Times New Roman" w:hAnsi="Times New Roman" w:eastAsia="宋体"/>
                      <w:bCs/>
                      <w:kern w:val="2"/>
                      <w:sz w:val="21"/>
                    </w:rPr>
                  </w:pPr>
                  <w:r>
                    <w:rPr>
                      <w:rFonts w:hint="default" w:ascii="Times New Roman" w:hAnsi="Times New Roman" w:eastAsia="宋体"/>
                      <w:bCs/>
                      <w:kern w:val="2"/>
                      <w:sz w:val="21"/>
                    </w:rPr>
                    <w:t>生活垃圾经收集后定期由环卫工人运至当地垃圾中转站</w:t>
                  </w:r>
                </w:p>
              </w:tc>
              <w:tc>
                <w:tcPr>
                  <w:tcW w:w="462" w:type="pct"/>
                  <w:tcBorders>
                    <w:top w:val="single" w:color="auto" w:sz="4" w:space="0"/>
                    <w:left w:val="single" w:color="auto" w:sz="4" w:space="0"/>
                    <w:right w:val="single" w:color="auto" w:sz="4" w:space="0"/>
                  </w:tcBorders>
                  <w:vAlign w:val="center"/>
                </w:tcPr>
                <w:p>
                  <w:pPr>
                    <w:widowControl/>
                    <w:spacing w:line="400" w:lineRule="exact"/>
                    <w:jc w:val="center"/>
                    <w:rPr>
                      <w:bCs/>
                    </w:rPr>
                  </w:pPr>
                  <w:r>
                    <w:rPr>
                      <w:bCs/>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blHeader/>
              </w:trPr>
              <w:tc>
                <w:tcPr>
                  <w:tcW w:w="393" w:type="pct"/>
                  <w:vMerge w:val="continue"/>
                  <w:tcBorders>
                    <w:left w:val="single" w:color="auto" w:sz="4" w:space="0"/>
                    <w:right w:val="single" w:color="auto" w:sz="4" w:space="0"/>
                  </w:tcBorders>
                  <w:vAlign w:val="center"/>
                </w:tcPr>
                <w:p>
                  <w:pPr>
                    <w:spacing w:line="400" w:lineRule="exact"/>
                    <w:ind w:firstLine="420"/>
                    <w:jc w:val="center"/>
                    <w:rPr>
                      <w:bCs/>
                    </w:rPr>
                  </w:pPr>
                </w:p>
              </w:tc>
              <w:tc>
                <w:tcPr>
                  <w:tcW w:w="224" w:type="pct"/>
                  <w:vMerge w:val="continue"/>
                  <w:tcBorders>
                    <w:left w:val="single" w:color="auto" w:sz="4" w:space="0"/>
                    <w:right w:val="single" w:color="auto" w:sz="4" w:space="0"/>
                  </w:tcBorders>
                  <w:vAlign w:val="center"/>
                </w:tcPr>
                <w:p>
                  <w:pPr>
                    <w:pStyle w:val="5"/>
                    <w:widowControl/>
                    <w:spacing w:line="400" w:lineRule="exact"/>
                    <w:jc w:val="center"/>
                    <w:rPr>
                      <w:bCs/>
                      <w:sz w:val="21"/>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5"/>
                    <w:widowControl/>
                    <w:spacing w:line="400" w:lineRule="exact"/>
                    <w:jc w:val="center"/>
                    <w:rPr>
                      <w:sz w:val="21"/>
                      <w:szCs w:val="21"/>
                    </w:rPr>
                  </w:pPr>
                  <w:r>
                    <w:rPr>
                      <w:sz w:val="21"/>
                      <w:szCs w:val="21"/>
                    </w:rPr>
                    <w:t>一般固废</w:t>
                  </w:r>
                </w:p>
              </w:tc>
              <w:tc>
                <w:tcPr>
                  <w:tcW w:w="1772" w:type="pct"/>
                  <w:tcBorders>
                    <w:left w:val="single" w:color="auto" w:sz="4" w:space="0"/>
                    <w:right w:val="single" w:color="auto" w:sz="4" w:space="0"/>
                  </w:tcBorders>
                  <w:vAlign w:val="center"/>
                </w:tcPr>
                <w:p>
                  <w:pPr>
                    <w:pStyle w:val="105"/>
                    <w:widowControl/>
                    <w:spacing w:line="400" w:lineRule="exact"/>
                    <w:rPr>
                      <w:rFonts w:hint="default" w:ascii="Times New Roman" w:hAnsi="Times New Roman" w:eastAsia="宋体"/>
                      <w:kern w:val="2"/>
                      <w:sz w:val="21"/>
                    </w:rPr>
                  </w:pPr>
                  <w:r>
                    <w:rPr>
                      <w:rFonts w:hint="default" w:ascii="Times New Roman" w:hAnsi="Times New Roman" w:eastAsia="宋体"/>
                      <w:kern w:val="2"/>
                      <w:sz w:val="21"/>
                    </w:rPr>
                    <w:t>本项目产生的一般固废物主要是</w:t>
                  </w:r>
                  <w:r>
                    <w:rPr>
                      <w:rFonts w:ascii="Times New Roman" w:hAnsi="Times New Roman" w:eastAsia="宋体"/>
                      <w:kern w:val="2"/>
                      <w:sz w:val="21"/>
                    </w:rPr>
                    <w:t>废包装材料、废边角料。废包装材料和废边角料</w:t>
                  </w:r>
                  <w:r>
                    <w:rPr>
                      <w:rFonts w:hint="default" w:ascii="Times New Roman" w:hAnsi="Times New Roman" w:eastAsia="宋体"/>
                      <w:kern w:val="2"/>
                      <w:sz w:val="21"/>
                    </w:rPr>
                    <w:t>收集后</w:t>
                  </w:r>
                  <w:r>
                    <w:rPr>
                      <w:rFonts w:ascii="Times New Roman" w:hAnsi="Times New Roman" w:eastAsia="宋体"/>
                      <w:kern w:val="2"/>
                      <w:sz w:val="21"/>
                    </w:rPr>
                    <w:t>暂存于一般固废暂存处定期外售</w:t>
                  </w:r>
                </w:p>
              </w:tc>
              <w:tc>
                <w:tcPr>
                  <w:tcW w:w="1742" w:type="pct"/>
                  <w:tcBorders>
                    <w:left w:val="single" w:color="auto" w:sz="4" w:space="0"/>
                    <w:right w:val="single" w:color="auto" w:sz="4" w:space="0"/>
                  </w:tcBorders>
                </w:tcPr>
                <w:p>
                  <w:pPr>
                    <w:pStyle w:val="105"/>
                    <w:widowControl/>
                    <w:spacing w:line="400" w:lineRule="exact"/>
                    <w:rPr>
                      <w:rFonts w:hint="default" w:ascii="Times New Roman" w:hAnsi="Times New Roman" w:eastAsia="宋体"/>
                      <w:kern w:val="2"/>
                      <w:sz w:val="21"/>
                    </w:rPr>
                  </w:pPr>
                  <w:r>
                    <w:rPr>
                      <w:rFonts w:hint="default" w:ascii="Times New Roman" w:hAnsi="Times New Roman" w:eastAsia="宋体"/>
                      <w:kern w:val="2"/>
                      <w:sz w:val="21"/>
                    </w:rPr>
                    <w:t>本项目产生的一般固废物主要是</w:t>
                  </w:r>
                  <w:r>
                    <w:rPr>
                      <w:rFonts w:ascii="Times New Roman" w:hAnsi="Times New Roman" w:eastAsia="宋体"/>
                      <w:kern w:val="2"/>
                      <w:sz w:val="21"/>
                    </w:rPr>
                    <w:t>废包装材料、废边角料。废包装材料和废边角料</w:t>
                  </w:r>
                  <w:r>
                    <w:rPr>
                      <w:rFonts w:hint="default" w:ascii="Times New Roman" w:hAnsi="Times New Roman" w:eastAsia="宋体"/>
                      <w:kern w:val="2"/>
                      <w:sz w:val="21"/>
                    </w:rPr>
                    <w:t>收集后</w:t>
                  </w:r>
                  <w:r>
                    <w:rPr>
                      <w:rFonts w:ascii="Times New Roman" w:hAnsi="Times New Roman" w:eastAsia="宋体"/>
                      <w:kern w:val="2"/>
                      <w:sz w:val="21"/>
                    </w:rPr>
                    <w:t>暂存于一般固废暂存处定期外售</w:t>
                  </w:r>
                </w:p>
              </w:tc>
              <w:tc>
                <w:tcPr>
                  <w:tcW w:w="462" w:type="pct"/>
                  <w:tcBorders>
                    <w:left w:val="single" w:color="auto" w:sz="4" w:space="0"/>
                    <w:right w:val="single" w:color="auto" w:sz="4" w:space="0"/>
                  </w:tcBorders>
                  <w:vAlign w:val="center"/>
                </w:tcPr>
                <w:p>
                  <w:pPr>
                    <w:widowControl/>
                    <w:spacing w:line="400" w:lineRule="exact"/>
                    <w:jc w:val="center"/>
                  </w:pPr>
                  <w:r>
                    <w:rPr>
                      <w:bCs/>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blHeader/>
              </w:trPr>
              <w:tc>
                <w:tcPr>
                  <w:tcW w:w="393" w:type="pct"/>
                  <w:vMerge w:val="continue"/>
                  <w:tcBorders>
                    <w:left w:val="single" w:color="auto" w:sz="4" w:space="0"/>
                    <w:right w:val="single" w:color="auto" w:sz="4" w:space="0"/>
                  </w:tcBorders>
                  <w:vAlign w:val="center"/>
                </w:tcPr>
                <w:p>
                  <w:pPr>
                    <w:spacing w:line="400" w:lineRule="exact"/>
                    <w:ind w:firstLine="420"/>
                    <w:jc w:val="center"/>
                    <w:rPr>
                      <w:bCs/>
                    </w:rPr>
                  </w:pPr>
                </w:p>
              </w:tc>
              <w:tc>
                <w:tcPr>
                  <w:tcW w:w="224" w:type="pct"/>
                  <w:vMerge w:val="continue"/>
                  <w:tcBorders>
                    <w:left w:val="single" w:color="auto" w:sz="4" w:space="0"/>
                    <w:right w:val="single" w:color="auto" w:sz="4" w:space="0"/>
                  </w:tcBorders>
                  <w:vAlign w:val="center"/>
                </w:tcPr>
                <w:p>
                  <w:pPr>
                    <w:pStyle w:val="5"/>
                    <w:widowControl/>
                    <w:spacing w:line="400" w:lineRule="exact"/>
                    <w:jc w:val="center"/>
                    <w:rPr>
                      <w:bCs/>
                      <w:sz w:val="21"/>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5"/>
                    <w:widowControl/>
                    <w:spacing w:line="400" w:lineRule="exact"/>
                    <w:jc w:val="center"/>
                    <w:rPr>
                      <w:sz w:val="21"/>
                      <w:szCs w:val="21"/>
                    </w:rPr>
                  </w:pPr>
                  <w:r>
                    <w:rPr>
                      <w:sz w:val="21"/>
                      <w:szCs w:val="21"/>
                    </w:rPr>
                    <w:t>危险废物</w:t>
                  </w:r>
                </w:p>
              </w:tc>
              <w:tc>
                <w:tcPr>
                  <w:tcW w:w="1772" w:type="pct"/>
                  <w:tcBorders>
                    <w:left w:val="single" w:color="auto" w:sz="4" w:space="0"/>
                    <w:right w:val="single" w:color="auto" w:sz="4" w:space="0"/>
                  </w:tcBorders>
                  <w:vAlign w:val="center"/>
                </w:tcPr>
                <w:p>
                  <w:pPr>
                    <w:pStyle w:val="105"/>
                    <w:widowControl/>
                    <w:spacing w:line="400" w:lineRule="exact"/>
                    <w:rPr>
                      <w:rFonts w:hint="default" w:ascii="Times New Roman" w:hAnsi="Times New Roman" w:eastAsia="宋体"/>
                      <w:kern w:val="2"/>
                      <w:sz w:val="21"/>
                    </w:rPr>
                  </w:pPr>
                  <w:r>
                    <w:rPr>
                      <w:rFonts w:ascii="Times New Roman" w:hAnsi="Times New Roman" w:eastAsia="宋体"/>
                      <w:kern w:val="2"/>
                      <w:sz w:val="21"/>
                    </w:rPr>
                    <w:t>/</w:t>
                  </w:r>
                </w:p>
              </w:tc>
              <w:tc>
                <w:tcPr>
                  <w:tcW w:w="1742" w:type="pct"/>
                  <w:tcBorders>
                    <w:left w:val="single" w:color="auto" w:sz="4" w:space="0"/>
                    <w:right w:val="single" w:color="auto" w:sz="4" w:space="0"/>
                  </w:tcBorders>
                </w:tcPr>
                <w:p>
                  <w:pPr>
                    <w:pStyle w:val="105"/>
                    <w:widowControl/>
                    <w:spacing w:line="400" w:lineRule="exact"/>
                    <w:rPr>
                      <w:rFonts w:hint="default" w:ascii="Times New Roman" w:hAnsi="Times New Roman" w:eastAsia="宋体"/>
                      <w:kern w:val="2"/>
                      <w:sz w:val="21"/>
                    </w:rPr>
                  </w:pPr>
                  <w:r>
                    <w:rPr>
                      <w:rFonts w:hint="default" w:ascii="Times New Roman" w:hAnsi="Times New Roman" w:eastAsia="宋体"/>
                      <w:kern w:val="2"/>
                      <w:sz w:val="21"/>
                    </w:rPr>
                    <w:t>本项目产生的危险废物主要有废活性炭</w:t>
                  </w:r>
                  <w:r>
                    <w:rPr>
                      <w:rFonts w:ascii="Times New Roman" w:hAnsi="Times New Roman" w:eastAsia="宋体"/>
                      <w:kern w:val="2"/>
                      <w:sz w:val="21"/>
                    </w:rPr>
                    <w:t>、废UV灯管、废油墨桶和废液压油</w:t>
                  </w:r>
                  <w:r>
                    <w:rPr>
                      <w:rFonts w:hint="default" w:ascii="Times New Roman" w:hAnsi="Times New Roman" w:eastAsia="宋体"/>
                      <w:kern w:val="2"/>
                      <w:sz w:val="21"/>
                    </w:rPr>
                    <w:t>，暂存于危废暂存间</w:t>
                  </w:r>
                  <w:r>
                    <w:rPr>
                      <w:rFonts w:ascii="Times New Roman" w:hAnsi="Times New Roman" w:eastAsia="宋体"/>
                      <w:kern w:val="2"/>
                      <w:sz w:val="21"/>
                    </w:rPr>
                    <w:t>（5m</w:t>
                  </w:r>
                  <w:r>
                    <w:rPr>
                      <w:rFonts w:ascii="Times New Roman" w:hAnsi="Times New Roman" w:eastAsia="宋体"/>
                      <w:kern w:val="2"/>
                      <w:sz w:val="21"/>
                      <w:vertAlign w:val="superscript"/>
                    </w:rPr>
                    <w:t>2</w:t>
                  </w:r>
                  <w:r>
                    <w:rPr>
                      <w:rFonts w:ascii="Times New Roman" w:hAnsi="Times New Roman" w:eastAsia="宋体"/>
                      <w:kern w:val="2"/>
                      <w:sz w:val="21"/>
                    </w:rPr>
                    <w:t>）</w:t>
                  </w:r>
                  <w:r>
                    <w:rPr>
                      <w:rFonts w:hint="default" w:ascii="Times New Roman" w:hAnsi="Times New Roman" w:eastAsia="宋体"/>
                      <w:kern w:val="2"/>
                      <w:sz w:val="21"/>
                    </w:rPr>
                    <w:t>后交有资质的单位进行收集处理</w:t>
                  </w:r>
                </w:p>
              </w:tc>
              <w:tc>
                <w:tcPr>
                  <w:tcW w:w="462" w:type="pct"/>
                  <w:tcBorders>
                    <w:left w:val="single" w:color="auto" w:sz="4" w:space="0"/>
                    <w:right w:val="single" w:color="auto" w:sz="4" w:space="0"/>
                  </w:tcBorders>
                  <w:vAlign w:val="center"/>
                </w:tcPr>
                <w:p>
                  <w:pPr>
                    <w:pStyle w:val="105"/>
                    <w:widowControl/>
                    <w:spacing w:line="400" w:lineRule="exact"/>
                    <w:rPr>
                      <w:rFonts w:hint="default" w:ascii="Times New Roman" w:hAnsi="Times New Roman" w:eastAsia="宋体"/>
                      <w:kern w:val="2"/>
                      <w:sz w:val="21"/>
                    </w:rPr>
                  </w:pPr>
                  <w:r>
                    <w:rPr>
                      <w:rFonts w:ascii="Times New Roman" w:hAnsi="Times New Roman" w:eastAsia="宋体"/>
                      <w:kern w:val="2"/>
                      <w:sz w:val="21"/>
                    </w:rPr>
                    <w:t>新增</w:t>
                  </w:r>
                </w:p>
              </w:tc>
            </w:tr>
          </w:tbl>
          <w:p>
            <w:pPr>
              <w:pStyle w:val="91"/>
              <w:rPr>
                <w:color w:val="auto"/>
              </w:rPr>
            </w:pPr>
            <w:r>
              <w:rPr>
                <w:color w:val="auto"/>
              </w:rPr>
              <w:t>4.主要设备</w:t>
            </w:r>
          </w:p>
          <w:p>
            <w:pPr>
              <w:pStyle w:val="51"/>
              <w:ind w:firstLine="480"/>
            </w:pPr>
            <w:r>
              <w:t>主要设备见</w:t>
            </w:r>
            <w:r>
              <w:rPr>
                <w:rFonts w:hint="eastAsia"/>
              </w:rPr>
              <w:t>下表</w:t>
            </w:r>
            <w:r>
              <w:t>。</w:t>
            </w:r>
          </w:p>
          <w:p>
            <w:pPr>
              <w:pStyle w:val="53"/>
              <w:ind w:firstLine="482"/>
              <w:rPr>
                <w:b/>
                <w:u w:val="single"/>
              </w:rPr>
            </w:pPr>
            <w:r>
              <w:rPr>
                <w:b/>
                <w:u w:val="single"/>
              </w:rPr>
              <w:t>表</w:t>
            </w:r>
            <w:r>
              <w:rPr>
                <w:rFonts w:hint="eastAsia"/>
                <w:b/>
                <w:u w:val="single"/>
              </w:rPr>
              <w:t>10</w:t>
            </w:r>
            <w:r>
              <w:rPr>
                <w:b/>
                <w:u w:val="single"/>
              </w:rPr>
              <w:t xml:space="preserve">              </w:t>
            </w:r>
            <w:r>
              <w:rPr>
                <w:rFonts w:hint="eastAsia"/>
                <w:b/>
                <w:u w:val="single"/>
              </w:rPr>
              <w:t xml:space="preserve">               </w:t>
            </w:r>
            <w:r>
              <w:rPr>
                <w:b/>
                <w:u w:val="single"/>
              </w:rPr>
              <w:t xml:space="preserve"> </w:t>
            </w:r>
            <w:r>
              <w:rPr>
                <w:rFonts w:hint="eastAsia"/>
                <w:b/>
                <w:u w:val="single"/>
              </w:rPr>
              <w:t xml:space="preserve">   </w:t>
            </w:r>
            <w:r>
              <w:rPr>
                <w:b/>
                <w:u w:val="single"/>
              </w:rPr>
              <w:t>主要设备</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994"/>
              <w:gridCol w:w="851"/>
              <w:gridCol w:w="1560"/>
              <w:gridCol w:w="706"/>
              <w:gridCol w:w="991"/>
              <w:gridCol w:w="712"/>
              <w:gridCol w:w="1557"/>
              <w:gridCol w:w="851"/>
              <w:gridCol w:w="1136"/>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 w:type="pct"/>
                  <w:vMerge w:val="restart"/>
                  <w:vAlign w:val="center"/>
                </w:tcPr>
                <w:p>
                  <w:pPr>
                    <w:spacing w:line="400" w:lineRule="exact"/>
                    <w:jc w:val="center"/>
                    <w:rPr>
                      <w:b/>
                      <w:szCs w:val="21"/>
                      <w:u w:val="single"/>
                    </w:rPr>
                  </w:pPr>
                  <w:r>
                    <w:rPr>
                      <w:b/>
                      <w:szCs w:val="21"/>
                      <w:u w:val="single"/>
                    </w:rPr>
                    <w:t>设施</w:t>
                  </w:r>
                </w:p>
                <w:p>
                  <w:pPr>
                    <w:spacing w:line="400" w:lineRule="exact"/>
                    <w:jc w:val="center"/>
                    <w:rPr>
                      <w:b/>
                      <w:szCs w:val="21"/>
                      <w:u w:val="single"/>
                    </w:rPr>
                  </w:pPr>
                  <w:r>
                    <w:rPr>
                      <w:b/>
                      <w:szCs w:val="21"/>
                      <w:u w:val="single"/>
                    </w:rPr>
                    <w:t>名称</w:t>
                  </w:r>
                </w:p>
              </w:tc>
              <w:tc>
                <w:tcPr>
                  <w:tcW w:w="687" w:type="pct"/>
                  <w:gridSpan w:val="2"/>
                  <w:vAlign w:val="center"/>
                </w:tcPr>
                <w:p>
                  <w:pPr>
                    <w:spacing w:line="400" w:lineRule="exact"/>
                    <w:jc w:val="center"/>
                    <w:rPr>
                      <w:b/>
                      <w:szCs w:val="21"/>
                      <w:u w:val="single"/>
                    </w:rPr>
                  </w:pPr>
                  <w:r>
                    <w:rPr>
                      <w:rFonts w:hint="eastAsia"/>
                      <w:b/>
                      <w:szCs w:val="21"/>
                      <w:u w:val="single"/>
                    </w:rPr>
                    <w:t>现有工程设备</w:t>
                  </w:r>
                </w:p>
              </w:tc>
              <w:tc>
                <w:tcPr>
                  <w:tcW w:w="844" w:type="pct"/>
                  <w:gridSpan w:val="2"/>
                  <w:vAlign w:val="center"/>
                </w:tcPr>
                <w:p>
                  <w:pPr>
                    <w:spacing w:line="400" w:lineRule="exact"/>
                    <w:jc w:val="center"/>
                    <w:rPr>
                      <w:b/>
                      <w:szCs w:val="21"/>
                      <w:u w:val="single"/>
                    </w:rPr>
                  </w:pPr>
                  <w:r>
                    <w:rPr>
                      <w:rFonts w:hint="eastAsia"/>
                      <w:b/>
                      <w:szCs w:val="21"/>
                      <w:u w:val="single"/>
                    </w:rPr>
                    <w:t>改建工程设备</w:t>
                  </w:r>
                </w:p>
              </w:tc>
              <w:tc>
                <w:tcPr>
                  <w:tcW w:w="634" w:type="pct"/>
                  <w:gridSpan w:val="2"/>
                  <w:vAlign w:val="center"/>
                </w:tcPr>
                <w:p>
                  <w:pPr>
                    <w:spacing w:line="400" w:lineRule="exact"/>
                    <w:jc w:val="center"/>
                    <w:rPr>
                      <w:b/>
                      <w:szCs w:val="21"/>
                      <w:u w:val="single"/>
                    </w:rPr>
                  </w:pPr>
                  <w:r>
                    <w:rPr>
                      <w:rFonts w:hint="eastAsia"/>
                      <w:b/>
                      <w:szCs w:val="21"/>
                      <w:u w:val="single"/>
                    </w:rPr>
                    <w:t>扩建工程设备</w:t>
                  </w:r>
                </w:p>
              </w:tc>
              <w:tc>
                <w:tcPr>
                  <w:tcW w:w="897" w:type="pct"/>
                  <w:gridSpan w:val="2"/>
                  <w:vAlign w:val="center"/>
                </w:tcPr>
                <w:p>
                  <w:pPr>
                    <w:spacing w:line="400" w:lineRule="exact"/>
                    <w:jc w:val="center"/>
                    <w:rPr>
                      <w:b/>
                      <w:szCs w:val="21"/>
                      <w:u w:val="single"/>
                    </w:rPr>
                  </w:pPr>
                  <w:r>
                    <w:rPr>
                      <w:rFonts w:hint="eastAsia"/>
                      <w:b/>
                      <w:szCs w:val="21"/>
                      <w:u w:val="single"/>
                    </w:rPr>
                    <w:t>改扩建后全厂设备</w:t>
                  </w:r>
                </w:p>
              </w:tc>
              <w:tc>
                <w:tcPr>
                  <w:tcW w:w="423" w:type="pct"/>
                  <w:vMerge w:val="restart"/>
                  <w:vAlign w:val="center"/>
                </w:tcPr>
                <w:p>
                  <w:pPr>
                    <w:spacing w:line="400" w:lineRule="exact"/>
                    <w:jc w:val="center"/>
                    <w:rPr>
                      <w:b/>
                      <w:szCs w:val="21"/>
                      <w:u w:val="single"/>
                    </w:rPr>
                  </w:pPr>
                  <w:r>
                    <w:rPr>
                      <w:rFonts w:hint="eastAsia"/>
                      <w:b/>
                      <w:szCs w:val="21"/>
                      <w:u w:val="single"/>
                    </w:rPr>
                    <w:t>年运行时长（h/a）</w:t>
                  </w:r>
                </w:p>
              </w:tc>
              <w:tc>
                <w:tcPr>
                  <w:tcW w:w="1095" w:type="pct"/>
                  <w:vMerge w:val="restart"/>
                  <w:vAlign w:val="center"/>
                </w:tcPr>
                <w:p>
                  <w:pPr>
                    <w:spacing w:line="400" w:lineRule="exact"/>
                    <w:jc w:val="center"/>
                    <w:rPr>
                      <w:b/>
                      <w:szCs w:val="21"/>
                      <w:u w:val="single"/>
                    </w:rPr>
                  </w:pPr>
                  <w:r>
                    <w:rPr>
                      <w:b/>
                      <w:szCs w:val="21"/>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 w:type="pct"/>
                  <w:vMerge w:val="continue"/>
                  <w:vAlign w:val="center"/>
                </w:tcPr>
                <w:p>
                  <w:pPr>
                    <w:spacing w:line="400" w:lineRule="exact"/>
                    <w:jc w:val="center"/>
                    <w:rPr>
                      <w:b/>
                      <w:szCs w:val="21"/>
                      <w:u w:val="single"/>
                    </w:rPr>
                  </w:pPr>
                </w:p>
              </w:tc>
              <w:tc>
                <w:tcPr>
                  <w:tcW w:w="370" w:type="pct"/>
                  <w:vAlign w:val="center"/>
                </w:tcPr>
                <w:p>
                  <w:pPr>
                    <w:spacing w:line="400" w:lineRule="exact"/>
                    <w:jc w:val="center"/>
                    <w:rPr>
                      <w:b/>
                      <w:szCs w:val="21"/>
                      <w:u w:val="single"/>
                    </w:rPr>
                  </w:pPr>
                  <w:r>
                    <w:rPr>
                      <w:b/>
                      <w:szCs w:val="21"/>
                      <w:u w:val="single"/>
                    </w:rPr>
                    <w:t>型号</w:t>
                  </w:r>
                </w:p>
              </w:tc>
              <w:tc>
                <w:tcPr>
                  <w:tcW w:w="317" w:type="pct"/>
                  <w:vAlign w:val="center"/>
                </w:tcPr>
                <w:p>
                  <w:pPr>
                    <w:spacing w:line="400" w:lineRule="exact"/>
                    <w:jc w:val="center"/>
                    <w:rPr>
                      <w:b/>
                      <w:szCs w:val="21"/>
                      <w:u w:val="single"/>
                    </w:rPr>
                  </w:pPr>
                  <w:r>
                    <w:rPr>
                      <w:rFonts w:hint="eastAsia"/>
                      <w:b/>
                      <w:szCs w:val="21"/>
                      <w:u w:val="single"/>
                    </w:rPr>
                    <w:t>数量</w:t>
                  </w:r>
                </w:p>
              </w:tc>
              <w:tc>
                <w:tcPr>
                  <w:tcW w:w="581" w:type="pct"/>
                  <w:vAlign w:val="center"/>
                </w:tcPr>
                <w:p>
                  <w:pPr>
                    <w:spacing w:line="400" w:lineRule="exact"/>
                    <w:jc w:val="center"/>
                    <w:rPr>
                      <w:b/>
                      <w:szCs w:val="21"/>
                      <w:u w:val="single"/>
                    </w:rPr>
                  </w:pPr>
                  <w:r>
                    <w:rPr>
                      <w:b/>
                      <w:szCs w:val="21"/>
                      <w:u w:val="single"/>
                    </w:rPr>
                    <w:t>型号</w:t>
                  </w:r>
                </w:p>
              </w:tc>
              <w:tc>
                <w:tcPr>
                  <w:tcW w:w="263" w:type="pct"/>
                  <w:vAlign w:val="center"/>
                </w:tcPr>
                <w:p>
                  <w:pPr>
                    <w:spacing w:line="400" w:lineRule="exact"/>
                    <w:jc w:val="center"/>
                    <w:rPr>
                      <w:b/>
                      <w:szCs w:val="21"/>
                      <w:u w:val="single"/>
                    </w:rPr>
                  </w:pPr>
                  <w:r>
                    <w:rPr>
                      <w:rFonts w:hint="eastAsia"/>
                      <w:b/>
                      <w:szCs w:val="21"/>
                      <w:u w:val="single"/>
                    </w:rPr>
                    <w:t>数量</w:t>
                  </w:r>
                </w:p>
              </w:tc>
              <w:tc>
                <w:tcPr>
                  <w:tcW w:w="369" w:type="pct"/>
                  <w:vAlign w:val="center"/>
                </w:tcPr>
                <w:p>
                  <w:pPr>
                    <w:spacing w:line="400" w:lineRule="exact"/>
                    <w:jc w:val="center"/>
                    <w:rPr>
                      <w:b/>
                      <w:szCs w:val="21"/>
                      <w:u w:val="single"/>
                    </w:rPr>
                  </w:pPr>
                  <w:r>
                    <w:rPr>
                      <w:b/>
                      <w:szCs w:val="21"/>
                      <w:u w:val="single"/>
                    </w:rPr>
                    <w:t>型号</w:t>
                  </w:r>
                </w:p>
              </w:tc>
              <w:tc>
                <w:tcPr>
                  <w:tcW w:w="265" w:type="pct"/>
                  <w:vAlign w:val="center"/>
                </w:tcPr>
                <w:p>
                  <w:pPr>
                    <w:spacing w:line="400" w:lineRule="exact"/>
                    <w:jc w:val="center"/>
                    <w:rPr>
                      <w:b/>
                      <w:szCs w:val="21"/>
                      <w:u w:val="single"/>
                    </w:rPr>
                  </w:pPr>
                  <w:r>
                    <w:rPr>
                      <w:rFonts w:hint="eastAsia"/>
                      <w:b/>
                      <w:szCs w:val="21"/>
                      <w:u w:val="single"/>
                    </w:rPr>
                    <w:t>数量</w:t>
                  </w:r>
                </w:p>
              </w:tc>
              <w:tc>
                <w:tcPr>
                  <w:tcW w:w="580" w:type="pct"/>
                  <w:vAlign w:val="center"/>
                </w:tcPr>
                <w:p>
                  <w:pPr>
                    <w:spacing w:line="400" w:lineRule="exact"/>
                    <w:jc w:val="center"/>
                    <w:rPr>
                      <w:b/>
                      <w:szCs w:val="21"/>
                      <w:u w:val="single"/>
                    </w:rPr>
                  </w:pPr>
                  <w:r>
                    <w:rPr>
                      <w:b/>
                      <w:szCs w:val="21"/>
                      <w:u w:val="single"/>
                    </w:rPr>
                    <w:t>型号</w:t>
                  </w:r>
                </w:p>
              </w:tc>
              <w:tc>
                <w:tcPr>
                  <w:tcW w:w="317" w:type="pct"/>
                  <w:vAlign w:val="center"/>
                </w:tcPr>
                <w:p>
                  <w:pPr>
                    <w:spacing w:line="400" w:lineRule="exact"/>
                    <w:jc w:val="center"/>
                    <w:rPr>
                      <w:b/>
                      <w:szCs w:val="21"/>
                      <w:u w:val="single"/>
                    </w:rPr>
                  </w:pPr>
                  <w:r>
                    <w:rPr>
                      <w:rFonts w:hint="eastAsia"/>
                      <w:b/>
                      <w:szCs w:val="21"/>
                      <w:u w:val="single"/>
                    </w:rPr>
                    <w:t>数量</w:t>
                  </w:r>
                </w:p>
              </w:tc>
              <w:tc>
                <w:tcPr>
                  <w:tcW w:w="423" w:type="pct"/>
                  <w:vMerge w:val="continue"/>
                  <w:vAlign w:val="center"/>
                </w:tcPr>
                <w:p>
                  <w:pPr>
                    <w:spacing w:line="400" w:lineRule="exact"/>
                    <w:jc w:val="center"/>
                    <w:rPr>
                      <w:b/>
                      <w:szCs w:val="21"/>
                      <w:u w:val="single"/>
                    </w:rPr>
                  </w:pPr>
                </w:p>
              </w:tc>
              <w:tc>
                <w:tcPr>
                  <w:tcW w:w="1095" w:type="pct"/>
                  <w:vMerge w:val="continue"/>
                  <w:vAlign w:val="center"/>
                </w:tcPr>
                <w:p>
                  <w:pPr>
                    <w:spacing w:line="400" w:lineRule="exact"/>
                    <w:jc w:val="center"/>
                    <w:rPr>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 w:type="pct"/>
                  <w:vAlign w:val="center"/>
                </w:tcPr>
                <w:p>
                  <w:pPr>
                    <w:widowControl/>
                    <w:adjustRightInd w:val="0"/>
                    <w:snapToGrid w:val="0"/>
                    <w:spacing w:line="400" w:lineRule="exact"/>
                    <w:jc w:val="center"/>
                    <w:rPr>
                      <w:b/>
                      <w:szCs w:val="21"/>
                      <w:u w:val="single"/>
                    </w:rPr>
                  </w:pPr>
                  <w:r>
                    <w:rPr>
                      <w:rFonts w:hint="eastAsia"/>
                      <w:b/>
                      <w:szCs w:val="21"/>
                      <w:u w:val="single"/>
                    </w:rPr>
                    <w:t>切布机</w:t>
                  </w:r>
                </w:p>
              </w:tc>
              <w:tc>
                <w:tcPr>
                  <w:tcW w:w="370" w:type="pct"/>
                  <w:vAlign w:val="center"/>
                </w:tcPr>
                <w:p>
                  <w:pPr>
                    <w:widowControl/>
                    <w:adjustRightInd w:val="0"/>
                    <w:snapToGrid w:val="0"/>
                    <w:spacing w:line="400" w:lineRule="exact"/>
                    <w:jc w:val="center"/>
                    <w:rPr>
                      <w:b/>
                      <w:u w:val="single"/>
                    </w:rPr>
                  </w:pPr>
                  <w:r>
                    <w:rPr>
                      <w:rFonts w:hint="eastAsia"/>
                      <w:b/>
                      <w:u w:val="single"/>
                    </w:rPr>
                    <w:t>/</w:t>
                  </w:r>
                </w:p>
              </w:tc>
              <w:tc>
                <w:tcPr>
                  <w:tcW w:w="317" w:type="pct"/>
                  <w:vAlign w:val="center"/>
                </w:tcPr>
                <w:p>
                  <w:pPr>
                    <w:widowControl/>
                    <w:adjustRightInd w:val="0"/>
                    <w:snapToGrid w:val="0"/>
                    <w:spacing w:line="400" w:lineRule="exact"/>
                    <w:jc w:val="center"/>
                    <w:rPr>
                      <w:b/>
                      <w:u w:val="single"/>
                    </w:rPr>
                  </w:pPr>
                  <w:r>
                    <w:rPr>
                      <w:rFonts w:hint="eastAsia"/>
                      <w:b/>
                      <w:szCs w:val="21"/>
                      <w:u w:val="single"/>
                    </w:rPr>
                    <w:t>1</w:t>
                  </w:r>
                  <w:r>
                    <w:rPr>
                      <w:b/>
                      <w:szCs w:val="21"/>
                      <w:u w:val="single"/>
                    </w:rPr>
                    <w:t>台</w:t>
                  </w:r>
                </w:p>
              </w:tc>
              <w:tc>
                <w:tcPr>
                  <w:tcW w:w="581" w:type="pct"/>
                  <w:vAlign w:val="center"/>
                </w:tcPr>
                <w:p>
                  <w:pPr>
                    <w:widowControl/>
                    <w:adjustRightInd w:val="0"/>
                    <w:snapToGrid w:val="0"/>
                    <w:spacing w:line="400" w:lineRule="exact"/>
                    <w:jc w:val="center"/>
                    <w:rPr>
                      <w:b/>
                      <w:szCs w:val="21"/>
                      <w:highlight w:val="yellow"/>
                      <w:u w:val="single"/>
                    </w:rPr>
                  </w:pPr>
                  <w:r>
                    <w:rPr>
                      <w:rFonts w:hint="eastAsia"/>
                      <w:b/>
                      <w:u w:val="single"/>
                    </w:rPr>
                    <w:t>QDJ-2500B/D</w:t>
                  </w:r>
                </w:p>
              </w:tc>
              <w:tc>
                <w:tcPr>
                  <w:tcW w:w="263" w:type="pct"/>
                  <w:vAlign w:val="center"/>
                </w:tcPr>
                <w:p>
                  <w:pPr>
                    <w:widowControl/>
                    <w:adjustRightInd w:val="0"/>
                    <w:snapToGrid w:val="0"/>
                    <w:spacing w:line="400" w:lineRule="exact"/>
                    <w:jc w:val="center"/>
                    <w:rPr>
                      <w:b/>
                      <w:szCs w:val="21"/>
                      <w:u w:val="single"/>
                    </w:rPr>
                  </w:pPr>
                  <w:r>
                    <w:rPr>
                      <w:rFonts w:hint="eastAsia"/>
                      <w:b/>
                      <w:szCs w:val="21"/>
                      <w:u w:val="single"/>
                    </w:rPr>
                    <w:t>3</w:t>
                  </w:r>
                  <w:r>
                    <w:rPr>
                      <w:b/>
                      <w:szCs w:val="21"/>
                      <w:u w:val="single"/>
                    </w:rPr>
                    <w:t>台</w:t>
                  </w:r>
                </w:p>
              </w:tc>
              <w:tc>
                <w:tcPr>
                  <w:tcW w:w="369" w:type="pct"/>
                  <w:vAlign w:val="center"/>
                </w:tcPr>
                <w:p>
                  <w:pPr>
                    <w:widowControl/>
                    <w:adjustRightInd w:val="0"/>
                    <w:snapToGrid w:val="0"/>
                    <w:spacing w:line="400" w:lineRule="exact"/>
                    <w:jc w:val="center"/>
                    <w:rPr>
                      <w:b/>
                      <w:u w:val="single"/>
                    </w:rPr>
                  </w:pPr>
                  <w:r>
                    <w:rPr>
                      <w:rFonts w:hint="eastAsia"/>
                      <w:b/>
                      <w:u w:val="single"/>
                    </w:rPr>
                    <w:t>/</w:t>
                  </w:r>
                </w:p>
              </w:tc>
              <w:tc>
                <w:tcPr>
                  <w:tcW w:w="265" w:type="pct"/>
                  <w:vAlign w:val="center"/>
                </w:tcPr>
                <w:p>
                  <w:pPr>
                    <w:widowControl/>
                    <w:adjustRightInd w:val="0"/>
                    <w:snapToGrid w:val="0"/>
                    <w:spacing w:line="400" w:lineRule="exact"/>
                    <w:jc w:val="center"/>
                    <w:rPr>
                      <w:b/>
                      <w:u w:val="single"/>
                    </w:rPr>
                  </w:pPr>
                  <w:r>
                    <w:rPr>
                      <w:rFonts w:hint="eastAsia"/>
                      <w:b/>
                      <w:u w:val="single"/>
                    </w:rPr>
                    <w:t>/</w:t>
                  </w:r>
                </w:p>
              </w:tc>
              <w:tc>
                <w:tcPr>
                  <w:tcW w:w="580" w:type="pct"/>
                  <w:vAlign w:val="center"/>
                </w:tcPr>
                <w:p>
                  <w:pPr>
                    <w:widowControl/>
                    <w:adjustRightInd w:val="0"/>
                    <w:snapToGrid w:val="0"/>
                    <w:spacing w:line="400" w:lineRule="exact"/>
                    <w:jc w:val="center"/>
                    <w:rPr>
                      <w:b/>
                      <w:szCs w:val="21"/>
                      <w:highlight w:val="yellow"/>
                      <w:u w:val="single"/>
                    </w:rPr>
                  </w:pPr>
                  <w:r>
                    <w:rPr>
                      <w:rFonts w:hint="eastAsia"/>
                      <w:b/>
                      <w:u w:val="single"/>
                    </w:rPr>
                    <w:t>QDJ-2500B/D</w:t>
                  </w:r>
                </w:p>
              </w:tc>
              <w:tc>
                <w:tcPr>
                  <w:tcW w:w="317" w:type="pct"/>
                  <w:vAlign w:val="center"/>
                </w:tcPr>
                <w:p>
                  <w:pPr>
                    <w:widowControl/>
                    <w:adjustRightInd w:val="0"/>
                    <w:snapToGrid w:val="0"/>
                    <w:spacing w:line="400" w:lineRule="exact"/>
                    <w:jc w:val="center"/>
                    <w:rPr>
                      <w:b/>
                      <w:szCs w:val="21"/>
                      <w:u w:val="single"/>
                    </w:rPr>
                  </w:pPr>
                  <w:r>
                    <w:rPr>
                      <w:rFonts w:hint="eastAsia"/>
                      <w:b/>
                      <w:szCs w:val="21"/>
                      <w:u w:val="single"/>
                    </w:rPr>
                    <w:t>3</w:t>
                  </w:r>
                  <w:r>
                    <w:rPr>
                      <w:b/>
                      <w:szCs w:val="21"/>
                      <w:u w:val="single"/>
                    </w:rPr>
                    <w:t>台</w:t>
                  </w:r>
                </w:p>
              </w:tc>
              <w:tc>
                <w:tcPr>
                  <w:tcW w:w="423" w:type="pct"/>
                  <w:vAlign w:val="center"/>
                </w:tcPr>
                <w:p>
                  <w:pPr>
                    <w:spacing w:line="400" w:lineRule="exact"/>
                    <w:jc w:val="center"/>
                    <w:rPr>
                      <w:b/>
                      <w:szCs w:val="21"/>
                      <w:highlight w:val="yellow"/>
                      <w:u w:val="single"/>
                    </w:rPr>
                  </w:pPr>
                  <w:r>
                    <w:rPr>
                      <w:rFonts w:hint="eastAsia"/>
                      <w:b/>
                      <w:szCs w:val="21"/>
                      <w:u w:val="single"/>
                    </w:rPr>
                    <w:t>1200</w:t>
                  </w:r>
                </w:p>
              </w:tc>
              <w:tc>
                <w:tcPr>
                  <w:tcW w:w="1095" w:type="pct"/>
                  <w:vAlign w:val="center"/>
                </w:tcPr>
                <w:p>
                  <w:pPr>
                    <w:spacing w:line="400" w:lineRule="exact"/>
                    <w:jc w:val="center"/>
                    <w:rPr>
                      <w:b/>
                      <w:szCs w:val="21"/>
                      <w:highlight w:val="yellow"/>
                      <w:u w:val="single"/>
                    </w:rPr>
                  </w:pPr>
                  <w:r>
                    <w:rPr>
                      <w:rFonts w:hint="eastAsia"/>
                      <w:b/>
                      <w:szCs w:val="21"/>
                      <w:u w:val="single"/>
                    </w:rPr>
                    <w:t>冷切改为热裁，用于基布裁切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 w:type="pct"/>
                  <w:vAlign w:val="center"/>
                </w:tcPr>
                <w:p>
                  <w:pPr>
                    <w:spacing w:line="400" w:lineRule="exact"/>
                    <w:jc w:val="center"/>
                    <w:rPr>
                      <w:b/>
                      <w:szCs w:val="21"/>
                      <w:u w:val="single"/>
                    </w:rPr>
                  </w:pPr>
                  <w:r>
                    <w:rPr>
                      <w:rFonts w:hint="eastAsia"/>
                      <w:b/>
                      <w:szCs w:val="21"/>
                      <w:u w:val="single"/>
                    </w:rPr>
                    <w:t>印刷机</w:t>
                  </w:r>
                </w:p>
              </w:tc>
              <w:tc>
                <w:tcPr>
                  <w:tcW w:w="370" w:type="pct"/>
                  <w:vAlign w:val="center"/>
                </w:tcPr>
                <w:p>
                  <w:pPr>
                    <w:spacing w:line="400" w:lineRule="exact"/>
                    <w:jc w:val="center"/>
                    <w:rPr>
                      <w:b/>
                      <w:szCs w:val="21"/>
                      <w:u w:val="single"/>
                    </w:rPr>
                  </w:pPr>
                  <w:r>
                    <w:rPr>
                      <w:rFonts w:hint="eastAsia"/>
                      <w:b/>
                      <w:szCs w:val="21"/>
                      <w:u w:val="single"/>
                    </w:rPr>
                    <w:t>/</w:t>
                  </w:r>
                </w:p>
              </w:tc>
              <w:tc>
                <w:tcPr>
                  <w:tcW w:w="317" w:type="pct"/>
                  <w:vAlign w:val="center"/>
                </w:tcPr>
                <w:p>
                  <w:pPr>
                    <w:spacing w:line="400" w:lineRule="exact"/>
                    <w:jc w:val="center"/>
                    <w:rPr>
                      <w:b/>
                      <w:szCs w:val="21"/>
                      <w:u w:val="single"/>
                    </w:rPr>
                  </w:pPr>
                  <w:r>
                    <w:rPr>
                      <w:rFonts w:hint="eastAsia"/>
                      <w:b/>
                      <w:szCs w:val="21"/>
                      <w:u w:val="single"/>
                    </w:rPr>
                    <w:t>/</w:t>
                  </w:r>
                </w:p>
              </w:tc>
              <w:tc>
                <w:tcPr>
                  <w:tcW w:w="581" w:type="pct"/>
                  <w:vAlign w:val="center"/>
                </w:tcPr>
                <w:p>
                  <w:pPr>
                    <w:widowControl/>
                    <w:adjustRightInd w:val="0"/>
                    <w:snapToGrid w:val="0"/>
                    <w:spacing w:line="400" w:lineRule="exact"/>
                    <w:jc w:val="center"/>
                    <w:rPr>
                      <w:b/>
                      <w:u w:val="single"/>
                    </w:rPr>
                  </w:pPr>
                  <w:r>
                    <w:rPr>
                      <w:rFonts w:hint="eastAsia"/>
                      <w:b/>
                      <w:u w:val="single"/>
                    </w:rPr>
                    <w:t>/</w:t>
                  </w:r>
                </w:p>
              </w:tc>
              <w:tc>
                <w:tcPr>
                  <w:tcW w:w="263" w:type="pct"/>
                  <w:vAlign w:val="center"/>
                </w:tcPr>
                <w:p>
                  <w:pPr>
                    <w:widowControl/>
                    <w:adjustRightInd w:val="0"/>
                    <w:snapToGrid w:val="0"/>
                    <w:spacing w:line="400" w:lineRule="exact"/>
                    <w:jc w:val="center"/>
                    <w:rPr>
                      <w:b/>
                      <w:u w:val="single"/>
                    </w:rPr>
                  </w:pPr>
                  <w:r>
                    <w:rPr>
                      <w:rFonts w:hint="eastAsia"/>
                      <w:b/>
                      <w:u w:val="single"/>
                    </w:rPr>
                    <w:t>/</w:t>
                  </w:r>
                </w:p>
              </w:tc>
              <w:tc>
                <w:tcPr>
                  <w:tcW w:w="369" w:type="pct"/>
                  <w:vAlign w:val="center"/>
                </w:tcPr>
                <w:p>
                  <w:pPr>
                    <w:spacing w:line="400" w:lineRule="exact"/>
                    <w:jc w:val="center"/>
                    <w:rPr>
                      <w:b/>
                      <w:szCs w:val="21"/>
                      <w:u w:val="single"/>
                    </w:rPr>
                  </w:pPr>
                  <w:r>
                    <w:rPr>
                      <w:rFonts w:hint="eastAsia"/>
                      <w:b/>
                      <w:szCs w:val="21"/>
                      <w:u w:val="single"/>
                    </w:rPr>
                    <w:t>890型</w:t>
                  </w:r>
                </w:p>
              </w:tc>
              <w:tc>
                <w:tcPr>
                  <w:tcW w:w="265" w:type="pct"/>
                  <w:vAlign w:val="center"/>
                </w:tcPr>
                <w:p>
                  <w:pPr>
                    <w:spacing w:line="400" w:lineRule="exact"/>
                    <w:jc w:val="center"/>
                    <w:rPr>
                      <w:b/>
                      <w:szCs w:val="21"/>
                      <w:u w:val="single"/>
                    </w:rPr>
                  </w:pPr>
                  <w:r>
                    <w:rPr>
                      <w:rFonts w:hint="eastAsia"/>
                      <w:b/>
                      <w:szCs w:val="21"/>
                      <w:u w:val="single"/>
                    </w:rPr>
                    <w:t>2</w:t>
                  </w:r>
                  <w:r>
                    <w:rPr>
                      <w:b/>
                      <w:szCs w:val="21"/>
                      <w:u w:val="single"/>
                    </w:rPr>
                    <w:t>台</w:t>
                  </w:r>
                </w:p>
              </w:tc>
              <w:tc>
                <w:tcPr>
                  <w:tcW w:w="580" w:type="pct"/>
                  <w:vAlign w:val="center"/>
                </w:tcPr>
                <w:p>
                  <w:pPr>
                    <w:spacing w:line="400" w:lineRule="exact"/>
                    <w:jc w:val="center"/>
                    <w:rPr>
                      <w:b/>
                      <w:szCs w:val="21"/>
                      <w:u w:val="single"/>
                    </w:rPr>
                  </w:pPr>
                  <w:r>
                    <w:rPr>
                      <w:rFonts w:hint="eastAsia"/>
                      <w:b/>
                      <w:szCs w:val="21"/>
                      <w:u w:val="single"/>
                    </w:rPr>
                    <w:t>890型</w:t>
                  </w:r>
                </w:p>
              </w:tc>
              <w:tc>
                <w:tcPr>
                  <w:tcW w:w="317" w:type="pct"/>
                  <w:vAlign w:val="center"/>
                </w:tcPr>
                <w:p>
                  <w:pPr>
                    <w:spacing w:line="400" w:lineRule="exact"/>
                    <w:jc w:val="center"/>
                    <w:rPr>
                      <w:b/>
                      <w:szCs w:val="21"/>
                      <w:u w:val="single"/>
                    </w:rPr>
                  </w:pPr>
                  <w:r>
                    <w:rPr>
                      <w:rFonts w:hint="eastAsia"/>
                      <w:b/>
                      <w:szCs w:val="21"/>
                      <w:u w:val="single"/>
                    </w:rPr>
                    <w:t>2</w:t>
                  </w:r>
                  <w:r>
                    <w:rPr>
                      <w:b/>
                      <w:szCs w:val="21"/>
                      <w:u w:val="single"/>
                    </w:rPr>
                    <w:t>台</w:t>
                  </w:r>
                </w:p>
              </w:tc>
              <w:tc>
                <w:tcPr>
                  <w:tcW w:w="423" w:type="pct"/>
                  <w:vAlign w:val="center"/>
                </w:tcPr>
                <w:p>
                  <w:pPr>
                    <w:spacing w:line="400" w:lineRule="exact"/>
                    <w:jc w:val="center"/>
                    <w:rPr>
                      <w:b/>
                      <w:szCs w:val="21"/>
                      <w:highlight w:val="yellow"/>
                      <w:u w:val="single"/>
                    </w:rPr>
                  </w:pPr>
                  <w:r>
                    <w:rPr>
                      <w:rFonts w:hint="eastAsia"/>
                      <w:b/>
                      <w:szCs w:val="21"/>
                      <w:u w:val="single"/>
                    </w:rPr>
                    <w:t>1200</w:t>
                  </w:r>
                </w:p>
              </w:tc>
              <w:tc>
                <w:tcPr>
                  <w:tcW w:w="1095" w:type="pct"/>
                  <w:vAlign w:val="center"/>
                </w:tcPr>
                <w:p>
                  <w:pPr>
                    <w:spacing w:line="400" w:lineRule="exact"/>
                    <w:jc w:val="center"/>
                    <w:rPr>
                      <w:b/>
                      <w:szCs w:val="21"/>
                      <w:highlight w:val="yellow"/>
                      <w:u w:val="single"/>
                    </w:rPr>
                  </w:pPr>
                  <w:r>
                    <w:rPr>
                      <w:rFonts w:hint="eastAsia"/>
                      <w:b/>
                      <w:szCs w:val="21"/>
                      <w:u w:val="single"/>
                    </w:rPr>
                    <w:t>新增，用于基布印刷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 w:type="pct"/>
                  <w:vMerge w:val="restart"/>
                  <w:vAlign w:val="center"/>
                </w:tcPr>
                <w:p>
                  <w:pPr>
                    <w:spacing w:line="400" w:lineRule="exact"/>
                    <w:jc w:val="center"/>
                    <w:rPr>
                      <w:b/>
                      <w:szCs w:val="21"/>
                      <w:u w:val="single"/>
                    </w:rPr>
                  </w:pPr>
                  <w:r>
                    <w:rPr>
                      <w:rFonts w:hint="eastAsia"/>
                      <w:b/>
                      <w:szCs w:val="21"/>
                      <w:u w:val="single"/>
                    </w:rPr>
                    <w:t>打包机</w:t>
                  </w:r>
                </w:p>
              </w:tc>
              <w:tc>
                <w:tcPr>
                  <w:tcW w:w="370" w:type="pct"/>
                  <w:vAlign w:val="center"/>
                </w:tcPr>
                <w:p>
                  <w:pPr>
                    <w:spacing w:line="400" w:lineRule="exact"/>
                    <w:jc w:val="center"/>
                    <w:rPr>
                      <w:b/>
                      <w:szCs w:val="21"/>
                      <w:u w:val="single"/>
                    </w:rPr>
                  </w:pPr>
                  <w:r>
                    <w:rPr>
                      <w:rFonts w:hint="eastAsia"/>
                      <w:b/>
                      <w:szCs w:val="21"/>
                      <w:u w:val="single"/>
                    </w:rPr>
                    <w:t>FYJ120</w:t>
                  </w:r>
                </w:p>
              </w:tc>
              <w:tc>
                <w:tcPr>
                  <w:tcW w:w="317" w:type="pct"/>
                  <w:vAlign w:val="center"/>
                </w:tcPr>
                <w:p>
                  <w:pPr>
                    <w:spacing w:line="400" w:lineRule="exact"/>
                    <w:jc w:val="center"/>
                    <w:rPr>
                      <w:b/>
                      <w:szCs w:val="21"/>
                      <w:u w:val="single"/>
                    </w:rPr>
                  </w:pPr>
                  <w:r>
                    <w:rPr>
                      <w:rFonts w:hint="eastAsia"/>
                      <w:b/>
                      <w:szCs w:val="21"/>
                      <w:u w:val="single"/>
                    </w:rPr>
                    <w:t>1</w:t>
                  </w:r>
                  <w:r>
                    <w:rPr>
                      <w:b/>
                      <w:szCs w:val="21"/>
                      <w:u w:val="single"/>
                    </w:rPr>
                    <w:t>台</w:t>
                  </w:r>
                </w:p>
              </w:tc>
              <w:tc>
                <w:tcPr>
                  <w:tcW w:w="581" w:type="pct"/>
                  <w:vAlign w:val="center"/>
                </w:tcPr>
                <w:p>
                  <w:pPr>
                    <w:widowControl/>
                    <w:adjustRightInd w:val="0"/>
                    <w:snapToGrid w:val="0"/>
                    <w:spacing w:line="400" w:lineRule="exact"/>
                    <w:jc w:val="center"/>
                    <w:rPr>
                      <w:b/>
                      <w:u w:val="single"/>
                    </w:rPr>
                  </w:pPr>
                  <w:r>
                    <w:rPr>
                      <w:rFonts w:hint="eastAsia"/>
                      <w:b/>
                      <w:u w:val="single"/>
                    </w:rPr>
                    <w:t>/</w:t>
                  </w:r>
                </w:p>
              </w:tc>
              <w:tc>
                <w:tcPr>
                  <w:tcW w:w="263" w:type="pct"/>
                  <w:vAlign w:val="center"/>
                </w:tcPr>
                <w:p>
                  <w:pPr>
                    <w:widowControl/>
                    <w:adjustRightInd w:val="0"/>
                    <w:snapToGrid w:val="0"/>
                    <w:spacing w:line="400" w:lineRule="exact"/>
                    <w:jc w:val="center"/>
                    <w:rPr>
                      <w:b/>
                      <w:u w:val="single"/>
                    </w:rPr>
                  </w:pPr>
                  <w:r>
                    <w:rPr>
                      <w:rFonts w:hint="eastAsia"/>
                      <w:b/>
                      <w:u w:val="single"/>
                    </w:rPr>
                    <w:t>/</w:t>
                  </w:r>
                </w:p>
              </w:tc>
              <w:tc>
                <w:tcPr>
                  <w:tcW w:w="369" w:type="pct"/>
                  <w:vAlign w:val="center"/>
                </w:tcPr>
                <w:p>
                  <w:pPr>
                    <w:spacing w:line="400" w:lineRule="exact"/>
                    <w:jc w:val="center"/>
                    <w:rPr>
                      <w:b/>
                      <w:szCs w:val="21"/>
                      <w:u w:val="single"/>
                    </w:rPr>
                  </w:pPr>
                  <w:r>
                    <w:rPr>
                      <w:rFonts w:hint="eastAsia"/>
                      <w:b/>
                      <w:szCs w:val="21"/>
                      <w:u w:val="single"/>
                    </w:rPr>
                    <w:t>FYJ120</w:t>
                  </w:r>
                </w:p>
              </w:tc>
              <w:tc>
                <w:tcPr>
                  <w:tcW w:w="265" w:type="pct"/>
                  <w:vAlign w:val="center"/>
                </w:tcPr>
                <w:p>
                  <w:pPr>
                    <w:spacing w:line="400" w:lineRule="exact"/>
                    <w:jc w:val="center"/>
                    <w:rPr>
                      <w:b/>
                      <w:szCs w:val="21"/>
                      <w:u w:val="single"/>
                    </w:rPr>
                  </w:pPr>
                  <w:r>
                    <w:rPr>
                      <w:rFonts w:hint="eastAsia"/>
                      <w:b/>
                      <w:szCs w:val="21"/>
                      <w:u w:val="single"/>
                    </w:rPr>
                    <w:t>2</w:t>
                  </w:r>
                  <w:r>
                    <w:rPr>
                      <w:b/>
                      <w:szCs w:val="21"/>
                      <w:u w:val="single"/>
                    </w:rPr>
                    <w:t>台</w:t>
                  </w:r>
                </w:p>
              </w:tc>
              <w:tc>
                <w:tcPr>
                  <w:tcW w:w="580" w:type="pct"/>
                  <w:vAlign w:val="center"/>
                </w:tcPr>
                <w:p>
                  <w:pPr>
                    <w:spacing w:line="400" w:lineRule="exact"/>
                    <w:jc w:val="center"/>
                    <w:rPr>
                      <w:b/>
                      <w:szCs w:val="21"/>
                      <w:u w:val="single"/>
                    </w:rPr>
                  </w:pPr>
                  <w:r>
                    <w:rPr>
                      <w:rFonts w:hint="eastAsia"/>
                      <w:b/>
                      <w:szCs w:val="21"/>
                      <w:u w:val="single"/>
                    </w:rPr>
                    <w:t>FYJ120</w:t>
                  </w:r>
                </w:p>
              </w:tc>
              <w:tc>
                <w:tcPr>
                  <w:tcW w:w="317" w:type="pct"/>
                  <w:vAlign w:val="center"/>
                </w:tcPr>
                <w:p>
                  <w:pPr>
                    <w:spacing w:line="400" w:lineRule="exact"/>
                    <w:jc w:val="center"/>
                    <w:rPr>
                      <w:b/>
                      <w:szCs w:val="21"/>
                      <w:u w:val="single"/>
                    </w:rPr>
                  </w:pPr>
                  <w:r>
                    <w:rPr>
                      <w:rFonts w:hint="eastAsia"/>
                      <w:b/>
                      <w:szCs w:val="21"/>
                      <w:u w:val="single"/>
                    </w:rPr>
                    <w:t>3</w:t>
                  </w:r>
                  <w:r>
                    <w:rPr>
                      <w:b/>
                      <w:szCs w:val="21"/>
                      <w:u w:val="single"/>
                    </w:rPr>
                    <w:t>台</w:t>
                  </w:r>
                </w:p>
              </w:tc>
              <w:tc>
                <w:tcPr>
                  <w:tcW w:w="423" w:type="pct"/>
                  <w:vAlign w:val="center"/>
                </w:tcPr>
                <w:p>
                  <w:pPr>
                    <w:spacing w:line="400" w:lineRule="exact"/>
                    <w:jc w:val="center"/>
                    <w:rPr>
                      <w:b/>
                      <w:szCs w:val="21"/>
                      <w:u w:val="single"/>
                    </w:rPr>
                  </w:pPr>
                  <w:r>
                    <w:rPr>
                      <w:rFonts w:hint="eastAsia"/>
                      <w:b/>
                      <w:szCs w:val="21"/>
                      <w:u w:val="single"/>
                    </w:rPr>
                    <w:t>600</w:t>
                  </w:r>
                </w:p>
              </w:tc>
              <w:tc>
                <w:tcPr>
                  <w:tcW w:w="1095" w:type="pct"/>
                  <w:vMerge w:val="restart"/>
                  <w:vAlign w:val="center"/>
                </w:tcPr>
                <w:p>
                  <w:pPr>
                    <w:spacing w:line="400" w:lineRule="exact"/>
                    <w:jc w:val="center"/>
                    <w:rPr>
                      <w:b/>
                      <w:szCs w:val="21"/>
                      <w:u w:val="single"/>
                    </w:rPr>
                  </w:pPr>
                  <w:r>
                    <w:rPr>
                      <w:rFonts w:hint="eastAsia"/>
                      <w:b/>
                      <w:szCs w:val="21"/>
                      <w:u w:val="single"/>
                    </w:rPr>
                    <w:t>部分新增，用于基布打包方便运输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 w:type="pct"/>
                  <w:vMerge w:val="continue"/>
                  <w:vAlign w:val="center"/>
                </w:tcPr>
                <w:p>
                  <w:pPr>
                    <w:spacing w:line="400" w:lineRule="exact"/>
                    <w:jc w:val="center"/>
                    <w:rPr>
                      <w:b/>
                      <w:szCs w:val="21"/>
                      <w:u w:val="single"/>
                    </w:rPr>
                  </w:pPr>
                </w:p>
              </w:tc>
              <w:tc>
                <w:tcPr>
                  <w:tcW w:w="370" w:type="pct"/>
                  <w:vAlign w:val="center"/>
                </w:tcPr>
                <w:p>
                  <w:pPr>
                    <w:spacing w:line="400" w:lineRule="exact"/>
                    <w:jc w:val="center"/>
                    <w:rPr>
                      <w:b/>
                      <w:szCs w:val="21"/>
                      <w:u w:val="single"/>
                    </w:rPr>
                  </w:pPr>
                  <w:r>
                    <w:rPr>
                      <w:rFonts w:hint="eastAsia"/>
                      <w:b/>
                      <w:szCs w:val="21"/>
                      <w:u w:val="single"/>
                    </w:rPr>
                    <w:t>FYJ80</w:t>
                  </w:r>
                </w:p>
              </w:tc>
              <w:tc>
                <w:tcPr>
                  <w:tcW w:w="317" w:type="pct"/>
                  <w:vAlign w:val="center"/>
                </w:tcPr>
                <w:p>
                  <w:pPr>
                    <w:spacing w:line="400" w:lineRule="exact"/>
                    <w:jc w:val="center"/>
                    <w:rPr>
                      <w:b/>
                      <w:szCs w:val="21"/>
                      <w:u w:val="single"/>
                    </w:rPr>
                  </w:pPr>
                  <w:r>
                    <w:rPr>
                      <w:rFonts w:hint="eastAsia"/>
                      <w:b/>
                      <w:szCs w:val="21"/>
                      <w:u w:val="single"/>
                    </w:rPr>
                    <w:t>1</w:t>
                  </w:r>
                  <w:r>
                    <w:rPr>
                      <w:b/>
                      <w:szCs w:val="21"/>
                      <w:u w:val="single"/>
                    </w:rPr>
                    <w:t>台</w:t>
                  </w:r>
                </w:p>
              </w:tc>
              <w:tc>
                <w:tcPr>
                  <w:tcW w:w="581" w:type="pct"/>
                  <w:vAlign w:val="center"/>
                </w:tcPr>
                <w:p>
                  <w:pPr>
                    <w:widowControl/>
                    <w:adjustRightInd w:val="0"/>
                    <w:snapToGrid w:val="0"/>
                    <w:spacing w:line="400" w:lineRule="exact"/>
                    <w:jc w:val="center"/>
                    <w:rPr>
                      <w:b/>
                      <w:u w:val="single"/>
                    </w:rPr>
                  </w:pPr>
                  <w:r>
                    <w:rPr>
                      <w:rFonts w:hint="eastAsia"/>
                      <w:b/>
                      <w:u w:val="single"/>
                    </w:rPr>
                    <w:t>/</w:t>
                  </w:r>
                </w:p>
              </w:tc>
              <w:tc>
                <w:tcPr>
                  <w:tcW w:w="263" w:type="pct"/>
                  <w:vAlign w:val="center"/>
                </w:tcPr>
                <w:p>
                  <w:pPr>
                    <w:widowControl/>
                    <w:adjustRightInd w:val="0"/>
                    <w:snapToGrid w:val="0"/>
                    <w:spacing w:line="400" w:lineRule="exact"/>
                    <w:jc w:val="center"/>
                    <w:rPr>
                      <w:b/>
                      <w:u w:val="single"/>
                    </w:rPr>
                  </w:pPr>
                  <w:r>
                    <w:rPr>
                      <w:rFonts w:hint="eastAsia"/>
                      <w:b/>
                      <w:u w:val="single"/>
                    </w:rPr>
                    <w:t>/</w:t>
                  </w:r>
                </w:p>
              </w:tc>
              <w:tc>
                <w:tcPr>
                  <w:tcW w:w="369" w:type="pct"/>
                  <w:vAlign w:val="center"/>
                </w:tcPr>
                <w:p>
                  <w:pPr>
                    <w:spacing w:line="400" w:lineRule="exact"/>
                    <w:jc w:val="center"/>
                    <w:rPr>
                      <w:b/>
                      <w:szCs w:val="21"/>
                      <w:u w:val="single"/>
                    </w:rPr>
                  </w:pPr>
                  <w:r>
                    <w:rPr>
                      <w:rFonts w:hint="eastAsia"/>
                      <w:b/>
                      <w:szCs w:val="21"/>
                      <w:u w:val="single"/>
                    </w:rPr>
                    <w:t>FYJ80</w:t>
                  </w:r>
                </w:p>
              </w:tc>
              <w:tc>
                <w:tcPr>
                  <w:tcW w:w="265" w:type="pct"/>
                  <w:vAlign w:val="center"/>
                </w:tcPr>
                <w:p>
                  <w:pPr>
                    <w:spacing w:line="400" w:lineRule="exact"/>
                    <w:jc w:val="center"/>
                    <w:rPr>
                      <w:b/>
                      <w:szCs w:val="21"/>
                      <w:u w:val="single"/>
                    </w:rPr>
                  </w:pPr>
                  <w:r>
                    <w:rPr>
                      <w:rFonts w:hint="eastAsia"/>
                      <w:b/>
                      <w:szCs w:val="21"/>
                      <w:u w:val="single"/>
                    </w:rPr>
                    <w:t>1</w:t>
                  </w:r>
                  <w:r>
                    <w:rPr>
                      <w:b/>
                      <w:szCs w:val="21"/>
                      <w:u w:val="single"/>
                    </w:rPr>
                    <w:t>台</w:t>
                  </w:r>
                </w:p>
              </w:tc>
              <w:tc>
                <w:tcPr>
                  <w:tcW w:w="580" w:type="pct"/>
                  <w:vAlign w:val="center"/>
                </w:tcPr>
                <w:p>
                  <w:pPr>
                    <w:spacing w:line="400" w:lineRule="exact"/>
                    <w:jc w:val="center"/>
                    <w:rPr>
                      <w:b/>
                      <w:szCs w:val="21"/>
                      <w:u w:val="single"/>
                    </w:rPr>
                  </w:pPr>
                  <w:r>
                    <w:rPr>
                      <w:rFonts w:hint="eastAsia"/>
                      <w:b/>
                      <w:szCs w:val="21"/>
                      <w:u w:val="single"/>
                    </w:rPr>
                    <w:t>FYJ80</w:t>
                  </w:r>
                </w:p>
              </w:tc>
              <w:tc>
                <w:tcPr>
                  <w:tcW w:w="317" w:type="pct"/>
                  <w:vAlign w:val="center"/>
                </w:tcPr>
                <w:p>
                  <w:pPr>
                    <w:spacing w:line="400" w:lineRule="exact"/>
                    <w:jc w:val="center"/>
                    <w:rPr>
                      <w:b/>
                      <w:szCs w:val="21"/>
                      <w:u w:val="single"/>
                    </w:rPr>
                  </w:pPr>
                  <w:r>
                    <w:rPr>
                      <w:rFonts w:hint="eastAsia"/>
                      <w:b/>
                      <w:szCs w:val="21"/>
                      <w:u w:val="single"/>
                    </w:rPr>
                    <w:t>2</w:t>
                  </w:r>
                  <w:r>
                    <w:rPr>
                      <w:b/>
                      <w:szCs w:val="21"/>
                      <w:u w:val="single"/>
                    </w:rPr>
                    <w:t>台</w:t>
                  </w:r>
                </w:p>
              </w:tc>
              <w:tc>
                <w:tcPr>
                  <w:tcW w:w="423" w:type="pct"/>
                  <w:vAlign w:val="center"/>
                </w:tcPr>
                <w:p>
                  <w:pPr>
                    <w:spacing w:line="400" w:lineRule="exact"/>
                    <w:jc w:val="center"/>
                    <w:rPr>
                      <w:b/>
                      <w:szCs w:val="21"/>
                      <w:u w:val="single"/>
                    </w:rPr>
                  </w:pPr>
                  <w:r>
                    <w:rPr>
                      <w:rFonts w:hint="eastAsia"/>
                      <w:b/>
                      <w:szCs w:val="21"/>
                      <w:u w:val="single"/>
                    </w:rPr>
                    <w:t>600</w:t>
                  </w:r>
                </w:p>
              </w:tc>
              <w:tc>
                <w:tcPr>
                  <w:tcW w:w="1095" w:type="pct"/>
                  <w:vMerge w:val="continue"/>
                  <w:vAlign w:val="center"/>
                </w:tcPr>
                <w:p>
                  <w:pPr>
                    <w:spacing w:line="400" w:lineRule="exact"/>
                    <w:jc w:val="center"/>
                    <w:rPr>
                      <w:b/>
                      <w:szCs w:val="21"/>
                      <w:highlight w:val="yellow"/>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 w:type="pct"/>
                  <w:vAlign w:val="center"/>
                </w:tcPr>
                <w:p>
                  <w:pPr>
                    <w:spacing w:line="400" w:lineRule="exact"/>
                    <w:jc w:val="center"/>
                    <w:rPr>
                      <w:b/>
                      <w:szCs w:val="21"/>
                      <w:u w:val="single"/>
                    </w:rPr>
                  </w:pPr>
                  <w:r>
                    <w:rPr>
                      <w:rFonts w:hint="eastAsia"/>
                      <w:b/>
                      <w:szCs w:val="21"/>
                      <w:u w:val="single"/>
                    </w:rPr>
                    <w:t>织吊带机</w:t>
                  </w:r>
                </w:p>
              </w:tc>
              <w:tc>
                <w:tcPr>
                  <w:tcW w:w="370" w:type="pct"/>
                  <w:vAlign w:val="center"/>
                </w:tcPr>
                <w:p>
                  <w:pPr>
                    <w:spacing w:line="400" w:lineRule="exact"/>
                    <w:jc w:val="center"/>
                    <w:rPr>
                      <w:b/>
                      <w:szCs w:val="21"/>
                      <w:highlight w:val="yellow"/>
                      <w:u w:val="single"/>
                    </w:rPr>
                  </w:pPr>
                  <w:r>
                    <w:rPr>
                      <w:b/>
                      <w:szCs w:val="21"/>
                      <w:u w:val="single"/>
                    </w:rPr>
                    <w:t>JY4-90</w:t>
                  </w:r>
                </w:p>
              </w:tc>
              <w:tc>
                <w:tcPr>
                  <w:tcW w:w="317" w:type="pct"/>
                  <w:vAlign w:val="center"/>
                </w:tcPr>
                <w:p>
                  <w:pPr>
                    <w:spacing w:line="400" w:lineRule="exact"/>
                    <w:jc w:val="center"/>
                    <w:rPr>
                      <w:b/>
                      <w:szCs w:val="21"/>
                      <w:highlight w:val="yellow"/>
                      <w:u w:val="single"/>
                    </w:rPr>
                  </w:pPr>
                  <w:r>
                    <w:rPr>
                      <w:rFonts w:hint="eastAsia"/>
                      <w:b/>
                      <w:szCs w:val="21"/>
                      <w:u w:val="single"/>
                    </w:rPr>
                    <w:t>7</w:t>
                  </w:r>
                  <w:r>
                    <w:rPr>
                      <w:b/>
                      <w:szCs w:val="21"/>
                      <w:u w:val="single"/>
                    </w:rPr>
                    <w:t>台</w:t>
                  </w:r>
                </w:p>
              </w:tc>
              <w:tc>
                <w:tcPr>
                  <w:tcW w:w="581" w:type="pct"/>
                  <w:vAlign w:val="center"/>
                </w:tcPr>
                <w:p>
                  <w:pPr>
                    <w:widowControl/>
                    <w:adjustRightInd w:val="0"/>
                    <w:snapToGrid w:val="0"/>
                    <w:spacing w:line="400" w:lineRule="exact"/>
                    <w:jc w:val="center"/>
                    <w:rPr>
                      <w:b/>
                      <w:u w:val="single"/>
                    </w:rPr>
                  </w:pPr>
                  <w:r>
                    <w:rPr>
                      <w:rFonts w:hint="eastAsia"/>
                      <w:b/>
                      <w:u w:val="single"/>
                    </w:rPr>
                    <w:t>/</w:t>
                  </w:r>
                </w:p>
              </w:tc>
              <w:tc>
                <w:tcPr>
                  <w:tcW w:w="263" w:type="pct"/>
                  <w:vAlign w:val="center"/>
                </w:tcPr>
                <w:p>
                  <w:pPr>
                    <w:widowControl/>
                    <w:adjustRightInd w:val="0"/>
                    <w:snapToGrid w:val="0"/>
                    <w:spacing w:line="400" w:lineRule="exact"/>
                    <w:jc w:val="center"/>
                    <w:rPr>
                      <w:b/>
                      <w:u w:val="single"/>
                    </w:rPr>
                  </w:pPr>
                  <w:r>
                    <w:rPr>
                      <w:rFonts w:hint="eastAsia"/>
                      <w:b/>
                      <w:u w:val="single"/>
                    </w:rPr>
                    <w:t>/</w:t>
                  </w:r>
                </w:p>
              </w:tc>
              <w:tc>
                <w:tcPr>
                  <w:tcW w:w="369" w:type="pct"/>
                  <w:vAlign w:val="center"/>
                </w:tcPr>
                <w:p>
                  <w:pPr>
                    <w:spacing w:line="400" w:lineRule="exact"/>
                    <w:jc w:val="center"/>
                    <w:rPr>
                      <w:b/>
                      <w:szCs w:val="21"/>
                      <w:highlight w:val="yellow"/>
                      <w:u w:val="single"/>
                    </w:rPr>
                  </w:pPr>
                  <w:r>
                    <w:rPr>
                      <w:b/>
                      <w:szCs w:val="21"/>
                      <w:u w:val="single"/>
                    </w:rPr>
                    <w:t>JY4-90</w:t>
                  </w:r>
                </w:p>
              </w:tc>
              <w:tc>
                <w:tcPr>
                  <w:tcW w:w="265" w:type="pct"/>
                  <w:vAlign w:val="center"/>
                </w:tcPr>
                <w:p>
                  <w:pPr>
                    <w:spacing w:line="400" w:lineRule="exact"/>
                    <w:jc w:val="center"/>
                    <w:rPr>
                      <w:b/>
                      <w:szCs w:val="21"/>
                      <w:highlight w:val="yellow"/>
                      <w:u w:val="single"/>
                    </w:rPr>
                  </w:pPr>
                  <w:r>
                    <w:rPr>
                      <w:rFonts w:hint="eastAsia"/>
                      <w:b/>
                      <w:szCs w:val="21"/>
                      <w:u w:val="single"/>
                    </w:rPr>
                    <w:t>23</w:t>
                  </w:r>
                  <w:r>
                    <w:rPr>
                      <w:b/>
                      <w:szCs w:val="21"/>
                      <w:u w:val="single"/>
                    </w:rPr>
                    <w:t>台</w:t>
                  </w:r>
                </w:p>
              </w:tc>
              <w:tc>
                <w:tcPr>
                  <w:tcW w:w="580" w:type="pct"/>
                  <w:vAlign w:val="center"/>
                </w:tcPr>
                <w:p>
                  <w:pPr>
                    <w:spacing w:line="400" w:lineRule="exact"/>
                    <w:jc w:val="center"/>
                    <w:rPr>
                      <w:b/>
                      <w:szCs w:val="21"/>
                      <w:highlight w:val="yellow"/>
                      <w:u w:val="single"/>
                    </w:rPr>
                  </w:pPr>
                  <w:r>
                    <w:rPr>
                      <w:b/>
                      <w:szCs w:val="21"/>
                      <w:u w:val="single"/>
                    </w:rPr>
                    <w:t>JY4-90</w:t>
                  </w:r>
                </w:p>
              </w:tc>
              <w:tc>
                <w:tcPr>
                  <w:tcW w:w="317" w:type="pct"/>
                  <w:vAlign w:val="center"/>
                </w:tcPr>
                <w:p>
                  <w:pPr>
                    <w:spacing w:line="400" w:lineRule="exact"/>
                    <w:jc w:val="center"/>
                    <w:rPr>
                      <w:b/>
                      <w:szCs w:val="21"/>
                      <w:highlight w:val="yellow"/>
                      <w:u w:val="single"/>
                    </w:rPr>
                  </w:pPr>
                  <w:r>
                    <w:rPr>
                      <w:rFonts w:hint="eastAsia"/>
                      <w:b/>
                      <w:szCs w:val="21"/>
                      <w:u w:val="single"/>
                    </w:rPr>
                    <w:t>30</w:t>
                  </w:r>
                  <w:r>
                    <w:rPr>
                      <w:b/>
                      <w:szCs w:val="21"/>
                      <w:u w:val="single"/>
                    </w:rPr>
                    <w:t>台</w:t>
                  </w:r>
                </w:p>
              </w:tc>
              <w:tc>
                <w:tcPr>
                  <w:tcW w:w="423" w:type="pct"/>
                  <w:vAlign w:val="center"/>
                </w:tcPr>
                <w:p>
                  <w:pPr>
                    <w:spacing w:line="400" w:lineRule="exact"/>
                    <w:jc w:val="center"/>
                    <w:rPr>
                      <w:b/>
                      <w:szCs w:val="21"/>
                      <w:highlight w:val="yellow"/>
                      <w:u w:val="single"/>
                    </w:rPr>
                  </w:pPr>
                  <w:r>
                    <w:rPr>
                      <w:rFonts w:hint="eastAsia"/>
                      <w:b/>
                      <w:szCs w:val="21"/>
                      <w:u w:val="single"/>
                    </w:rPr>
                    <w:t>2400</w:t>
                  </w:r>
                </w:p>
              </w:tc>
              <w:tc>
                <w:tcPr>
                  <w:tcW w:w="1095" w:type="pct"/>
                  <w:vAlign w:val="center"/>
                </w:tcPr>
                <w:p>
                  <w:pPr>
                    <w:spacing w:line="400" w:lineRule="exact"/>
                    <w:jc w:val="center"/>
                    <w:rPr>
                      <w:b/>
                      <w:szCs w:val="21"/>
                      <w:highlight w:val="yellow"/>
                      <w:u w:val="single"/>
                    </w:rPr>
                  </w:pPr>
                  <w:r>
                    <w:rPr>
                      <w:rFonts w:hint="eastAsia"/>
                      <w:b/>
                      <w:szCs w:val="21"/>
                      <w:u w:val="single"/>
                    </w:rPr>
                    <w:t>部分新增，用于编织吊带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 w:type="pct"/>
                  <w:vAlign w:val="center"/>
                </w:tcPr>
                <w:p>
                  <w:pPr>
                    <w:widowControl/>
                    <w:adjustRightInd w:val="0"/>
                    <w:snapToGrid w:val="0"/>
                    <w:spacing w:line="400" w:lineRule="exact"/>
                    <w:jc w:val="center"/>
                    <w:rPr>
                      <w:b/>
                      <w:szCs w:val="21"/>
                      <w:u w:val="single"/>
                    </w:rPr>
                  </w:pPr>
                  <w:r>
                    <w:rPr>
                      <w:rFonts w:hint="eastAsia"/>
                      <w:b/>
                      <w:szCs w:val="21"/>
                      <w:u w:val="single"/>
                    </w:rPr>
                    <w:t>切吊带机</w:t>
                  </w:r>
                </w:p>
              </w:tc>
              <w:tc>
                <w:tcPr>
                  <w:tcW w:w="370" w:type="pct"/>
                  <w:vAlign w:val="center"/>
                </w:tcPr>
                <w:p>
                  <w:pPr>
                    <w:widowControl/>
                    <w:adjustRightInd w:val="0"/>
                    <w:snapToGrid w:val="0"/>
                    <w:spacing w:line="400" w:lineRule="exact"/>
                    <w:jc w:val="center"/>
                    <w:rPr>
                      <w:b/>
                      <w:u w:val="single"/>
                    </w:rPr>
                  </w:pPr>
                  <w:r>
                    <w:rPr>
                      <w:rFonts w:hint="eastAsia"/>
                      <w:b/>
                      <w:u w:val="single"/>
                    </w:rPr>
                    <w:t>/</w:t>
                  </w:r>
                </w:p>
              </w:tc>
              <w:tc>
                <w:tcPr>
                  <w:tcW w:w="317" w:type="pct"/>
                  <w:vAlign w:val="center"/>
                </w:tcPr>
                <w:p>
                  <w:pPr>
                    <w:widowControl/>
                    <w:adjustRightInd w:val="0"/>
                    <w:snapToGrid w:val="0"/>
                    <w:spacing w:line="400" w:lineRule="exact"/>
                    <w:jc w:val="center"/>
                    <w:rPr>
                      <w:b/>
                      <w:u w:val="single"/>
                    </w:rPr>
                  </w:pPr>
                  <w:r>
                    <w:rPr>
                      <w:rFonts w:hint="eastAsia"/>
                      <w:b/>
                      <w:szCs w:val="21"/>
                      <w:u w:val="single"/>
                    </w:rPr>
                    <w:t>1</w:t>
                  </w:r>
                  <w:r>
                    <w:rPr>
                      <w:b/>
                      <w:szCs w:val="21"/>
                      <w:u w:val="single"/>
                    </w:rPr>
                    <w:t>台</w:t>
                  </w:r>
                </w:p>
              </w:tc>
              <w:tc>
                <w:tcPr>
                  <w:tcW w:w="581" w:type="pct"/>
                  <w:vAlign w:val="center"/>
                </w:tcPr>
                <w:p>
                  <w:pPr>
                    <w:widowControl/>
                    <w:adjustRightInd w:val="0"/>
                    <w:snapToGrid w:val="0"/>
                    <w:spacing w:line="400" w:lineRule="exact"/>
                    <w:jc w:val="center"/>
                    <w:rPr>
                      <w:b/>
                      <w:szCs w:val="21"/>
                      <w:highlight w:val="yellow"/>
                      <w:u w:val="single"/>
                    </w:rPr>
                  </w:pPr>
                  <w:r>
                    <w:rPr>
                      <w:rFonts w:hint="eastAsia"/>
                      <w:b/>
                      <w:u w:val="single"/>
                    </w:rPr>
                    <w:t>QDJ-200B/D</w:t>
                  </w:r>
                </w:p>
              </w:tc>
              <w:tc>
                <w:tcPr>
                  <w:tcW w:w="263" w:type="pct"/>
                  <w:vAlign w:val="center"/>
                </w:tcPr>
                <w:p>
                  <w:pPr>
                    <w:widowControl/>
                    <w:adjustRightInd w:val="0"/>
                    <w:snapToGrid w:val="0"/>
                    <w:spacing w:line="400" w:lineRule="exact"/>
                    <w:jc w:val="center"/>
                    <w:rPr>
                      <w:b/>
                      <w:szCs w:val="21"/>
                      <w:u w:val="single"/>
                    </w:rPr>
                  </w:pPr>
                  <w:r>
                    <w:rPr>
                      <w:rFonts w:hint="eastAsia"/>
                      <w:b/>
                      <w:szCs w:val="21"/>
                      <w:u w:val="single"/>
                    </w:rPr>
                    <w:t>3</w:t>
                  </w:r>
                  <w:r>
                    <w:rPr>
                      <w:b/>
                      <w:szCs w:val="21"/>
                      <w:u w:val="single"/>
                    </w:rPr>
                    <w:t>台</w:t>
                  </w:r>
                </w:p>
              </w:tc>
              <w:tc>
                <w:tcPr>
                  <w:tcW w:w="369" w:type="pct"/>
                  <w:vAlign w:val="center"/>
                </w:tcPr>
                <w:p>
                  <w:pPr>
                    <w:widowControl/>
                    <w:adjustRightInd w:val="0"/>
                    <w:snapToGrid w:val="0"/>
                    <w:spacing w:line="400" w:lineRule="exact"/>
                    <w:jc w:val="center"/>
                    <w:rPr>
                      <w:b/>
                      <w:u w:val="single"/>
                    </w:rPr>
                  </w:pPr>
                  <w:r>
                    <w:rPr>
                      <w:rFonts w:hint="eastAsia"/>
                      <w:b/>
                      <w:u w:val="single"/>
                    </w:rPr>
                    <w:t>/</w:t>
                  </w:r>
                </w:p>
              </w:tc>
              <w:tc>
                <w:tcPr>
                  <w:tcW w:w="265" w:type="pct"/>
                  <w:vAlign w:val="center"/>
                </w:tcPr>
                <w:p>
                  <w:pPr>
                    <w:widowControl/>
                    <w:adjustRightInd w:val="0"/>
                    <w:snapToGrid w:val="0"/>
                    <w:spacing w:line="400" w:lineRule="exact"/>
                    <w:jc w:val="center"/>
                    <w:rPr>
                      <w:b/>
                      <w:u w:val="single"/>
                    </w:rPr>
                  </w:pPr>
                  <w:r>
                    <w:rPr>
                      <w:rFonts w:hint="eastAsia"/>
                      <w:b/>
                      <w:u w:val="single"/>
                    </w:rPr>
                    <w:t>/</w:t>
                  </w:r>
                </w:p>
              </w:tc>
              <w:tc>
                <w:tcPr>
                  <w:tcW w:w="580" w:type="pct"/>
                  <w:vAlign w:val="center"/>
                </w:tcPr>
                <w:p>
                  <w:pPr>
                    <w:widowControl/>
                    <w:adjustRightInd w:val="0"/>
                    <w:snapToGrid w:val="0"/>
                    <w:spacing w:line="400" w:lineRule="exact"/>
                    <w:jc w:val="center"/>
                    <w:rPr>
                      <w:b/>
                      <w:szCs w:val="21"/>
                      <w:highlight w:val="yellow"/>
                      <w:u w:val="single"/>
                    </w:rPr>
                  </w:pPr>
                  <w:r>
                    <w:rPr>
                      <w:rFonts w:hint="eastAsia"/>
                      <w:b/>
                      <w:u w:val="single"/>
                    </w:rPr>
                    <w:t>QDJ-200B/D</w:t>
                  </w:r>
                </w:p>
              </w:tc>
              <w:tc>
                <w:tcPr>
                  <w:tcW w:w="317" w:type="pct"/>
                  <w:vAlign w:val="center"/>
                </w:tcPr>
                <w:p>
                  <w:pPr>
                    <w:widowControl/>
                    <w:adjustRightInd w:val="0"/>
                    <w:snapToGrid w:val="0"/>
                    <w:spacing w:line="400" w:lineRule="exact"/>
                    <w:jc w:val="center"/>
                    <w:rPr>
                      <w:b/>
                      <w:szCs w:val="21"/>
                      <w:u w:val="single"/>
                    </w:rPr>
                  </w:pPr>
                  <w:r>
                    <w:rPr>
                      <w:rFonts w:hint="eastAsia"/>
                      <w:b/>
                      <w:szCs w:val="21"/>
                      <w:u w:val="single"/>
                    </w:rPr>
                    <w:t>3</w:t>
                  </w:r>
                  <w:r>
                    <w:rPr>
                      <w:b/>
                      <w:szCs w:val="21"/>
                      <w:u w:val="single"/>
                    </w:rPr>
                    <w:t>台</w:t>
                  </w:r>
                </w:p>
              </w:tc>
              <w:tc>
                <w:tcPr>
                  <w:tcW w:w="423" w:type="pct"/>
                  <w:vAlign w:val="center"/>
                </w:tcPr>
                <w:p>
                  <w:pPr>
                    <w:spacing w:line="400" w:lineRule="exact"/>
                    <w:jc w:val="center"/>
                    <w:rPr>
                      <w:b/>
                      <w:szCs w:val="21"/>
                      <w:highlight w:val="yellow"/>
                      <w:u w:val="single"/>
                    </w:rPr>
                  </w:pPr>
                  <w:r>
                    <w:rPr>
                      <w:rFonts w:hint="eastAsia"/>
                      <w:b/>
                      <w:szCs w:val="21"/>
                      <w:u w:val="single"/>
                    </w:rPr>
                    <w:t>600</w:t>
                  </w:r>
                </w:p>
              </w:tc>
              <w:tc>
                <w:tcPr>
                  <w:tcW w:w="1095" w:type="pct"/>
                  <w:vAlign w:val="center"/>
                </w:tcPr>
                <w:p>
                  <w:pPr>
                    <w:spacing w:line="400" w:lineRule="exact"/>
                    <w:jc w:val="center"/>
                    <w:rPr>
                      <w:b/>
                      <w:szCs w:val="21"/>
                      <w:highlight w:val="yellow"/>
                      <w:u w:val="single"/>
                    </w:rPr>
                  </w:pPr>
                  <w:r>
                    <w:rPr>
                      <w:rFonts w:hint="eastAsia"/>
                      <w:b/>
                      <w:szCs w:val="21"/>
                      <w:u w:val="single"/>
                    </w:rPr>
                    <w:t>冷切改为热裁，用于吊带裁切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 w:type="pct"/>
                  <w:vAlign w:val="center"/>
                </w:tcPr>
                <w:p>
                  <w:pPr>
                    <w:spacing w:line="400" w:lineRule="exact"/>
                    <w:jc w:val="center"/>
                    <w:rPr>
                      <w:b/>
                      <w:szCs w:val="21"/>
                      <w:u w:val="single"/>
                    </w:rPr>
                  </w:pPr>
                  <w:r>
                    <w:rPr>
                      <w:rFonts w:hint="eastAsia"/>
                      <w:b/>
                      <w:szCs w:val="21"/>
                      <w:u w:val="single"/>
                    </w:rPr>
                    <w:t>缝纫机</w:t>
                  </w:r>
                </w:p>
              </w:tc>
              <w:tc>
                <w:tcPr>
                  <w:tcW w:w="370" w:type="pct"/>
                  <w:vAlign w:val="center"/>
                </w:tcPr>
                <w:p>
                  <w:pPr>
                    <w:spacing w:line="400" w:lineRule="exact"/>
                    <w:jc w:val="center"/>
                    <w:rPr>
                      <w:b/>
                      <w:szCs w:val="21"/>
                      <w:u w:val="single"/>
                    </w:rPr>
                  </w:pPr>
                  <w:r>
                    <w:rPr>
                      <w:rFonts w:hint="eastAsia"/>
                      <w:b/>
                      <w:szCs w:val="21"/>
                      <w:u w:val="single"/>
                    </w:rPr>
                    <w:t>GK27</w:t>
                  </w:r>
                </w:p>
              </w:tc>
              <w:tc>
                <w:tcPr>
                  <w:tcW w:w="317" w:type="pct"/>
                  <w:vAlign w:val="center"/>
                </w:tcPr>
                <w:p>
                  <w:pPr>
                    <w:spacing w:line="400" w:lineRule="exact"/>
                    <w:jc w:val="center"/>
                    <w:rPr>
                      <w:b/>
                      <w:szCs w:val="21"/>
                      <w:u w:val="single"/>
                    </w:rPr>
                  </w:pPr>
                  <w:r>
                    <w:rPr>
                      <w:rFonts w:hint="eastAsia"/>
                      <w:b/>
                      <w:szCs w:val="21"/>
                      <w:u w:val="single"/>
                    </w:rPr>
                    <w:t>15</w:t>
                  </w:r>
                  <w:r>
                    <w:rPr>
                      <w:b/>
                      <w:szCs w:val="21"/>
                      <w:u w:val="single"/>
                    </w:rPr>
                    <w:t>台</w:t>
                  </w:r>
                </w:p>
              </w:tc>
              <w:tc>
                <w:tcPr>
                  <w:tcW w:w="581" w:type="pct"/>
                  <w:vAlign w:val="center"/>
                </w:tcPr>
                <w:p>
                  <w:pPr>
                    <w:widowControl/>
                    <w:adjustRightInd w:val="0"/>
                    <w:snapToGrid w:val="0"/>
                    <w:spacing w:line="400" w:lineRule="exact"/>
                    <w:jc w:val="center"/>
                    <w:rPr>
                      <w:b/>
                      <w:u w:val="single"/>
                    </w:rPr>
                  </w:pPr>
                  <w:r>
                    <w:rPr>
                      <w:rFonts w:hint="eastAsia"/>
                      <w:b/>
                      <w:u w:val="single"/>
                    </w:rPr>
                    <w:t>/</w:t>
                  </w:r>
                </w:p>
              </w:tc>
              <w:tc>
                <w:tcPr>
                  <w:tcW w:w="263" w:type="pct"/>
                  <w:vAlign w:val="center"/>
                </w:tcPr>
                <w:p>
                  <w:pPr>
                    <w:widowControl/>
                    <w:adjustRightInd w:val="0"/>
                    <w:snapToGrid w:val="0"/>
                    <w:spacing w:line="400" w:lineRule="exact"/>
                    <w:jc w:val="center"/>
                    <w:rPr>
                      <w:b/>
                      <w:u w:val="single"/>
                    </w:rPr>
                  </w:pPr>
                  <w:r>
                    <w:rPr>
                      <w:rFonts w:hint="eastAsia"/>
                      <w:b/>
                      <w:u w:val="single"/>
                    </w:rPr>
                    <w:t>/</w:t>
                  </w:r>
                </w:p>
              </w:tc>
              <w:tc>
                <w:tcPr>
                  <w:tcW w:w="369" w:type="pct"/>
                  <w:vAlign w:val="center"/>
                </w:tcPr>
                <w:p>
                  <w:pPr>
                    <w:spacing w:line="400" w:lineRule="exact"/>
                    <w:jc w:val="center"/>
                    <w:rPr>
                      <w:b/>
                      <w:szCs w:val="21"/>
                      <w:u w:val="single"/>
                    </w:rPr>
                  </w:pPr>
                  <w:r>
                    <w:rPr>
                      <w:rFonts w:hint="eastAsia"/>
                      <w:b/>
                      <w:szCs w:val="21"/>
                      <w:u w:val="single"/>
                    </w:rPr>
                    <w:t>GK27</w:t>
                  </w:r>
                </w:p>
              </w:tc>
              <w:tc>
                <w:tcPr>
                  <w:tcW w:w="265" w:type="pct"/>
                  <w:vAlign w:val="center"/>
                </w:tcPr>
                <w:p>
                  <w:pPr>
                    <w:spacing w:line="400" w:lineRule="exact"/>
                    <w:jc w:val="center"/>
                    <w:rPr>
                      <w:b/>
                      <w:szCs w:val="21"/>
                      <w:u w:val="single"/>
                    </w:rPr>
                  </w:pPr>
                  <w:r>
                    <w:rPr>
                      <w:rFonts w:hint="eastAsia"/>
                      <w:b/>
                      <w:szCs w:val="21"/>
                      <w:u w:val="single"/>
                    </w:rPr>
                    <w:t>35</w:t>
                  </w:r>
                  <w:r>
                    <w:rPr>
                      <w:b/>
                      <w:szCs w:val="21"/>
                      <w:u w:val="single"/>
                    </w:rPr>
                    <w:t>台</w:t>
                  </w:r>
                </w:p>
              </w:tc>
              <w:tc>
                <w:tcPr>
                  <w:tcW w:w="580" w:type="pct"/>
                  <w:vAlign w:val="center"/>
                </w:tcPr>
                <w:p>
                  <w:pPr>
                    <w:spacing w:line="400" w:lineRule="exact"/>
                    <w:jc w:val="center"/>
                    <w:rPr>
                      <w:b/>
                      <w:szCs w:val="21"/>
                      <w:u w:val="single"/>
                    </w:rPr>
                  </w:pPr>
                  <w:r>
                    <w:rPr>
                      <w:rFonts w:hint="eastAsia"/>
                      <w:b/>
                      <w:szCs w:val="21"/>
                      <w:u w:val="single"/>
                    </w:rPr>
                    <w:t>GK27</w:t>
                  </w:r>
                </w:p>
              </w:tc>
              <w:tc>
                <w:tcPr>
                  <w:tcW w:w="317" w:type="pct"/>
                  <w:vAlign w:val="center"/>
                </w:tcPr>
                <w:p>
                  <w:pPr>
                    <w:spacing w:line="400" w:lineRule="exact"/>
                    <w:jc w:val="center"/>
                    <w:rPr>
                      <w:b/>
                      <w:szCs w:val="21"/>
                      <w:u w:val="single"/>
                    </w:rPr>
                  </w:pPr>
                  <w:r>
                    <w:rPr>
                      <w:rFonts w:hint="eastAsia"/>
                      <w:b/>
                      <w:szCs w:val="21"/>
                      <w:u w:val="single"/>
                    </w:rPr>
                    <w:t>50</w:t>
                  </w:r>
                  <w:r>
                    <w:rPr>
                      <w:b/>
                      <w:szCs w:val="21"/>
                      <w:u w:val="single"/>
                    </w:rPr>
                    <w:t>台</w:t>
                  </w:r>
                </w:p>
              </w:tc>
              <w:tc>
                <w:tcPr>
                  <w:tcW w:w="423" w:type="pct"/>
                  <w:vAlign w:val="center"/>
                </w:tcPr>
                <w:p>
                  <w:pPr>
                    <w:spacing w:line="400" w:lineRule="exact"/>
                    <w:jc w:val="center"/>
                    <w:rPr>
                      <w:b/>
                      <w:szCs w:val="21"/>
                      <w:u w:val="single"/>
                    </w:rPr>
                  </w:pPr>
                  <w:r>
                    <w:rPr>
                      <w:rFonts w:hint="eastAsia"/>
                      <w:b/>
                      <w:szCs w:val="21"/>
                      <w:u w:val="single"/>
                    </w:rPr>
                    <w:t>2400</w:t>
                  </w:r>
                </w:p>
              </w:tc>
              <w:tc>
                <w:tcPr>
                  <w:tcW w:w="1095" w:type="pct"/>
                  <w:vAlign w:val="center"/>
                </w:tcPr>
                <w:p>
                  <w:pPr>
                    <w:spacing w:line="400" w:lineRule="exact"/>
                    <w:jc w:val="center"/>
                    <w:rPr>
                      <w:b/>
                      <w:szCs w:val="21"/>
                      <w:u w:val="single"/>
                    </w:rPr>
                  </w:pPr>
                  <w:r>
                    <w:rPr>
                      <w:rFonts w:hint="eastAsia"/>
                      <w:b/>
                      <w:szCs w:val="21"/>
                      <w:u w:val="single"/>
                    </w:rPr>
                    <w:t>部分新增，用于编织袋缝纫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 w:type="pct"/>
                  <w:vAlign w:val="center"/>
                </w:tcPr>
                <w:p>
                  <w:pPr>
                    <w:spacing w:line="400" w:lineRule="exact"/>
                    <w:jc w:val="center"/>
                    <w:rPr>
                      <w:b/>
                      <w:szCs w:val="21"/>
                      <w:u w:val="single"/>
                    </w:rPr>
                  </w:pPr>
                  <w:r>
                    <w:rPr>
                      <w:rFonts w:hint="eastAsia"/>
                      <w:b/>
                      <w:szCs w:val="21"/>
                      <w:u w:val="single"/>
                    </w:rPr>
                    <w:t>空压机</w:t>
                  </w:r>
                </w:p>
              </w:tc>
              <w:tc>
                <w:tcPr>
                  <w:tcW w:w="370" w:type="pct"/>
                  <w:vAlign w:val="center"/>
                </w:tcPr>
                <w:p>
                  <w:pPr>
                    <w:spacing w:line="400" w:lineRule="exact"/>
                    <w:jc w:val="center"/>
                    <w:rPr>
                      <w:b/>
                      <w:szCs w:val="21"/>
                      <w:u w:val="single"/>
                    </w:rPr>
                  </w:pPr>
                  <w:r>
                    <w:rPr>
                      <w:rFonts w:hint="eastAsia"/>
                      <w:b/>
                      <w:szCs w:val="21"/>
                      <w:u w:val="single"/>
                    </w:rPr>
                    <w:t>/</w:t>
                  </w:r>
                </w:p>
              </w:tc>
              <w:tc>
                <w:tcPr>
                  <w:tcW w:w="317" w:type="pct"/>
                  <w:vAlign w:val="center"/>
                </w:tcPr>
                <w:p>
                  <w:pPr>
                    <w:spacing w:line="400" w:lineRule="exact"/>
                    <w:jc w:val="center"/>
                    <w:rPr>
                      <w:b/>
                      <w:szCs w:val="21"/>
                      <w:u w:val="single"/>
                    </w:rPr>
                  </w:pPr>
                  <w:r>
                    <w:rPr>
                      <w:rFonts w:hint="eastAsia"/>
                      <w:b/>
                      <w:szCs w:val="21"/>
                      <w:u w:val="single"/>
                    </w:rPr>
                    <w:t>1台</w:t>
                  </w:r>
                </w:p>
              </w:tc>
              <w:tc>
                <w:tcPr>
                  <w:tcW w:w="581" w:type="pct"/>
                  <w:vAlign w:val="center"/>
                </w:tcPr>
                <w:p>
                  <w:pPr>
                    <w:widowControl/>
                    <w:adjustRightInd w:val="0"/>
                    <w:snapToGrid w:val="0"/>
                    <w:spacing w:line="400" w:lineRule="exact"/>
                    <w:jc w:val="center"/>
                    <w:rPr>
                      <w:b/>
                      <w:u w:val="single"/>
                    </w:rPr>
                  </w:pPr>
                  <w:r>
                    <w:rPr>
                      <w:rFonts w:hint="eastAsia"/>
                      <w:b/>
                      <w:u w:val="single"/>
                    </w:rPr>
                    <w:t>/</w:t>
                  </w:r>
                </w:p>
              </w:tc>
              <w:tc>
                <w:tcPr>
                  <w:tcW w:w="263" w:type="pct"/>
                  <w:vAlign w:val="center"/>
                </w:tcPr>
                <w:p>
                  <w:pPr>
                    <w:widowControl/>
                    <w:adjustRightInd w:val="0"/>
                    <w:snapToGrid w:val="0"/>
                    <w:spacing w:line="400" w:lineRule="exact"/>
                    <w:jc w:val="center"/>
                    <w:rPr>
                      <w:b/>
                      <w:u w:val="single"/>
                    </w:rPr>
                  </w:pPr>
                  <w:r>
                    <w:rPr>
                      <w:rFonts w:hint="eastAsia"/>
                      <w:b/>
                      <w:u w:val="single"/>
                    </w:rPr>
                    <w:t>/</w:t>
                  </w:r>
                </w:p>
              </w:tc>
              <w:tc>
                <w:tcPr>
                  <w:tcW w:w="369" w:type="pct"/>
                  <w:vAlign w:val="center"/>
                </w:tcPr>
                <w:p>
                  <w:pPr>
                    <w:spacing w:line="400" w:lineRule="exact"/>
                    <w:jc w:val="center"/>
                    <w:rPr>
                      <w:b/>
                      <w:szCs w:val="21"/>
                      <w:u w:val="single"/>
                    </w:rPr>
                  </w:pPr>
                  <w:r>
                    <w:rPr>
                      <w:rFonts w:hint="eastAsia"/>
                      <w:b/>
                      <w:szCs w:val="21"/>
                      <w:u w:val="single"/>
                    </w:rPr>
                    <w:t>/</w:t>
                  </w:r>
                </w:p>
              </w:tc>
              <w:tc>
                <w:tcPr>
                  <w:tcW w:w="265" w:type="pct"/>
                  <w:vAlign w:val="center"/>
                </w:tcPr>
                <w:p>
                  <w:pPr>
                    <w:spacing w:line="400" w:lineRule="exact"/>
                    <w:jc w:val="center"/>
                    <w:rPr>
                      <w:b/>
                      <w:szCs w:val="21"/>
                      <w:u w:val="single"/>
                    </w:rPr>
                  </w:pPr>
                  <w:r>
                    <w:rPr>
                      <w:rFonts w:hint="eastAsia"/>
                      <w:b/>
                      <w:szCs w:val="21"/>
                      <w:u w:val="single"/>
                    </w:rPr>
                    <w:t>/</w:t>
                  </w:r>
                </w:p>
              </w:tc>
              <w:tc>
                <w:tcPr>
                  <w:tcW w:w="580" w:type="pct"/>
                  <w:vAlign w:val="center"/>
                </w:tcPr>
                <w:p>
                  <w:pPr>
                    <w:spacing w:line="400" w:lineRule="exact"/>
                    <w:jc w:val="center"/>
                    <w:rPr>
                      <w:b/>
                      <w:szCs w:val="21"/>
                      <w:u w:val="single"/>
                    </w:rPr>
                  </w:pPr>
                  <w:r>
                    <w:rPr>
                      <w:rFonts w:hint="eastAsia"/>
                      <w:b/>
                      <w:szCs w:val="21"/>
                      <w:u w:val="single"/>
                    </w:rPr>
                    <w:t>/</w:t>
                  </w:r>
                </w:p>
              </w:tc>
              <w:tc>
                <w:tcPr>
                  <w:tcW w:w="317" w:type="pct"/>
                  <w:vAlign w:val="center"/>
                </w:tcPr>
                <w:p>
                  <w:pPr>
                    <w:spacing w:line="400" w:lineRule="exact"/>
                    <w:jc w:val="center"/>
                    <w:rPr>
                      <w:b/>
                      <w:szCs w:val="21"/>
                      <w:u w:val="single"/>
                    </w:rPr>
                  </w:pPr>
                  <w:r>
                    <w:rPr>
                      <w:rFonts w:hint="eastAsia"/>
                      <w:b/>
                      <w:szCs w:val="21"/>
                      <w:u w:val="single"/>
                    </w:rPr>
                    <w:t>1台</w:t>
                  </w:r>
                </w:p>
              </w:tc>
              <w:tc>
                <w:tcPr>
                  <w:tcW w:w="423" w:type="pct"/>
                  <w:vAlign w:val="center"/>
                </w:tcPr>
                <w:p>
                  <w:pPr>
                    <w:spacing w:line="400" w:lineRule="exact"/>
                    <w:jc w:val="center"/>
                    <w:rPr>
                      <w:b/>
                      <w:szCs w:val="21"/>
                      <w:u w:val="single"/>
                    </w:rPr>
                  </w:pPr>
                  <w:r>
                    <w:rPr>
                      <w:rFonts w:hint="eastAsia"/>
                      <w:b/>
                      <w:szCs w:val="21"/>
                      <w:u w:val="single"/>
                    </w:rPr>
                    <w:t>2400</w:t>
                  </w:r>
                </w:p>
              </w:tc>
              <w:tc>
                <w:tcPr>
                  <w:tcW w:w="1095" w:type="pct"/>
                  <w:vAlign w:val="center"/>
                </w:tcPr>
                <w:p>
                  <w:pPr>
                    <w:spacing w:line="400" w:lineRule="exact"/>
                    <w:jc w:val="center"/>
                    <w:rPr>
                      <w:b/>
                      <w:szCs w:val="21"/>
                      <w:u w:val="single"/>
                    </w:rPr>
                  </w:pPr>
                  <w:r>
                    <w:rPr>
                      <w:rFonts w:hint="eastAsia"/>
                      <w:b/>
                      <w:szCs w:val="21"/>
                      <w:u w:val="single"/>
                    </w:rPr>
                    <w:t>不变</w:t>
                  </w:r>
                </w:p>
              </w:tc>
            </w:tr>
          </w:tbl>
          <w:p>
            <w:pPr>
              <w:tabs>
                <w:tab w:val="left" w:pos="5695"/>
              </w:tabs>
              <w:spacing w:line="520" w:lineRule="exact"/>
              <w:ind w:firstLine="480" w:firstLineChars="200"/>
            </w:pPr>
            <w:r>
              <w:rPr>
                <w:sz w:val="24"/>
              </w:rPr>
              <w:t>全厂设备均不属于</w:t>
            </w:r>
            <w:r>
              <w:rPr>
                <w:rFonts w:hint="eastAsia"/>
                <w:sz w:val="24"/>
              </w:rPr>
              <w:t>“</w:t>
            </w:r>
            <w:r>
              <w:rPr>
                <w:sz w:val="24"/>
              </w:rPr>
              <w:t>限制类</w:t>
            </w:r>
            <w:r>
              <w:rPr>
                <w:rFonts w:hint="eastAsia"/>
                <w:sz w:val="24"/>
              </w:rPr>
              <w:t>”</w:t>
            </w:r>
            <w:r>
              <w:rPr>
                <w:sz w:val="24"/>
              </w:rPr>
              <w:t>和</w:t>
            </w:r>
            <w:r>
              <w:rPr>
                <w:rFonts w:hint="eastAsia"/>
                <w:sz w:val="24"/>
              </w:rPr>
              <w:t>“</w:t>
            </w:r>
            <w:r>
              <w:rPr>
                <w:sz w:val="24"/>
              </w:rPr>
              <w:t>淘汰类</w:t>
            </w:r>
            <w:r>
              <w:rPr>
                <w:rFonts w:hint="eastAsia"/>
                <w:sz w:val="24"/>
              </w:rPr>
              <w:t>”</w:t>
            </w:r>
            <w:r>
              <w:rPr>
                <w:sz w:val="24"/>
              </w:rPr>
              <w:t>，</w:t>
            </w:r>
            <w:r>
              <w:rPr>
                <w:kern w:val="0"/>
                <w:sz w:val="24"/>
              </w:rPr>
              <w:t>符合《产业结构调整指导目录（2019年本）》、《高耗能落后机电设备（产品）淘汰目录（第一、二、三、四批）》和《河南省部分工业行业淘汰落后生产工艺装备和产品目录》。</w:t>
            </w:r>
          </w:p>
          <w:p>
            <w:pPr>
              <w:pStyle w:val="91"/>
              <w:rPr>
                <w:color w:val="auto"/>
              </w:rPr>
            </w:pPr>
            <w:r>
              <w:rPr>
                <w:color w:val="auto"/>
              </w:rPr>
              <w:t>5. 生产规模及产品方案</w:t>
            </w:r>
          </w:p>
          <w:p>
            <w:pPr>
              <w:pStyle w:val="51"/>
              <w:ind w:firstLine="480"/>
            </w:pPr>
          </w:p>
          <w:p>
            <w:pPr>
              <w:pStyle w:val="51"/>
              <w:ind w:firstLine="480"/>
            </w:pPr>
          </w:p>
          <w:p>
            <w:pPr>
              <w:pStyle w:val="51"/>
              <w:ind w:firstLine="480"/>
            </w:pPr>
          </w:p>
          <w:p>
            <w:pPr>
              <w:pStyle w:val="53"/>
              <w:ind w:firstLine="482"/>
              <w:rPr>
                <w:b/>
                <w:u w:val="single"/>
              </w:rPr>
            </w:pPr>
            <w:r>
              <w:rPr>
                <w:b/>
                <w:u w:val="single"/>
              </w:rPr>
              <w:t>表</w:t>
            </w:r>
            <w:r>
              <w:rPr>
                <w:rFonts w:hint="eastAsia"/>
                <w:b/>
                <w:u w:val="single"/>
              </w:rPr>
              <w:t>11</w:t>
            </w:r>
            <w:r>
              <w:rPr>
                <w:b/>
                <w:u w:val="single"/>
              </w:rPr>
              <w:t xml:space="preserve">          </w:t>
            </w:r>
            <w:r>
              <w:rPr>
                <w:rFonts w:hint="eastAsia"/>
                <w:b/>
                <w:u w:val="single"/>
              </w:rPr>
              <w:t xml:space="preserve">               </w:t>
            </w:r>
            <w:r>
              <w:rPr>
                <w:b/>
                <w:u w:val="single"/>
              </w:rPr>
              <w:t xml:space="preserve">      </w:t>
            </w:r>
            <w:r>
              <w:rPr>
                <w:rFonts w:hint="eastAsia"/>
                <w:b/>
                <w:u w:val="single"/>
              </w:rPr>
              <w:t>生产</w:t>
            </w:r>
            <w:r>
              <w:rPr>
                <w:b/>
                <w:u w:val="single"/>
              </w:rPr>
              <w:t>规模一览表</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2"/>
              <w:gridCol w:w="1644"/>
              <w:gridCol w:w="3172"/>
              <w:gridCol w:w="2298"/>
              <w:gridCol w:w="2660"/>
              <w:gridCol w:w="26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363" w:type="pct"/>
                  <w:vAlign w:val="center"/>
                </w:tcPr>
                <w:p>
                  <w:pPr>
                    <w:spacing w:line="400" w:lineRule="exact"/>
                    <w:jc w:val="center"/>
                    <w:rPr>
                      <w:b/>
                      <w:szCs w:val="21"/>
                      <w:u w:val="single"/>
                    </w:rPr>
                  </w:pPr>
                  <w:r>
                    <w:rPr>
                      <w:rFonts w:hint="eastAsia"/>
                      <w:b/>
                      <w:szCs w:val="21"/>
                      <w:u w:val="single"/>
                    </w:rPr>
                    <w:t>序号</w:t>
                  </w:r>
                </w:p>
              </w:tc>
              <w:tc>
                <w:tcPr>
                  <w:tcW w:w="613" w:type="pct"/>
                  <w:vAlign w:val="center"/>
                </w:tcPr>
                <w:p>
                  <w:pPr>
                    <w:spacing w:line="400" w:lineRule="exact"/>
                    <w:jc w:val="center"/>
                    <w:rPr>
                      <w:b/>
                      <w:szCs w:val="21"/>
                      <w:u w:val="single"/>
                    </w:rPr>
                  </w:pPr>
                  <w:r>
                    <w:rPr>
                      <w:b/>
                      <w:szCs w:val="21"/>
                      <w:u w:val="single"/>
                    </w:rPr>
                    <w:t>产品名称</w:t>
                  </w:r>
                </w:p>
              </w:tc>
              <w:tc>
                <w:tcPr>
                  <w:tcW w:w="1183" w:type="pct"/>
                </w:tcPr>
                <w:p>
                  <w:pPr>
                    <w:spacing w:line="400" w:lineRule="exact"/>
                    <w:jc w:val="center"/>
                    <w:rPr>
                      <w:b/>
                      <w:szCs w:val="21"/>
                      <w:u w:val="single"/>
                    </w:rPr>
                  </w:pPr>
                  <w:r>
                    <w:rPr>
                      <w:rFonts w:hint="eastAsia"/>
                      <w:b/>
                      <w:szCs w:val="21"/>
                      <w:u w:val="single"/>
                    </w:rPr>
                    <w:t>现有工程产能</w:t>
                  </w:r>
                </w:p>
              </w:tc>
              <w:tc>
                <w:tcPr>
                  <w:tcW w:w="857" w:type="pct"/>
                </w:tcPr>
                <w:p>
                  <w:pPr>
                    <w:spacing w:line="400" w:lineRule="exact"/>
                    <w:jc w:val="center"/>
                    <w:rPr>
                      <w:b/>
                      <w:szCs w:val="21"/>
                      <w:u w:val="single"/>
                    </w:rPr>
                  </w:pPr>
                  <w:r>
                    <w:rPr>
                      <w:rFonts w:hint="eastAsia"/>
                      <w:b/>
                      <w:szCs w:val="21"/>
                      <w:u w:val="single"/>
                    </w:rPr>
                    <w:t>改扩建工程产能</w:t>
                  </w:r>
                </w:p>
              </w:tc>
              <w:tc>
                <w:tcPr>
                  <w:tcW w:w="992" w:type="pct"/>
                </w:tcPr>
                <w:p>
                  <w:pPr>
                    <w:spacing w:line="400" w:lineRule="exact"/>
                    <w:jc w:val="center"/>
                    <w:rPr>
                      <w:b/>
                      <w:szCs w:val="21"/>
                      <w:u w:val="single"/>
                    </w:rPr>
                  </w:pPr>
                  <w:r>
                    <w:rPr>
                      <w:rFonts w:hint="eastAsia"/>
                      <w:b/>
                      <w:szCs w:val="21"/>
                      <w:u w:val="single"/>
                    </w:rPr>
                    <w:t>改扩建后全厂产能</w:t>
                  </w:r>
                </w:p>
              </w:tc>
              <w:tc>
                <w:tcPr>
                  <w:tcW w:w="992" w:type="pct"/>
                </w:tcPr>
                <w:p>
                  <w:pPr>
                    <w:spacing w:line="400" w:lineRule="exact"/>
                    <w:jc w:val="center"/>
                    <w:rPr>
                      <w:b/>
                      <w:szCs w:val="21"/>
                      <w:u w:val="single"/>
                    </w:rPr>
                  </w:pPr>
                  <w:r>
                    <w:rPr>
                      <w:rFonts w:hint="eastAsia"/>
                      <w:b/>
                      <w:szCs w:val="21"/>
                      <w:u w:val="singl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363" w:type="pct"/>
                  <w:vAlign w:val="center"/>
                </w:tcPr>
                <w:p>
                  <w:pPr>
                    <w:widowControl/>
                    <w:adjustRightInd w:val="0"/>
                    <w:snapToGrid w:val="0"/>
                    <w:spacing w:line="400" w:lineRule="exact"/>
                    <w:jc w:val="center"/>
                    <w:rPr>
                      <w:b/>
                      <w:szCs w:val="21"/>
                      <w:u w:val="single"/>
                    </w:rPr>
                  </w:pPr>
                  <w:r>
                    <w:rPr>
                      <w:rFonts w:hint="eastAsia"/>
                      <w:b/>
                      <w:szCs w:val="21"/>
                      <w:u w:val="single"/>
                    </w:rPr>
                    <w:t>1</w:t>
                  </w:r>
                </w:p>
              </w:tc>
              <w:tc>
                <w:tcPr>
                  <w:tcW w:w="613" w:type="pct"/>
                  <w:vAlign w:val="center"/>
                </w:tcPr>
                <w:p>
                  <w:pPr>
                    <w:widowControl/>
                    <w:adjustRightInd w:val="0"/>
                    <w:snapToGrid w:val="0"/>
                    <w:spacing w:line="400" w:lineRule="exact"/>
                    <w:jc w:val="center"/>
                    <w:rPr>
                      <w:b/>
                      <w:szCs w:val="21"/>
                      <w:u w:val="single"/>
                    </w:rPr>
                  </w:pPr>
                  <w:r>
                    <w:rPr>
                      <w:rFonts w:hint="eastAsia"/>
                      <w:b/>
                      <w:szCs w:val="21"/>
                      <w:u w:val="single"/>
                    </w:rPr>
                    <w:t>编织袋</w:t>
                  </w:r>
                </w:p>
              </w:tc>
              <w:tc>
                <w:tcPr>
                  <w:tcW w:w="1183" w:type="pct"/>
                </w:tcPr>
                <w:p>
                  <w:pPr>
                    <w:spacing w:line="400" w:lineRule="exact"/>
                    <w:jc w:val="center"/>
                    <w:rPr>
                      <w:b/>
                      <w:szCs w:val="21"/>
                      <w:u w:val="single"/>
                    </w:rPr>
                  </w:pPr>
                  <w:r>
                    <w:rPr>
                      <w:rFonts w:hint="eastAsia"/>
                      <w:b/>
                      <w:szCs w:val="21"/>
                      <w:u w:val="single"/>
                    </w:rPr>
                    <w:t>50万条/年</w:t>
                  </w:r>
                </w:p>
              </w:tc>
              <w:tc>
                <w:tcPr>
                  <w:tcW w:w="857" w:type="pct"/>
                </w:tcPr>
                <w:p>
                  <w:pPr>
                    <w:spacing w:line="400" w:lineRule="exact"/>
                    <w:jc w:val="center"/>
                    <w:rPr>
                      <w:b/>
                      <w:szCs w:val="21"/>
                      <w:u w:val="single"/>
                    </w:rPr>
                  </w:pPr>
                  <w:r>
                    <w:rPr>
                      <w:rFonts w:hint="eastAsia"/>
                      <w:b/>
                      <w:szCs w:val="21"/>
                      <w:u w:val="single"/>
                    </w:rPr>
                    <w:t>150万条/年</w:t>
                  </w:r>
                </w:p>
              </w:tc>
              <w:tc>
                <w:tcPr>
                  <w:tcW w:w="992" w:type="pct"/>
                </w:tcPr>
                <w:p>
                  <w:pPr>
                    <w:spacing w:line="400" w:lineRule="exact"/>
                    <w:jc w:val="center"/>
                    <w:rPr>
                      <w:b/>
                      <w:szCs w:val="21"/>
                      <w:u w:val="single"/>
                    </w:rPr>
                  </w:pPr>
                  <w:r>
                    <w:rPr>
                      <w:rFonts w:hint="eastAsia"/>
                      <w:b/>
                      <w:szCs w:val="21"/>
                      <w:u w:val="single"/>
                    </w:rPr>
                    <w:t>200万条/年</w:t>
                  </w:r>
                </w:p>
              </w:tc>
              <w:tc>
                <w:tcPr>
                  <w:tcW w:w="992" w:type="pct"/>
                </w:tcPr>
                <w:p>
                  <w:pPr>
                    <w:spacing w:line="400" w:lineRule="exact"/>
                    <w:jc w:val="center"/>
                    <w:rPr>
                      <w:b/>
                      <w:szCs w:val="21"/>
                      <w:u w:val="single"/>
                    </w:rPr>
                  </w:pPr>
                  <w:r>
                    <w:rPr>
                      <w:rFonts w:hint="eastAsia"/>
                      <w:b/>
                      <w:szCs w:val="21"/>
                      <w:u w:val="single"/>
                    </w:rPr>
                    <w:t>1.5~4kg/条</w:t>
                  </w:r>
                </w:p>
              </w:tc>
            </w:tr>
          </w:tbl>
          <w:p>
            <w:pPr>
              <w:pStyle w:val="91"/>
              <w:rPr>
                <w:color w:val="auto"/>
              </w:rPr>
            </w:pPr>
            <w:r>
              <w:rPr>
                <w:color w:val="auto"/>
              </w:rPr>
              <w:t>6. 主要原辅材料</w:t>
            </w:r>
          </w:p>
          <w:p>
            <w:pPr>
              <w:pStyle w:val="51"/>
              <w:ind w:firstLine="480"/>
            </w:pPr>
            <w:r>
              <w:t>本项目主要原辅材料消耗表见</w:t>
            </w:r>
            <w:r>
              <w:rPr>
                <w:rFonts w:hint="eastAsia"/>
              </w:rPr>
              <w:t>下表</w:t>
            </w:r>
            <w:r>
              <w:t>。</w:t>
            </w:r>
          </w:p>
          <w:p>
            <w:pPr>
              <w:pStyle w:val="53"/>
              <w:ind w:firstLine="482"/>
              <w:rPr>
                <w:b/>
                <w:u w:val="single"/>
              </w:rPr>
            </w:pPr>
            <w:r>
              <w:rPr>
                <w:b/>
                <w:u w:val="single"/>
              </w:rPr>
              <w:t>表</w:t>
            </w:r>
            <w:r>
              <w:rPr>
                <w:rFonts w:hint="eastAsia"/>
                <w:b/>
                <w:u w:val="single"/>
              </w:rPr>
              <w:t>12</w:t>
            </w:r>
            <w:r>
              <w:rPr>
                <w:b/>
                <w:u w:val="single"/>
              </w:rPr>
              <w:t xml:space="preserve">     </w:t>
            </w:r>
            <w:r>
              <w:rPr>
                <w:rFonts w:hint="eastAsia"/>
                <w:b/>
                <w:u w:val="single"/>
              </w:rPr>
              <w:t xml:space="preserve">                     </w:t>
            </w:r>
            <w:r>
              <w:rPr>
                <w:b/>
                <w:u w:val="single"/>
              </w:rPr>
              <w:t xml:space="preserve">     </w:t>
            </w:r>
            <w:r>
              <w:rPr>
                <w:rFonts w:hint="eastAsia"/>
                <w:b/>
                <w:u w:val="single"/>
              </w:rPr>
              <w:t xml:space="preserve">       </w:t>
            </w:r>
            <w:r>
              <w:rPr>
                <w:b/>
                <w:u w:val="single"/>
              </w:rPr>
              <w:t xml:space="preserve">主要原辅材料一览表              </w:t>
            </w:r>
            <w:r>
              <w:rPr>
                <w:rFonts w:hint="eastAsia"/>
                <w:b/>
                <w:u w:val="single"/>
              </w:rPr>
              <w:t xml:space="preserve">                    </w:t>
            </w:r>
            <w:r>
              <w:rPr>
                <w:b/>
                <w:u w:val="single"/>
              </w:rPr>
              <w:t xml:space="preserve">    单位：t/a</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780"/>
              <w:gridCol w:w="1491"/>
              <w:gridCol w:w="2054"/>
              <w:gridCol w:w="2268"/>
              <w:gridCol w:w="2268"/>
              <w:gridCol w:w="26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335" w:type="pct"/>
                  <w:vAlign w:val="center"/>
                </w:tcPr>
                <w:p>
                  <w:pPr>
                    <w:snapToGrid w:val="0"/>
                    <w:spacing w:line="360" w:lineRule="exact"/>
                    <w:jc w:val="center"/>
                    <w:rPr>
                      <w:b/>
                      <w:bCs/>
                      <w:szCs w:val="21"/>
                      <w:u w:val="single"/>
                    </w:rPr>
                  </w:pPr>
                  <w:r>
                    <w:rPr>
                      <w:b/>
                      <w:bCs/>
                      <w:szCs w:val="21"/>
                      <w:u w:val="single"/>
                    </w:rPr>
                    <w:t>序号</w:t>
                  </w:r>
                </w:p>
              </w:tc>
              <w:tc>
                <w:tcPr>
                  <w:tcW w:w="664" w:type="pct"/>
                  <w:vAlign w:val="center"/>
                </w:tcPr>
                <w:p>
                  <w:pPr>
                    <w:snapToGrid w:val="0"/>
                    <w:spacing w:line="360" w:lineRule="exact"/>
                    <w:jc w:val="center"/>
                    <w:rPr>
                      <w:b/>
                      <w:bCs/>
                      <w:szCs w:val="21"/>
                      <w:u w:val="single"/>
                    </w:rPr>
                  </w:pPr>
                  <w:r>
                    <w:rPr>
                      <w:b/>
                      <w:bCs/>
                      <w:szCs w:val="21"/>
                      <w:u w:val="single"/>
                    </w:rPr>
                    <w:t>原辅材料名称</w:t>
                  </w:r>
                </w:p>
              </w:tc>
              <w:tc>
                <w:tcPr>
                  <w:tcW w:w="556" w:type="pct"/>
                  <w:vAlign w:val="center"/>
                </w:tcPr>
                <w:p>
                  <w:pPr>
                    <w:snapToGrid w:val="0"/>
                    <w:spacing w:line="360" w:lineRule="exact"/>
                    <w:jc w:val="center"/>
                    <w:rPr>
                      <w:b/>
                      <w:bCs/>
                      <w:szCs w:val="21"/>
                      <w:u w:val="single"/>
                    </w:rPr>
                  </w:pPr>
                  <w:r>
                    <w:rPr>
                      <w:rFonts w:hint="eastAsia"/>
                      <w:b/>
                      <w:bCs/>
                      <w:szCs w:val="21"/>
                      <w:u w:val="single"/>
                    </w:rPr>
                    <w:t>单位</w:t>
                  </w:r>
                </w:p>
              </w:tc>
              <w:tc>
                <w:tcPr>
                  <w:tcW w:w="766" w:type="pct"/>
                  <w:vAlign w:val="center"/>
                </w:tcPr>
                <w:p>
                  <w:pPr>
                    <w:snapToGrid w:val="0"/>
                    <w:spacing w:line="360" w:lineRule="exact"/>
                    <w:jc w:val="center"/>
                    <w:rPr>
                      <w:b/>
                      <w:bCs/>
                      <w:szCs w:val="21"/>
                      <w:u w:val="single"/>
                    </w:rPr>
                  </w:pPr>
                  <w:r>
                    <w:rPr>
                      <w:rFonts w:hint="eastAsia"/>
                      <w:b/>
                      <w:bCs/>
                      <w:szCs w:val="21"/>
                      <w:u w:val="single"/>
                    </w:rPr>
                    <w:t>现有工程消耗量</w:t>
                  </w:r>
                </w:p>
              </w:tc>
              <w:tc>
                <w:tcPr>
                  <w:tcW w:w="846" w:type="pct"/>
                </w:tcPr>
                <w:p>
                  <w:pPr>
                    <w:snapToGrid w:val="0"/>
                    <w:spacing w:line="360" w:lineRule="exact"/>
                    <w:jc w:val="center"/>
                    <w:rPr>
                      <w:b/>
                      <w:bCs/>
                      <w:szCs w:val="21"/>
                      <w:u w:val="single"/>
                    </w:rPr>
                  </w:pPr>
                  <w:r>
                    <w:rPr>
                      <w:rFonts w:hint="eastAsia"/>
                      <w:b/>
                      <w:bCs/>
                      <w:szCs w:val="21"/>
                      <w:u w:val="single"/>
                    </w:rPr>
                    <w:t>改扩建工程消耗量</w:t>
                  </w:r>
                </w:p>
              </w:tc>
              <w:tc>
                <w:tcPr>
                  <w:tcW w:w="846" w:type="pct"/>
                </w:tcPr>
                <w:p>
                  <w:pPr>
                    <w:snapToGrid w:val="0"/>
                    <w:spacing w:line="360" w:lineRule="exact"/>
                    <w:jc w:val="center"/>
                    <w:rPr>
                      <w:b/>
                      <w:bCs/>
                      <w:szCs w:val="21"/>
                      <w:u w:val="single"/>
                    </w:rPr>
                  </w:pPr>
                  <w:r>
                    <w:rPr>
                      <w:rFonts w:hint="eastAsia"/>
                      <w:b/>
                      <w:bCs/>
                      <w:szCs w:val="21"/>
                      <w:u w:val="single"/>
                    </w:rPr>
                    <w:t>改扩建后全厂消耗量</w:t>
                  </w:r>
                </w:p>
              </w:tc>
              <w:tc>
                <w:tcPr>
                  <w:tcW w:w="988" w:type="pct"/>
                  <w:vAlign w:val="center"/>
                </w:tcPr>
                <w:p>
                  <w:pPr>
                    <w:snapToGrid w:val="0"/>
                    <w:spacing w:line="360" w:lineRule="exact"/>
                    <w:jc w:val="center"/>
                    <w:rPr>
                      <w:b/>
                      <w:bCs/>
                      <w:szCs w:val="21"/>
                      <w:u w:val="single"/>
                    </w:rPr>
                  </w:pPr>
                  <w:r>
                    <w:rPr>
                      <w:b/>
                      <w:bCs/>
                      <w:szCs w:val="21"/>
                      <w:u w:val="singl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335" w:type="pct"/>
                  <w:vAlign w:val="center"/>
                </w:tcPr>
                <w:p>
                  <w:pPr>
                    <w:snapToGrid w:val="0"/>
                    <w:spacing w:line="360" w:lineRule="exact"/>
                    <w:jc w:val="center"/>
                    <w:rPr>
                      <w:b/>
                      <w:bCs/>
                      <w:szCs w:val="21"/>
                      <w:u w:val="single"/>
                    </w:rPr>
                  </w:pPr>
                  <w:r>
                    <w:rPr>
                      <w:b/>
                      <w:bCs/>
                      <w:szCs w:val="21"/>
                      <w:u w:val="single"/>
                    </w:rPr>
                    <w:t>1</w:t>
                  </w:r>
                </w:p>
              </w:tc>
              <w:tc>
                <w:tcPr>
                  <w:tcW w:w="664" w:type="pct"/>
                  <w:vAlign w:val="center"/>
                </w:tcPr>
                <w:p>
                  <w:pPr>
                    <w:snapToGrid w:val="0"/>
                    <w:spacing w:line="360" w:lineRule="exact"/>
                    <w:jc w:val="center"/>
                    <w:rPr>
                      <w:b/>
                      <w:bCs/>
                      <w:szCs w:val="21"/>
                      <w:u w:val="single"/>
                    </w:rPr>
                  </w:pPr>
                  <w:r>
                    <w:rPr>
                      <w:rFonts w:hint="eastAsia"/>
                      <w:b/>
                      <w:bCs/>
                      <w:szCs w:val="21"/>
                      <w:u w:val="single"/>
                    </w:rPr>
                    <w:t>缝纫线</w:t>
                  </w:r>
                </w:p>
              </w:tc>
              <w:tc>
                <w:tcPr>
                  <w:tcW w:w="556" w:type="pct"/>
                  <w:vAlign w:val="center"/>
                </w:tcPr>
                <w:p>
                  <w:pPr>
                    <w:snapToGrid w:val="0"/>
                    <w:spacing w:line="360" w:lineRule="exact"/>
                    <w:jc w:val="center"/>
                    <w:rPr>
                      <w:b/>
                      <w:bCs/>
                      <w:szCs w:val="21"/>
                      <w:u w:val="single"/>
                    </w:rPr>
                  </w:pPr>
                  <w:r>
                    <w:rPr>
                      <w:b/>
                      <w:bCs/>
                      <w:szCs w:val="21"/>
                      <w:u w:val="single"/>
                    </w:rPr>
                    <w:t>t/a</w:t>
                  </w:r>
                </w:p>
              </w:tc>
              <w:tc>
                <w:tcPr>
                  <w:tcW w:w="766" w:type="pct"/>
                  <w:vAlign w:val="center"/>
                </w:tcPr>
                <w:p>
                  <w:pPr>
                    <w:snapToGrid w:val="0"/>
                    <w:spacing w:line="360" w:lineRule="exact"/>
                    <w:jc w:val="center"/>
                    <w:rPr>
                      <w:b/>
                      <w:bCs/>
                      <w:szCs w:val="21"/>
                      <w:u w:val="single"/>
                    </w:rPr>
                  </w:pPr>
                  <w:r>
                    <w:rPr>
                      <w:rFonts w:hint="eastAsia"/>
                      <w:b/>
                      <w:bCs/>
                      <w:szCs w:val="21"/>
                      <w:u w:val="single"/>
                    </w:rPr>
                    <w:t>12.5</w:t>
                  </w:r>
                </w:p>
              </w:tc>
              <w:tc>
                <w:tcPr>
                  <w:tcW w:w="846" w:type="pct"/>
                </w:tcPr>
                <w:p>
                  <w:pPr>
                    <w:snapToGrid w:val="0"/>
                    <w:spacing w:line="360" w:lineRule="exact"/>
                    <w:jc w:val="center"/>
                    <w:rPr>
                      <w:b/>
                      <w:bCs/>
                      <w:szCs w:val="21"/>
                      <w:u w:val="single"/>
                    </w:rPr>
                  </w:pPr>
                  <w:r>
                    <w:rPr>
                      <w:rFonts w:hint="eastAsia"/>
                      <w:b/>
                      <w:bCs/>
                      <w:szCs w:val="21"/>
                      <w:u w:val="single"/>
                    </w:rPr>
                    <w:t>37.5</w:t>
                  </w:r>
                </w:p>
              </w:tc>
              <w:tc>
                <w:tcPr>
                  <w:tcW w:w="846" w:type="pct"/>
                </w:tcPr>
                <w:p>
                  <w:pPr>
                    <w:snapToGrid w:val="0"/>
                    <w:spacing w:line="360" w:lineRule="exact"/>
                    <w:jc w:val="center"/>
                    <w:rPr>
                      <w:b/>
                      <w:bCs/>
                      <w:szCs w:val="21"/>
                      <w:u w:val="single"/>
                    </w:rPr>
                  </w:pPr>
                  <w:r>
                    <w:rPr>
                      <w:rFonts w:hint="eastAsia"/>
                      <w:b/>
                      <w:bCs/>
                      <w:szCs w:val="21"/>
                      <w:u w:val="single"/>
                    </w:rPr>
                    <w:t>50</w:t>
                  </w:r>
                </w:p>
              </w:tc>
              <w:tc>
                <w:tcPr>
                  <w:tcW w:w="988" w:type="pct"/>
                  <w:vAlign w:val="center"/>
                </w:tcPr>
                <w:p>
                  <w:pPr>
                    <w:snapToGrid w:val="0"/>
                    <w:spacing w:line="360" w:lineRule="exact"/>
                    <w:jc w:val="center"/>
                    <w:rPr>
                      <w:b/>
                      <w:bCs/>
                      <w:szCs w:val="21"/>
                      <w:u w:val="single"/>
                    </w:rPr>
                  </w:pPr>
                  <w:r>
                    <w:rPr>
                      <w:rFonts w:hint="eastAsia"/>
                      <w:b/>
                      <w:bCs/>
                      <w:szCs w:val="21"/>
                      <w:u w:val="single"/>
                    </w:rPr>
                    <w:t>外购，缝纫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335" w:type="pct"/>
                  <w:vAlign w:val="center"/>
                </w:tcPr>
                <w:p>
                  <w:pPr>
                    <w:snapToGrid w:val="0"/>
                    <w:spacing w:line="360" w:lineRule="exact"/>
                    <w:jc w:val="center"/>
                    <w:rPr>
                      <w:b/>
                      <w:bCs/>
                      <w:szCs w:val="21"/>
                      <w:u w:val="single"/>
                    </w:rPr>
                  </w:pPr>
                  <w:r>
                    <w:rPr>
                      <w:rFonts w:hint="eastAsia"/>
                      <w:b/>
                      <w:bCs/>
                      <w:szCs w:val="21"/>
                      <w:u w:val="single"/>
                    </w:rPr>
                    <w:t>2</w:t>
                  </w:r>
                </w:p>
              </w:tc>
              <w:tc>
                <w:tcPr>
                  <w:tcW w:w="664" w:type="pct"/>
                  <w:vAlign w:val="center"/>
                </w:tcPr>
                <w:p>
                  <w:pPr>
                    <w:snapToGrid w:val="0"/>
                    <w:spacing w:line="360" w:lineRule="exact"/>
                    <w:jc w:val="center"/>
                    <w:rPr>
                      <w:b/>
                      <w:bCs/>
                      <w:szCs w:val="21"/>
                      <w:u w:val="single"/>
                    </w:rPr>
                  </w:pPr>
                  <w:r>
                    <w:rPr>
                      <w:rFonts w:hint="eastAsia"/>
                      <w:b/>
                      <w:bCs/>
                      <w:szCs w:val="21"/>
                      <w:u w:val="single"/>
                    </w:rPr>
                    <w:t>基布</w:t>
                  </w:r>
                </w:p>
              </w:tc>
              <w:tc>
                <w:tcPr>
                  <w:tcW w:w="556" w:type="pct"/>
                  <w:vAlign w:val="center"/>
                </w:tcPr>
                <w:p>
                  <w:pPr>
                    <w:snapToGrid w:val="0"/>
                    <w:spacing w:line="360" w:lineRule="exact"/>
                    <w:jc w:val="center"/>
                    <w:rPr>
                      <w:b/>
                      <w:bCs/>
                      <w:szCs w:val="21"/>
                      <w:u w:val="single"/>
                    </w:rPr>
                  </w:pPr>
                  <w:r>
                    <w:rPr>
                      <w:b/>
                      <w:bCs/>
                      <w:szCs w:val="21"/>
                      <w:u w:val="single"/>
                    </w:rPr>
                    <w:t>t/a</w:t>
                  </w:r>
                </w:p>
              </w:tc>
              <w:tc>
                <w:tcPr>
                  <w:tcW w:w="766" w:type="pct"/>
                  <w:vAlign w:val="center"/>
                </w:tcPr>
                <w:p>
                  <w:pPr>
                    <w:snapToGrid w:val="0"/>
                    <w:spacing w:line="360" w:lineRule="exact"/>
                    <w:jc w:val="center"/>
                    <w:rPr>
                      <w:b/>
                      <w:bCs/>
                      <w:szCs w:val="21"/>
                      <w:u w:val="single"/>
                    </w:rPr>
                  </w:pPr>
                  <w:r>
                    <w:rPr>
                      <w:rFonts w:hint="eastAsia"/>
                      <w:b/>
                      <w:bCs/>
                      <w:szCs w:val="21"/>
                      <w:u w:val="single"/>
                    </w:rPr>
                    <w:t>1375</w:t>
                  </w:r>
                </w:p>
              </w:tc>
              <w:tc>
                <w:tcPr>
                  <w:tcW w:w="846" w:type="pct"/>
                </w:tcPr>
                <w:p>
                  <w:pPr>
                    <w:snapToGrid w:val="0"/>
                    <w:spacing w:line="360" w:lineRule="exact"/>
                    <w:jc w:val="center"/>
                    <w:rPr>
                      <w:b/>
                      <w:bCs/>
                      <w:szCs w:val="21"/>
                      <w:u w:val="single"/>
                    </w:rPr>
                  </w:pPr>
                  <w:r>
                    <w:rPr>
                      <w:rFonts w:hint="eastAsia"/>
                      <w:b/>
                      <w:bCs/>
                      <w:szCs w:val="21"/>
                      <w:u w:val="single"/>
                    </w:rPr>
                    <w:t>4125</w:t>
                  </w:r>
                </w:p>
              </w:tc>
              <w:tc>
                <w:tcPr>
                  <w:tcW w:w="846" w:type="pct"/>
                </w:tcPr>
                <w:p>
                  <w:pPr>
                    <w:snapToGrid w:val="0"/>
                    <w:spacing w:line="360" w:lineRule="exact"/>
                    <w:jc w:val="center"/>
                    <w:rPr>
                      <w:b/>
                      <w:bCs/>
                      <w:szCs w:val="21"/>
                      <w:u w:val="single"/>
                    </w:rPr>
                  </w:pPr>
                  <w:r>
                    <w:rPr>
                      <w:rFonts w:hint="eastAsia"/>
                      <w:b/>
                      <w:bCs/>
                      <w:szCs w:val="21"/>
                      <w:u w:val="single"/>
                    </w:rPr>
                    <w:t>5500</w:t>
                  </w:r>
                </w:p>
              </w:tc>
              <w:tc>
                <w:tcPr>
                  <w:tcW w:w="988" w:type="pct"/>
                  <w:vAlign w:val="center"/>
                </w:tcPr>
                <w:p>
                  <w:pPr>
                    <w:snapToGrid w:val="0"/>
                    <w:spacing w:line="360" w:lineRule="exact"/>
                    <w:jc w:val="center"/>
                    <w:rPr>
                      <w:b/>
                      <w:bCs/>
                      <w:szCs w:val="21"/>
                      <w:highlight w:val="yellow"/>
                      <w:u w:val="single"/>
                    </w:rPr>
                  </w:pPr>
                  <w:r>
                    <w:rPr>
                      <w:rFonts w:hint="eastAsia"/>
                      <w:b/>
                      <w:bCs/>
                      <w:szCs w:val="21"/>
                      <w:u w:val="single"/>
                    </w:rPr>
                    <w:t>卷装，宽1.5-2.0m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335" w:type="pct"/>
                  <w:vAlign w:val="center"/>
                </w:tcPr>
                <w:p>
                  <w:pPr>
                    <w:snapToGrid w:val="0"/>
                    <w:spacing w:line="360" w:lineRule="exact"/>
                    <w:jc w:val="center"/>
                    <w:rPr>
                      <w:b/>
                      <w:bCs/>
                      <w:szCs w:val="21"/>
                      <w:u w:val="single"/>
                    </w:rPr>
                  </w:pPr>
                  <w:r>
                    <w:rPr>
                      <w:rFonts w:hint="eastAsia"/>
                      <w:b/>
                      <w:bCs/>
                      <w:szCs w:val="21"/>
                      <w:u w:val="single"/>
                    </w:rPr>
                    <w:t>3</w:t>
                  </w:r>
                </w:p>
              </w:tc>
              <w:tc>
                <w:tcPr>
                  <w:tcW w:w="664" w:type="pct"/>
                  <w:vAlign w:val="center"/>
                </w:tcPr>
                <w:p>
                  <w:pPr>
                    <w:snapToGrid w:val="0"/>
                    <w:spacing w:line="360" w:lineRule="exact"/>
                    <w:jc w:val="center"/>
                    <w:rPr>
                      <w:b/>
                      <w:bCs/>
                      <w:szCs w:val="21"/>
                      <w:u w:val="single"/>
                    </w:rPr>
                  </w:pPr>
                  <w:r>
                    <w:rPr>
                      <w:rFonts w:hint="eastAsia"/>
                      <w:b/>
                      <w:bCs/>
                      <w:szCs w:val="21"/>
                      <w:u w:val="single"/>
                    </w:rPr>
                    <w:t>吊带丝</w:t>
                  </w:r>
                </w:p>
              </w:tc>
              <w:tc>
                <w:tcPr>
                  <w:tcW w:w="556" w:type="pct"/>
                  <w:vAlign w:val="center"/>
                </w:tcPr>
                <w:p>
                  <w:pPr>
                    <w:snapToGrid w:val="0"/>
                    <w:spacing w:line="360" w:lineRule="exact"/>
                    <w:jc w:val="center"/>
                    <w:rPr>
                      <w:b/>
                      <w:bCs/>
                      <w:szCs w:val="21"/>
                      <w:u w:val="single"/>
                    </w:rPr>
                  </w:pPr>
                  <w:r>
                    <w:rPr>
                      <w:b/>
                      <w:bCs/>
                      <w:szCs w:val="21"/>
                      <w:u w:val="single"/>
                    </w:rPr>
                    <w:t>t/a</w:t>
                  </w:r>
                </w:p>
              </w:tc>
              <w:tc>
                <w:tcPr>
                  <w:tcW w:w="766" w:type="pct"/>
                  <w:vAlign w:val="center"/>
                </w:tcPr>
                <w:p>
                  <w:pPr>
                    <w:snapToGrid w:val="0"/>
                    <w:spacing w:line="360" w:lineRule="exact"/>
                    <w:jc w:val="center"/>
                    <w:rPr>
                      <w:b/>
                      <w:bCs/>
                      <w:szCs w:val="21"/>
                      <w:u w:val="single"/>
                    </w:rPr>
                  </w:pPr>
                  <w:r>
                    <w:rPr>
                      <w:rFonts w:hint="eastAsia"/>
                      <w:b/>
                      <w:bCs/>
                      <w:szCs w:val="21"/>
                      <w:u w:val="single"/>
                    </w:rPr>
                    <w:t>112.5</w:t>
                  </w:r>
                </w:p>
              </w:tc>
              <w:tc>
                <w:tcPr>
                  <w:tcW w:w="846" w:type="pct"/>
                </w:tcPr>
                <w:p>
                  <w:pPr>
                    <w:snapToGrid w:val="0"/>
                    <w:spacing w:line="360" w:lineRule="exact"/>
                    <w:jc w:val="center"/>
                    <w:rPr>
                      <w:b/>
                      <w:bCs/>
                      <w:szCs w:val="21"/>
                      <w:u w:val="single"/>
                    </w:rPr>
                  </w:pPr>
                  <w:r>
                    <w:rPr>
                      <w:rFonts w:hint="eastAsia"/>
                      <w:b/>
                      <w:bCs/>
                      <w:szCs w:val="21"/>
                      <w:u w:val="single"/>
                    </w:rPr>
                    <w:t>337.5</w:t>
                  </w:r>
                </w:p>
              </w:tc>
              <w:tc>
                <w:tcPr>
                  <w:tcW w:w="846" w:type="pct"/>
                </w:tcPr>
                <w:p>
                  <w:pPr>
                    <w:snapToGrid w:val="0"/>
                    <w:spacing w:line="360" w:lineRule="exact"/>
                    <w:jc w:val="center"/>
                    <w:rPr>
                      <w:b/>
                      <w:bCs/>
                      <w:szCs w:val="21"/>
                      <w:u w:val="single"/>
                    </w:rPr>
                  </w:pPr>
                  <w:r>
                    <w:rPr>
                      <w:rFonts w:hint="eastAsia"/>
                      <w:b/>
                      <w:bCs/>
                      <w:szCs w:val="21"/>
                      <w:u w:val="single"/>
                    </w:rPr>
                    <w:t>450</w:t>
                  </w:r>
                </w:p>
              </w:tc>
              <w:tc>
                <w:tcPr>
                  <w:tcW w:w="988" w:type="pct"/>
                  <w:vAlign w:val="center"/>
                </w:tcPr>
                <w:p>
                  <w:pPr>
                    <w:snapToGrid w:val="0"/>
                    <w:spacing w:line="360" w:lineRule="exact"/>
                    <w:jc w:val="center"/>
                    <w:rPr>
                      <w:b/>
                      <w:bCs/>
                      <w:szCs w:val="21"/>
                      <w:highlight w:val="yellow"/>
                      <w:u w:val="single"/>
                    </w:rPr>
                  </w:pPr>
                  <w:r>
                    <w:rPr>
                      <w:rFonts w:hint="eastAsia"/>
                      <w:b/>
                      <w:bCs/>
                      <w:szCs w:val="21"/>
                      <w:u w:val="single"/>
                    </w:rPr>
                    <w:t>外购，用于编织吊带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335" w:type="pct"/>
                  <w:vAlign w:val="center"/>
                </w:tcPr>
                <w:p>
                  <w:pPr>
                    <w:snapToGrid w:val="0"/>
                    <w:spacing w:line="360" w:lineRule="exact"/>
                    <w:jc w:val="center"/>
                    <w:rPr>
                      <w:b/>
                      <w:bCs/>
                      <w:szCs w:val="21"/>
                      <w:u w:val="single"/>
                    </w:rPr>
                  </w:pPr>
                  <w:r>
                    <w:rPr>
                      <w:rFonts w:hint="eastAsia"/>
                      <w:b/>
                      <w:bCs/>
                      <w:szCs w:val="21"/>
                      <w:u w:val="single"/>
                    </w:rPr>
                    <w:t>4</w:t>
                  </w:r>
                </w:p>
              </w:tc>
              <w:tc>
                <w:tcPr>
                  <w:tcW w:w="664" w:type="pct"/>
                  <w:vAlign w:val="center"/>
                </w:tcPr>
                <w:p>
                  <w:pPr>
                    <w:snapToGrid w:val="0"/>
                    <w:spacing w:line="360" w:lineRule="exact"/>
                    <w:jc w:val="center"/>
                    <w:rPr>
                      <w:b/>
                      <w:bCs/>
                      <w:szCs w:val="21"/>
                      <w:u w:val="single"/>
                    </w:rPr>
                  </w:pPr>
                  <w:r>
                    <w:rPr>
                      <w:rFonts w:hint="eastAsia"/>
                      <w:b/>
                      <w:bCs/>
                      <w:szCs w:val="21"/>
                      <w:u w:val="single"/>
                    </w:rPr>
                    <w:t>水性油墨</w:t>
                  </w:r>
                </w:p>
              </w:tc>
              <w:tc>
                <w:tcPr>
                  <w:tcW w:w="556" w:type="pct"/>
                  <w:vAlign w:val="center"/>
                </w:tcPr>
                <w:p>
                  <w:pPr>
                    <w:snapToGrid w:val="0"/>
                    <w:spacing w:line="360" w:lineRule="exact"/>
                    <w:jc w:val="center"/>
                    <w:rPr>
                      <w:b/>
                      <w:bCs/>
                      <w:szCs w:val="21"/>
                      <w:u w:val="single"/>
                    </w:rPr>
                  </w:pPr>
                  <w:r>
                    <w:rPr>
                      <w:b/>
                      <w:bCs/>
                      <w:szCs w:val="21"/>
                      <w:u w:val="single"/>
                    </w:rPr>
                    <w:t>t/a</w:t>
                  </w:r>
                </w:p>
              </w:tc>
              <w:tc>
                <w:tcPr>
                  <w:tcW w:w="766" w:type="pct"/>
                  <w:vAlign w:val="center"/>
                </w:tcPr>
                <w:p>
                  <w:pPr>
                    <w:snapToGrid w:val="0"/>
                    <w:spacing w:line="360" w:lineRule="exact"/>
                    <w:jc w:val="center"/>
                    <w:rPr>
                      <w:b/>
                      <w:bCs/>
                      <w:szCs w:val="21"/>
                      <w:u w:val="single"/>
                    </w:rPr>
                  </w:pPr>
                  <w:r>
                    <w:rPr>
                      <w:rFonts w:hint="eastAsia"/>
                      <w:b/>
                      <w:bCs/>
                      <w:szCs w:val="21"/>
                      <w:u w:val="single"/>
                    </w:rPr>
                    <w:t>0</w:t>
                  </w:r>
                </w:p>
              </w:tc>
              <w:tc>
                <w:tcPr>
                  <w:tcW w:w="846" w:type="pct"/>
                </w:tcPr>
                <w:p>
                  <w:pPr>
                    <w:spacing w:line="360" w:lineRule="exact"/>
                    <w:jc w:val="center"/>
                    <w:rPr>
                      <w:b/>
                      <w:bCs/>
                      <w:szCs w:val="21"/>
                      <w:u w:val="single"/>
                    </w:rPr>
                  </w:pPr>
                  <w:r>
                    <w:rPr>
                      <w:rFonts w:hint="eastAsia"/>
                      <w:b/>
                      <w:bCs/>
                      <w:szCs w:val="21"/>
                      <w:u w:val="single"/>
                    </w:rPr>
                    <w:t>0.5</w:t>
                  </w:r>
                </w:p>
              </w:tc>
              <w:tc>
                <w:tcPr>
                  <w:tcW w:w="846" w:type="pct"/>
                </w:tcPr>
                <w:p>
                  <w:pPr>
                    <w:snapToGrid w:val="0"/>
                    <w:spacing w:line="360" w:lineRule="exact"/>
                    <w:jc w:val="center"/>
                    <w:rPr>
                      <w:b/>
                      <w:bCs/>
                      <w:szCs w:val="21"/>
                      <w:u w:val="single"/>
                    </w:rPr>
                  </w:pPr>
                  <w:r>
                    <w:rPr>
                      <w:rFonts w:hint="eastAsia"/>
                      <w:b/>
                      <w:bCs/>
                      <w:szCs w:val="21"/>
                      <w:u w:val="single"/>
                    </w:rPr>
                    <w:t>0.5</w:t>
                  </w:r>
                </w:p>
              </w:tc>
              <w:tc>
                <w:tcPr>
                  <w:tcW w:w="988" w:type="pct"/>
                  <w:vAlign w:val="center"/>
                </w:tcPr>
                <w:p>
                  <w:pPr>
                    <w:snapToGrid w:val="0"/>
                    <w:spacing w:line="360" w:lineRule="exact"/>
                    <w:jc w:val="center"/>
                    <w:rPr>
                      <w:b/>
                      <w:bCs/>
                      <w:szCs w:val="21"/>
                      <w:highlight w:val="yellow"/>
                      <w:u w:val="single"/>
                    </w:rPr>
                  </w:pPr>
                  <w:r>
                    <w:rPr>
                      <w:rFonts w:hint="eastAsia"/>
                      <w:b/>
                      <w:bCs/>
                      <w:szCs w:val="21"/>
                      <w:u w:val="single"/>
                    </w:rPr>
                    <w:t>用于印刷，2</w:t>
                  </w:r>
                  <w:r>
                    <w:rPr>
                      <w:b/>
                      <w:bCs/>
                      <w:szCs w:val="21"/>
                      <w:u w:val="single"/>
                    </w:rPr>
                    <w:t>5kg/</w:t>
                  </w:r>
                  <w:r>
                    <w:rPr>
                      <w:rFonts w:hint="eastAsia"/>
                      <w:b/>
                      <w:bCs/>
                      <w:szCs w:val="21"/>
                      <w:u w:val="single"/>
                    </w:rPr>
                    <w:t>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335" w:type="pct"/>
                  <w:vAlign w:val="center"/>
                </w:tcPr>
                <w:p>
                  <w:pPr>
                    <w:snapToGrid w:val="0"/>
                    <w:spacing w:line="360" w:lineRule="exact"/>
                    <w:jc w:val="center"/>
                    <w:rPr>
                      <w:b/>
                      <w:bCs/>
                      <w:szCs w:val="21"/>
                      <w:u w:val="single"/>
                    </w:rPr>
                  </w:pPr>
                  <w:r>
                    <w:rPr>
                      <w:rFonts w:hint="eastAsia"/>
                      <w:b/>
                      <w:bCs/>
                      <w:szCs w:val="21"/>
                      <w:u w:val="single"/>
                    </w:rPr>
                    <w:t>5</w:t>
                  </w:r>
                </w:p>
              </w:tc>
              <w:tc>
                <w:tcPr>
                  <w:tcW w:w="664" w:type="pct"/>
                  <w:vAlign w:val="center"/>
                </w:tcPr>
                <w:p>
                  <w:pPr>
                    <w:snapToGrid w:val="0"/>
                    <w:spacing w:line="360" w:lineRule="exact"/>
                    <w:jc w:val="center"/>
                    <w:rPr>
                      <w:b/>
                      <w:bCs/>
                      <w:szCs w:val="21"/>
                      <w:u w:val="single"/>
                    </w:rPr>
                  </w:pPr>
                  <w:r>
                    <w:rPr>
                      <w:rFonts w:hint="eastAsia"/>
                      <w:b/>
                      <w:bCs/>
                      <w:szCs w:val="21"/>
                      <w:u w:val="single"/>
                    </w:rPr>
                    <w:t>液压油</w:t>
                  </w:r>
                </w:p>
              </w:tc>
              <w:tc>
                <w:tcPr>
                  <w:tcW w:w="556" w:type="pct"/>
                  <w:vAlign w:val="center"/>
                </w:tcPr>
                <w:p>
                  <w:pPr>
                    <w:spacing w:line="360" w:lineRule="exact"/>
                    <w:jc w:val="center"/>
                    <w:rPr>
                      <w:b/>
                      <w:bCs/>
                      <w:szCs w:val="21"/>
                      <w:u w:val="single"/>
                    </w:rPr>
                  </w:pPr>
                  <w:r>
                    <w:rPr>
                      <w:b/>
                      <w:bCs/>
                      <w:szCs w:val="21"/>
                      <w:u w:val="single"/>
                    </w:rPr>
                    <w:t>t/a</w:t>
                  </w:r>
                </w:p>
              </w:tc>
              <w:tc>
                <w:tcPr>
                  <w:tcW w:w="766" w:type="pct"/>
                  <w:vAlign w:val="center"/>
                </w:tcPr>
                <w:p>
                  <w:pPr>
                    <w:spacing w:line="360" w:lineRule="exact"/>
                    <w:jc w:val="center"/>
                    <w:rPr>
                      <w:b/>
                      <w:bCs/>
                      <w:szCs w:val="21"/>
                      <w:u w:val="single"/>
                    </w:rPr>
                  </w:pPr>
                  <w:r>
                    <w:rPr>
                      <w:rFonts w:hint="eastAsia"/>
                      <w:b/>
                      <w:bCs/>
                      <w:szCs w:val="21"/>
                      <w:u w:val="single"/>
                    </w:rPr>
                    <w:t>0.12</w:t>
                  </w:r>
                </w:p>
              </w:tc>
              <w:tc>
                <w:tcPr>
                  <w:tcW w:w="846" w:type="pct"/>
                </w:tcPr>
                <w:p>
                  <w:pPr>
                    <w:snapToGrid w:val="0"/>
                    <w:spacing w:line="360" w:lineRule="exact"/>
                    <w:jc w:val="center"/>
                    <w:rPr>
                      <w:b/>
                      <w:bCs/>
                      <w:szCs w:val="21"/>
                      <w:u w:val="single"/>
                    </w:rPr>
                  </w:pPr>
                  <w:r>
                    <w:rPr>
                      <w:rFonts w:hint="eastAsia"/>
                      <w:b/>
                      <w:bCs/>
                      <w:szCs w:val="21"/>
                      <w:u w:val="single"/>
                    </w:rPr>
                    <w:t>0.1</w:t>
                  </w:r>
                </w:p>
              </w:tc>
              <w:tc>
                <w:tcPr>
                  <w:tcW w:w="846" w:type="pct"/>
                </w:tcPr>
                <w:p>
                  <w:pPr>
                    <w:snapToGrid w:val="0"/>
                    <w:spacing w:line="360" w:lineRule="exact"/>
                    <w:jc w:val="center"/>
                    <w:rPr>
                      <w:b/>
                      <w:bCs/>
                      <w:szCs w:val="21"/>
                      <w:u w:val="single"/>
                    </w:rPr>
                  </w:pPr>
                  <w:r>
                    <w:rPr>
                      <w:rFonts w:hint="eastAsia"/>
                      <w:b/>
                      <w:bCs/>
                      <w:szCs w:val="21"/>
                      <w:u w:val="single"/>
                    </w:rPr>
                    <w:t>0.22</w:t>
                  </w:r>
                </w:p>
              </w:tc>
              <w:tc>
                <w:tcPr>
                  <w:tcW w:w="988" w:type="pct"/>
                  <w:vAlign w:val="center"/>
                </w:tcPr>
                <w:p>
                  <w:pPr>
                    <w:snapToGrid w:val="0"/>
                    <w:spacing w:line="360" w:lineRule="exact"/>
                    <w:jc w:val="center"/>
                    <w:rPr>
                      <w:b/>
                      <w:bCs/>
                      <w:szCs w:val="21"/>
                      <w:highlight w:val="yellow"/>
                      <w:u w:val="single"/>
                    </w:rPr>
                  </w:pPr>
                  <w:r>
                    <w:rPr>
                      <w:rFonts w:hint="eastAsia"/>
                      <w:b/>
                      <w:bCs/>
                      <w:szCs w:val="21"/>
                      <w:u w:val="single"/>
                    </w:rPr>
                    <w:t>外购，200kg/桶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335" w:type="pct"/>
                  <w:vAlign w:val="center"/>
                </w:tcPr>
                <w:p>
                  <w:pPr>
                    <w:snapToGrid w:val="0"/>
                    <w:spacing w:line="360" w:lineRule="exact"/>
                    <w:jc w:val="center"/>
                    <w:rPr>
                      <w:b/>
                      <w:bCs/>
                      <w:szCs w:val="21"/>
                      <w:u w:val="single"/>
                    </w:rPr>
                  </w:pPr>
                  <w:r>
                    <w:rPr>
                      <w:rFonts w:hint="eastAsia"/>
                      <w:b/>
                      <w:bCs/>
                      <w:szCs w:val="21"/>
                      <w:u w:val="single"/>
                    </w:rPr>
                    <w:t>6</w:t>
                  </w:r>
                </w:p>
              </w:tc>
              <w:tc>
                <w:tcPr>
                  <w:tcW w:w="664" w:type="pct"/>
                  <w:vAlign w:val="center"/>
                </w:tcPr>
                <w:p>
                  <w:pPr>
                    <w:snapToGrid w:val="0"/>
                    <w:spacing w:line="360" w:lineRule="exact"/>
                    <w:jc w:val="center"/>
                    <w:rPr>
                      <w:b/>
                      <w:bCs/>
                      <w:szCs w:val="21"/>
                      <w:u w:val="single"/>
                    </w:rPr>
                  </w:pPr>
                  <w:r>
                    <w:rPr>
                      <w:rFonts w:hint="eastAsia"/>
                      <w:b/>
                      <w:bCs/>
                      <w:szCs w:val="21"/>
                      <w:u w:val="single"/>
                    </w:rPr>
                    <w:t>水</w:t>
                  </w:r>
                </w:p>
              </w:tc>
              <w:tc>
                <w:tcPr>
                  <w:tcW w:w="556" w:type="pct"/>
                  <w:vAlign w:val="center"/>
                </w:tcPr>
                <w:p>
                  <w:pPr>
                    <w:spacing w:line="360" w:lineRule="exact"/>
                    <w:jc w:val="center"/>
                    <w:rPr>
                      <w:b/>
                      <w:bCs/>
                      <w:szCs w:val="21"/>
                      <w:u w:val="single"/>
                    </w:rPr>
                  </w:pPr>
                  <w:r>
                    <w:rPr>
                      <w:rFonts w:hint="eastAsia"/>
                      <w:b/>
                      <w:bCs/>
                      <w:szCs w:val="21"/>
                      <w:u w:val="single"/>
                    </w:rPr>
                    <w:t>m</w:t>
                  </w:r>
                  <w:r>
                    <w:rPr>
                      <w:rFonts w:hint="eastAsia"/>
                      <w:b/>
                      <w:bCs/>
                      <w:szCs w:val="21"/>
                      <w:u w:val="single"/>
                      <w:vertAlign w:val="superscript"/>
                    </w:rPr>
                    <w:t>3</w:t>
                  </w:r>
                  <w:r>
                    <w:rPr>
                      <w:rFonts w:hint="eastAsia"/>
                      <w:b/>
                      <w:bCs/>
                      <w:szCs w:val="21"/>
                      <w:u w:val="single"/>
                    </w:rPr>
                    <w:t>/a</w:t>
                  </w:r>
                </w:p>
              </w:tc>
              <w:tc>
                <w:tcPr>
                  <w:tcW w:w="766" w:type="pct"/>
                  <w:vAlign w:val="center"/>
                </w:tcPr>
                <w:p>
                  <w:pPr>
                    <w:spacing w:line="360" w:lineRule="exact"/>
                    <w:jc w:val="center"/>
                    <w:rPr>
                      <w:b/>
                      <w:bCs/>
                      <w:szCs w:val="21"/>
                      <w:u w:val="single"/>
                    </w:rPr>
                  </w:pPr>
                  <w:r>
                    <w:rPr>
                      <w:rFonts w:hint="eastAsia"/>
                      <w:b/>
                      <w:bCs/>
                      <w:szCs w:val="21"/>
                      <w:u w:val="single"/>
                    </w:rPr>
                    <w:t>160</w:t>
                  </w:r>
                </w:p>
              </w:tc>
              <w:tc>
                <w:tcPr>
                  <w:tcW w:w="846" w:type="pct"/>
                </w:tcPr>
                <w:p>
                  <w:pPr>
                    <w:snapToGrid w:val="0"/>
                    <w:spacing w:line="360" w:lineRule="exact"/>
                    <w:jc w:val="center"/>
                    <w:rPr>
                      <w:b/>
                      <w:bCs/>
                      <w:szCs w:val="21"/>
                      <w:u w:val="single"/>
                    </w:rPr>
                  </w:pPr>
                  <w:r>
                    <w:rPr>
                      <w:rFonts w:hint="eastAsia"/>
                      <w:b/>
                      <w:bCs/>
                      <w:szCs w:val="21"/>
                      <w:u w:val="single"/>
                    </w:rPr>
                    <w:t>480</w:t>
                  </w:r>
                </w:p>
              </w:tc>
              <w:tc>
                <w:tcPr>
                  <w:tcW w:w="846" w:type="pct"/>
                </w:tcPr>
                <w:p>
                  <w:pPr>
                    <w:snapToGrid w:val="0"/>
                    <w:spacing w:line="360" w:lineRule="exact"/>
                    <w:jc w:val="center"/>
                    <w:rPr>
                      <w:b/>
                      <w:bCs/>
                      <w:szCs w:val="21"/>
                      <w:u w:val="single"/>
                    </w:rPr>
                  </w:pPr>
                  <w:r>
                    <w:rPr>
                      <w:rFonts w:hint="eastAsia"/>
                      <w:b/>
                      <w:bCs/>
                      <w:szCs w:val="21"/>
                      <w:u w:val="single"/>
                    </w:rPr>
                    <w:t>640</w:t>
                  </w:r>
                </w:p>
              </w:tc>
              <w:tc>
                <w:tcPr>
                  <w:tcW w:w="988" w:type="pct"/>
                  <w:vAlign w:val="center"/>
                </w:tcPr>
                <w:p>
                  <w:pPr>
                    <w:snapToGrid w:val="0"/>
                    <w:spacing w:line="360" w:lineRule="exact"/>
                    <w:jc w:val="center"/>
                    <w:rPr>
                      <w:b/>
                      <w:bCs/>
                      <w:szCs w:val="21"/>
                      <w:u w:val="single"/>
                    </w:rPr>
                  </w:pPr>
                  <w:r>
                    <w:rPr>
                      <w:rFonts w:hint="eastAsia"/>
                      <w:b/>
                      <w:bCs/>
                      <w:szCs w:val="21"/>
                      <w:u w:val="single"/>
                    </w:rPr>
                    <w:t>岳滩镇自来水供应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335" w:type="pct"/>
                  <w:vAlign w:val="center"/>
                </w:tcPr>
                <w:p>
                  <w:pPr>
                    <w:snapToGrid w:val="0"/>
                    <w:spacing w:line="360" w:lineRule="exact"/>
                    <w:jc w:val="center"/>
                    <w:rPr>
                      <w:b/>
                      <w:bCs/>
                      <w:szCs w:val="21"/>
                      <w:u w:val="single"/>
                    </w:rPr>
                  </w:pPr>
                  <w:r>
                    <w:rPr>
                      <w:rFonts w:hint="eastAsia"/>
                      <w:b/>
                      <w:bCs/>
                      <w:szCs w:val="21"/>
                      <w:u w:val="single"/>
                    </w:rPr>
                    <w:t>7</w:t>
                  </w:r>
                </w:p>
              </w:tc>
              <w:tc>
                <w:tcPr>
                  <w:tcW w:w="664" w:type="pct"/>
                  <w:vAlign w:val="center"/>
                </w:tcPr>
                <w:p>
                  <w:pPr>
                    <w:spacing w:line="360" w:lineRule="exact"/>
                    <w:jc w:val="center"/>
                    <w:rPr>
                      <w:b/>
                      <w:bCs/>
                      <w:szCs w:val="21"/>
                      <w:u w:val="single"/>
                    </w:rPr>
                  </w:pPr>
                  <w:r>
                    <w:rPr>
                      <w:rFonts w:hint="eastAsia"/>
                      <w:b/>
                      <w:bCs/>
                      <w:szCs w:val="21"/>
                      <w:u w:val="single"/>
                    </w:rPr>
                    <w:t>电</w:t>
                  </w:r>
                </w:p>
              </w:tc>
              <w:tc>
                <w:tcPr>
                  <w:tcW w:w="556" w:type="pct"/>
                  <w:vAlign w:val="center"/>
                </w:tcPr>
                <w:p>
                  <w:pPr>
                    <w:spacing w:line="360" w:lineRule="exact"/>
                    <w:jc w:val="center"/>
                    <w:rPr>
                      <w:b/>
                      <w:bCs/>
                      <w:szCs w:val="21"/>
                      <w:u w:val="single"/>
                    </w:rPr>
                  </w:pPr>
                  <w:r>
                    <w:rPr>
                      <w:rFonts w:hint="eastAsia"/>
                      <w:b/>
                      <w:bCs/>
                      <w:szCs w:val="21"/>
                      <w:u w:val="single"/>
                    </w:rPr>
                    <w:t>万</w:t>
                  </w:r>
                  <w:r>
                    <w:rPr>
                      <w:b/>
                      <w:szCs w:val="21"/>
                      <w:u w:val="single"/>
                    </w:rPr>
                    <w:t>kW·h/a</w:t>
                  </w:r>
                </w:p>
              </w:tc>
              <w:tc>
                <w:tcPr>
                  <w:tcW w:w="766" w:type="pct"/>
                  <w:vAlign w:val="center"/>
                </w:tcPr>
                <w:p>
                  <w:pPr>
                    <w:spacing w:line="360" w:lineRule="exact"/>
                    <w:jc w:val="center"/>
                    <w:rPr>
                      <w:b/>
                      <w:bCs/>
                      <w:szCs w:val="21"/>
                      <w:u w:val="single"/>
                    </w:rPr>
                  </w:pPr>
                  <w:r>
                    <w:rPr>
                      <w:rFonts w:hint="eastAsia"/>
                      <w:b/>
                      <w:bCs/>
                      <w:szCs w:val="21"/>
                      <w:u w:val="single"/>
                    </w:rPr>
                    <w:t>1.0</w:t>
                  </w:r>
                </w:p>
              </w:tc>
              <w:tc>
                <w:tcPr>
                  <w:tcW w:w="846" w:type="pct"/>
                </w:tcPr>
                <w:p>
                  <w:pPr>
                    <w:snapToGrid w:val="0"/>
                    <w:spacing w:line="360" w:lineRule="exact"/>
                    <w:jc w:val="center"/>
                    <w:rPr>
                      <w:b/>
                      <w:bCs/>
                      <w:szCs w:val="21"/>
                      <w:u w:val="single"/>
                    </w:rPr>
                  </w:pPr>
                  <w:r>
                    <w:rPr>
                      <w:rFonts w:hint="eastAsia"/>
                      <w:b/>
                      <w:bCs/>
                      <w:szCs w:val="21"/>
                      <w:u w:val="single"/>
                    </w:rPr>
                    <w:t>2.5</w:t>
                  </w:r>
                </w:p>
              </w:tc>
              <w:tc>
                <w:tcPr>
                  <w:tcW w:w="846" w:type="pct"/>
                </w:tcPr>
                <w:p>
                  <w:pPr>
                    <w:snapToGrid w:val="0"/>
                    <w:spacing w:line="360" w:lineRule="exact"/>
                    <w:jc w:val="center"/>
                    <w:rPr>
                      <w:b/>
                      <w:bCs/>
                      <w:szCs w:val="21"/>
                      <w:u w:val="single"/>
                    </w:rPr>
                  </w:pPr>
                  <w:r>
                    <w:rPr>
                      <w:rFonts w:hint="eastAsia"/>
                      <w:b/>
                      <w:bCs/>
                      <w:szCs w:val="21"/>
                      <w:u w:val="single"/>
                    </w:rPr>
                    <w:t>3.5</w:t>
                  </w:r>
                </w:p>
              </w:tc>
              <w:tc>
                <w:tcPr>
                  <w:tcW w:w="988" w:type="pct"/>
                  <w:vAlign w:val="center"/>
                </w:tcPr>
                <w:p>
                  <w:pPr>
                    <w:snapToGrid w:val="0"/>
                    <w:spacing w:line="360" w:lineRule="exact"/>
                    <w:jc w:val="center"/>
                    <w:rPr>
                      <w:b/>
                      <w:bCs/>
                      <w:szCs w:val="21"/>
                      <w:u w:val="single"/>
                    </w:rPr>
                  </w:pPr>
                  <w:r>
                    <w:rPr>
                      <w:rFonts w:hint="eastAsia"/>
                      <w:b/>
                      <w:bCs/>
                      <w:szCs w:val="21"/>
                      <w:u w:val="single"/>
                    </w:rPr>
                    <w:t>岳滩镇电网供应</w:t>
                  </w:r>
                </w:p>
              </w:tc>
            </w:tr>
          </w:tbl>
          <w:p>
            <w:pPr>
              <w:tabs>
                <w:tab w:val="left" w:pos="3780"/>
              </w:tabs>
              <w:spacing w:line="500" w:lineRule="exact"/>
              <w:ind w:firstLine="480" w:firstLineChars="200"/>
            </w:pPr>
            <w:r>
              <w:rPr>
                <w:sz w:val="24"/>
              </w:rPr>
              <w:t>水性油墨：项目采用水性油墨，水性油墨为液体，沸点100</w:t>
            </w:r>
            <w:r>
              <w:rPr>
                <w:rFonts w:hint="eastAsia" w:ascii="宋体" w:hAnsi="宋体" w:cs="宋体"/>
                <w:sz w:val="24"/>
              </w:rPr>
              <w:t>℃</w:t>
            </w:r>
            <w:r>
              <w:rPr>
                <w:sz w:val="24"/>
              </w:rPr>
              <w:t>，可溶于水，pH为8.5，比重（水=1）为1.2，产生极少量挥发生有机气体，它主要由水溶性树脂、</w:t>
            </w:r>
            <w:r>
              <w:fldChar w:fldCharType="begin"/>
            </w:r>
            <w:r>
              <w:instrText xml:space="preserve"> HYPERLINK "https://baike.baidu.com/item/%E6%9C%89%E6%9C%BA%E9%A2%9C%E6%96%99/10677771" \t "_blank" </w:instrText>
            </w:r>
            <w:r>
              <w:fldChar w:fldCharType="separate"/>
            </w:r>
            <w:r>
              <w:rPr>
                <w:sz w:val="24"/>
              </w:rPr>
              <w:t>有机颜料</w:t>
            </w:r>
            <w:r>
              <w:rPr>
                <w:sz w:val="24"/>
              </w:rPr>
              <w:fldChar w:fldCharType="end"/>
            </w:r>
            <w:r>
              <w:rPr>
                <w:sz w:val="24"/>
              </w:rPr>
              <w:t>、溶剂及相关助剂经复合研磨加工而成。水性油墨特别适用于烟、酒、食品、饮料、药品、儿童玩具等卫生条件要求严格的</w:t>
            </w:r>
            <w:r>
              <w:fldChar w:fldCharType="begin"/>
            </w:r>
            <w:r>
              <w:instrText xml:space="preserve"> HYPERLINK "https://baike.baidu.com/item/%E5%8C%85%E8%A3%85%E5%8D%B0%E5%88%B7/6516573" \t "_blank" </w:instrText>
            </w:r>
            <w:r>
              <w:fldChar w:fldCharType="separate"/>
            </w:r>
            <w:r>
              <w:rPr>
                <w:sz w:val="24"/>
              </w:rPr>
              <w:t>包装印刷</w:t>
            </w:r>
            <w:r>
              <w:rPr>
                <w:sz w:val="24"/>
              </w:rPr>
              <w:fldChar w:fldCharType="end"/>
            </w:r>
            <w:r>
              <w:rPr>
                <w:sz w:val="24"/>
              </w:rPr>
              <w:t>产品。</w:t>
            </w:r>
            <w:r>
              <w:rPr>
                <w:rFonts w:hint="eastAsia"/>
                <w:sz w:val="24"/>
              </w:rPr>
              <w:t>本项目水性油墨丙烯酸树脂34%，乙醇6%，苯丙烯-丙烯酸共聚乳液30%，颜料12%，丙二醇丁醚4%，水14%。挥发性物质（乙醇、丙二醇丁醚）合计10%，符合《油墨中可挥发性有机化合物（VOCs）含量的限值》（GB38507-2020）中水性油墨-凹性油墨挥发性有机物（VOCs）限值≤15%的标准。</w:t>
            </w:r>
            <w:r>
              <w:rPr>
                <w:rFonts w:hAnsi="宋体"/>
                <w:spacing w:val="10"/>
                <w:sz w:val="24"/>
              </w:rPr>
              <w:t>危险货物编号：</w:t>
            </w:r>
            <w:r>
              <w:rPr>
                <w:sz w:val="24"/>
              </w:rPr>
              <w:t>32199</w:t>
            </w:r>
            <w:r>
              <w:rPr>
                <w:rFonts w:hAnsi="宋体"/>
                <w:sz w:val="24"/>
              </w:rPr>
              <w:t>，</w:t>
            </w:r>
            <w:r>
              <w:rPr>
                <w:rFonts w:hAnsi="宋体"/>
                <w:spacing w:val="10"/>
                <w:sz w:val="24"/>
              </w:rPr>
              <w:t>易燃，</w:t>
            </w:r>
          </w:p>
        </w:tc>
      </w:tr>
    </w:tbl>
    <w:p>
      <w:pPr>
        <w:pStyle w:val="19"/>
        <w:adjustRightInd w:val="0"/>
        <w:snapToGrid w:val="0"/>
        <w:spacing w:before="0" w:beforeAutospacing="0" w:after="0" w:afterAutospacing="0"/>
        <w:jc w:val="center"/>
        <w:rPr>
          <w:rFonts w:cs="宋体"/>
          <w:sz w:val="21"/>
          <w:szCs w:val="21"/>
        </w:rPr>
        <w:sectPr>
          <w:pgSz w:w="16838" w:h="11906" w:orient="landscape"/>
          <w:pgMar w:top="1531" w:right="1701" w:bottom="1531" w:left="1701" w:header="851" w:footer="851" w:gutter="0"/>
          <w:cols w:space="720" w:num="1"/>
          <w:docGrid w:linePitch="312" w:charSpace="0"/>
        </w:sectPr>
      </w:pP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6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26" w:type="dxa"/>
            <w:vAlign w:val="center"/>
          </w:tcPr>
          <w:p>
            <w:pPr>
              <w:pStyle w:val="19"/>
              <w:adjustRightInd w:val="0"/>
              <w:snapToGrid w:val="0"/>
              <w:spacing w:before="0" w:beforeAutospacing="0" w:after="0" w:afterAutospacing="0"/>
              <w:jc w:val="center"/>
              <w:rPr>
                <w:rFonts w:cs="宋体"/>
                <w:sz w:val="21"/>
                <w:szCs w:val="21"/>
              </w:rPr>
            </w:pPr>
          </w:p>
        </w:tc>
        <w:tc>
          <w:tcPr>
            <w:tcW w:w="8634" w:type="dxa"/>
          </w:tcPr>
          <w:p>
            <w:pPr>
              <w:pStyle w:val="91"/>
              <w:rPr>
                <w:rFonts w:eastAsia="宋体"/>
                <w:b w:val="0"/>
                <w:color w:val="auto"/>
              </w:rPr>
            </w:pPr>
            <w:r>
              <w:rPr>
                <w:rFonts w:hint="eastAsia" w:eastAsia="宋体"/>
                <w:b w:val="0"/>
                <w:color w:val="auto"/>
              </w:rPr>
              <w:t>闪点：小于23℃，遇高热、明火、氧化剂有引起燃烧的危险。</w:t>
            </w:r>
          </w:p>
          <w:p>
            <w:pPr>
              <w:pStyle w:val="91"/>
              <w:rPr>
                <w:color w:val="auto"/>
              </w:rPr>
            </w:pPr>
            <w:r>
              <w:rPr>
                <w:color w:val="auto"/>
              </w:rPr>
              <w:t>8. 用地及规划</w:t>
            </w:r>
          </w:p>
          <w:p>
            <w:pPr>
              <w:pStyle w:val="99"/>
              <w:ind w:firstLine="480"/>
            </w:pPr>
            <w:r>
              <w:t>根据</w:t>
            </w:r>
            <w:r>
              <w:rPr>
                <w:rFonts w:hint="eastAsia"/>
              </w:rPr>
              <w:t>房东的不动产证（豫（2019）偃师市不动产权第0000394号）（见附件4），</w:t>
            </w:r>
            <w:r>
              <w:t>本项目用地为工业用地</w:t>
            </w:r>
            <w:r>
              <w:rPr>
                <w:rFonts w:hint="eastAsia"/>
              </w:rPr>
              <w:t>。</w:t>
            </w:r>
          </w:p>
          <w:p>
            <w:pPr>
              <w:pStyle w:val="99"/>
              <w:ind w:firstLine="480"/>
            </w:pPr>
            <w:r>
              <w:rPr>
                <w:rFonts w:hint="eastAsia"/>
              </w:rPr>
              <w:t>根据洛阳市偃师区岳滩镇人民政府出具的入驻证明，本项目位于偃师区岳滩镇工业区，符合相关产业政策，符合偃师区岳滩镇发展规划，原则上同意该项目入驻我辖区（见附件5）。</w:t>
            </w:r>
          </w:p>
          <w:p>
            <w:pPr>
              <w:pStyle w:val="91"/>
              <w:rPr>
                <w:color w:val="auto"/>
              </w:rPr>
            </w:pPr>
            <w:r>
              <w:rPr>
                <w:rFonts w:hint="eastAsia"/>
                <w:color w:val="auto"/>
              </w:rPr>
              <w:t>9</w:t>
            </w:r>
            <w:r>
              <w:rPr>
                <w:color w:val="auto"/>
              </w:rPr>
              <w:t>. 劳动定员与工作制度</w:t>
            </w:r>
          </w:p>
          <w:p>
            <w:pPr>
              <w:pStyle w:val="51"/>
              <w:ind w:firstLine="480"/>
            </w:pPr>
            <w:r>
              <w:t>本项目</w:t>
            </w:r>
            <w:r>
              <w:rPr>
                <w:rFonts w:hint="eastAsia"/>
              </w:rPr>
              <w:t>新增</w:t>
            </w:r>
            <w:r>
              <w:t>劳动定员</w:t>
            </w:r>
            <w:r>
              <w:rPr>
                <w:rFonts w:hint="eastAsia"/>
              </w:rPr>
              <w:t>40</w:t>
            </w:r>
            <w:r>
              <w:t>人，员工为附近村民，就近回家食宿，</w:t>
            </w:r>
            <w:r>
              <w:rPr>
                <w:rFonts w:hint="eastAsia"/>
              </w:rPr>
              <w:t>每天1班，仅昼间工作8h（8:00~12:00，14:00~18:00），</w:t>
            </w:r>
            <w:r>
              <w:t>年工作300天。</w:t>
            </w:r>
          </w:p>
          <w:p>
            <w:pPr>
              <w:pStyle w:val="91"/>
              <w:rPr>
                <w:color w:val="auto"/>
              </w:rPr>
            </w:pPr>
            <w:r>
              <w:rPr>
                <w:color w:val="auto"/>
              </w:rPr>
              <w:t>10. 建设周期及厂区现状</w:t>
            </w:r>
          </w:p>
          <w:p>
            <w:pPr>
              <w:pStyle w:val="51"/>
              <w:ind w:firstLine="480"/>
            </w:pPr>
            <w:r>
              <w:t>本项目</w:t>
            </w:r>
            <w:r>
              <w:rPr>
                <w:rFonts w:hint="eastAsia"/>
              </w:rPr>
              <w:t>利用现有车间进行改扩建，</w:t>
            </w:r>
            <w:r>
              <w:t>现场勘查时，</w:t>
            </w:r>
            <w:r>
              <w:rPr>
                <w:rFonts w:hint="eastAsia"/>
              </w:rPr>
              <w:t>改扩建项目</w:t>
            </w:r>
            <w:r>
              <w:t>生产设备</w:t>
            </w:r>
            <w:r>
              <w:rPr>
                <w:rFonts w:hint="eastAsia"/>
              </w:rPr>
              <w:t>尚</w:t>
            </w:r>
            <w:r>
              <w:t>未入驻。</w:t>
            </w:r>
          </w:p>
          <w:p>
            <w:pPr>
              <w:pStyle w:val="51"/>
              <w:ind w:firstLine="480"/>
            </w:pPr>
            <w:r>
              <w:t>本项目建设周期为2023年</w:t>
            </w:r>
            <w:r>
              <w:rPr>
                <w:rFonts w:hint="eastAsia"/>
              </w:rPr>
              <w:t>5</w:t>
            </w:r>
            <w:r>
              <w:t>月到2023年</w:t>
            </w:r>
            <w:r>
              <w:rPr>
                <w:rFonts w:hint="eastAsia"/>
              </w:rPr>
              <w:t>6</w:t>
            </w:r>
            <w:r>
              <w:t>月。</w:t>
            </w:r>
          </w:p>
          <w:p>
            <w:pPr>
              <w:pStyle w:val="91"/>
              <w:rPr>
                <w:color w:val="auto"/>
              </w:rPr>
            </w:pPr>
            <w:r>
              <w:rPr>
                <w:rFonts w:hint="eastAsia"/>
                <w:color w:val="auto"/>
              </w:rPr>
              <w:t>11</w:t>
            </w:r>
            <w:r>
              <w:rPr>
                <w:color w:val="auto"/>
              </w:rPr>
              <w:t>. 平面布局</w:t>
            </w:r>
          </w:p>
          <w:p>
            <w:pPr>
              <w:pStyle w:val="51"/>
              <w:ind w:firstLine="480"/>
            </w:pPr>
            <w:r>
              <w:rPr>
                <w:rFonts w:hint="eastAsia"/>
              </w:rPr>
              <w:t>本</w:t>
            </w:r>
            <w:r>
              <w:t>项</w:t>
            </w:r>
            <w:r>
              <w:rPr>
                <w:rFonts w:hint="eastAsia"/>
              </w:rPr>
              <w:t xml:space="preserve">目出入口位于厂区北侧，厂区北侧为空地；厂区南侧为生产车间（2层），1层南侧为缝纫区、1层北侧原料区和热切、印刷区，2楼为吊带编织区；项目办公室位于厂区东北侧，生产车间和办公室相互独立，互不影响，平面布置较为合理。 </w:t>
            </w:r>
          </w:p>
          <w:p>
            <w:pPr>
              <w:pStyle w:val="91"/>
              <w:rPr>
                <w:color w:val="auto"/>
              </w:rPr>
            </w:pPr>
            <w:r>
              <w:rPr>
                <w:rFonts w:hint="eastAsia"/>
                <w:color w:val="auto"/>
              </w:rPr>
              <w:t>12</w:t>
            </w:r>
            <w:r>
              <w:rPr>
                <w:color w:val="auto"/>
              </w:rPr>
              <w:t>. 公用工程及辅助工程</w:t>
            </w:r>
          </w:p>
          <w:p>
            <w:pPr>
              <w:spacing w:line="520" w:lineRule="exact"/>
              <w:ind w:firstLine="480" w:firstLineChars="200"/>
              <w:rPr>
                <w:sz w:val="24"/>
              </w:rPr>
            </w:pPr>
            <w:r>
              <w:rPr>
                <w:sz w:val="24"/>
              </w:rPr>
              <w:t>（1）供水</w:t>
            </w:r>
          </w:p>
          <w:p>
            <w:pPr>
              <w:spacing w:line="520" w:lineRule="exact"/>
              <w:ind w:firstLine="480" w:firstLineChars="200"/>
              <w:rPr>
                <w:sz w:val="24"/>
              </w:rPr>
            </w:pPr>
            <w:r>
              <w:rPr>
                <w:sz w:val="24"/>
              </w:rPr>
              <w:t>项目建成后，用水依托</w:t>
            </w:r>
            <w:r>
              <w:rPr>
                <w:rFonts w:hint="eastAsia"/>
                <w:sz w:val="24"/>
              </w:rPr>
              <w:t>岳滩镇供水管网供水</w:t>
            </w:r>
            <w:r>
              <w:rPr>
                <w:sz w:val="24"/>
              </w:rPr>
              <w:t>系统。</w:t>
            </w:r>
          </w:p>
          <w:p>
            <w:pPr>
              <w:spacing w:line="520" w:lineRule="exact"/>
              <w:ind w:firstLine="480" w:firstLineChars="200"/>
              <w:rPr>
                <w:sz w:val="24"/>
              </w:rPr>
            </w:pPr>
            <w:r>
              <w:rPr>
                <w:sz w:val="24"/>
              </w:rPr>
              <w:t>（2）供电</w:t>
            </w:r>
          </w:p>
          <w:p>
            <w:pPr>
              <w:spacing w:line="520" w:lineRule="exact"/>
              <w:ind w:firstLine="480" w:firstLineChars="200"/>
              <w:rPr>
                <w:sz w:val="24"/>
              </w:rPr>
            </w:pPr>
            <w:r>
              <w:rPr>
                <w:sz w:val="24"/>
              </w:rPr>
              <w:t>项目建成后，用</w:t>
            </w:r>
            <w:r>
              <w:rPr>
                <w:rFonts w:hint="eastAsia"/>
                <w:sz w:val="24"/>
              </w:rPr>
              <w:t>电</w:t>
            </w:r>
            <w:r>
              <w:rPr>
                <w:sz w:val="24"/>
              </w:rPr>
              <w:t>依托</w:t>
            </w:r>
            <w:r>
              <w:rPr>
                <w:rFonts w:hint="eastAsia"/>
                <w:sz w:val="24"/>
              </w:rPr>
              <w:t>岳滩镇电网供电</w:t>
            </w:r>
            <w:r>
              <w:rPr>
                <w:sz w:val="24"/>
              </w:rPr>
              <w:t>。</w:t>
            </w:r>
          </w:p>
          <w:p>
            <w:pPr>
              <w:spacing w:line="520" w:lineRule="exact"/>
              <w:ind w:firstLine="480" w:firstLineChars="200"/>
              <w:rPr>
                <w:sz w:val="24"/>
              </w:rPr>
            </w:pPr>
            <w:r>
              <w:rPr>
                <w:sz w:val="24"/>
              </w:rPr>
              <w:t>（3）排水</w:t>
            </w:r>
          </w:p>
          <w:p>
            <w:pPr>
              <w:autoSpaceDE w:val="0"/>
              <w:autoSpaceDN w:val="0"/>
              <w:adjustRightInd w:val="0"/>
              <w:spacing w:line="520" w:lineRule="exact"/>
              <w:ind w:firstLine="480" w:firstLineChars="200"/>
              <w:rPr>
                <w:bCs/>
                <w:sz w:val="24"/>
              </w:rPr>
            </w:pPr>
            <w:r>
              <w:rPr>
                <w:rFonts w:hint="eastAsia"/>
                <w:bCs/>
                <w:sz w:val="24"/>
              </w:rPr>
              <w:t>本项目生活污水经厂区现有化粪池处理后近期用于施肥，远期管网敷设到位后通过市政管网排入偃师市第三污水处理厂。</w:t>
            </w:r>
          </w:p>
          <w:p>
            <w:pPr>
              <w:spacing w:afterLines="50" w:line="520" w:lineRule="exact"/>
              <w:rPr>
                <w:rFonts w:eastAsia="黑体"/>
                <w:sz w:val="24"/>
              </w:rPr>
            </w:pPr>
            <w:r>
              <w:rPr>
                <w:rFonts w:eastAsia="黑体"/>
                <w:sz w:val="24"/>
              </w:rPr>
              <w:pict>
                <v:shape id="_x0000_s1135" o:spid="_x0000_s1135" o:spt="75" type="#_x0000_t75" style="position:absolute;left:0pt;margin-left:-5.15pt;margin-top:30.7pt;height:82.2pt;width:422.1pt;mso-wrap-distance-left:9pt;mso-wrap-distance-right:9pt;z-index:251663360;mso-width-relative:page;mso-height-relative:page;" o:ole="t" filled="f" o:preferrelative="t" stroked="f" coordsize="21600,21600" wrapcoords="394 418 394 16514 5516 16583 5803 17141 5803 17175 11391 17698 10460 18255 10066 18813 9313 19370 6090 19440 2579 19719 2579 19928 430 20381 466 20450 5516 20520 5767 21043 5803 21461 12716 21461 12788 19475 12501 19440 9564 19370 10245 18813 12537 18813 12573 18360 11893 18255 12645 18012 12537 17698 12681 17489 10030 17141 10101 15852 9922 15782 8454 15468 9242 15468 11140 15085 11104 14911 11319 14354 11391 13831 10961 13796 537 13796 537 13239 10101 13134 10030 12681 13970 12681 15475 12542 15439 4877 17910 4877 20633 4599 20597 4320 21099 4111 21027 4041 20167 3763 21027 3693 21027 3310 20275 3205 20310 2961 10066 2683 13110 2648 13218 2160 12537 2090 13290 1846 13182 1533 13325 1324 12609 1254 3618 975 3725 662 3296 592 537 418 394 418">
                  <v:path/>
                  <v:fill on="f" focussize="0,0"/>
                  <v:stroke on="f" joinstyle="miter"/>
                  <v:imagedata r:id="rId9" o:title=""/>
                  <o:lock v:ext="edit" aspectratio="t"/>
                  <w10:wrap type="tight"/>
                </v:shape>
                <o:OLEObject Type="Embed" ProgID="Visio.Drawing.11" ShapeID="_x0000_s1135" DrawAspect="Content" ObjectID="_1468075725" r:id="rId8">
                  <o:LockedField>false</o:LockedField>
                </o:OLEObject>
              </w:pict>
            </w:r>
            <w:r>
              <w:rPr>
                <w:rFonts w:eastAsia="黑体"/>
                <w:sz w:val="24"/>
              </w:rPr>
              <w:t>水平衡图</w:t>
            </w:r>
          </w:p>
          <w:p>
            <w:pPr>
              <w:spacing w:afterLines="50" w:line="520" w:lineRule="exact"/>
              <w:rPr>
                <w:rFonts w:eastAsia="黑体"/>
                <w:sz w:val="24"/>
              </w:rPr>
            </w:pPr>
          </w:p>
          <w:p>
            <w:pPr>
              <w:spacing w:afterLines="50" w:line="520" w:lineRule="exact"/>
              <w:rPr>
                <w:rFonts w:eastAsia="黑体"/>
                <w:sz w:val="24"/>
              </w:rPr>
            </w:pPr>
          </w:p>
          <w:p>
            <w:pPr>
              <w:spacing w:afterLines="50" w:line="520" w:lineRule="exact"/>
              <w:jc w:val="center"/>
            </w:pPr>
            <w:r>
              <w:rPr>
                <w:rFonts w:eastAsia="黑体"/>
                <w:sz w:val="24"/>
              </w:rPr>
              <w:t>图</w:t>
            </w:r>
            <w:r>
              <w:rPr>
                <w:rFonts w:hint="eastAsia" w:eastAsia="黑体"/>
                <w:sz w:val="24"/>
              </w:rPr>
              <w:t>2</w:t>
            </w:r>
            <w:r>
              <w:rPr>
                <w:rFonts w:eastAsia="黑体"/>
                <w:sz w:val="24"/>
              </w:rPr>
              <w:t xml:space="preserve">             项目水平衡图               单位：m</w:t>
            </w:r>
            <w:r>
              <w:rPr>
                <w:rFonts w:eastAsia="黑体"/>
                <w:sz w:val="24"/>
                <w:vertAlign w:val="superscript"/>
              </w:rPr>
              <w:t>3</w:t>
            </w:r>
            <w:r>
              <w:rPr>
                <w:rFonts w:eastAsia="黑体"/>
                <w:sz w:val="24"/>
              </w:rPr>
              <w:t>/d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94" w:hRule="atLeast"/>
          <w:jc w:val="center"/>
        </w:trPr>
        <w:tc>
          <w:tcPr>
            <w:tcW w:w="426" w:type="dxa"/>
            <w:vAlign w:val="center"/>
          </w:tcPr>
          <w:p>
            <w:pPr>
              <w:pStyle w:val="19"/>
              <w:adjustRightInd w:val="0"/>
              <w:snapToGrid w:val="0"/>
              <w:spacing w:before="0" w:beforeAutospacing="0" w:after="0" w:afterAutospacing="0"/>
              <w:jc w:val="center"/>
              <w:rPr>
                <w:rFonts w:cs="宋体"/>
                <w:sz w:val="21"/>
                <w:szCs w:val="21"/>
              </w:rPr>
            </w:pPr>
            <w:r>
              <w:rPr>
                <w:rFonts w:hint="eastAsia" w:cs="宋体"/>
                <w:sz w:val="21"/>
                <w:szCs w:val="21"/>
              </w:rPr>
              <w:t>工艺流程和产排污环节</w:t>
            </w:r>
          </w:p>
        </w:tc>
        <w:tc>
          <w:tcPr>
            <w:tcW w:w="8634" w:type="dxa"/>
          </w:tcPr>
          <w:p>
            <w:pPr>
              <w:pStyle w:val="113"/>
              <w:spacing w:beforeLines="0" w:afterLines="0" w:line="520" w:lineRule="exact"/>
              <w:ind w:firstLine="0" w:firstLineChars="0"/>
              <w:rPr>
                <w:szCs w:val="24"/>
              </w:rPr>
            </w:pPr>
            <w:r>
              <w:pict>
                <v:rect id="_x0000_s1091" o:spid="_x0000_s1091" o:spt="1" style="position:absolute;left:0pt;margin-left:277pt;margin-top:17.25pt;height:15pt;width:16.2pt;z-index:251660288;mso-width-relative:page;mso-height-relative:page;" stroked="f" coordsize="21600,21600">
                  <v:path/>
                  <v:fill focussize="0,0"/>
                  <v:stroke on="f"/>
                  <v:imagedata o:title=""/>
                  <o:lock v:ext="edit"/>
                </v:rect>
              </w:pict>
            </w:r>
            <w:r>
              <w:rPr>
                <w:rFonts w:hint="eastAsia"/>
                <w:szCs w:val="24"/>
              </w:rPr>
              <w:t>1、生产工艺流程</w:t>
            </w:r>
          </w:p>
          <w:p>
            <w:pPr>
              <w:pStyle w:val="113"/>
              <w:spacing w:beforeLines="0" w:afterLines="0" w:line="520" w:lineRule="exact"/>
              <w:ind w:firstLine="0" w:firstLineChars="0"/>
              <w:rPr>
                <w:szCs w:val="24"/>
              </w:rPr>
            </w:pPr>
            <w:r>
              <w:pict>
                <v:shape id="_x0000_s1096" o:spid="_x0000_s1096" o:spt="75" type="#_x0000_t75" style="position:absolute;left:0pt;margin-left:16.65pt;margin-top:28.25pt;height:211.25pt;width:400.3pt;mso-position-vertical-relative:page;z-index:251661312;mso-width-relative:page;mso-height-relative:page;" o:ole="t" filled="f" o:preferrelative="t" stroked="f" coordsize="21600,21600">
                  <v:path/>
                  <v:fill on="f" focussize="0,0"/>
                  <v:stroke on="f" joinstyle="miter"/>
                  <v:imagedata r:id="rId11" o:title=""/>
                  <o:lock v:ext="edit" aspectratio="t"/>
                </v:shape>
                <o:OLEObject Type="Embed" ProgID="Visio.Drawing.11" ShapeID="_x0000_s1096" DrawAspect="Content" ObjectID="_1468075726" r:id="rId10">
                  <o:LockedField>false</o:LockedField>
                </o:OLEObject>
              </w:pict>
            </w:r>
          </w:p>
          <w:p>
            <w:pPr>
              <w:pStyle w:val="113"/>
              <w:spacing w:beforeLines="0" w:afterLines="0" w:line="520" w:lineRule="exact"/>
              <w:ind w:firstLine="0" w:firstLineChars="0"/>
              <w:rPr>
                <w:szCs w:val="24"/>
              </w:rPr>
            </w:pPr>
          </w:p>
          <w:p>
            <w:pPr>
              <w:pStyle w:val="113"/>
              <w:spacing w:beforeLines="0" w:afterLines="0" w:line="520" w:lineRule="exact"/>
              <w:ind w:firstLine="0" w:firstLineChars="0"/>
              <w:rPr>
                <w:szCs w:val="24"/>
              </w:rPr>
            </w:pPr>
          </w:p>
          <w:p>
            <w:pPr>
              <w:pStyle w:val="113"/>
              <w:spacing w:beforeLines="0" w:afterLines="0" w:line="520" w:lineRule="exact"/>
              <w:ind w:firstLine="0" w:firstLineChars="0"/>
              <w:rPr>
                <w:szCs w:val="24"/>
              </w:rPr>
            </w:pPr>
          </w:p>
          <w:p>
            <w:pPr>
              <w:pStyle w:val="113"/>
              <w:spacing w:beforeLines="0" w:afterLines="0" w:line="520" w:lineRule="exact"/>
              <w:ind w:firstLine="0" w:firstLineChars="0"/>
              <w:rPr>
                <w:szCs w:val="24"/>
              </w:rPr>
            </w:pPr>
          </w:p>
          <w:p>
            <w:pPr>
              <w:pStyle w:val="113"/>
              <w:spacing w:beforeLines="0" w:afterLines="0" w:line="520" w:lineRule="exact"/>
              <w:ind w:firstLine="0" w:firstLineChars="0"/>
              <w:rPr>
                <w:szCs w:val="24"/>
              </w:rPr>
            </w:pPr>
          </w:p>
          <w:p>
            <w:pPr>
              <w:pStyle w:val="113"/>
              <w:spacing w:beforeLines="0" w:afterLines="0" w:line="520" w:lineRule="exact"/>
              <w:ind w:firstLine="0" w:firstLineChars="0"/>
              <w:rPr>
                <w:szCs w:val="24"/>
              </w:rPr>
            </w:pPr>
          </w:p>
          <w:p>
            <w:pPr>
              <w:pStyle w:val="113"/>
              <w:spacing w:beforeLines="0" w:afterLines="0" w:line="520" w:lineRule="exact"/>
              <w:ind w:firstLine="0" w:firstLineChars="0"/>
              <w:rPr>
                <w:szCs w:val="24"/>
              </w:rPr>
            </w:pPr>
          </w:p>
          <w:p>
            <w:pPr>
              <w:spacing w:line="520" w:lineRule="exact"/>
              <w:jc w:val="center"/>
              <w:rPr>
                <w:sz w:val="24"/>
              </w:rPr>
            </w:pPr>
            <w:r>
              <w:rPr>
                <w:rFonts w:hint="eastAsia"/>
                <w:sz w:val="24"/>
              </w:rPr>
              <w:t>图3   生产工艺流程及产污节点图</w:t>
            </w:r>
          </w:p>
          <w:p>
            <w:pPr>
              <w:pStyle w:val="51"/>
              <w:ind w:firstLine="482"/>
              <w:rPr>
                <w:b/>
                <w:u w:val="single"/>
              </w:rPr>
            </w:pPr>
            <w:r>
              <w:rPr>
                <w:rFonts w:hint="eastAsia"/>
                <w:b/>
                <w:u w:val="single"/>
              </w:rPr>
              <w:t>（1）外购吊带丝，通过升降平台运至2楼，根据客户需要，用吊带机编织成吊带，并在车间2楼北侧暂存。</w:t>
            </w:r>
          </w:p>
          <w:p>
            <w:pPr>
              <w:pStyle w:val="51"/>
              <w:ind w:firstLine="482"/>
              <w:rPr>
                <w:b/>
                <w:u w:val="single"/>
              </w:rPr>
            </w:pPr>
            <w:r>
              <w:rPr>
                <w:rFonts w:hint="eastAsia"/>
                <w:b/>
                <w:u w:val="single"/>
              </w:rPr>
              <w:t>（2）吊带热裁</w:t>
            </w:r>
          </w:p>
          <w:p>
            <w:pPr>
              <w:pStyle w:val="51"/>
              <w:ind w:firstLine="482"/>
              <w:rPr>
                <w:b/>
                <w:u w:val="single"/>
              </w:rPr>
            </w:pPr>
            <w:r>
              <w:rPr>
                <w:rFonts w:hint="eastAsia"/>
                <w:b/>
                <w:u w:val="single"/>
              </w:rPr>
              <w:t>将编织好的吊带通过升降平台运至1楼热裁印刷区域，热裁机中裁刀区域通电流，通过电流流过导体的焦耳效应产生热能对刀片区域进行加热，温度为200℃，吊带与热刀片短时间接触，使接触区域处于熔融状态从而裁断。该过程会产生热裁废气。</w:t>
            </w:r>
          </w:p>
          <w:p>
            <w:pPr>
              <w:pStyle w:val="51"/>
              <w:ind w:firstLine="482"/>
              <w:rPr>
                <w:b/>
                <w:u w:val="single"/>
              </w:rPr>
            </w:pPr>
            <w:r>
              <w:rPr>
                <w:rFonts w:hint="eastAsia"/>
                <w:b/>
                <w:u w:val="single"/>
              </w:rPr>
              <w:t>（3）印刷</w:t>
            </w:r>
          </w:p>
          <w:p>
            <w:pPr>
              <w:pStyle w:val="51"/>
              <w:ind w:firstLine="482"/>
              <w:rPr>
                <w:b/>
                <w:u w:val="single"/>
              </w:rPr>
            </w:pPr>
            <w:r>
              <w:rPr>
                <w:rFonts w:hint="eastAsia"/>
                <w:b/>
                <w:u w:val="single"/>
              </w:rPr>
              <w:t>项目外购成品基布，根据客户需要在基布上印刷图案或文字等，本项目印刷工艺采用凹版印刷，在印刷后油墨迅速固化，无需烘干，该过程会产生印刷废气。</w:t>
            </w:r>
          </w:p>
          <w:p>
            <w:pPr>
              <w:pStyle w:val="51"/>
              <w:ind w:firstLine="482"/>
              <w:rPr>
                <w:b/>
                <w:u w:val="single"/>
              </w:rPr>
            </w:pPr>
            <w:r>
              <w:rPr>
                <w:rFonts w:hint="eastAsia"/>
                <w:b/>
                <w:u w:val="single"/>
              </w:rPr>
              <w:t>（4）裁切</w:t>
            </w:r>
          </w:p>
          <w:p>
            <w:pPr>
              <w:pStyle w:val="51"/>
              <w:ind w:firstLine="482"/>
              <w:rPr>
                <w:b/>
                <w:u w:val="single"/>
              </w:rPr>
            </w:pPr>
            <w:r>
              <w:rPr>
                <w:rFonts w:hint="eastAsia"/>
                <w:b/>
                <w:u w:val="single"/>
              </w:rPr>
              <w:t>将印刷好的基布移动至热裁区进行热裁，热裁机中裁刀区域通电流，通过电流流过导体的焦耳效应产生热能对刀片区域进行加热，温度为200℃，基布与热刀片短时间接触，使接触区域处于熔融状态从而裁断。该过程会产生热裁废气。</w:t>
            </w:r>
          </w:p>
          <w:p>
            <w:pPr>
              <w:pStyle w:val="51"/>
              <w:ind w:firstLine="482"/>
              <w:rPr>
                <w:b/>
                <w:u w:val="single"/>
              </w:rPr>
            </w:pPr>
            <w:r>
              <w:rPr>
                <w:b/>
                <w:u w:val="single"/>
              </w:rPr>
              <w:t>（</w:t>
            </w:r>
            <w:r>
              <w:rPr>
                <w:rFonts w:hint="eastAsia"/>
                <w:b/>
                <w:u w:val="single"/>
              </w:rPr>
              <w:t>5</w:t>
            </w:r>
            <w:r>
              <w:rPr>
                <w:b/>
                <w:u w:val="single"/>
              </w:rPr>
              <w:t>）</w:t>
            </w:r>
            <w:r>
              <w:rPr>
                <w:rFonts w:hint="eastAsia"/>
                <w:b/>
                <w:u w:val="single"/>
              </w:rPr>
              <w:t>缝纫</w:t>
            </w:r>
          </w:p>
          <w:p>
            <w:pPr>
              <w:pStyle w:val="51"/>
              <w:ind w:firstLine="482"/>
              <w:rPr>
                <w:b/>
                <w:u w:val="single"/>
              </w:rPr>
            </w:pPr>
            <w:r>
              <w:rPr>
                <w:rFonts w:hint="eastAsia"/>
                <w:b/>
                <w:u w:val="single"/>
              </w:rPr>
              <w:t>裁切好的吊带和基布在缝纫机上通过缝纫线制成成品集装袋。</w:t>
            </w:r>
          </w:p>
          <w:p>
            <w:pPr>
              <w:adjustRightInd w:val="0"/>
              <w:snapToGrid w:val="0"/>
              <w:spacing w:line="520" w:lineRule="exact"/>
              <w:ind w:firstLine="480" w:firstLineChars="200"/>
              <w:rPr>
                <w:sz w:val="24"/>
              </w:rPr>
            </w:pPr>
            <w:r>
              <w:rPr>
                <w:sz w:val="24"/>
              </w:rPr>
              <w:t>根据</w:t>
            </w:r>
            <w:r>
              <w:rPr>
                <w:rFonts w:hint="eastAsia"/>
                <w:sz w:val="24"/>
              </w:rPr>
              <w:t>工艺流程</w:t>
            </w:r>
            <w:r>
              <w:rPr>
                <w:sz w:val="24"/>
              </w:rPr>
              <w:t>及产污环节分析，本项目运营过程中产生的污染物包括</w:t>
            </w:r>
            <w:r>
              <w:rPr>
                <w:rFonts w:hint="eastAsia"/>
                <w:sz w:val="24"/>
              </w:rPr>
              <w:t>废水</w:t>
            </w:r>
            <w:r>
              <w:rPr>
                <w:sz w:val="24"/>
              </w:rPr>
              <w:t>、噪声和固废，其具体类型</w:t>
            </w:r>
            <w:r>
              <w:rPr>
                <w:rFonts w:hint="eastAsia"/>
                <w:sz w:val="24"/>
              </w:rPr>
              <w:t>、</w:t>
            </w:r>
            <w:r>
              <w:rPr>
                <w:sz w:val="24"/>
              </w:rPr>
              <w:t>产生来源</w:t>
            </w:r>
            <w:r>
              <w:rPr>
                <w:rFonts w:hint="eastAsia"/>
                <w:sz w:val="24"/>
              </w:rPr>
              <w:t>及防治措施</w:t>
            </w:r>
            <w:r>
              <w:rPr>
                <w:sz w:val="24"/>
              </w:rPr>
              <w:t>见</w:t>
            </w:r>
            <w:r>
              <w:rPr>
                <w:rFonts w:hint="eastAsia"/>
                <w:sz w:val="24"/>
              </w:rPr>
              <w:t>下表</w:t>
            </w:r>
            <w:r>
              <w:rPr>
                <w:sz w:val="24"/>
              </w:rPr>
              <w:t>。</w:t>
            </w:r>
          </w:p>
          <w:p>
            <w:pPr>
              <w:pStyle w:val="48"/>
              <w:ind w:firstLine="480"/>
              <w:rPr>
                <w:highlight w:val="yellow"/>
              </w:rPr>
            </w:pPr>
            <w:r>
              <w:t>表</w:t>
            </w:r>
            <w:r>
              <w:rPr>
                <w:rFonts w:hint="eastAsia"/>
              </w:rPr>
              <w:t>13</w:t>
            </w:r>
            <w:r>
              <w:t xml:space="preserve">  </w:t>
            </w:r>
            <w:r>
              <w:rPr>
                <w:rFonts w:hint="eastAsia"/>
              </w:rPr>
              <w:t xml:space="preserve">    </w:t>
            </w:r>
            <w:r>
              <w:t xml:space="preserve">  项目</w:t>
            </w:r>
            <w:r>
              <w:rPr>
                <w:rFonts w:hint="eastAsia"/>
              </w:rPr>
              <w:t>运营期产污环节</w:t>
            </w:r>
            <w:r>
              <w:t>一览表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199"/>
              <w:gridCol w:w="1134"/>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4" w:type="pct"/>
                  <w:vAlign w:val="center"/>
                </w:tcPr>
                <w:p>
                  <w:pPr>
                    <w:pStyle w:val="98"/>
                    <w:spacing w:line="400" w:lineRule="exact"/>
                    <w:jc w:val="center"/>
                    <w:rPr>
                      <w:b w:val="0"/>
                      <w:kern w:val="28"/>
                      <w:sz w:val="21"/>
                      <w:szCs w:val="21"/>
                    </w:rPr>
                  </w:pPr>
                  <w:r>
                    <w:rPr>
                      <w:rFonts w:hint="eastAsia"/>
                      <w:b w:val="0"/>
                      <w:kern w:val="28"/>
                      <w:sz w:val="21"/>
                      <w:szCs w:val="21"/>
                    </w:rPr>
                    <w:t>序号</w:t>
                  </w:r>
                </w:p>
              </w:tc>
              <w:tc>
                <w:tcPr>
                  <w:tcW w:w="713" w:type="pct"/>
                </w:tcPr>
                <w:p>
                  <w:pPr>
                    <w:pStyle w:val="98"/>
                    <w:spacing w:line="400" w:lineRule="exact"/>
                    <w:jc w:val="center"/>
                    <w:rPr>
                      <w:b w:val="0"/>
                      <w:kern w:val="28"/>
                      <w:sz w:val="21"/>
                      <w:szCs w:val="21"/>
                    </w:rPr>
                  </w:pPr>
                  <w:r>
                    <w:rPr>
                      <w:rFonts w:hint="eastAsia"/>
                      <w:b w:val="0"/>
                      <w:kern w:val="28"/>
                      <w:sz w:val="21"/>
                      <w:szCs w:val="21"/>
                    </w:rPr>
                    <w:t>污染要素</w:t>
                  </w:r>
                </w:p>
              </w:tc>
              <w:tc>
                <w:tcPr>
                  <w:tcW w:w="674" w:type="pct"/>
                  <w:vAlign w:val="center"/>
                </w:tcPr>
                <w:p>
                  <w:pPr>
                    <w:pStyle w:val="98"/>
                    <w:spacing w:line="400" w:lineRule="exact"/>
                    <w:jc w:val="center"/>
                    <w:rPr>
                      <w:b w:val="0"/>
                      <w:kern w:val="28"/>
                      <w:sz w:val="21"/>
                      <w:szCs w:val="21"/>
                    </w:rPr>
                  </w:pPr>
                  <w:r>
                    <w:rPr>
                      <w:rFonts w:hint="eastAsia"/>
                      <w:b w:val="0"/>
                      <w:kern w:val="28"/>
                      <w:sz w:val="21"/>
                      <w:szCs w:val="21"/>
                    </w:rPr>
                    <w:t>产污环节</w:t>
                  </w:r>
                </w:p>
              </w:tc>
              <w:tc>
                <w:tcPr>
                  <w:tcW w:w="3148" w:type="pct"/>
                  <w:vAlign w:val="center"/>
                </w:tcPr>
                <w:p>
                  <w:pPr>
                    <w:pStyle w:val="98"/>
                    <w:spacing w:line="400" w:lineRule="exact"/>
                    <w:jc w:val="center"/>
                    <w:rPr>
                      <w:b w:val="0"/>
                      <w:kern w:val="28"/>
                      <w:sz w:val="21"/>
                      <w:szCs w:val="21"/>
                    </w:rPr>
                  </w:pPr>
                  <w:r>
                    <w:rPr>
                      <w:rFonts w:hint="eastAsia"/>
                      <w:b w:val="0"/>
                      <w:kern w:val="28"/>
                      <w:sz w:val="21"/>
                      <w:szCs w:val="21"/>
                    </w:rPr>
                    <w:t>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4" w:type="pct"/>
                  <w:vAlign w:val="center"/>
                </w:tcPr>
                <w:p>
                  <w:pPr>
                    <w:pStyle w:val="98"/>
                    <w:spacing w:line="400" w:lineRule="exact"/>
                    <w:jc w:val="center"/>
                    <w:rPr>
                      <w:b w:val="0"/>
                      <w:kern w:val="28"/>
                      <w:sz w:val="21"/>
                      <w:szCs w:val="21"/>
                    </w:rPr>
                  </w:pPr>
                  <w:r>
                    <w:rPr>
                      <w:rFonts w:hint="eastAsia"/>
                      <w:b w:val="0"/>
                      <w:kern w:val="28"/>
                      <w:sz w:val="21"/>
                      <w:szCs w:val="21"/>
                    </w:rPr>
                    <w:t>1</w:t>
                  </w:r>
                </w:p>
              </w:tc>
              <w:tc>
                <w:tcPr>
                  <w:tcW w:w="713" w:type="pct"/>
                  <w:vMerge w:val="restart"/>
                  <w:vAlign w:val="center"/>
                </w:tcPr>
                <w:p>
                  <w:pPr>
                    <w:pStyle w:val="98"/>
                    <w:spacing w:line="400" w:lineRule="exact"/>
                    <w:jc w:val="center"/>
                    <w:rPr>
                      <w:b w:val="0"/>
                      <w:kern w:val="28"/>
                      <w:sz w:val="21"/>
                      <w:szCs w:val="21"/>
                    </w:rPr>
                  </w:pPr>
                  <w:r>
                    <w:rPr>
                      <w:rFonts w:hint="eastAsia"/>
                      <w:b w:val="0"/>
                      <w:kern w:val="28"/>
                      <w:sz w:val="21"/>
                      <w:szCs w:val="21"/>
                    </w:rPr>
                    <w:t>大气</w:t>
                  </w:r>
                </w:p>
              </w:tc>
              <w:tc>
                <w:tcPr>
                  <w:tcW w:w="674" w:type="pct"/>
                  <w:vAlign w:val="center"/>
                </w:tcPr>
                <w:p>
                  <w:pPr>
                    <w:pStyle w:val="98"/>
                    <w:spacing w:line="400" w:lineRule="exact"/>
                    <w:jc w:val="center"/>
                    <w:rPr>
                      <w:b w:val="0"/>
                      <w:kern w:val="28"/>
                      <w:sz w:val="21"/>
                      <w:szCs w:val="21"/>
                    </w:rPr>
                  </w:pPr>
                  <w:r>
                    <w:rPr>
                      <w:rFonts w:hint="eastAsia"/>
                      <w:b w:val="0"/>
                      <w:kern w:val="28"/>
                      <w:sz w:val="21"/>
                      <w:szCs w:val="21"/>
                    </w:rPr>
                    <w:t>热裁废气</w:t>
                  </w:r>
                </w:p>
              </w:tc>
              <w:tc>
                <w:tcPr>
                  <w:tcW w:w="3148" w:type="pct"/>
                  <w:vAlign w:val="center"/>
                </w:tcPr>
                <w:p>
                  <w:pPr>
                    <w:pStyle w:val="68"/>
                    <w:rPr>
                      <w:szCs w:val="21"/>
                    </w:rPr>
                  </w:pPr>
                  <w:r>
                    <w:rPr>
                      <w:szCs w:val="21"/>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4" w:type="pct"/>
                  <w:vAlign w:val="center"/>
                </w:tcPr>
                <w:p>
                  <w:pPr>
                    <w:pStyle w:val="98"/>
                    <w:spacing w:line="400" w:lineRule="exact"/>
                    <w:jc w:val="center"/>
                    <w:rPr>
                      <w:b w:val="0"/>
                      <w:kern w:val="28"/>
                      <w:sz w:val="21"/>
                      <w:szCs w:val="21"/>
                    </w:rPr>
                  </w:pPr>
                  <w:r>
                    <w:rPr>
                      <w:rFonts w:hint="eastAsia"/>
                      <w:b w:val="0"/>
                      <w:kern w:val="28"/>
                      <w:sz w:val="21"/>
                      <w:szCs w:val="21"/>
                    </w:rPr>
                    <w:t>2</w:t>
                  </w:r>
                </w:p>
              </w:tc>
              <w:tc>
                <w:tcPr>
                  <w:tcW w:w="713" w:type="pct"/>
                  <w:vMerge w:val="continue"/>
                  <w:vAlign w:val="center"/>
                </w:tcPr>
                <w:p>
                  <w:pPr>
                    <w:pStyle w:val="98"/>
                    <w:spacing w:line="400" w:lineRule="exact"/>
                    <w:jc w:val="center"/>
                    <w:rPr>
                      <w:b w:val="0"/>
                      <w:kern w:val="28"/>
                      <w:sz w:val="21"/>
                      <w:szCs w:val="21"/>
                    </w:rPr>
                  </w:pPr>
                </w:p>
              </w:tc>
              <w:tc>
                <w:tcPr>
                  <w:tcW w:w="674" w:type="pct"/>
                  <w:vAlign w:val="center"/>
                </w:tcPr>
                <w:p>
                  <w:pPr>
                    <w:pStyle w:val="98"/>
                    <w:spacing w:line="400" w:lineRule="exact"/>
                    <w:jc w:val="center"/>
                    <w:rPr>
                      <w:b w:val="0"/>
                      <w:kern w:val="28"/>
                      <w:sz w:val="21"/>
                      <w:szCs w:val="21"/>
                    </w:rPr>
                  </w:pPr>
                  <w:r>
                    <w:rPr>
                      <w:rFonts w:hint="eastAsia"/>
                      <w:b w:val="0"/>
                      <w:kern w:val="28"/>
                      <w:sz w:val="21"/>
                      <w:szCs w:val="21"/>
                    </w:rPr>
                    <w:t>印刷废气</w:t>
                  </w:r>
                </w:p>
              </w:tc>
              <w:tc>
                <w:tcPr>
                  <w:tcW w:w="3148" w:type="pct"/>
                  <w:vAlign w:val="center"/>
                </w:tcPr>
                <w:p>
                  <w:pPr>
                    <w:pStyle w:val="68"/>
                    <w:rPr>
                      <w:szCs w:val="21"/>
                    </w:rPr>
                  </w:pPr>
                  <w:r>
                    <w:rPr>
                      <w:szCs w:val="21"/>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4" w:type="pct"/>
                  <w:vAlign w:val="center"/>
                </w:tcPr>
                <w:p>
                  <w:pPr>
                    <w:pStyle w:val="98"/>
                    <w:spacing w:line="400" w:lineRule="exact"/>
                    <w:jc w:val="center"/>
                    <w:rPr>
                      <w:b w:val="0"/>
                      <w:kern w:val="28"/>
                      <w:sz w:val="21"/>
                      <w:szCs w:val="21"/>
                    </w:rPr>
                  </w:pPr>
                  <w:r>
                    <w:rPr>
                      <w:rFonts w:hint="eastAsia"/>
                      <w:b w:val="0"/>
                      <w:kern w:val="28"/>
                      <w:sz w:val="21"/>
                      <w:szCs w:val="21"/>
                    </w:rPr>
                    <w:t>3</w:t>
                  </w:r>
                </w:p>
              </w:tc>
              <w:tc>
                <w:tcPr>
                  <w:tcW w:w="713" w:type="pct"/>
                  <w:vAlign w:val="center"/>
                </w:tcPr>
                <w:p>
                  <w:pPr>
                    <w:pStyle w:val="98"/>
                    <w:spacing w:line="400" w:lineRule="exact"/>
                    <w:jc w:val="center"/>
                    <w:rPr>
                      <w:b w:val="0"/>
                      <w:kern w:val="28"/>
                      <w:sz w:val="21"/>
                      <w:szCs w:val="21"/>
                    </w:rPr>
                  </w:pPr>
                  <w:r>
                    <w:rPr>
                      <w:rFonts w:hint="eastAsia"/>
                      <w:b w:val="0"/>
                      <w:kern w:val="28"/>
                      <w:sz w:val="21"/>
                      <w:szCs w:val="21"/>
                    </w:rPr>
                    <w:t>废水</w:t>
                  </w:r>
                </w:p>
              </w:tc>
              <w:tc>
                <w:tcPr>
                  <w:tcW w:w="674" w:type="pct"/>
                  <w:vAlign w:val="center"/>
                </w:tcPr>
                <w:p>
                  <w:pPr>
                    <w:pStyle w:val="98"/>
                    <w:spacing w:line="400" w:lineRule="exact"/>
                    <w:jc w:val="center"/>
                    <w:rPr>
                      <w:b w:val="0"/>
                      <w:kern w:val="28"/>
                      <w:sz w:val="21"/>
                      <w:szCs w:val="21"/>
                    </w:rPr>
                  </w:pPr>
                  <w:r>
                    <w:rPr>
                      <w:rFonts w:hint="eastAsia"/>
                      <w:b w:val="0"/>
                      <w:sz w:val="21"/>
                      <w:szCs w:val="21"/>
                    </w:rPr>
                    <w:t>生活污水</w:t>
                  </w:r>
                </w:p>
              </w:tc>
              <w:tc>
                <w:tcPr>
                  <w:tcW w:w="3148" w:type="pct"/>
                  <w:vAlign w:val="center"/>
                </w:tcPr>
                <w:p>
                  <w:pPr>
                    <w:pStyle w:val="98"/>
                    <w:spacing w:line="400" w:lineRule="exact"/>
                    <w:jc w:val="center"/>
                    <w:rPr>
                      <w:b w:val="0"/>
                      <w:kern w:val="28"/>
                      <w:sz w:val="21"/>
                      <w:szCs w:val="21"/>
                    </w:rPr>
                  </w:pPr>
                  <w:r>
                    <w:rPr>
                      <w:rFonts w:hint="eastAsia"/>
                      <w:b w:val="0"/>
                      <w:kern w:val="28"/>
                      <w:sz w:val="21"/>
                      <w:szCs w:val="21"/>
                    </w:rPr>
                    <w:t>COD、氨氮、BOD</w:t>
                  </w:r>
                  <w:r>
                    <w:rPr>
                      <w:rFonts w:hint="eastAsia"/>
                      <w:b w:val="0"/>
                      <w:kern w:val="28"/>
                      <w:sz w:val="21"/>
                      <w:szCs w:val="21"/>
                      <w:vertAlign w:val="subscript"/>
                    </w:rPr>
                    <w:t>5</w:t>
                  </w:r>
                  <w:r>
                    <w:rPr>
                      <w:rFonts w:hint="eastAsia"/>
                      <w:b w:val="0"/>
                      <w:kern w:val="28"/>
                      <w:sz w:val="21"/>
                      <w:szCs w:val="21"/>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4" w:type="pct"/>
                  <w:vAlign w:val="center"/>
                </w:tcPr>
                <w:p>
                  <w:pPr>
                    <w:pStyle w:val="98"/>
                    <w:spacing w:line="400" w:lineRule="exact"/>
                    <w:jc w:val="center"/>
                    <w:rPr>
                      <w:b w:val="0"/>
                      <w:kern w:val="28"/>
                      <w:sz w:val="21"/>
                      <w:szCs w:val="21"/>
                    </w:rPr>
                  </w:pPr>
                  <w:r>
                    <w:rPr>
                      <w:rFonts w:hint="eastAsia"/>
                      <w:b w:val="0"/>
                      <w:kern w:val="28"/>
                      <w:sz w:val="21"/>
                      <w:szCs w:val="21"/>
                    </w:rPr>
                    <w:t>4</w:t>
                  </w:r>
                </w:p>
              </w:tc>
              <w:tc>
                <w:tcPr>
                  <w:tcW w:w="713" w:type="pct"/>
                </w:tcPr>
                <w:p>
                  <w:pPr>
                    <w:pStyle w:val="98"/>
                    <w:spacing w:line="400" w:lineRule="exact"/>
                    <w:jc w:val="center"/>
                    <w:rPr>
                      <w:b w:val="0"/>
                      <w:kern w:val="28"/>
                      <w:sz w:val="21"/>
                      <w:szCs w:val="21"/>
                    </w:rPr>
                  </w:pPr>
                  <w:r>
                    <w:rPr>
                      <w:rFonts w:hint="eastAsia"/>
                      <w:b w:val="0"/>
                      <w:kern w:val="28"/>
                      <w:sz w:val="21"/>
                      <w:szCs w:val="21"/>
                    </w:rPr>
                    <w:t>噪声</w:t>
                  </w:r>
                </w:p>
              </w:tc>
              <w:tc>
                <w:tcPr>
                  <w:tcW w:w="674" w:type="pct"/>
                  <w:vAlign w:val="center"/>
                </w:tcPr>
                <w:p>
                  <w:pPr>
                    <w:pStyle w:val="98"/>
                    <w:spacing w:line="400" w:lineRule="exact"/>
                    <w:jc w:val="center"/>
                    <w:rPr>
                      <w:b w:val="0"/>
                      <w:sz w:val="21"/>
                      <w:szCs w:val="21"/>
                    </w:rPr>
                  </w:pPr>
                  <w:r>
                    <w:rPr>
                      <w:rFonts w:hint="eastAsia"/>
                      <w:b w:val="0"/>
                      <w:sz w:val="21"/>
                      <w:szCs w:val="21"/>
                    </w:rPr>
                    <w:t>设备生产</w:t>
                  </w:r>
                </w:p>
              </w:tc>
              <w:tc>
                <w:tcPr>
                  <w:tcW w:w="3148" w:type="pct"/>
                  <w:vAlign w:val="center"/>
                </w:tcPr>
                <w:p>
                  <w:pPr>
                    <w:pStyle w:val="98"/>
                    <w:spacing w:line="400" w:lineRule="exact"/>
                    <w:jc w:val="center"/>
                    <w:rPr>
                      <w:b w:val="0"/>
                      <w:kern w:val="28"/>
                      <w:sz w:val="21"/>
                      <w:szCs w:val="21"/>
                    </w:rPr>
                  </w:pPr>
                  <w:r>
                    <w:rPr>
                      <w:rFonts w:hint="eastAsia"/>
                      <w:b w:val="0"/>
                      <w:kern w:val="28"/>
                      <w:sz w:val="21"/>
                      <w:szCs w:val="21"/>
                    </w:rPr>
                    <w:t>等效A声级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4" w:type="pct"/>
                  <w:vAlign w:val="center"/>
                </w:tcPr>
                <w:p>
                  <w:pPr>
                    <w:pStyle w:val="98"/>
                    <w:spacing w:line="400" w:lineRule="exact"/>
                    <w:jc w:val="center"/>
                    <w:rPr>
                      <w:b w:val="0"/>
                      <w:kern w:val="28"/>
                      <w:sz w:val="21"/>
                      <w:szCs w:val="21"/>
                    </w:rPr>
                  </w:pPr>
                  <w:r>
                    <w:rPr>
                      <w:rFonts w:hint="eastAsia"/>
                      <w:b w:val="0"/>
                      <w:kern w:val="28"/>
                      <w:sz w:val="21"/>
                      <w:szCs w:val="21"/>
                    </w:rPr>
                    <w:t>5</w:t>
                  </w:r>
                </w:p>
              </w:tc>
              <w:tc>
                <w:tcPr>
                  <w:tcW w:w="713" w:type="pct"/>
                  <w:vMerge w:val="restart"/>
                  <w:vAlign w:val="center"/>
                </w:tcPr>
                <w:p>
                  <w:pPr>
                    <w:pStyle w:val="98"/>
                    <w:spacing w:line="400" w:lineRule="exact"/>
                    <w:jc w:val="center"/>
                    <w:rPr>
                      <w:b w:val="0"/>
                      <w:kern w:val="28"/>
                      <w:sz w:val="21"/>
                      <w:szCs w:val="21"/>
                    </w:rPr>
                  </w:pPr>
                  <w:r>
                    <w:rPr>
                      <w:rFonts w:hint="eastAsia"/>
                      <w:b w:val="0"/>
                      <w:kern w:val="28"/>
                      <w:sz w:val="21"/>
                      <w:szCs w:val="21"/>
                    </w:rPr>
                    <w:t>固废</w:t>
                  </w:r>
                </w:p>
              </w:tc>
              <w:tc>
                <w:tcPr>
                  <w:tcW w:w="674" w:type="pct"/>
                  <w:vAlign w:val="center"/>
                </w:tcPr>
                <w:p>
                  <w:pPr>
                    <w:pStyle w:val="98"/>
                    <w:spacing w:line="400" w:lineRule="exact"/>
                    <w:jc w:val="center"/>
                    <w:rPr>
                      <w:b w:val="0"/>
                      <w:sz w:val="21"/>
                      <w:szCs w:val="21"/>
                    </w:rPr>
                  </w:pPr>
                  <w:r>
                    <w:rPr>
                      <w:rFonts w:hint="eastAsia"/>
                      <w:b w:val="0"/>
                      <w:sz w:val="21"/>
                      <w:szCs w:val="21"/>
                    </w:rPr>
                    <w:t>一般固废</w:t>
                  </w:r>
                </w:p>
              </w:tc>
              <w:tc>
                <w:tcPr>
                  <w:tcW w:w="3148" w:type="pct"/>
                  <w:vAlign w:val="center"/>
                </w:tcPr>
                <w:p>
                  <w:pPr>
                    <w:pStyle w:val="98"/>
                    <w:spacing w:line="400" w:lineRule="exact"/>
                    <w:jc w:val="center"/>
                    <w:rPr>
                      <w:b w:val="0"/>
                      <w:kern w:val="28"/>
                      <w:sz w:val="21"/>
                      <w:szCs w:val="21"/>
                    </w:rPr>
                  </w:pPr>
                  <w:r>
                    <w:rPr>
                      <w:rFonts w:hint="eastAsia"/>
                      <w:b w:val="0"/>
                      <w:sz w:val="21"/>
                      <w:szCs w:val="21"/>
                    </w:rPr>
                    <w:t>废边角料、包装材料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4" w:type="pct"/>
                  <w:vAlign w:val="center"/>
                </w:tcPr>
                <w:p>
                  <w:pPr>
                    <w:pStyle w:val="98"/>
                    <w:spacing w:line="400" w:lineRule="exact"/>
                    <w:jc w:val="center"/>
                    <w:rPr>
                      <w:b w:val="0"/>
                      <w:kern w:val="28"/>
                      <w:sz w:val="21"/>
                      <w:szCs w:val="21"/>
                    </w:rPr>
                  </w:pPr>
                  <w:r>
                    <w:rPr>
                      <w:rFonts w:hint="eastAsia"/>
                      <w:b w:val="0"/>
                      <w:kern w:val="28"/>
                      <w:sz w:val="21"/>
                      <w:szCs w:val="21"/>
                    </w:rPr>
                    <w:t>6</w:t>
                  </w:r>
                </w:p>
              </w:tc>
              <w:tc>
                <w:tcPr>
                  <w:tcW w:w="713" w:type="pct"/>
                  <w:vMerge w:val="continue"/>
                </w:tcPr>
                <w:p>
                  <w:pPr>
                    <w:pStyle w:val="98"/>
                    <w:spacing w:line="400" w:lineRule="exact"/>
                    <w:jc w:val="center"/>
                    <w:rPr>
                      <w:b w:val="0"/>
                      <w:kern w:val="28"/>
                      <w:sz w:val="21"/>
                      <w:szCs w:val="21"/>
                    </w:rPr>
                  </w:pPr>
                </w:p>
              </w:tc>
              <w:tc>
                <w:tcPr>
                  <w:tcW w:w="674" w:type="pct"/>
                  <w:vAlign w:val="center"/>
                </w:tcPr>
                <w:p>
                  <w:pPr>
                    <w:pStyle w:val="98"/>
                    <w:spacing w:line="400" w:lineRule="exact"/>
                    <w:jc w:val="center"/>
                    <w:rPr>
                      <w:b w:val="0"/>
                      <w:sz w:val="21"/>
                      <w:szCs w:val="21"/>
                    </w:rPr>
                  </w:pPr>
                  <w:r>
                    <w:rPr>
                      <w:rFonts w:hint="eastAsia"/>
                      <w:b w:val="0"/>
                      <w:sz w:val="21"/>
                      <w:szCs w:val="21"/>
                    </w:rPr>
                    <w:t>危险固废</w:t>
                  </w:r>
                </w:p>
              </w:tc>
              <w:tc>
                <w:tcPr>
                  <w:tcW w:w="3148" w:type="pct"/>
                  <w:vAlign w:val="center"/>
                </w:tcPr>
                <w:p>
                  <w:pPr>
                    <w:pStyle w:val="98"/>
                    <w:spacing w:line="400" w:lineRule="exact"/>
                    <w:jc w:val="center"/>
                    <w:rPr>
                      <w:b w:val="0"/>
                      <w:kern w:val="28"/>
                      <w:sz w:val="21"/>
                      <w:szCs w:val="21"/>
                    </w:rPr>
                  </w:pPr>
                  <w:r>
                    <w:rPr>
                      <w:b w:val="0"/>
                      <w:sz w:val="21"/>
                      <w:szCs w:val="21"/>
                    </w:rPr>
                    <w:t>废</w:t>
                  </w:r>
                  <w:r>
                    <w:rPr>
                      <w:rFonts w:hint="eastAsia"/>
                      <w:b w:val="0"/>
                      <w:sz w:val="21"/>
                      <w:szCs w:val="21"/>
                    </w:rPr>
                    <w:t>液压油</w:t>
                  </w:r>
                  <w:r>
                    <w:rPr>
                      <w:b w:val="0"/>
                      <w:sz w:val="21"/>
                      <w:szCs w:val="21"/>
                    </w:rPr>
                    <w:t>、</w:t>
                  </w:r>
                  <w:r>
                    <w:rPr>
                      <w:rFonts w:hint="eastAsia"/>
                      <w:b w:val="0"/>
                      <w:sz w:val="21"/>
                      <w:szCs w:val="21"/>
                    </w:rPr>
                    <w:t>废活性炭、废UV灯管、废油墨桶、废抹布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4" w:type="pct"/>
                  <w:vAlign w:val="center"/>
                </w:tcPr>
                <w:p>
                  <w:pPr>
                    <w:pStyle w:val="98"/>
                    <w:spacing w:line="400" w:lineRule="exact"/>
                    <w:jc w:val="center"/>
                    <w:rPr>
                      <w:b w:val="0"/>
                      <w:kern w:val="28"/>
                      <w:sz w:val="21"/>
                      <w:szCs w:val="21"/>
                    </w:rPr>
                  </w:pPr>
                  <w:r>
                    <w:rPr>
                      <w:rFonts w:hint="eastAsia"/>
                      <w:b w:val="0"/>
                      <w:kern w:val="28"/>
                      <w:sz w:val="21"/>
                      <w:szCs w:val="21"/>
                    </w:rPr>
                    <w:t>7</w:t>
                  </w:r>
                </w:p>
              </w:tc>
              <w:tc>
                <w:tcPr>
                  <w:tcW w:w="713" w:type="pct"/>
                  <w:vMerge w:val="continue"/>
                </w:tcPr>
                <w:p>
                  <w:pPr>
                    <w:pStyle w:val="98"/>
                    <w:spacing w:line="400" w:lineRule="exact"/>
                    <w:jc w:val="center"/>
                    <w:rPr>
                      <w:b w:val="0"/>
                      <w:kern w:val="28"/>
                      <w:sz w:val="21"/>
                      <w:szCs w:val="21"/>
                    </w:rPr>
                  </w:pPr>
                </w:p>
              </w:tc>
              <w:tc>
                <w:tcPr>
                  <w:tcW w:w="674" w:type="pct"/>
                  <w:vAlign w:val="center"/>
                </w:tcPr>
                <w:p>
                  <w:pPr>
                    <w:pStyle w:val="98"/>
                    <w:spacing w:line="400" w:lineRule="exact"/>
                    <w:jc w:val="center"/>
                    <w:rPr>
                      <w:b w:val="0"/>
                      <w:sz w:val="21"/>
                      <w:szCs w:val="21"/>
                    </w:rPr>
                  </w:pPr>
                  <w:r>
                    <w:rPr>
                      <w:rFonts w:hint="eastAsia"/>
                      <w:b w:val="0"/>
                      <w:sz w:val="21"/>
                      <w:szCs w:val="21"/>
                    </w:rPr>
                    <w:t>生活垃圾</w:t>
                  </w:r>
                </w:p>
              </w:tc>
              <w:tc>
                <w:tcPr>
                  <w:tcW w:w="3148" w:type="pct"/>
                  <w:vAlign w:val="center"/>
                </w:tcPr>
                <w:p>
                  <w:pPr>
                    <w:pStyle w:val="98"/>
                    <w:spacing w:line="400" w:lineRule="exact"/>
                    <w:jc w:val="center"/>
                    <w:rPr>
                      <w:b w:val="0"/>
                      <w:sz w:val="21"/>
                      <w:szCs w:val="21"/>
                    </w:rPr>
                  </w:pPr>
                  <w:r>
                    <w:rPr>
                      <w:rFonts w:hint="eastAsia"/>
                      <w:b w:val="0"/>
                      <w:sz w:val="21"/>
                      <w:szCs w:val="21"/>
                    </w:rPr>
                    <w:t>生活垃圾</w:t>
                  </w:r>
                </w:p>
              </w:tc>
            </w:tr>
          </w:tbl>
          <w:p>
            <w:pPr>
              <w:pStyle w:val="51"/>
              <w:spacing w:line="20" w:lineRule="exact"/>
              <w:ind w:firstLine="0" w:firstLineChars="0"/>
              <w:rPr>
                <w:rFonts w:ascii="宋体" w:hAnsi="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26" w:type="dxa"/>
            <w:vAlign w:val="center"/>
          </w:tcPr>
          <w:p>
            <w:pPr>
              <w:pStyle w:val="19"/>
              <w:adjustRightInd w:val="0"/>
              <w:snapToGrid w:val="0"/>
              <w:spacing w:before="0" w:beforeAutospacing="0" w:after="0" w:afterAutospacing="0"/>
              <w:jc w:val="center"/>
              <w:rPr>
                <w:rFonts w:cs="宋体"/>
                <w:sz w:val="21"/>
                <w:szCs w:val="21"/>
              </w:rPr>
            </w:pPr>
            <w:r>
              <w:rPr>
                <w:rFonts w:hint="eastAsia" w:cs="宋体"/>
                <w:bCs/>
                <w:kern w:val="2"/>
                <w:sz w:val="21"/>
                <w:szCs w:val="21"/>
              </w:rPr>
              <w:t>与项目有关的原有环境污染问题</w:t>
            </w:r>
          </w:p>
        </w:tc>
        <w:tc>
          <w:tcPr>
            <w:tcW w:w="8634" w:type="dxa"/>
          </w:tcPr>
          <w:p>
            <w:pPr>
              <w:pStyle w:val="51"/>
              <w:ind w:firstLine="480"/>
            </w:pPr>
            <w:r>
              <w:rPr>
                <w:rFonts w:hint="eastAsia"/>
              </w:rPr>
              <w:t>本项目为改扩建项目，利用现有厂房进行改扩建，租赁协议见附件3，不存在原有环境污染问题。</w:t>
            </w:r>
          </w:p>
          <w:p>
            <w:pPr>
              <w:pStyle w:val="91"/>
              <w:rPr>
                <w:b w:val="0"/>
                <w:color w:val="auto"/>
              </w:rPr>
            </w:pPr>
            <w:r>
              <w:rPr>
                <w:b w:val="0"/>
                <w:color w:val="auto"/>
              </w:rPr>
              <w:t>1、现有工程环保手续情况</w:t>
            </w:r>
          </w:p>
          <w:p>
            <w:pPr>
              <w:pStyle w:val="53"/>
              <w:ind w:firstLine="480"/>
              <w:rPr>
                <w:lang w:bidi="zh-CN"/>
              </w:rPr>
            </w:pPr>
            <w:r>
              <w:rPr>
                <w:lang w:bidi="zh-CN"/>
              </w:rPr>
              <w:t>表1</w:t>
            </w:r>
            <w:r>
              <w:rPr>
                <w:rFonts w:hint="eastAsia"/>
                <w:lang w:bidi="zh-CN"/>
              </w:rPr>
              <w:t xml:space="preserve">4            </w:t>
            </w:r>
            <w:r>
              <w:rPr>
                <w:lang w:bidi="zh-CN"/>
              </w:rPr>
              <w:t>现有工程环保手续履行情况清单</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2" w:type="pct"/>
                  <w:vAlign w:val="center"/>
                </w:tcPr>
                <w:p>
                  <w:pPr>
                    <w:pStyle w:val="68"/>
                  </w:pPr>
                  <w:r>
                    <w:t>项目类别</w:t>
                  </w:r>
                </w:p>
              </w:tc>
              <w:tc>
                <w:tcPr>
                  <w:tcW w:w="4328" w:type="pct"/>
                  <w:vAlign w:val="center"/>
                </w:tcPr>
                <w:p>
                  <w:pPr>
                    <w:pStyle w:val="68"/>
                  </w:pPr>
                  <w: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2" w:type="pct"/>
                  <w:vAlign w:val="center"/>
                </w:tcPr>
                <w:p>
                  <w:pPr>
                    <w:pStyle w:val="68"/>
                  </w:pPr>
                  <w:r>
                    <w:t>环评</w:t>
                  </w:r>
                </w:p>
              </w:tc>
              <w:tc>
                <w:tcPr>
                  <w:tcW w:w="4328" w:type="pct"/>
                  <w:vAlign w:val="center"/>
                </w:tcPr>
                <w:p>
                  <w:pPr>
                    <w:pStyle w:val="68"/>
                    <w:jc w:val="left"/>
                  </w:pPr>
                  <w:r>
                    <w:rPr>
                      <w:rFonts w:hint="eastAsia"/>
                    </w:rPr>
                    <w:t>现有工程仅涉及编织、冷切和缝纫，《建设项目环境影响评价分类管理名录》（2021 年版）未作规定，不纳入建设项目环境影响评价管理，直接纳入排污许可管理。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2" w:type="pct"/>
                  <w:vAlign w:val="center"/>
                </w:tcPr>
                <w:p>
                  <w:pPr>
                    <w:pStyle w:val="68"/>
                  </w:pPr>
                  <w:r>
                    <w:t>排污</w:t>
                  </w:r>
                </w:p>
                <w:p>
                  <w:pPr>
                    <w:pStyle w:val="68"/>
                  </w:pPr>
                  <w:r>
                    <w:t>许可证</w:t>
                  </w:r>
                </w:p>
              </w:tc>
              <w:tc>
                <w:tcPr>
                  <w:tcW w:w="4328" w:type="pct"/>
                  <w:vAlign w:val="center"/>
                </w:tcPr>
                <w:p>
                  <w:pPr>
                    <w:pStyle w:val="68"/>
                    <w:jc w:val="left"/>
                  </w:pPr>
                  <w:r>
                    <w:t>202</w:t>
                  </w:r>
                  <w:r>
                    <w:rPr>
                      <w:rFonts w:hint="eastAsia"/>
                    </w:rPr>
                    <w:t>3</w:t>
                  </w:r>
                  <w:r>
                    <w:t>年</w:t>
                  </w:r>
                  <w:r>
                    <w:rPr>
                      <w:rFonts w:hint="eastAsia"/>
                    </w:rPr>
                    <w:t>3</w:t>
                  </w:r>
                  <w:r>
                    <w:t>月</w:t>
                  </w:r>
                  <w:r>
                    <w:rPr>
                      <w:rFonts w:hint="eastAsia"/>
                    </w:rPr>
                    <w:t>3</w:t>
                  </w:r>
                  <w:r>
                    <w:t>日，企业完成了排污许可证的填报工作（登记管理），并取得排污许可证，编号为91410307MA9LR73U30001Y，</w:t>
                  </w:r>
                  <w:r>
                    <w:rPr>
                      <w:rFonts w:hint="eastAsia"/>
                    </w:rPr>
                    <w:t>登记日期为2023 年03月03日，有效时间为2023 年03月03日至2028年03月02日</w:t>
                  </w:r>
                  <w:r>
                    <w:t>；</w:t>
                  </w:r>
                </w:p>
              </w:tc>
            </w:tr>
          </w:tbl>
          <w:p>
            <w:pPr>
              <w:pStyle w:val="98"/>
              <w:rPr>
                <w:b w:val="0"/>
              </w:rPr>
            </w:pPr>
            <w:r>
              <w:rPr>
                <w:b w:val="0"/>
              </w:rPr>
              <w:t>2、现有工程基本情况</w:t>
            </w:r>
          </w:p>
          <w:p>
            <w:pPr>
              <w:pStyle w:val="91"/>
              <w:rPr>
                <w:b w:val="0"/>
                <w:color w:val="auto"/>
              </w:rPr>
            </w:pPr>
            <w:r>
              <w:rPr>
                <w:b w:val="0"/>
                <w:color w:val="auto"/>
              </w:rPr>
              <w:t>2.1现有工程主要建设内容</w:t>
            </w:r>
          </w:p>
          <w:p>
            <w:pPr>
              <w:pStyle w:val="53"/>
              <w:ind w:firstLine="480"/>
            </w:pPr>
            <w:r>
              <w:t>表1</w:t>
            </w:r>
            <w:r>
              <w:rPr>
                <w:rFonts w:hint="eastAsia"/>
              </w:rPr>
              <w:t xml:space="preserve">5            </w:t>
            </w:r>
            <w:r>
              <w:t>现有工程组成情况表</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1820"/>
              <w:gridCol w:w="54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668" w:type="pct"/>
                  <w:shd w:val="clear" w:color="auto" w:fill="auto"/>
                  <w:vAlign w:val="center"/>
                </w:tcPr>
                <w:p>
                  <w:pPr>
                    <w:pStyle w:val="68"/>
                  </w:pPr>
                  <w:r>
                    <w:rPr>
                      <w:rFonts w:hint="eastAsia"/>
                    </w:rPr>
                    <w:t>工程</w:t>
                  </w:r>
                </w:p>
                <w:p>
                  <w:pPr>
                    <w:pStyle w:val="68"/>
                  </w:pPr>
                  <w:r>
                    <w:rPr>
                      <w:rFonts w:hint="eastAsia"/>
                    </w:rPr>
                    <w:t>类别</w:t>
                  </w:r>
                </w:p>
              </w:tc>
              <w:tc>
                <w:tcPr>
                  <w:tcW w:w="1085" w:type="pct"/>
                  <w:shd w:val="clear" w:color="auto" w:fill="auto"/>
                  <w:vAlign w:val="center"/>
                </w:tcPr>
                <w:p>
                  <w:pPr>
                    <w:pStyle w:val="68"/>
                  </w:pPr>
                  <w:r>
                    <w:rPr>
                      <w:rFonts w:hint="eastAsia"/>
                    </w:rPr>
                    <w:t>工程名称</w:t>
                  </w:r>
                </w:p>
              </w:tc>
              <w:tc>
                <w:tcPr>
                  <w:tcW w:w="3248" w:type="pct"/>
                  <w:shd w:val="clear" w:color="auto" w:fill="auto"/>
                  <w:vAlign w:val="center"/>
                </w:tcPr>
                <w:p>
                  <w:pPr>
                    <w:pStyle w:val="68"/>
                  </w:pPr>
                  <w:r>
                    <w:rPr>
                      <w:rFonts w:hint="eastAsia"/>
                    </w:rPr>
                    <w:t>工程内容及规模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668" w:type="pct"/>
                  <w:shd w:val="clear" w:color="auto" w:fill="auto"/>
                  <w:vAlign w:val="center"/>
                </w:tcPr>
                <w:p>
                  <w:pPr>
                    <w:pStyle w:val="68"/>
                    <w:rPr>
                      <w:b/>
                      <w:u w:val="single"/>
                    </w:rPr>
                  </w:pPr>
                  <w:r>
                    <w:rPr>
                      <w:rFonts w:hint="eastAsia"/>
                    </w:rPr>
                    <w:t>主体工程</w:t>
                  </w:r>
                </w:p>
              </w:tc>
              <w:tc>
                <w:tcPr>
                  <w:tcW w:w="1085" w:type="pct"/>
                  <w:shd w:val="clear" w:color="auto" w:fill="auto"/>
                  <w:vAlign w:val="center"/>
                </w:tcPr>
                <w:p>
                  <w:pPr>
                    <w:pStyle w:val="105"/>
                    <w:widowControl/>
                    <w:spacing w:line="400" w:lineRule="exact"/>
                    <w:rPr>
                      <w:rFonts w:hint="default" w:ascii="Times New Roman" w:hAnsi="Times New Roman" w:eastAsia="宋体"/>
                      <w:bCs/>
                      <w:kern w:val="2"/>
                      <w:sz w:val="21"/>
                    </w:rPr>
                  </w:pPr>
                  <w:r>
                    <w:rPr>
                      <w:rFonts w:ascii="Times New Roman" w:hAnsi="Times New Roman" w:eastAsia="宋体"/>
                      <w:bCs/>
                      <w:kern w:val="2"/>
                      <w:sz w:val="21"/>
                    </w:rPr>
                    <w:t>生产</w:t>
                  </w:r>
                  <w:r>
                    <w:rPr>
                      <w:rFonts w:hint="default" w:ascii="Times New Roman" w:hAnsi="Times New Roman" w:eastAsia="宋体"/>
                      <w:bCs/>
                      <w:kern w:val="2"/>
                      <w:sz w:val="21"/>
                    </w:rPr>
                    <w:t>车间</w:t>
                  </w:r>
                </w:p>
              </w:tc>
              <w:tc>
                <w:tcPr>
                  <w:tcW w:w="3248" w:type="pct"/>
                  <w:shd w:val="clear" w:color="auto" w:fill="auto"/>
                  <w:vAlign w:val="center"/>
                </w:tcPr>
                <w:p>
                  <w:pPr>
                    <w:pStyle w:val="105"/>
                    <w:widowControl/>
                    <w:spacing w:line="400" w:lineRule="exact"/>
                    <w:rPr>
                      <w:rFonts w:hint="default" w:ascii="Times New Roman" w:hAnsi="Times New Roman" w:eastAsia="宋体"/>
                      <w:bCs/>
                      <w:kern w:val="2"/>
                      <w:sz w:val="21"/>
                      <w:szCs w:val="21"/>
                    </w:rPr>
                  </w:pPr>
                  <w:r>
                    <w:rPr>
                      <w:rFonts w:ascii="Times New Roman" w:hAnsi="Times New Roman" w:eastAsia="宋体"/>
                      <w:bCs/>
                      <w:kern w:val="2"/>
                      <w:sz w:val="21"/>
                      <w:szCs w:val="21"/>
                    </w:rPr>
                    <w:t>2F，钢架结构，H=12m，占地</w:t>
                  </w:r>
                  <w:r>
                    <w:rPr>
                      <w:rFonts w:hint="default" w:ascii="Times New Roman" w:hAnsi="Times New Roman" w:eastAsia="宋体"/>
                      <w:bCs/>
                      <w:kern w:val="2"/>
                      <w:sz w:val="21"/>
                      <w:szCs w:val="21"/>
                    </w:rPr>
                    <w:t>面积</w:t>
                  </w:r>
                  <w:r>
                    <w:rPr>
                      <w:rFonts w:ascii="Times New Roman" w:hAnsi="Times New Roman" w:eastAsia="宋体"/>
                      <w:bCs/>
                      <w:kern w:val="2"/>
                      <w:sz w:val="21"/>
                      <w:szCs w:val="21"/>
                    </w:rPr>
                    <w:t>3200</w:t>
                  </w:r>
                  <w:r>
                    <w:rPr>
                      <w:rFonts w:hint="default" w:ascii="Times New Roman" w:hAnsi="Times New Roman" w:eastAsia="宋体"/>
                      <w:bCs/>
                      <w:kern w:val="2"/>
                      <w:sz w:val="21"/>
                      <w:szCs w:val="21"/>
                    </w:rPr>
                    <w:t>m</w:t>
                  </w:r>
                  <w:r>
                    <w:rPr>
                      <w:rFonts w:hint="default" w:ascii="Times New Roman" w:hAnsi="Times New Roman" w:eastAsia="宋体"/>
                      <w:bCs/>
                      <w:kern w:val="2"/>
                      <w:sz w:val="21"/>
                      <w:szCs w:val="21"/>
                      <w:vertAlign w:val="superscript"/>
                    </w:rPr>
                    <w:t>2</w:t>
                  </w:r>
                  <w:r>
                    <w:rPr>
                      <w:rFonts w:hint="default" w:ascii="Times New Roman" w:hAnsi="Times New Roman" w:eastAsia="宋体"/>
                      <w:bCs/>
                      <w:kern w:val="2"/>
                      <w:sz w:val="21"/>
                      <w:szCs w:val="21"/>
                    </w:rPr>
                    <w:t>，</w:t>
                  </w:r>
                  <w:r>
                    <w:rPr>
                      <w:rFonts w:ascii="Times New Roman" w:hAnsi="Times New Roman" w:eastAsia="宋体"/>
                      <w:bCs/>
                      <w:kern w:val="2"/>
                      <w:sz w:val="21"/>
                      <w:szCs w:val="21"/>
                    </w:rPr>
                    <w:t>1楼南侧为缝纫区，北侧为原料区，2楼为吊带编织区和冷裁区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668" w:type="pct"/>
                  <w:shd w:val="clear" w:color="auto" w:fill="auto"/>
                  <w:vAlign w:val="center"/>
                </w:tcPr>
                <w:p>
                  <w:pPr>
                    <w:pStyle w:val="68"/>
                  </w:pPr>
                  <w:r>
                    <w:rPr>
                      <w:rFonts w:hint="eastAsia"/>
                    </w:rPr>
                    <w:t>辅助工程</w:t>
                  </w:r>
                </w:p>
              </w:tc>
              <w:tc>
                <w:tcPr>
                  <w:tcW w:w="1085" w:type="pct"/>
                  <w:shd w:val="clear" w:color="auto" w:fill="auto"/>
                  <w:vAlign w:val="center"/>
                </w:tcPr>
                <w:p>
                  <w:pPr>
                    <w:pStyle w:val="68"/>
                  </w:pPr>
                  <w:r>
                    <w:rPr>
                      <w:rFonts w:hint="eastAsia"/>
                    </w:rPr>
                    <w:t>办公楼</w:t>
                  </w:r>
                </w:p>
              </w:tc>
              <w:tc>
                <w:tcPr>
                  <w:tcW w:w="3248" w:type="pct"/>
                  <w:shd w:val="clear" w:color="auto" w:fill="auto"/>
                  <w:vAlign w:val="center"/>
                </w:tcPr>
                <w:p>
                  <w:pPr>
                    <w:pStyle w:val="68"/>
                    <w:rPr>
                      <w:b/>
                      <w:u w:val="single"/>
                    </w:rPr>
                  </w:pPr>
                  <w:r>
                    <w:rPr>
                      <w:szCs w:val="21"/>
                    </w:rPr>
                    <w:t>400m</w:t>
                  </w:r>
                  <w:r>
                    <w:rPr>
                      <w:szCs w:val="21"/>
                      <w:vertAlign w:val="superscript"/>
                    </w:rPr>
                    <w:t>2</w:t>
                  </w:r>
                  <w:r>
                    <w:rPr>
                      <w:szCs w:val="21"/>
                    </w:rPr>
                    <w:t>，</w:t>
                  </w:r>
                  <w:r>
                    <w:rPr>
                      <w:bCs/>
                      <w:szCs w:val="21"/>
                    </w:rPr>
                    <w:t>2F，</w:t>
                  </w:r>
                  <w:r>
                    <w:rPr>
                      <w:spacing w:val="-3"/>
                      <w:szCs w:val="21"/>
                    </w:rPr>
                    <w:t>位于厂区东北角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668" w:type="pct"/>
                  <w:vMerge w:val="restart"/>
                  <w:shd w:val="clear" w:color="auto" w:fill="auto"/>
                  <w:vAlign w:val="center"/>
                </w:tcPr>
                <w:p>
                  <w:pPr>
                    <w:pStyle w:val="68"/>
                  </w:pPr>
                  <w:r>
                    <w:rPr>
                      <w:rFonts w:hint="eastAsia"/>
                    </w:rPr>
                    <w:t>公用</w:t>
                  </w:r>
                </w:p>
                <w:p>
                  <w:pPr>
                    <w:pStyle w:val="68"/>
                  </w:pPr>
                  <w:r>
                    <w:rPr>
                      <w:rFonts w:hint="eastAsia"/>
                    </w:rPr>
                    <w:t>工程</w:t>
                  </w:r>
                </w:p>
              </w:tc>
              <w:tc>
                <w:tcPr>
                  <w:tcW w:w="1085" w:type="pct"/>
                  <w:shd w:val="clear" w:color="auto" w:fill="auto"/>
                  <w:vAlign w:val="center"/>
                </w:tcPr>
                <w:p>
                  <w:pPr>
                    <w:pStyle w:val="105"/>
                    <w:widowControl/>
                    <w:spacing w:line="400" w:lineRule="exact"/>
                    <w:rPr>
                      <w:rFonts w:hint="default" w:ascii="Times New Roman" w:hAnsi="Times New Roman" w:eastAsia="宋体"/>
                      <w:bCs/>
                      <w:kern w:val="2"/>
                      <w:sz w:val="21"/>
                    </w:rPr>
                  </w:pPr>
                  <w:r>
                    <w:rPr>
                      <w:rFonts w:hint="default" w:ascii="Times New Roman" w:hAnsi="Times New Roman" w:eastAsia="宋体"/>
                      <w:bCs/>
                      <w:kern w:val="2"/>
                      <w:sz w:val="21"/>
                    </w:rPr>
                    <w:t>供水系统</w:t>
                  </w:r>
                </w:p>
              </w:tc>
              <w:tc>
                <w:tcPr>
                  <w:tcW w:w="3248" w:type="pct"/>
                  <w:shd w:val="clear" w:color="auto" w:fill="auto"/>
                  <w:vAlign w:val="center"/>
                </w:tcPr>
                <w:p>
                  <w:pPr>
                    <w:pStyle w:val="105"/>
                    <w:widowControl/>
                    <w:spacing w:line="400" w:lineRule="exact"/>
                    <w:rPr>
                      <w:rFonts w:hint="default" w:ascii="Times New Roman" w:hAnsi="Times New Roman" w:eastAsia="宋体"/>
                      <w:bCs/>
                      <w:kern w:val="2"/>
                      <w:sz w:val="21"/>
                    </w:rPr>
                  </w:pPr>
                  <w:r>
                    <w:rPr>
                      <w:rFonts w:ascii="Times New Roman" w:hAnsi="Times New Roman" w:eastAsia="宋体"/>
                      <w:bCs/>
                      <w:kern w:val="2"/>
                      <w:sz w:val="21"/>
                    </w:rPr>
                    <w:t>由岳滩镇自来</w:t>
                  </w:r>
                  <w:r>
                    <w:rPr>
                      <w:rFonts w:hint="default" w:ascii="Times New Roman" w:hAnsi="Times New Roman" w:eastAsia="宋体"/>
                      <w:bCs/>
                      <w:kern w:val="2"/>
                      <w:sz w:val="21"/>
                    </w:rPr>
                    <w:t>水管网供水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668" w:type="pct"/>
                  <w:vMerge w:val="continue"/>
                  <w:shd w:val="clear" w:color="auto" w:fill="auto"/>
                  <w:vAlign w:val="center"/>
                </w:tcPr>
                <w:p>
                  <w:pPr>
                    <w:pStyle w:val="68"/>
                    <w:rPr>
                      <w:rFonts w:ascii="Calibri" w:hAnsi="Calibri"/>
                    </w:rPr>
                  </w:pPr>
                </w:p>
              </w:tc>
              <w:tc>
                <w:tcPr>
                  <w:tcW w:w="1085" w:type="pct"/>
                  <w:shd w:val="clear" w:color="auto" w:fill="auto"/>
                  <w:vAlign w:val="center"/>
                </w:tcPr>
                <w:p>
                  <w:pPr>
                    <w:pStyle w:val="105"/>
                    <w:widowControl/>
                    <w:spacing w:line="400" w:lineRule="exact"/>
                    <w:rPr>
                      <w:rFonts w:hint="default" w:ascii="Times New Roman" w:hAnsi="Times New Roman" w:eastAsia="宋体"/>
                      <w:bCs/>
                      <w:kern w:val="2"/>
                      <w:sz w:val="21"/>
                    </w:rPr>
                  </w:pPr>
                  <w:r>
                    <w:rPr>
                      <w:rFonts w:hint="default" w:ascii="Times New Roman" w:hAnsi="Times New Roman" w:eastAsia="宋体"/>
                      <w:kern w:val="2"/>
                      <w:sz w:val="21"/>
                      <w:szCs w:val="21"/>
                    </w:rPr>
                    <w:t>排水系统</w:t>
                  </w:r>
                </w:p>
              </w:tc>
              <w:tc>
                <w:tcPr>
                  <w:tcW w:w="3248" w:type="pct"/>
                  <w:shd w:val="clear" w:color="auto" w:fill="auto"/>
                  <w:vAlign w:val="center"/>
                </w:tcPr>
                <w:p>
                  <w:pPr>
                    <w:pStyle w:val="105"/>
                    <w:widowControl/>
                    <w:spacing w:line="360" w:lineRule="exact"/>
                    <w:jc w:val="left"/>
                    <w:rPr>
                      <w:rFonts w:hint="default"/>
                    </w:rPr>
                  </w:pPr>
                  <w:r>
                    <w:rPr>
                      <w:rStyle w:val="31"/>
                      <w:rFonts w:hint="default" w:ascii="Times New Roman" w:hAnsi="Times New Roman" w:eastAsia="宋体"/>
                      <w:kern w:val="0"/>
                    </w:rPr>
                    <w:t>生活污水经</w:t>
                  </w:r>
                  <w:r>
                    <w:rPr>
                      <w:rStyle w:val="31"/>
                      <w:rFonts w:ascii="Times New Roman" w:hAnsi="Times New Roman" w:eastAsia="宋体"/>
                      <w:kern w:val="0"/>
                    </w:rPr>
                    <w:t>厂区现有</w:t>
                  </w:r>
                  <w:r>
                    <w:rPr>
                      <w:rStyle w:val="31"/>
                      <w:rFonts w:hint="default" w:ascii="Times New Roman" w:hAnsi="Times New Roman" w:eastAsia="宋体"/>
                      <w:kern w:val="0"/>
                    </w:rPr>
                    <w:t>化粪池</w:t>
                  </w:r>
                  <w:r>
                    <w:rPr>
                      <w:rStyle w:val="31"/>
                      <w:rFonts w:ascii="Times New Roman" w:hAnsi="Times New Roman" w:eastAsia="宋体"/>
                      <w:kern w:val="0"/>
                    </w:rPr>
                    <w:t>（10m</w:t>
                  </w:r>
                  <w:r>
                    <w:rPr>
                      <w:rStyle w:val="31"/>
                      <w:rFonts w:ascii="Times New Roman" w:hAnsi="Times New Roman" w:eastAsia="宋体"/>
                      <w:kern w:val="0"/>
                      <w:vertAlign w:val="superscript"/>
                    </w:rPr>
                    <w:t>3</w:t>
                  </w:r>
                  <w:r>
                    <w:rPr>
                      <w:rStyle w:val="31"/>
                      <w:rFonts w:ascii="Times New Roman" w:hAnsi="Times New Roman" w:eastAsia="宋体"/>
                      <w:kern w:val="0"/>
                    </w:rPr>
                    <w:t>）</w:t>
                  </w:r>
                  <w:r>
                    <w:rPr>
                      <w:rStyle w:val="31"/>
                      <w:rFonts w:hint="default" w:ascii="Times New Roman" w:hAnsi="Times New Roman" w:eastAsia="宋体"/>
                      <w:kern w:val="0"/>
                    </w:rPr>
                    <w:t>处理后</w:t>
                  </w:r>
                  <w:r>
                    <w:rPr>
                      <w:rStyle w:val="31"/>
                      <w:rFonts w:ascii="Times New Roman" w:hAnsi="Times New Roman" w:eastAsia="宋体"/>
                      <w:kern w:val="0"/>
                    </w:rPr>
                    <w:t>用于肥田。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668" w:type="pct"/>
                  <w:vMerge w:val="continue"/>
                  <w:shd w:val="clear" w:color="auto" w:fill="auto"/>
                  <w:vAlign w:val="center"/>
                </w:tcPr>
                <w:p>
                  <w:pPr>
                    <w:pStyle w:val="68"/>
                    <w:rPr>
                      <w:rFonts w:ascii="Calibri" w:hAnsi="Calibri"/>
                    </w:rPr>
                  </w:pPr>
                </w:p>
              </w:tc>
              <w:tc>
                <w:tcPr>
                  <w:tcW w:w="1085" w:type="pct"/>
                  <w:shd w:val="clear" w:color="auto" w:fill="auto"/>
                  <w:vAlign w:val="center"/>
                </w:tcPr>
                <w:p>
                  <w:pPr>
                    <w:pStyle w:val="105"/>
                    <w:widowControl/>
                    <w:spacing w:line="400" w:lineRule="exact"/>
                    <w:rPr>
                      <w:rFonts w:hint="default" w:ascii="Times New Roman" w:hAnsi="Times New Roman" w:eastAsia="宋体"/>
                      <w:bCs/>
                      <w:kern w:val="2"/>
                      <w:sz w:val="21"/>
                    </w:rPr>
                  </w:pPr>
                  <w:r>
                    <w:rPr>
                      <w:rFonts w:hint="default" w:ascii="Times New Roman" w:hAnsi="Times New Roman" w:eastAsia="宋体"/>
                      <w:bCs/>
                      <w:kern w:val="2"/>
                      <w:sz w:val="21"/>
                    </w:rPr>
                    <w:t>供电系统</w:t>
                  </w:r>
                </w:p>
              </w:tc>
              <w:tc>
                <w:tcPr>
                  <w:tcW w:w="3248" w:type="pct"/>
                  <w:shd w:val="clear" w:color="auto" w:fill="auto"/>
                  <w:vAlign w:val="center"/>
                </w:tcPr>
                <w:p>
                  <w:pPr>
                    <w:pStyle w:val="105"/>
                    <w:widowControl/>
                    <w:spacing w:line="400" w:lineRule="exact"/>
                    <w:rPr>
                      <w:rFonts w:hint="default" w:ascii="Times New Roman" w:hAnsi="Times New Roman" w:eastAsia="宋体"/>
                      <w:bCs/>
                      <w:kern w:val="2"/>
                      <w:sz w:val="21"/>
                    </w:rPr>
                  </w:pPr>
                  <w:r>
                    <w:rPr>
                      <w:rFonts w:ascii="Times New Roman" w:hAnsi="Times New Roman" w:eastAsia="宋体"/>
                      <w:bCs/>
                      <w:kern w:val="2"/>
                      <w:sz w:val="21"/>
                    </w:rPr>
                    <w:t>由岳滩镇供电系统供给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668" w:type="pct"/>
                  <w:vMerge w:val="restart"/>
                  <w:shd w:val="clear" w:color="auto" w:fill="auto"/>
                  <w:vAlign w:val="center"/>
                </w:tcPr>
                <w:p>
                  <w:pPr>
                    <w:pStyle w:val="68"/>
                  </w:pPr>
                  <w:r>
                    <w:rPr>
                      <w:rFonts w:hint="eastAsia"/>
                    </w:rPr>
                    <w:t>环保</w:t>
                  </w:r>
                </w:p>
                <w:p>
                  <w:pPr>
                    <w:pStyle w:val="68"/>
                  </w:pPr>
                  <w:r>
                    <w:rPr>
                      <w:rFonts w:hint="eastAsia"/>
                    </w:rPr>
                    <w:t>工程</w:t>
                  </w:r>
                </w:p>
              </w:tc>
              <w:tc>
                <w:tcPr>
                  <w:tcW w:w="1085" w:type="pct"/>
                  <w:shd w:val="clear" w:color="auto" w:fill="auto"/>
                  <w:vAlign w:val="center"/>
                </w:tcPr>
                <w:p>
                  <w:pPr>
                    <w:pStyle w:val="105"/>
                    <w:widowControl/>
                    <w:spacing w:line="360" w:lineRule="exact"/>
                    <w:rPr>
                      <w:rFonts w:hint="default" w:ascii="Times New Roman" w:hAnsi="Times New Roman" w:eastAsia="宋体"/>
                      <w:kern w:val="2"/>
                      <w:sz w:val="21"/>
                    </w:rPr>
                  </w:pPr>
                  <w:r>
                    <w:rPr>
                      <w:rFonts w:ascii="Times New Roman" w:hAnsi="Times New Roman" w:eastAsia="宋体"/>
                      <w:kern w:val="2"/>
                      <w:sz w:val="21"/>
                    </w:rPr>
                    <w:t>废水治理</w:t>
                  </w:r>
                </w:p>
              </w:tc>
              <w:tc>
                <w:tcPr>
                  <w:tcW w:w="3248" w:type="pct"/>
                  <w:shd w:val="clear" w:color="auto" w:fill="auto"/>
                  <w:vAlign w:val="center"/>
                </w:tcPr>
                <w:p>
                  <w:pPr>
                    <w:pStyle w:val="105"/>
                    <w:widowControl/>
                    <w:spacing w:line="360" w:lineRule="exact"/>
                    <w:jc w:val="left"/>
                    <w:rPr>
                      <w:rFonts w:hint="default"/>
                    </w:rPr>
                  </w:pPr>
                  <w:r>
                    <w:rPr>
                      <w:rStyle w:val="31"/>
                      <w:rFonts w:hint="default" w:ascii="Times New Roman" w:hAnsi="Times New Roman" w:eastAsia="宋体"/>
                      <w:kern w:val="0"/>
                    </w:rPr>
                    <w:t>生活污水经</w:t>
                  </w:r>
                  <w:r>
                    <w:rPr>
                      <w:rStyle w:val="31"/>
                      <w:rFonts w:ascii="Times New Roman" w:hAnsi="Times New Roman" w:eastAsia="宋体"/>
                      <w:kern w:val="0"/>
                    </w:rPr>
                    <w:t>厂区现有</w:t>
                  </w:r>
                  <w:r>
                    <w:rPr>
                      <w:rStyle w:val="31"/>
                      <w:rFonts w:hint="default" w:ascii="Times New Roman" w:hAnsi="Times New Roman" w:eastAsia="宋体"/>
                      <w:kern w:val="0"/>
                    </w:rPr>
                    <w:t>化粪池</w:t>
                  </w:r>
                  <w:r>
                    <w:rPr>
                      <w:rStyle w:val="31"/>
                      <w:rFonts w:ascii="Times New Roman" w:hAnsi="Times New Roman" w:eastAsia="宋体"/>
                      <w:kern w:val="0"/>
                    </w:rPr>
                    <w:t>（10m</w:t>
                  </w:r>
                  <w:r>
                    <w:rPr>
                      <w:rStyle w:val="31"/>
                      <w:rFonts w:ascii="Times New Roman" w:hAnsi="Times New Roman" w:eastAsia="宋体"/>
                      <w:kern w:val="0"/>
                      <w:vertAlign w:val="superscript"/>
                    </w:rPr>
                    <w:t>3</w:t>
                  </w:r>
                  <w:r>
                    <w:rPr>
                      <w:rStyle w:val="31"/>
                      <w:rFonts w:ascii="Times New Roman" w:hAnsi="Times New Roman" w:eastAsia="宋体"/>
                      <w:kern w:val="0"/>
                    </w:rPr>
                    <w:t>）</w:t>
                  </w:r>
                  <w:r>
                    <w:rPr>
                      <w:rStyle w:val="31"/>
                      <w:rFonts w:hint="default" w:ascii="Times New Roman" w:hAnsi="Times New Roman" w:eastAsia="宋体"/>
                      <w:kern w:val="0"/>
                    </w:rPr>
                    <w:t>处理后</w:t>
                  </w:r>
                  <w:r>
                    <w:rPr>
                      <w:rStyle w:val="31"/>
                      <w:rFonts w:ascii="Times New Roman" w:hAnsi="Times New Roman" w:eastAsia="宋体"/>
                      <w:kern w:val="0"/>
                    </w:rPr>
                    <w:t>用于肥田。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668" w:type="pct"/>
                  <w:vMerge w:val="continue"/>
                  <w:shd w:val="clear" w:color="auto" w:fill="auto"/>
                  <w:vAlign w:val="center"/>
                </w:tcPr>
                <w:p>
                  <w:pPr>
                    <w:pStyle w:val="68"/>
                    <w:rPr>
                      <w:rFonts w:ascii="Calibri" w:hAnsi="Calibri"/>
                      <w:b/>
                      <w:u w:val="single"/>
                    </w:rPr>
                  </w:pPr>
                </w:p>
              </w:tc>
              <w:tc>
                <w:tcPr>
                  <w:tcW w:w="1085" w:type="pct"/>
                  <w:shd w:val="clear" w:color="auto" w:fill="auto"/>
                  <w:vAlign w:val="center"/>
                </w:tcPr>
                <w:p>
                  <w:pPr>
                    <w:pStyle w:val="68"/>
                  </w:pPr>
                  <w:r>
                    <w:rPr>
                      <w:rFonts w:hint="eastAsia"/>
                    </w:rPr>
                    <w:t>噪声</w:t>
                  </w:r>
                </w:p>
              </w:tc>
              <w:tc>
                <w:tcPr>
                  <w:tcW w:w="3248" w:type="pct"/>
                  <w:shd w:val="clear" w:color="auto" w:fill="auto"/>
                  <w:vAlign w:val="center"/>
                </w:tcPr>
                <w:p>
                  <w:pPr>
                    <w:pStyle w:val="68"/>
                  </w:pPr>
                  <w:r>
                    <w:rPr>
                      <w:rFonts w:hint="eastAsia"/>
                    </w:rPr>
                    <w:t>厂房隔声，距离衰减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668" w:type="pct"/>
                  <w:vMerge w:val="continue"/>
                  <w:shd w:val="clear" w:color="auto" w:fill="auto"/>
                  <w:vAlign w:val="center"/>
                </w:tcPr>
                <w:p>
                  <w:pPr>
                    <w:pStyle w:val="68"/>
                    <w:rPr>
                      <w:rFonts w:ascii="Calibri" w:hAnsi="Calibri"/>
                      <w:b/>
                      <w:u w:val="single"/>
                    </w:rPr>
                  </w:pPr>
                </w:p>
              </w:tc>
              <w:tc>
                <w:tcPr>
                  <w:tcW w:w="1085" w:type="pct"/>
                  <w:vMerge w:val="restart"/>
                  <w:shd w:val="clear" w:color="auto" w:fill="auto"/>
                  <w:vAlign w:val="center"/>
                </w:tcPr>
                <w:p>
                  <w:pPr>
                    <w:pStyle w:val="68"/>
                  </w:pPr>
                  <w:r>
                    <w:rPr>
                      <w:rFonts w:hint="eastAsia"/>
                    </w:rPr>
                    <w:t>固废</w:t>
                  </w:r>
                </w:p>
              </w:tc>
              <w:tc>
                <w:tcPr>
                  <w:tcW w:w="3248" w:type="pct"/>
                  <w:shd w:val="clear" w:color="auto" w:fill="auto"/>
                  <w:vAlign w:val="center"/>
                </w:tcPr>
                <w:p>
                  <w:pPr>
                    <w:pStyle w:val="68"/>
                  </w:pPr>
                  <w:r>
                    <w:rPr>
                      <w:rFonts w:hint="eastAsia"/>
                    </w:rPr>
                    <w:t>生活垃圾收集桶收集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668" w:type="pct"/>
                  <w:vMerge w:val="continue"/>
                  <w:shd w:val="clear" w:color="auto" w:fill="auto"/>
                  <w:vAlign w:val="center"/>
                </w:tcPr>
                <w:p>
                  <w:pPr>
                    <w:pStyle w:val="68"/>
                    <w:rPr>
                      <w:rFonts w:ascii="Calibri" w:hAnsi="Calibri"/>
                      <w:b/>
                      <w:u w:val="single"/>
                    </w:rPr>
                  </w:pPr>
                </w:p>
              </w:tc>
              <w:tc>
                <w:tcPr>
                  <w:tcW w:w="1085" w:type="pct"/>
                  <w:vMerge w:val="continue"/>
                  <w:shd w:val="clear" w:color="auto" w:fill="auto"/>
                  <w:vAlign w:val="center"/>
                </w:tcPr>
                <w:p>
                  <w:pPr>
                    <w:pStyle w:val="68"/>
                  </w:pPr>
                </w:p>
              </w:tc>
              <w:tc>
                <w:tcPr>
                  <w:tcW w:w="3248" w:type="pct"/>
                  <w:shd w:val="clear" w:color="auto" w:fill="auto"/>
                  <w:vAlign w:val="center"/>
                </w:tcPr>
                <w:p>
                  <w:pPr>
                    <w:pStyle w:val="68"/>
                  </w:pPr>
                  <w:r>
                    <w:rPr>
                      <w:rFonts w:hint="eastAsia"/>
                    </w:rPr>
                    <w:t>废包装物暂存于一般固废暂存间（10m</w:t>
                  </w:r>
                  <w:r>
                    <w:rPr>
                      <w:rFonts w:hint="eastAsia"/>
                      <w:vertAlign w:val="superscript"/>
                    </w:rPr>
                    <w:t>2</w:t>
                  </w:r>
                  <w:r>
                    <w:rPr>
                      <w:rFonts w:hint="eastAsia"/>
                    </w:rPr>
                    <w:t>），定期外售</w:t>
                  </w:r>
                </w:p>
              </w:tc>
            </w:tr>
          </w:tbl>
          <w:p>
            <w:pPr>
              <w:pStyle w:val="91"/>
              <w:rPr>
                <w:b w:val="0"/>
                <w:color w:val="auto"/>
              </w:rPr>
            </w:pPr>
            <w:r>
              <w:rPr>
                <w:b w:val="0"/>
                <w:color w:val="auto"/>
              </w:rPr>
              <w:t>2.2现有工程设备清单</w:t>
            </w:r>
          </w:p>
          <w:p>
            <w:pPr>
              <w:pStyle w:val="53"/>
              <w:ind w:firstLine="480"/>
            </w:pPr>
            <w:r>
              <w:t>表</w:t>
            </w:r>
            <w:r>
              <w:rPr>
                <w:rFonts w:hint="eastAsia"/>
              </w:rPr>
              <w:t xml:space="preserve">16            </w:t>
            </w:r>
            <w:r>
              <w:t>现有工程主要设备</w:t>
            </w:r>
          </w:p>
          <w:tbl>
            <w:tblPr>
              <w:tblStyle w:val="22"/>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080"/>
              <w:gridCol w:w="2268"/>
              <w:gridCol w:w="3531"/>
              <w:gridCol w:w="150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397" w:hRule="atLeast"/>
                <w:jc w:val="center"/>
              </w:trPr>
              <w:tc>
                <w:tcPr>
                  <w:tcW w:w="644" w:type="pct"/>
                  <w:vAlign w:val="center"/>
                </w:tcPr>
                <w:p>
                  <w:pPr>
                    <w:pStyle w:val="68"/>
                  </w:pPr>
                  <w:r>
                    <w:t>序号</w:t>
                  </w:r>
                </w:p>
              </w:tc>
              <w:tc>
                <w:tcPr>
                  <w:tcW w:w="1352" w:type="pct"/>
                  <w:vAlign w:val="center"/>
                </w:tcPr>
                <w:p>
                  <w:pPr>
                    <w:pStyle w:val="68"/>
                  </w:pPr>
                  <w:r>
                    <w:t>设备名称</w:t>
                  </w:r>
                </w:p>
              </w:tc>
              <w:tc>
                <w:tcPr>
                  <w:tcW w:w="2105" w:type="pct"/>
                  <w:vAlign w:val="center"/>
                </w:tcPr>
                <w:p>
                  <w:pPr>
                    <w:pStyle w:val="68"/>
                  </w:pPr>
                  <w:r>
                    <w:t>规格</w:t>
                  </w:r>
                </w:p>
              </w:tc>
              <w:tc>
                <w:tcPr>
                  <w:tcW w:w="899" w:type="pct"/>
                  <w:vAlign w:val="center"/>
                </w:tcPr>
                <w:p>
                  <w:pPr>
                    <w:pStyle w:val="68"/>
                  </w:pPr>
                  <w:r>
                    <w:t>数量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644" w:type="pct"/>
                  <w:vAlign w:val="center"/>
                </w:tcPr>
                <w:p>
                  <w:pPr>
                    <w:pStyle w:val="68"/>
                  </w:pPr>
                  <w:r>
                    <w:t>1</w:t>
                  </w:r>
                </w:p>
              </w:tc>
              <w:tc>
                <w:tcPr>
                  <w:tcW w:w="1352" w:type="pct"/>
                  <w:vAlign w:val="center"/>
                </w:tcPr>
                <w:p>
                  <w:pPr>
                    <w:pStyle w:val="68"/>
                    <w:rPr>
                      <w:rFonts w:ascii="宋体" w:hAnsi="宋体" w:cs="宋体"/>
                      <w:b/>
                      <w:u w:val="single"/>
                    </w:rPr>
                  </w:pPr>
                  <w:r>
                    <w:rPr>
                      <w:rFonts w:hint="eastAsia"/>
                      <w:szCs w:val="21"/>
                    </w:rPr>
                    <w:t>吊带机</w:t>
                  </w:r>
                </w:p>
              </w:tc>
              <w:tc>
                <w:tcPr>
                  <w:tcW w:w="2105" w:type="pct"/>
                  <w:vAlign w:val="center"/>
                </w:tcPr>
                <w:p>
                  <w:pPr>
                    <w:pStyle w:val="68"/>
                    <w:rPr>
                      <w:rFonts w:ascii="宋体" w:hAnsi="宋体" w:cs="宋体"/>
                      <w:b/>
                      <w:u w:val="single"/>
                    </w:rPr>
                  </w:pPr>
                  <w:r>
                    <w:rPr>
                      <w:szCs w:val="21"/>
                    </w:rPr>
                    <w:t>JY4-90</w:t>
                  </w:r>
                </w:p>
              </w:tc>
              <w:tc>
                <w:tcPr>
                  <w:tcW w:w="899" w:type="pct"/>
                  <w:vAlign w:val="center"/>
                </w:tcPr>
                <w:p>
                  <w:pPr>
                    <w:pStyle w:val="68"/>
                  </w:pPr>
                  <w:r>
                    <w:rPr>
                      <w:rFonts w:hint="eastAsia"/>
                    </w:rPr>
                    <w:t>7台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397" w:hRule="atLeast"/>
                <w:jc w:val="center"/>
              </w:trPr>
              <w:tc>
                <w:tcPr>
                  <w:tcW w:w="644" w:type="pct"/>
                  <w:vAlign w:val="center"/>
                </w:tcPr>
                <w:p>
                  <w:pPr>
                    <w:pStyle w:val="68"/>
                  </w:pPr>
                  <w:r>
                    <w:rPr>
                      <w:rFonts w:hint="eastAsia"/>
                    </w:rPr>
                    <w:t>2</w:t>
                  </w:r>
                </w:p>
              </w:tc>
              <w:tc>
                <w:tcPr>
                  <w:tcW w:w="1352" w:type="pct"/>
                  <w:vAlign w:val="center"/>
                </w:tcPr>
                <w:p>
                  <w:pPr>
                    <w:widowControl/>
                    <w:adjustRightInd w:val="0"/>
                    <w:snapToGrid w:val="0"/>
                    <w:spacing w:line="400" w:lineRule="exact"/>
                    <w:jc w:val="center"/>
                    <w:rPr>
                      <w:szCs w:val="21"/>
                    </w:rPr>
                  </w:pPr>
                  <w:r>
                    <w:rPr>
                      <w:rFonts w:hint="eastAsia"/>
                      <w:szCs w:val="21"/>
                    </w:rPr>
                    <w:t>切吊带机</w:t>
                  </w:r>
                </w:p>
              </w:tc>
              <w:tc>
                <w:tcPr>
                  <w:tcW w:w="2105" w:type="pct"/>
                </w:tcPr>
                <w:p>
                  <w:pPr>
                    <w:widowControl/>
                    <w:adjustRightInd w:val="0"/>
                    <w:snapToGrid w:val="0"/>
                    <w:spacing w:line="400" w:lineRule="exact"/>
                    <w:jc w:val="center"/>
                  </w:pPr>
                  <w:r>
                    <w:rPr>
                      <w:rFonts w:hint="eastAsia"/>
                    </w:rPr>
                    <w:t>/</w:t>
                  </w:r>
                </w:p>
              </w:tc>
              <w:tc>
                <w:tcPr>
                  <w:tcW w:w="899" w:type="pct"/>
                </w:tcPr>
                <w:p>
                  <w:pPr>
                    <w:widowControl/>
                    <w:adjustRightInd w:val="0"/>
                    <w:snapToGrid w:val="0"/>
                    <w:spacing w:line="400" w:lineRule="exact"/>
                    <w:jc w:val="center"/>
                  </w:pPr>
                  <w:r>
                    <w:rPr>
                      <w:rFonts w:hint="eastAsia"/>
                      <w:szCs w:val="21"/>
                    </w:rPr>
                    <w:t>1</w:t>
                  </w:r>
                  <w:r>
                    <w:rPr>
                      <w:szCs w:val="21"/>
                    </w:rPr>
                    <w:t>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397" w:hRule="atLeast"/>
                <w:jc w:val="center"/>
              </w:trPr>
              <w:tc>
                <w:tcPr>
                  <w:tcW w:w="644" w:type="pct"/>
                  <w:vAlign w:val="center"/>
                </w:tcPr>
                <w:p>
                  <w:pPr>
                    <w:pStyle w:val="68"/>
                  </w:pPr>
                  <w:r>
                    <w:rPr>
                      <w:rFonts w:hint="eastAsia"/>
                    </w:rPr>
                    <w:t>3</w:t>
                  </w:r>
                </w:p>
              </w:tc>
              <w:tc>
                <w:tcPr>
                  <w:tcW w:w="1352" w:type="pct"/>
                  <w:vAlign w:val="center"/>
                </w:tcPr>
                <w:p>
                  <w:pPr>
                    <w:widowControl/>
                    <w:adjustRightInd w:val="0"/>
                    <w:snapToGrid w:val="0"/>
                    <w:spacing w:line="400" w:lineRule="exact"/>
                    <w:jc w:val="center"/>
                    <w:rPr>
                      <w:szCs w:val="21"/>
                    </w:rPr>
                  </w:pPr>
                  <w:r>
                    <w:rPr>
                      <w:rFonts w:hint="eastAsia"/>
                      <w:szCs w:val="21"/>
                    </w:rPr>
                    <w:t>切布机</w:t>
                  </w:r>
                </w:p>
              </w:tc>
              <w:tc>
                <w:tcPr>
                  <w:tcW w:w="2105" w:type="pct"/>
                </w:tcPr>
                <w:p>
                  <w:pPr>
                    <w:widowControl/>
                    <w:adjustRightInd w:val="0"/>
                    <w:snapToGrid w:val="0"/>
                    <w:spacing w:line="400" w:lineRule="exact"/>
                    <w:jc w:val="center"/>
                  </w:pPr>
                  <w:r>
                    <w:rPr>
                      <w:rFonts w:hint="eastAsia"/>
                    </w:rPr>
                    <w:t>/</w:t>
                  </w:r>
                </w:p>
              </w:tc>
              <w:tc>
                <w:tcPr>
                  <w:tcW w:w="899" w:type="pct"/>
                </w:tcPr>
                <w:p>
                  <w:pPr>
                    <w:widowControl/>
                    <w:adjustRightInd w:val="0"/>
                    <w:snapToGrid w:val="0"/>
                    <w:spacing w:line="400" w:lineRule="exact"/>
                    <w:jc w:val="center"/>
                  </w:pPr>
                  <w:r>
                    <w:rPr>
                      <w:rFonts w:hint="eastAsia"/>
                      <w:szCs w:val="21"/>
                    </w:rPr>
                    <w:t>1</w:t>
                  </w:r>
                  <w:r>
                    <w:rPr>
                      <w:szCs w:val="21"/>
                    </w:rPr>
                    <w:t>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397" w:hRule="atLeast"/>
                <w:jc w:val="center"/>
              </w:trPr>
              <w:tc>
                <w:tcPr>
                  <w:tcW w:w="644" w:type="pct"/>
                  <w:vAlign w:val="center"/>
                </w:tcPr>
                <w:p>
                  <w:pPr>
                    <w:pStyle w:val="68"/>
                  </w:pPr>
                  <w:r>
                    <w:rPr>
                      <w:rFonts w:hint="eastAsia"/>
                    </w:rPr>
                    <w:t>4</w:t>
                  </w:r>
                </w:p>
              </w:tc>
              <w:tc>
                <w:tcPr>
                  <w:tcW w:w="1352" w:type="pct"/>
                  <w:vAlign w:val="center"/>
                </w:tcPr>
                <w:p>
                  <w:pPr>
                    <w:spacing w:line="400" w:lineRule="exact"/>
                    <w:jc w:val="center"/>
                    <w:rPr>
                      <w:szCs w:val="21"/>
                    </w:rPr>
                  </w:pPr>
                  <w:r>
                    <w:rPr>
                      <w:rFonts w:hint="eastAsia"/>
                      <w:szCs w:val="21"/>
                    </w:rPr>
                    <w:t>缝纫机</w:t>
                  </w:r>
                </w:p>
              </w:tc>
              <w:tc>
                <w:tcPr>
                  <w:tcW w:w="2105" w:type="pct"/>
                  <w:vAlign w:val="center"/>
                </w:tcPr>
                <w:p>
                  <w:pPr>
                    <w:spacing w:line="400" w:lineRule="exact"/>
                    <w:jc w:val="center"/>
                    <w:rPr>
                      <w:szCs w:val="21"/>
                    </w:rPr>
                  </w:pPr>
                  <w:r>
                    <w:rPr>
                      <w:rFonts w:hint="eastAsia"/>
                      <w:szCs w:val="21"/>
                    </w:rPr>
                    <w:t>GK27</w:t>
                  </w:r>
                </w:p>
              </w:tc>
              <w:tc>
                <w:tcPr>
                  <w:tcW w:w="899" w:type="pct"/>
                  <w:vAlign w:val="center"/>
                </w:tcPr>
                <w:p>
                  <w:pPr>
                    <w:pStyle w:val="68"/>
                  </w:pPr>
                  <w:r>
                    <w:rPr>
                      <w:rFonts w:hint="eastAsia"/>
                    </w:rPr>
                    <w:t>15台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397" w:hRule="atLeast"/>
                <w:jc w:val="center"/>
              </w:trPr>
              <w:tc>
                <w:tcPr>
                  <w:tcW w:w="644" w:type="pct"/>
                  <w:vMerge w:val="restart"/>
                  <w:vAlign w:val="center"/>
                </w:tcPr>
                <w:p>
                  <w:pPr>
                    <w:pStyle w:val="68"/>
                  </w:pPr>
                  <w:r>
                    <w:rPr>
                      <w:rFonts w:hint="eastAsia"/>
                    </w:rPr>
                    <w:t>5</w:t>
                  </w:r>
                </w:p>
              </w:tc>
              <w:tc>
                <w:tcPr>
                  <w:tcW w:w="1352" w:type="pct"/>
                  <w:vMerge w:val="restart"/>
                  <w:vAlign w:val="center"/>
                </w:tcPr>
                <w:p>
                  <w:pPr>
                    <w:spacing w:line="400" w:lineRule="exact"/>
                    <w:jc w:val="center"/>
                    <w:rPr>
                      <w:szCs w:val="21"/>
                    </w:rPr>
                  </w:pPr>
                  <w:r>
                    <w:rPr>
                      <w:rFonts w:hint="eastAsia"/>
                      <w:szCs w:val="21"/>
                    </w:rPr>
                    <w:t>打包机</w:t>
                  </w:r>
                </w:p>
              </w:tc>
              <w:tc>
                <w:tcPr>
                  <w:tcW w:w="2105" w:type="pct"/>
                  <w:vAlign w:val="center"/>
                </w:tcPr>
                <w:p>
                  <w:pPr>
                    <w:spacing w:line="400" w:lineRule="exact"/>
                    <w:jc w:val="center"/>
                    <w:rPr>
                      <w:szCs w:val="21"/>
                    </w:rPr>
                  </w:pPr>
                  <w:r>
                    <w:rPr>
                      <w:rFonts w:hint="eastAsia"/>
                      <w:szCs w:val="21"/>
                    </w:rPr>
                    <w:t>FYJ120</w:t>
                  </w:r>
                </w:p>
              </w:tc>
              <w:tc>
                <w:tcPr>
                  <w:tcW w:w="899" w:type="pct"/>
                  <w:vAlign w:val="center"/>
                </w:tcPr>
                <w:p>
                  <w:pPr>
                    <w:spacing w:line="400" w:lineRule="exact"/>
                    <w:jc w:val="center"/>
                    <w:rPr>
                      <w:szCs w:val="21"/>
                    </w:rPr>
                  </w:pPr>
                  <w:r>
                    <w:rPr>
                      <w:rFonts w:hint="eastAsia"/>
                      <w:szCs w:val="21"/>
                    </w:rPr>
                    <w:t>1</w:t>
                  </w:r>
                  <w:r>
                    <w:rPr>
                      <w:szCs w:val="21"/>
                    </w:rPr>
                    <w:t>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397" w:hRule="atLeast"/>
                <w:jc w:val="center"/>
              </w:trPr>
              <w:tc>
                <w:tcPr>
                  <w:tcW w:w="644" w:type="pct"/>
                  <w:vMerge w:val="continue"/>
                  <w:vAlign w:val="center"/>
                </w:tcPr>
                <w:p>
                  <w:pPr>
                    <w:pStyle w:val="68"/>
                    <w:rPr>
                      <w:b/>
                      <w:u w:val="single"/>
                    </w:rPr>
                  </w:pPr>
                </w:p>
              </w:tc>
              <w:tc>
                <w:tcPr>
                  <w:tcW w:w="1352" w:type="pct"/>
                  <w:vMerge w:val="continue"/>
                  <w:vAlign w:val="center"/>
                </w:tcPr>
                <w:p>
                  <w:pPr>
                    <w:spacing w:line="400" w:lineRule="exact"/>
                    <w:jc w:val="center"/>
                    <w:rPr>
                      <w:szCs w:val="21"/>
                    </w:rPr>
                  </w:pPr>
                </w:p>
              </w:tc>
              <w:tc>
                <w:tcPr>
                  <w:tcW w:w="2105" w:type="pct"/>
                  <w:vAlign w:val="center"/>
                </w:tcPr>
                <w:p>
                  <w:pPr>
                    <w:spacing w:line="400" w:lineRule="exact"/>
                    <w:jc w:val="center"/>
                    <w:rPr>
                      <w:szCs w:val="21"/>
                    </w:rPr>
                  </w:pPr>
                  <w:r>
                    <w:rPr>
                      <w:rFonts w:hint="eastAsia"/>
                      <w:szCs w:val="21"/>
                    </w:rPr>
                    <w:t>FYJ80</w:t>
                  </w:r>
                </w:p>
              </w:tc>
              <w:tc>
                <w:tcPr>
                  <w:tcW w:w="899" w:type="pct"/>
                  <w:vAlign w:val="center"/>
                </w:tcPr>
                <w:p>
                  <w:pPr>
                    <w:spacing w:line="400" w:lineRule="exact"/>
                    <w:jc w:val="center"/>
                    <w:rPr>
                      <w:szCs w:val="21"/>
                    </w:rPr>
                  </w:pPr>
                  <w:r>
                    <w:rPr>
                      <w:rFonts w:hint="eastAsia"/>
                      <w:szCs w:val="21"/>
                    </w:rPr>
                    <w:t>1</w:t>
                  </w:r>
                  <w:r>
                    <w:rPr>
                      <w:szCs w:val="21"/>
                    </w:rPr>
                    <w:t>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397" w:hRule="atLeast"/>
                <w:jc w:val="center"/>
              </w:trPr>
              <w:tc>
                <w:tcPr>
                  <w:tcW w:w="644" w:type="pct"/>
                  <w:vAlign w:val="center"/>
                </w:tcPr>
                <w:p>
                  <w:pPr>
                    <w:pStyle w:val="68"/>
                  </w:pPr>
                  <w:r>
                    <w:rPr>
                      <w:rFonts w:hint="eastAsia"/>
                    </w:rPr>
                    <w:t>6</w:t>
                  </w:r>
                </w:p>
              </w:tc>
              <w:tc>
                <w:tcPr>
                  <w:tcW w:w="1352" w:type="pct"/>
                  <w:vAlign w:val="center"/>
                </w:tcPr>
                <w:p>
                  <w:pPr>
                    <w:spacing w:line="400" w:lineRule="exact"/>
                    <w:jc w:val="center"/>
                    <w:rPr>
                      <w:szCs w:val="21"/>
                    </w:rPr>
                  </w:pPr>
                  <w:r>
                    <w:rPr>
                      <w:rFonts w:hint="eastAsia"/>
                      <w:szCs w:val="21"/>
                    </w:rPr>
                    <w:t>空压机</w:t>
                  </w:r>
                </w:p>
              </w:tc>
              <w:tc>
                <w:tcPr>
                  <w:tcW w:w="2105" w:type="pct"/>
                  <w:vAlign w:val="center"/>
                </w:tcPr>
                <w:p>
                  <w:pPr>
                    <w:spacing w:line="400" w:lineRule="exact"/>
                    <w:jc w:val="center"/>
                    <w:rPr>
                      <w:szCs w:val="21"/>
                    </w:rPr>
                  </w:pPr>
                  <w:r>
                    <w:rPr>
                      <w:rFonts w:hint="eastAsia"/>
                      <w:szCs w:val="21"/>
                    </w:rPr>
                    <w:t>/</w:t>
                  </w:r>
                </w:p>
              </w:tc>
              <w:tc>
                <w:tcPr>
                  <w:tcW w:w="899" w:type="pct"/>
                  <w:vAlign w:val="center"/>
                </w:tcPr>
                <w:p>
                  <w:pPr>
                    <w:spacing w:line="400" w:lineRule="exact"/>
                    <w:jc w:val="center"/>
                    <w:rPr>
                      <w:szCs w:val="21"/>
                    </w:rPr>
                  </w:pPr>
                  <w:r>
                    <w:rPr>
                      <w:rFonts w:hint="eastAsia"/>
                      <w:szCs w:val="21"/>
                    </w:rPr>
                    <w:t>1台</w:t>
                  </w:r>
                </w:p>
              </w:tc>
            </w:tr>
          </w:tbl>
          <w:p>
            <w:pPr>
              <w:pStyle w:val="91"/>
              <w:rPr>
                <w:b w:val="0"/>
                <w:color w:val="auto"/>
              </w:rPr>
            </w:pPr>
            <w:r>
              <w:rPr>
                <w:b w:val="0"/>
                <w:color w:val="auto"/>
              </w:rPr>
              <w:t>2.3现有工程产品方案</w:t>
            </w:r>
          </w:p>
          <w:p>
            <w:pPr>
              <w:pStyle w:val="51"/>
              <w:ind w:firstLine="480"/>
            </w:pPr>
          </w:p>
          <w:p>
            <w:pPr>
              <w:pStyle w:val="51"/>
              <w:ind w:firstLine="480"/>
            </w:pPr>
          </w:p>
          <w:p>
            <w:pPr>
              <w:pStyle w:val="53"/>
              <w:ind w:firstLine="480"/>
            </w:pPr>
            <w:r>
              <w:t>表</w:t>
            </w:r>
            <w:r>
              <w:rPr>
                <w:rFonts w:hint="eastAsia"/>
              </w:rPr>
              <w:t xml:space="preserve">17             </w:t>
            </w:r>
            <w:r>
              <w:t>现有工程产品方案</w:t>
            </w:r>
          </w:p>
          <w:tbl>
            <w:tblPr>
              <w:tblStyle w:val="22"/>
              <w:tblW w:w="499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32"/>
              <w:gridCol w:w="2041"/>
              <w:gridCol w:w="1369"/>
              <w:gridCol w:w="1772"/>
              <w:gridCol w:w="17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854" w:type="pct"/>
                  <w:vAlign w:val="center"/>
                </w:tcPr>
                <w:p>
                  <w:pPr>
                    <w:spacing w:line="400" w:lineRule="exact"/>
                    <w:jc w:val="center"/>
                    <w:rPr>
                      <w:szCs w:val="21"/>
                    </w:rPr>
                  </w:pPr>
                  <w:r>
                    <w:rPr>
                      <w:rFonts w:hint="eastAsia"/>
                      <w:szCs w:val="21"/>
                    </w:rPr>
                    <w:t>序号</w:t>
                  </w:r>
                </w:p>
              </w:tc>
              <w:tc>
                <w:tcPr>
                  <w:tcW w:w="1217" w:type="pct"/>
                  <w:vAlign w:val="center"/>
                </w:tcPr>
                <w:p>
                  <w:pPr>
                    <w:spacing w:line="400" w:lineRule="exact"/>
                    <w:jc w:val="center"/>
                    <w:rPr>
                      <w:szCs w:val="21"/>
                    </w:rPr>
                  </w:pPr>
                  <w:r>
                    <w:rPr>
                      <w:szCs w:val="21"/>
                    </w:rPr>
                    <w:t>产品名称</w:t>
                  </w:r>
                </w:p>
              </w:tc>
              <w:tc>
                <w:tcPr>
                  <w:tcW w:w="816" w:type="pct"/>
                  <w:vAlign w:val="center"/>
                </w:tcPr>
                <w:p>
                  <w:pPr>
                    <w:spacing w:line="400" w:lineRule="exact"/>
                    <w:jc w:val="center"/>
                    <w:rPr>
                      <w:szCs w:val="21"/>
                    </w:rPr>
                  </w:pPr>
                  <w:r>
                    <w:rPr>
                      <w:rFonts w:hint="eastAsia"/>
                      <w:szCs w:val="21"/>
                    </w:rPr>
                    <w:t>产量</w:t>
                  </w:r>
                </w:p>
              </w:tc>
              <w:tc>
                <w:tcPr>
                  <w:tcW w:w="1056" w:type="pct"/>
                  <w:vAlign w:val="center"/>
                </w:tcPr>
                <w:p>
                  <w:pPr>
                    <w:spacing w:line="400" w:lineRule="exact"/>
                    <w:jc w:val="center"/>
                    <w:rPr>
                      <w:szCs w:val="21"/>
                    </w:rPr>
                  </w:pPr>
                  <w:r>
                    <w:rPr>
                      <w:rFonts w:hint="eastAsia"/>
                      <w:szCs w:val="21"/>
                    </w:rPr>
                    <w:t>单位</w:t>
                  </w:r>
                </w:p>
              </w:tc>
              <w:tc>
                <w:tcPr>
                  <w:tcW w:w="1056" w:type="pct"/>
                </w:tcPr>
                <w:p>
                  <w:pPr>
                    <w:spacing w:line="400" w:lineRule="exact"/>
                    <w:jc w:val="center"/>
                    <w:rPr>
                      <w:szCs w:val="21"/>
                    </w:rPr>
                  </w:pPr>
                  <w:r>
                    <w:rPr>
                      <w:rFonts w:hint="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854" w:type="pct"/>
                  <w:vAlign w:val="center"/>
                </w:tcPr>
                <w:p>
                  <w:pPr>
                    <w:widowControl/>
                    <w:adjustRightInd w:val="0"/>
                    <w:snapToGrid w:val="0"/>
                    <w:spacing w:line="400" w:lineRule="exact"/>
                    <w:jc w:val="center"/>
                    <w:rPr>
                      <w:szCs w:val="21"/>
                    </w:rPr>
                  </w:pPr>
                  <w:r>
                    <w:rPr>
                      <w:rFonts w:hint="eastAsia"/>
                      <w:szCs w:val="21"/>
                    </w:rPr>
                    <w:t>1</w:t>
                  </w:r>
                </w:p>
              </w:tc>
              <w:tc>
                <w:tcPr>
                  <w:tcW w:w="1217" w:type="pct"/>
                  <w:vAlign w:val="center"/>
                </w:tcPr>
                <w:p>
                  <w:pPr>
                    <w:widowControl/>
                    <w:adjustRightInd w:val="0"/>
                    <w:snapToGrid w:val="0"/>
                    <w:spacing w:line="400" w:lineRule="exact"/>
                    <w:jc w:val="center"/>
                    <w:rPr>
                      <w:szCs w:val="21"/>
                    </w:rPr>
                  </w:pPr>
                  <w:r>
                    <w:rPr>
                      <w:rFonts w:hint="eastAsia"/>
                      <w:szCs w:val="21"/>
                    </w:rPr>
                    <w:t>集装袋</w:t>
                  </w:r>
                </w:p>
              </w:tc>
              <w:tc>
                <w:tcPr>
                  <w:tcW w:w="816" w:type="pct"/>
                  <w:vAlign w:val="center"/>
                </w:tcPr>
                <w:p>
                  <w:pPr>
                    <w:spacing w:line="400" w:lineRule="exact"/>
                    <w:jc w:val="center"/>
                    <w:rPr>
                      <w:szCs w:val="21"/>
                    </w:rPr>
                  </w:pPr>
                  <w:r>
                    <w:rPr>
                      <w:rFonts w:hint="eastAsia"/>
                      <w:szCs w:val="21"/>
                    </w:rPr>
                    <w:t>50</w:t>
                  </w:r>
                </w:p>
              </w:tc>
              <w:tc>
                <w:tcPr>
                  <w:tcW w:w="1056" w:type="pct"/>
                  <w:vAlign w:val="center"/>
                </w:tcPr>
                <w:p>
                  <w:pPr>
                    <w:spacing w:line="400" w:lineRule="exact"/>
                    <w:jc w:val="center"/>
                    <w:rPr>
                      <w:szCs w:val="21"/>
                    </w:rPr>
                  </w:pPr>
                  <w:r>
                    <w:rPr>
                      <w:rFonts w:hint="eastAsia"/>
                      <w:szCs w:val="21"/>
                    </w:rPr>
                    <w:t>万条/年</w:t>
                  </w:r>
                </w:p>
              </w:tc>
              <w:tc>
                <w:tcPr>
                  <w:tcW w:w="1056" w:type="pct"/>
                </w:tcPr>
                <w:p>
                  <w:pPr>
                    <w:spacing w:line="400" w:lineRule="exact"/>
                    <w:jc w:val="center"/>
                    <w:rPr>
                      <w:szCs w:val="21"/>
                    </w:rPr>
                  </w:pPr>
                  <w:r>
                    <w:rPr>
                      <w:rFonts w:hint="eastAsia"/>
                      <w:szCs w:val="21"/>
                    </w:rPr>
                    <w:t>1.5~4kg/条</w:t>
                  </w:r>
                </w:p>
              </w:tc>
            </w:tr>
          </w:tbl>
          <w:p>
            <w:pPr>
              <w:pStyle w:val="91"/>
              <w:rPr>
                <w:b w:val="0"/>
                <w:color w:val="auto"/>
              </w:rPr>
            </w:pPr>
            <w:r>
              <w:rPr>
                <w:b w:val="0"/>
                <w:color w:val="auto"/>
              </w:rPr>
              <w:t>2.4现有工程原辅材料消耗清单</w:t>
            </w:r>
          </w:p>
          <w:p>
            <w:pPr>
              <w:pStyle w:val="99"/>
              <w:ind w:firstLine="480"/>
              <w:rPr>
                <w:szCs w:val="21"/>
              </w:rPr>
            </w:pPr>
            <w:r>
              <w:t>表</w:t>
            </w:r>
            <w:r>
              <w:rPr>
                <w:rFonts w:hint="eastAsia"/>
              </w:rPr>
              <w:t xml:space="preserve">18          </w:t>
            </w:r>
            <w:r>
              <w:t>现有工程原辅材料消耗量一览表</w:t>
            </w:r>
          </w:p>
          <w:tbl>
            <w:tblPr>
              <w:tblStyle w:val="22"/>
              <w:tblW w:w="4982"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83"/>
              <w:gridCol w:w="1759"/>
              <w:gridCol w:w="2387"/>
              <w:gridCol w:w="2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60" w:hRule="atLeast"/>
                <w:jc w:val="center"/>
              </w:trPr>
              <w:tc>
                <w:tcPr>
                  <w:tcW w:w="1306" w:type="pct"/>
                  <w:vAlign w:val="center"/>
                </w:tcPr>
                <w:p>
                  <w:pPr>
                    <w:pStyle w:val="68"/>
                  </w:pPr>
                  <w:r>
                    <w:t>名称</w:t>
                  </w:r>
                </w:p>
              </w:tc>
              <w:tc>
                <w:tcPr>
                  <w:tcW w:w="1052" w:type="pct"/>
                  <w:vAlign w:val="center"/>
                </w:tcPr>
                <w:p>
                  <w:pPr>
                    <w:pStyle w:val="68"/>
                  </w:pPr>
                  <w:r>
                    <w:t>消耗量</w:t>
                  </w:r>
                </w:p>
              </w:tc>
              <w:tc>
                <w:tcPr>
                  <w:tcW w:w="1428" w:type="pct"/>
                </w:tcPr>
                <w:p>
                  <w:pPr>
                    <w:pStyle w:val="68"/>
                  </w:pPr>
                  <w:r>
                    <w:t>规格</w:t>
                  </w:r>
                </w:p>
              </w:tc>
              <w:tc>
                <w:tcPr>
                  <w:tcW w:w="1214" w:type="pct"/>
                  <w:vAlign w:val="center"/>
                </w:tcPr>
                <w:p>
                  <w:pPr>
                    <w:pStyle w:val="68"/>
                  </w:pPr>
                  <w: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306" w:type="pct"/>
                  <w:vAlign w:val="center"/>
                </w:tcPr>
                <w:p>
                  <w:pPr>
                    <w:pStyle w:val="68"/>
                  </w:pPr>
                  <w:r>
                    <w:rPr>
                      <w:rFonts w:hint="eastAsia"/>
                    </w:rPr>
                    <w:t>基布</w:t>
                  </w:r>
                </w:p>
              </w:tc>
              <w:tc>
                <w:tcPr>
                  <w:tcW w:w="1052" w:type="pct"/>
                  <w:vAlign w:val="center"/>
                </w:tcPr>
                <w:p>
                  <w:pPr>
                    <w:pStyle w:val="68"/>
                  </w:pPr>
                  <w:r>
                    <w:rPr>
                      <w:rFonts w:hint="eastAsia"/>
                    </w:rPr>
                    <w:t>1375</w:t>
                  </w:r>
                  <w:r>
                    <w:t>t/a</w:t>
                  </w:r>
                </w:p>
              </w:tc>
              <w:tc>
                <w:tcPr>
                  <w:tcW w:w="1428" w:type="pct"/>
                </w:tcPr>
                <w:p>
                  <w:pPr>
                    <w:pStyle w:val="68"/>
                  </w:pPr>
                  <w:r>
                    <w:rPr>
                      <w:rFonts w:hint="eastAsia"/>
                    </w:rPr>
                    <w:t>1.5-2.0m宽</w:t>
                  </w:r>
                </w:p>
              </w:tc>
              <w:tc>
                <w:tcPr>
                  <w:tcW w:w="1214" w:type="pct"/>
                  <w:vAlign w:val="center"/>
                </w:tcPr>
                <w:p>
                  <w:pPr>
                    <w:pStyle w:val="68"/>
                  </w:pPr>
                  <w:r>
                    <w:t>外购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60" w:hRule="atLeast"/>
                <w:jc w:val="center"/>
              </w:trPr>
              <w:tc>
                <w:tcPr>
                  <w:tcW w:w="1306" w:type="pct"/>
                  <w:vAlign w:val="center"/>
                </w:tcPr>
                <w:p>
                  <w:pPr>
                    <w:pStyle w:val="68"/>
                  </w:pPr>
                  <w:r>
                    <w:rPr>
                      <w:rFonts w:hint="eastAsia"/>
                    </w:rPr>
                    <w:t>吊带丝</w:t>
                  </w:r>
                </w:p>
              </w:tc>
              <w:tc>
                <w:tcPr>
                  <w:tcW w:w="1052" w:type="pct"/>
                  <w:vAlign w:val="center"/>
                </w:tcPr>
                <w:p>
                  <w:pPr>
                    <w:pStyle w:val="68"/>
                  </w:pPr>
                  <w:r>
                    <w:rPr>
                      <w:rFonts w:hint="eastAsia"/>
                    </w:rPr>
                    <w:t>112.5</w:t>
                  </w:r>
                  <w:r>
                    <w:t>t/a</w:t>
                  </w:r>
                </w:p>
              </w:tc>
              <w:tc>
                <w:tcPr>
                  <w:tcW w:w="1428" w:type="pct"/>
                </w:tcPr>
                <w:p>
                  <w:pPr>
                    <w:pStyle w:val="68"/>
                  </w:pPr>
                  <w:r>
                    <w:rPr>
                      <w:rFonts w:hint="eastAsia"/>
                    </w:rPr>
                    <w:t>/</w:t>
                  </w:r>
                </w:p>
              </w:tc>
              <w:tc>
                <w:tcPr>
                  <w:tcW w:w="1214" w:type="pct"/>
                  <w:vAlign w:val="center"/>
                </w:tcPr>
                <w:p>
                  <w:pPr>
                    <w:pStyle w:val="68"/>
                  </w:pPr>
                  <w:r>
                    <w:t>外购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60" w:hRule="atLeast"/>
                <w:jc w:val="center"/>
              </w:trPr>
              <w:tc>
                <w:tcPr>
                  <w:tcW w:w="1306" w:type="pct"/>
                  <w:vAlign w:val="center"/>
                </w:tcPr>
                <w:p>
                  <w:pPr>
                    <w:pStyle w:val="68"/>
                  </w:pPr>
                  <w:r>
                    <w:rPr>
                      <w:rFonts w:hint="eastAsia"/>
                    </w:rPr>
                    <w:t>缝纫线</w:t>
                  </w:r>
                </w:p>
              </w:tc>
              <w:tc>
                <w:tcPr>
                  <w:tcW w:w="1052" w:type="pct"/>
                  <w:vAlign w:val="center"/>
                </w:tcPr>
                <w:p>
                  <w:pPr>
                    <w:pStyle w:val="68"/>
                  </w:pPr>
                  <w:r>
                    <w:rPr>
                      <w:rFonts w:hint="eastAsia"/>
                    </w:rPr>
                    <w:t>12.5</w:t>
                  </w:r>
                  <w:r>
                    <w:t>t/a</w:t>
                  </w:r>
                </w:p>
              </w:tc>
              <w:tc>
                <w:tcPr>
                  <w:tcW w:w="1428" w:type="pct"/>
                </w:tcPr>
                <w:p>
                  <w:pPr>
                    <w:pStyle w:val="68"/>
                  </w:pPr>
                  <w:r>
                    <w:rPr>
                      <w:rFonts w:hint="eastAsia"/>
                    </w:rPr>
                    <w:t>/</w:t>
                  </w:r>
                </w:p>
              </w:tc>
              <w:tc>
                <w:tcPr>
                  <w:tcW w:w="1214" w:type="pct"/>
                  <w:vAlign w:val="center"/>
                </w:tcPr>
                <w:p>
                  <w:pPr>
                    <w:pStyle w:val="68"/>
                  </w:pPr>
                  <w:r>
                    <w:t>外购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60" w:hRule="atLeast"/>
                <w:jc w:val="center"/>
              </w:trPr>
              <w:tc>
                <w:tcPr>
                  <w:tcW w:w="1306" w:type="pct"/>
                  <w:vAlign w:val="center"/>
                </w:tcPr>
                <w:p>
                  <w:pPr>
                    <w:pStyle w:val="68"/>
                  </w:pPr>
                  <w:r>
                    <w:rPr>
                      <w:rFonts w:hint="eastAsia"/>
                    </w:rPr>
                    <w:t>液压油</w:t>
                  </w:r>
                </w:p>
              </w:tc>
              <w:tc>
                <w:tcPr>
                  <w:tcW w:w="1052" w:type="pct"/>
                  <w:vAlign w:val="center"/>
                </w:tcPr>
                <w:p>
                  <w:pPr>
                    <w:pStyle w:val="68"/>
                  </w:pPr>
                  <w:r>
                    <w:rPr>
                      <w:rFonts w:hint="eastAsia"/>
                    </w:rPr>
                    <w:t>0.12t/a</w:t>
                  </w:r>
                </w:p>
              </w:tc>
              <w:tc>
                <w:tcPr>
                  <w:tcW w:w="1428" w:type="pct"/>
                </w:tcPr>
                <w:p>
                  <w:pPr>
                    <w:pStyle w:val="68"/>
                  </w:pPr>
                  <w:r>
                    <w:rPr>
                      <w:rFonts w:hint="eastAsia"/>
                    </w:rPr>
                    <w:t>/</w:t>
                  </w:r>
                </w:p>
              </w:tc>
              <w:tc>
                <w:tcPr>
                  <w:tcW w:w="1214" w:type="pct"/>
                  <w:vAlign w:val="center"/>
                </w:tcPr>
                <w:p>
                  <w:pPr>
                    <w:pStyle w:val="68"/>
                    <w:rPr>
                      <w:b/>
                      <w:highlight w:val="yellow"/>
                      <w:u w:val="single"/>
                    </w:rPr>
                  </w:pPr>
                  <w:r>
                    <w:t>外购</w:t>
                  </w:r>
                </w:p>
              </w:tc>
            </w:tr>
          </w:tbl>
          <w:p>
            <w:pPr>
              <w:pStyle w:val="91"/>
              <w:rPr>
                <w:b w:val="0"/>
                <w:color w:val="auto"/>
              </w:rPr>
            </w:pPr>
            <w:r>
              <w:rPr>
                <w:b w:val="0"/>
                <w:color w:val="auto"/>
              </w:rPr>
              <w:t>2.5现有工程工作制度</w:t>
            </w:r>
          </w:p>
          <w:p>
            <w:pPr>
              <w:pStyle w:val="51"/>
              <w:ind w:firstLine="480"/>
            </w:pPr>
            <w:r>
              <w:t>现有工程劳动定员</w:t>
            </w:r>
            <w:r>
              <w:rPr>
                <w:rFonts w:hint="eastAsia"/>
              </w:rPr>
              <w:t>15</w:t>
            </w:r>
            <w:r>
              <w:t>人，年生产天数300天，实行</w:t>
            </w:r>
            <w:r>
              <w:rPr>
                <w:rFonts w:hint="eastAsia"/>
              </w:rPr>
              <w:t>1班</w:t>
            </w:r>
            <w:r>
              <w:t>制。员工为附近村民，就近回家食宿，职工均不在厂内食宿。</w:t>
            </w:r>
          </w:p>
          <w:p>
            <w:pPr>
              <w:pStyle w:val="91"/>
              <w:rPr>
                <w:b w:val="0"/>
                <w:color w:val="auto"/>
              </w:rPr>
            </w:pPr>
            <w:r>
              <w:rPr>
                <w:b w:val="0"/>
                <w:color w:val="auto"/>
              </w:rPr>
              <w:t>2.6现有工程生产工艺流程图</w:t>
            </w:r>
          </w:p>
          <w:p>
            <w:pPr>
              <w:pStyle w:val="51"/>
              <w:ind w:firstLine="482"/>
            </w:pPr>
            <w:r>
              <w:rPr>
                <w:b/>
                <w:color w:val="000000"/>
              </w:rPr>
              <w:pict>
                <v:shape id="_x0000_s1116" o:spid="_x0000_s1116" o:spt="75" type="#_x0000_t75" style="position:absolute;left:0pt;margin-left:25.3pt;margin-top:320.45pt;height:191.75pt;width:324.9pt;mso-position-vertical-relative:page;z-index:251662336;mso-width-relative:page;mso-height-relative:page;" o:ole="t" filled="f" o:preferrelative="t" stroked="f" coordsize="21600,21600">
                  <v:path/>
                  <v:fill on="f" focussize="0,0"/>
                  <v:stroke on="f" joinstyle="miter"/>
                  <v:imagedata r:id="rId13" o:title=""/>
                  <o:lock v:ext="edit" aspectratio="t"/>
                </v:shape>
                <o:OLEObject Type="Embed" ProgID="Visio.Drawing.11" ShapeID="_x0000_s1116" DrawAspect="Content" ObjectID="_1468075727" r:id="rId12">
                  <o:LockedField>false</o:LockedField>
                </o:OLEObject>
              </w:pict>
            </w:r>
          </w:p>
          <w:p>
            <w:pPr>
              <w:pStyle w:val="51"/>
              <w:ind w:firstLine="480"/>
            </w:pPr>
          </w:p>
          <w:p>
            <w:pPr>
              <w:pStyle w:val="51"/>
              <w:ind w:firstLine="480"/>
            </w:pPr>
          </w:p>
          <w:p>
            <w:pPr>
              <w:pStyle w:val="51"/>
              <w:ind w:firstLine="480"/>
            </w:pPr>
          </w:p>
          <w:p>
            <w:pPr>
              <w:pStyle w:val="51"/>
              <w:ind w:firstLine="480"/>
            </w:pPr>
          </w:p>
          <w:p>
            <w:pPr>
              <w:pStyle w:val="51"/>
              <w:ind w:firstLine="480"/>
            </w:pPr>
          </w:p>
          <w:p>
            <w:pPr>
              <w:pStyle w:val="51"/>
              <w:ind w:firstLine="480"/>
            </w:pPr>
          </w:p>
          <w:p>
            <w:pPr>
              <w:pStyle w:val="53"/>
              <w:ind w:firstLine="480"/>
            </w:pPr>
            <w:r>
              <w:t>图</w:t>
            </w:r>
            <w:r>
              <w:rPr>
                <w:rFonts w:hint="eastAsia"/>
              </w:rPr>
              <w:t>4         现有工程</w:t>
            </w:r>
            <w:r>
              <w:t>工艺流程</w:t>
            </w:r>
            <w:r>
              <w:rPr>
                <w:rFonts w:hint="eastAsia"/>
              </w:rPr>
              <w:t>及产污环节</w:t>
            </w:r>
            <w:r>
              <w:t>图</w:t>
            </w:r>
          </w:p>
          <w:p>
            <w:pPr>
              <w:pStyle w:val="51"/>
              <w:ind w:firstLine="480"/>
            </w:pPr>
            <w:r>
              <w:rPr>
                <w:rFonts w:hint="eastAsia"/>
              </w:rPr>
              <w:t>（1）编织</w:t>
            </w:r>
          </w:p>
          <w:p>
            <w:pPr>
              <w:pStyle w:val="51"/>
              <w:ind w:firstLine="480"/>
            </w:pPr>
            <w:r>
              <w:rPr>
                <w:rFonts w:hint="eastAsia"/>
              </w:rPr>
              <w:t>外购吊带丝通过吊带机编织成吊带，该过程会产生噪声。</w:t>
            </w:r>
          </w:p>
          <w:p>
            <w:pPr>
              <w:pStyle w:val="51"/>
              <w:ind w:firstLine="480"/>
            </w:pPr>
            <w:r>
              <w:rPr>
                <w:rFonts w:hint="eastAsia"/>
              </w:rPr>
              <w:t>（2）冷裁</w:t>
            </w:r>
          </w:p>
          <w:p>
            <w:pPr>
              <w:pStyle w:val="51"/>
              <w:ind w:firstLine="480"/>
              <w:rPr>
                <w:kern w:val="0"/>
              </w:rPr>
            </w:pPr>
            <w:r>
              <w:rPr>
                <w:rFonts w:hint="eastAsia"/>
              </w:rPr>
              <w:t>用裁刀将编织好的吊带根据客户需要进行裁剪，该过程会产生废边角料和噪声。</w:t>
            </w:r>
          </w:p>
        </w:tc>
      </w:tr>
    </w:tbl>
    <w:p>
      <w:pPr>
        <w:pStyle w:val="19"/>
        <w:adjustRightInd w:val="0"/>
        <w:snapToGrid w:val="0"/>
        <w:spacing w:before="0" w:beforeAutospacing="0" w:after="0" w:afterAutospacing="0"/>
        <w:jc w:val="center"/>
        <w:rPr>
          <w:rFonts w:cs="宋体"/>
          <w:bCs/>
          <w:kern w:val="2"/>
          <w:sz w:val="21"/>
          <w:szCs w:val="21"/>
        </w:rPr>
        <w:sectPr>
          <w:pgSz w:w="11906" w:h="16838"/>
          <w:pgMar w:top="1701" w:right="1531" w:bottom="1701" w:left="1531" w:header="851" w:footer="851" w:gutter="0"/>
          <w:cols w:space="720" w:num="1"/>
          <w:docGrid w:linePitch="312" w:charSpace="0"/>
        </w:sectPr>
      </w:pPr>
    </w:p>
    <w:tbl>
      <w:tblPr>
        <w:tblStyle w:val="2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6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00" w:type="pct"/>
            <w:vAlign w:val="center"/>
          </w:tcPr>
          <w:p>
            <w:pPr>
              <w:pStyle w:val="51"/>
              <w:ind w:firstLine="480"/>
            </w:pPr>
            <w:r>
              <w:t>（</w:t>
            </w:r>
            <w:r>
              <w:rPr>
                <w:rFonts w:hint="eastAsia"/>
              </w:rPr>
              <w:t>3</w:t>
            </w:r>
            <w:r>
              <w:t>）</w:t>
            </w:r>
            <w:r>
              <w:rPr>
                <w:rFonts w:hint="eastAsia"/>
              </w:rPr>
              <w:t>缝纫</w:t>
            </w:r>
          </w:p>
          <w:p>
            <w:pPr>
              <w:pStyle w:val="51"/>
              <w:ind w:firstLine="480"/>
            </w:pPr>
            <w:r>
              <w:rPr>
                <w:rFonts w:hint="eastAsia"/>
              </w:rPr>
              <w:t>冷裁好的吊带与外购裁切好的基布缝纫成成品集装袋，该过程会产生噪声。</w:t>
            </w:r>
          </w:p>
          <w:p>
            <w:pPr>
              <w:pStyle w:val="99"/>
              <w:ind w:firstLine="0" w:firstLineChars="0"/>
              <w:rPr>
                <w:rFonts w:eastAsia="黑体"/>
              </w:rPr>
            </w:pPr>
            <w:r>
              <w:t>2.7 污染物达标排放情况</w:t>
            </w:r>
            <w:r>
              <w:rPr>
                <w:rFonts w:hint="eastAsia"/>
                <w:kern w:val="0"/>
              </w:rPr>
              <w:t>本项目</w:t>
            </w:r>
            <w:r>
              <w:rPr>
                <w:kern w:val="0"/>
              </w:rPr>
              <w:t>现有工程</w:t>
            </w:r>
            <w:r>
              <w:rPr>
                <w:rFonts w:hint="eastAsia"/>
                <w:kern w:val="0"/>
              </w:rPr>
              <w:t>已建成并完成排污登记，根据河南哈勃环境检测有限公司</w:t>
            </w:r>
            <w:r>
              <w:rPr>
                <w:kern w:val="0"/>
              </w:rPr>
              <w:t>于202</w:t>
            </w:r>
            <w:r>
              <w:rPr>
                <w:rFonts w:hint="eastAsia"/>
                <w:kern w:val="0"/>
              </w:rPr>
              <w:t>3</w:t>
            </w:r>
            <w:r>
              <w:rPr>
                <w:kern w:val="0"/>
              </w:rPr>
              <w:t>年</w:t>
            </w:r>
            <w:r>
              <w:rPr>
                <w:rFonts w:hint="eastAsia"/>
                <w:kern w:val="0"/>
              </w:rPr>
              <w:t>3</w:t>
            </w:r>
            <w:r>
              <w:rPr>
                <w:kern w:val="0"/>
              </w:rPr>
              <w:t>月</w:t>
            </w:r>
            <w:r>
              <w:rPr>
                <w:rFonts w:hint="eastAsia"/>
                <w:kern w:val="0"/>
              </w:rPr>
              <w:t>29</w:t>
            </w:r>
            <w:r>
              <w:rPr>
                <w:kern w:val="0"/>
              </w:rPr>
              <w:t>日</w:t>
            </w:r>
            <w:r>
              <w:rPr>
                <w:rFonts w:hint="eastAsia"/>
                <w:kern w:val="0"/>
              </w:rPr>
              <w:t>~30日</w:t>
            </w:r>
            <w:r>
              <w:rPr>
                <w:kern w:val="0"/>
              </w:rPr>
              <w:t>对</w:t>
            </w:r>
            <w:r>
              <w:rPr>
                <w:rFonts w:hint="eastAsia"/>
                <w:kern w:val="0"/>
              </w:rPr>
              <w:t>洛阳市一浩包装有限公司的厂界噪声进行核算；本项目</w:t>
            </w:r>
            <w:r>
              <w:rPr>
                <w:kern w:val="0"/>
              </w:rPr>
              <w:t>现有工程污染物排放达标情况根据，详情见下表。</w:t>
            </w:r>
          </w:p>
          <w:p>
            <w:pPr>
              <w:pStyle w:val="99"/>
              <w:ind w:firstLine="480"/>
              <w:rPr>
                <w:szCs w:val="21"/>
              </w:rPr>
            </w:pPr>
            <w:r>
              <w:rPr>
                <w:rFonts w:eastAsia="黑体"/>
              </w:rPr>
              <w:t>表</w:t>
            </w:r>
            <w:r>
              <w:rPr>
                <w:rFonts w:hint="eastAsia" w:eastAsia="黑体"/>
              </w:rPr>
              <w:t xml:space="preserve">19                   </w:t>
            </w:r>
            <w:r>
              <w:rPr>
                <w:rFonts w:eastAsia="黑体"/>
              </w:rPr>
              <w:t>现有工程主要污染物排放达标情况</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96"/>
              <w:gridCol w:w="1338"/>
              <w:gridCol w:w="806"/>
              <w:gridCol w:w="1982"/>
              <w:gridCol w:w="1982"/>
              <w:gridCol w:w="1893"/>
              <w:gridCol w:w="2995"/>
              <w:gridCol w:w="1096"/>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5" w:type="pct"/>
                  <w:vAlign w:val="center"/>
                </w:tcPr>
                <w:p>
                  <w:pPr>
                    <w:pStyle w:val="98"/>
                    <w:spacing w:line="300" w:lineRule="exact"/>
                    <w:rPr>
                      <w:b w:val="0"/>
                      <w:kern w:val="28"/>
                      <w:sz w:val="21"/>
                      <w:szCs w:val="21"/>
                    </w:rPr>
                  </w:pPr>
                  <w:r>
                    <w:rPr>
                      <w:b w:val="0"/>
                      <w:kern w:val="28"/>
                      <w:sz w:val="21"/>
                      <w:szCs w:val="21"/>
                    </w:rPr>
                    <w:t>类别</w:t>
                  </w:r>
                </w:p>
              </w:tc>
              <w:tc>
                <w:tcPr>
                  <w:tcW w:w="498" w:type="pct"/>
                  <w:vAlign w:val="center"/>
                </w:tcPr>
                <w:p>
                  <w:pPr>
                    <w:pStyle w:val="98"/>
                    <w:spacing w:line="300" w:lineRule="exact"/>
                    <w:jc w:val="center"/>
                    <w:rPr>
                      <w:b w:val="0"/>
                      <w:kern w:val="28"/>
                      <w:sz w:val="21"/>
                      <w:szCs w:val="21"/>
                    </w:rPr>
                  </w:pPr>
                  <w:r>
                    <w:rPr>
                      <w:b w:val="0"/>
                      <w:kern w:val="28"/>
                      <w:sz w:val="21"/>
                      <w:szCs w:val="21"/>
                    </w:rPr>
                    <w:t>污染要素</w:t>
                  </w:r>
                </w:p>
              </w:tc>
              <w:tc>
                <w:tcPr>
                  <w:tcW w:w="300" w:type="pct"/>
                  <w:vAlign w:val="center"/>
                </w:tcPr>
                <w:p>
                  <w:pPr>
                    <w:pStyle w:val="98"/>
                    <w:spacing w:line="300" w:lineRule="exact"/>
                    <w:jc w:val="center"/>
                    <w:rPr>
                      <w:b w:val="0"/>
                      <w:kern w:val="28"/>
                      <w:sz w:val="21"/>
                      <w:szCs w:val="21"/>
                    </w:rPr>
                  </w:pPr>
                  <w:r>
                    <w:rPr>
                      <w:b w:val="0"/>
                      <w:kern w:val="28"/>
                      <w:sz w:val="21"/>
                      <w:szCs w:val="21"/>
                    </w:rPr>
                    <w:t>污染物</w:t>
                  </w:r>
                </w:p>
              </w:tc>
              <w:tc>
                <w:tcPr>
                  <w:tcW w:w="738" w:type="pct"/>
                  <w:vAlign w:val="center"/>
                </w:tcPr>
                <w:p>
                  <w:pPr>
                    <w:pStyle w:val="98"/>
                    <w:spacing w:line="300" w:lineRule="exact"/>
                    <w:jc w:val="center"/>
                    <w:rPr>
                      <w:b w:val="0"/>
                      <w:kern w:val="28"/>
                      <w:sz w:val="21"/>
                      <w:szCs w:val="21"/>
                    </w:rPr>
                  </w:pPr>
                  <w:r>
                    <w:rPr>
                      <w:rFonts w:hint="eastAsia"/>
                      <w:b w:val="0"/>
                      <w:kern w:val="28"/>
                      <w:sz w:val="21"/>
                      <w:szCs w:val="21"/>
                    </w:rPr>
                    <w:t>产生情况</w:t>
                  </w:r>
                </w:p>
              </w:tc>
              <w:tc>
                <w:tcPr>
                  <w:tcW w:w="738" w:type="pct"/>
                  <w:vAlign w:val="center"/>
                </w:tcPr>
                <w:p>
                  <w:pPr>
                    <w:pStyle w:val="68"/>
                    <w:spacing w:line="300" w:lineRule="exact"/>
                    <w:rPr>
                      <w:bCs/>
                      <w:szCs w:val="21"/>
                    </w:rPr>
                  </w:pPr>
                  <w:r>
                    <w:rPr>
                      <w:bCs/>
                      <w:szCs w:val="21"/>
                    </w:rPr>
                    <w:t>排放情况</w:t>
                  </w:r>
                </w:p>
              </w:tc>
              <w:tc>
                <w:tcPr>
                  <w:tcW w:w="705" w:type="pct"/>
                  <w:vAlign w:val="center"/>
                </w:tcPr>
                <w:p>
                  <w:pPr>
                    <w:pStyle w:val="68"/>
                    <w:spacing w:line="300" w:lineRule="exact"/>
                    <w:rPr>
                      <w:szCs w:val="21"/>
                    </w:rPr>
                  </w:pPr>
                  <w:r>
                    <w:rPr>
                      <w:szCs w:val="21"/>
                    </w:rPr>
                    <w:t>处理措施</w:t>
                  </w:r>
                </w:p>
              </w:tc>
              <w:tc>
                <w:tcPr>
                  <w:tcW w:w="1115" w:type="pct"/>
                  <w:vAlign w:val="center"/>
                </w:tcPr>
                <w:p>
                  <w:pPr>
                    <w:pStyle w:val="68"/>
                    <w:spacing w:line="300" w:lineRule="exact"/>
                    <w:rPr>
                      <w:szCs w:val="21"/>
                      <w:shd w:val="clear" w:color="auto" w:fill="FFFFFF"/>
                    </w:rPr>
                  </w:pPr>
                  <w:r>
                    <w:rPr>
                      <w:szCs w:val="21"/>
                      <w:shd w:val="clear" w:color="auto" w:fill="FFFFFF"/>
                    </w:rPr>
                    <w:t>执行标准</w:t>
                  </w:r>
                </w:p>
              </w:tc>
              <w:tc>
                <w:tcPr>
                  <w:tcW w:w="408" w:type="pct"/>
                  <w:vAlign w:val="center"/>
                </w:tcPr>
                <w:p>
                  <w:pPr>
                    <w:pStyle w:val="68"/>
                    <w:spacing w:line="300" w:lineRule="exact"/>
                    <w:rPr>
                      <w:szCs w:val="21"/>
                    </w:rPr>
                  </w:pPr>
                  <w:r>
                    <w:rPr>
                      <w:szCs w:val="21"/>
                    </w:rPr>
                    <w:t>排污口信息</w:t>
                  </w:r>
                </w:p>
              </w:tc>
              <w:tc>
                <w:tcPr>
                  <w:tcW w:w="312" w:type="pct"/>
                  <w:vAlign w:val="center"/>
                </w:tcPr>
                <w:p>
                  <w:pPr>
                    <w:pStyle w:val="68"/>
                    <w:spacing w:line="300" w:lineRule="exact"/>
                    <w:rPr>
                      <w:szCs w:val="21"/>
                    </w:rPr>
                  </w:pPr>
                  <w:r>
                    <w:rPr>
                      <w:szCs w:val="21"/>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jc w:val="center"/>
              </w:trPr>
              <w:tc>
                <w:tcPr>
                  <w:tcW w:w="185" w:type="pct"/>
                  <w:vMerge w:val="restart"/>
                  <w:vAlign w:val="center"/>
                </w:tcPr>
                <w:p>
                  <w:pPr>
                    <w:pStyle w:val="98"/>
                    <w:spacing w:line="300" w:lineRule="exact"/>
                    <w:jc w:val="center"/>
                    <w:rPr>
                      <w:b w:val="0"/>
                      <w:kern w:val="28"/>
                      <w:sz w:val="21"/>
                      <w:szCs w:val="21"/>
                    </w:rPr>
                  </w:pPr>
                  <w:r>
                    <w:rPr>
                      <w:b w:val="0"/>
                      <w:kern w:val="28"/>
                      <w:sz w:val="21"/>
                      <w:szCs w:val="21"/>
                    </w:rPr>
                    <w:t>废水</w:t>
                  </w:r>
                </w:p>
              </w:tc>
              <w:tc>
                <w:tcPr>
                  <w:tcW w:w="498" w:type="pct"/>
                  <w:vMerge w:val="restart"/>
                  <w:vAlign w:val="center"/>
                </w:tcPr>
                <w:p>
                  <w:pPr>
                    <w:pStyle w:val="98"/>
                    <w:spacing w:line="300" w:lineRule="exact"/>
                    <w:jc w:val="center"/>
                    <w:rPr>
                      <w:b w:val="0"/>
                      <w:kern w:val="28"/>
                      <w:sz w:val="21"/>
                      <w:szCs w:val="21"/>
                    </w:rPr>
                  </w:pPr>
                  <w:r>
                    <w:rPr>
                      <w:rFonts w:hint="eastAsia"/>
                      <w:b w:val="0"/>
                      <w:kern w:val="28"/>
                      <w:sz w:val="21"/>
                      <w:szCs w:val="21"/>
                    </w:rPr>
                    <w:t>厂区总排口</w:t>
                  </w:r>
                </w:p>
              </w:tc>
              <w:tc>
                <w:tcPr>
                  <w:tcW w:w="300" w:type="pct"/>
                  <w:vAlign w:val="center"/>
                </w:tcPr>
                <w:p>
                  <w:pPr>
                    <w:pStyle w:val="98"/>
                    <w:spacing w:line="300" w:lineRule="exact"/>
                    <w:jc w:val="center"/>
                    <w:rPr>
                      <w:b w:val="0"/>
                      <w:kern w:val="28"/>
                      <w:sz w:val="21"/>
                      <w:szCs w:val="21"/>
                    </w:rPr>
                  </w:pPr>
                  <w:r>
                    <w:rPr>
                      <w:rFonts w:hint="eastAsia"/>
                      <w:b w:val="0"/>
                      <w:kern w:val="28"/>
                      <w:sz w:val="21"/>
                      <w:szCs w:val="21"/>
                    </w:rPr>
                    <w:t>COD</w:t>
                  </w:r>
                </w:p>
              </w:tc>
              <w:tc>
                <w:tcPr>
                  <w:tcW w:w="738" w:type="pct"/>
                  <w:vAlign w:val="center"/>
                </w:tcPr>
                <w:p>
                  <w:pPr>
                    <w:pStyle w:val="68"/>
                    <w:spacing w:line="300" w:lineRule="exact"/>
                    <w:rPr>
                      <w:bCs/>
                      <w:szCs w:val="21"/>
                    </w:rPr>
                  </w:pPr>
                  <w:r>
                    <w:rPr>
                      <w:bCs/>
                      <w:szCs w:val="21"/>
                    </w:rPr>
                    <w:t>排放量:0.</w:t>
                  </w:r>
                  <w:r>
                    <w:rPr>
                      <w:rFonts w:hint="eastAsia"/>
                      <w:bCs/>
                      <w:szCs w:val="21"/>
                    </w:rPr>
                    <w:t>0504</w:t>
                  </w:r>
                  <w:r>
                    <w:rPr>
                      <w:bCs/>
                      <w:szCs w:val="21"/>
                    </w:rPr>
                    <w:t>t/a</w:t>
                  </w:r>
                </w:p>
                <w:p>
                  <w:pPr>
                    <w:pStyle w:val="98"/>
                    <w:spacing w:line="300" w:lineRule="exact"/>
                    <w:jc w:val="center"/>
                    <w:rPr>
                      <w:b w:val="0"/>
                      <w:kern w:val="28"/>
                      <w:sz w:val="21"/>
                      <w:szCs w:val="21"/>
                    </w:rPr>
                  </w:pPr>
                  <w:r>
                    <w:rPr>
                      <w:b w:val="0"/>
                      <w:bCs/>
                      <w:sz w:val="21"/>
                      <w:szCs w:val="21"/>
                    </w:rPr>
                    <w:t>浓度:</w:t>
                  </w:r>
                  <w:r>
                    <w:rPr>
                      <w:rFonts w:hint="eastAsia"/>
                      <w:b w:val="0"/>
                      <w:bCs/>
                      <w:sz w:val="21"/>
                      <w:szCs w:val="21"/>
                    </w:rPr>
                    <w:t>350</w:t>
                  </w:r>
                  <w:r>
                    <w:rPr>
                      <w:b w:val="0"/>
                      <w:bCs/>
                      <w:sz w:val="21"/>
                      <w:szCs w:val="21"/>
                    </w:rPr>
                    <w:t>mg/</w:t>
                  </w:r>
                  <w:r>
                    <w:rPr>
                      <w:rFonts w:hint="eastAsia"/>
                      <w:b w:val="0"/>
                      <w:bCs/>
                      <w:sz w:val="21"/>
                      <w:szCs w:val="21"/>
                    </w:rPr>
                    <w:t>L</w:t>
                  </w:r>
                </w:p>
              </w:tc>
              <w:tc>
                <w:tcPr>
                  <w:tcW w:w="738" w:type="pct"/>
                  <w:vAlign w:val="center"/>
                </w:tcPr>
                <w:p>
                  <w:pPr>
                    <w:pStyle w:val="68"/>
                    <w:spacing w:line="300" w:lineRule="exact"/>
                    <w:rPr>
                      <w:bCs/>
                      <w:szCs w:val="21"/>
                    </w:rPr>
                  </w:pPr>
                  <w:r>
                    <w:rPr>
                      <w:bCs/>
                      <w:szCs w:val="21"/>
                    </w:rPr>
                    <w:t>排放量:0.</w:t>
                  </w:r>
                  <w:r>
                    <w:rPr>
                      <w:rFonts w:hint="eastAsia"/>
                      <w:bCs/>
                      <w:szCs w:val="21"/>
                    </w:rPr>
                    <w:t>0403</w:t>
                  </w:r>
                  <w:r>
                    <w:rPr>
                      <w:bCs/>
                      <w:szCs w:val="21"/>
                    </w:rPr>
                    <w:t>t/a</w:t>
                  </w:r>
                </w:p>
                <w:p>
                  <w:pPr>
                    <w:pStyle w:val="98"/>
                    <w:spacing w:line="300" w:lineRule="exact"/>
                    <w:jc w:val="center"/>
                    <w:rPr>
                      <w:b w:val="0"/>
                      <w:kern w:val="28"/>
                      <w:sz w:val="21"/>
                      <w:szCs w:val="21"/>
                    </w:rPr>
                  </w:pPr>
                  <w:r>
                    <w:rPr>
                      <w:b w:val="0"/>
                      <w:bCs/>
                      <w:sz w:val="21"/>
                      <w:szCs w:val="21"/>
                    </w:rPr>
                    <w:t>浓度:</w:t>
                  </w:r>
                  <w:r>
                    <w:rPr>
                      <w:rFonts w:hint="eastAsia"/>
                      <w:b w:val="0"/>
                      <w:bCs/>
                      <w:sz w:val="21"/>
                      <w:szCs w:val="21"/>
                    </w:rPr>
                    <w:t>280</w:t>
                  </w:r>
                  <w:r>
                    <w:rPr>
                      <w:b w:val="0"/>
                      <w:bCs/>
                      <w:sz w:val="21"/>
                      <w:szCs w:val="21"/>
                    </w:rPr>
                    <w:t>mg/</w:t>
                  </w:r>
                  <w:r>
                    <w:rPr>
                      <w:rFonts w:hint="eastAsia"/>
                      <w:b w:val="0"/>
                      <w:bCs/>
                      <w:sz w:val="21"/>
                      <w:szCs w:val="21"/>
                    </w:rPr>
                    <w:t>L</w:t>
                  </w:r>
                </w:p>
              </w:tc>
              <w:tc>
                <w:tcPr>
                  <w:tcW w:w="705" w:type="pct"/>
                  <w:vMerge w:val="restart"/>
                  <w:vAlign w:val="center"/>
                </w:tcPr>
                <w:p>
                  <w:pPr>
                    <w:pStyle w:val="98"/>
                    <w:spacing w:line="300" w:lineRule="exact"/>
                    <w:jc w:val="center"/>
                    <w:rPr>
                      <w:b w:val="0"/>
                      <w:kern w:val="28"/>
                      <w:sz w:val="21"/>
                      <w:szCs w:val="21"/>
                    </w:rPr>
                  </w:pPr>
                  <w:r>
                    <w:rPr>
                      <w:b w:val="0"/>
                      <w:kern w:val="28"/>
                      <w:sz w:val="21"/>
                      <w:szCs w:val="21"/>
                    </w:rPr>
                    <w:t>经厂区现有化粪池处理后</w:t>
                  </w:r>
                  <w:r>
                    <w:rPr>
                      <w:rFonts w:hint="eastAsia"/>
                      <w:b w:val="0"/>
                      <w:kern w:val="28"/>
                      <w:sz w:val="21"/>
                      <w:szCs w:val="21"/>
                    </w:rPr>
                    <w:t>用于肥田</w:t>
                  </w:r>
                </w:p>
              </w:tc>
              <w:tc>
                <w:tcPr>
                  <w:tcW w:w="1115" w:type="pct"/>
                  <w:vMerge w:val="restart"/>
                  <w:vAlign w:val="center"/>
                </w:tcPr>
                <w:p>
                  <w:pPr>
                    <w:pStyle w:val="98"/>
                    <w:spacing w:line="300" w:lineRule="exact"/>
                    <w:jc w:val="center"/>
                    <w:rPr>
                      <w:b w:val="0"/>
                      <w:kern w:val="28"/>
                      <w:sz w:val="21"/>
                      <w:szCs w:val="21"/>
                    </w:rPr>
                  </w:pPr>
                  <w:r>
                    <w:rPr>
                      <w:rFonts w:hint="eastAsia"/>
                      <w:b w:val="0"/>
                      <w:kern w:val="28"/>
                      <w:sz w:val="21"/>
                      <w:szCs w:val="21"/>
                    </w:rPr>
                    <w:t>综合利用</w:t>
                  </w:r>
                </w:p>
              </w:tc>
              <w:tc>
                <w:tcPr>
                  <w:tcW w:w="408" w:type="pct"/>
                  <w:vMerge w:val="restart"/>
                  <w:vAlign w:val="center"/>
                </w:tcPr>
                <w:p>
                  <w:pPr>
                    <w:pStyle w:val="98"/>
                    <w:spacing w:line="300" w:lineRule="exact"/>
                    <w:jc w:val="center"/>
                    <w:rPr>
                      <w:b w:val="0"/>
                      <w:kern w:val="28"/>
                      <w:sz w:val="21"/>
                      <w:szCs w:val="21"/>
                    </w:rPr>
                  </w:pPr>
                  <w:r>
                    <w:rPr>
                      <w:rFonts w:hint="eastAsia"/>
                      <w:b w:val="0"/>
                      <w:sz w:val="21"/>
                      <w:szCs w:val="21"/>
                    </w:rPr>
                    <w:t>/</w:t>
                  </w:r>
                </w:p>
              </w:tc>
              <w:tc>
                <w:tcPr>
                  <w:tcW w:w="312" w:type="pct"/>
                  <w:vMerge w:val="restart"/>
                  <w:vAlign w:val="center"/>
                </w:tcPr>
                <w:p>
                  <w:pPr>
                    <w:pStyle w:val="98"/>
                    <w:spacing w:line="300" w:lineRule="exact"/>
                    <w:jc w:val="center"/>
                    <w:rPr>
                      <w:b w:val="0"/>
                      <w:kern w:val="28"/>
                      <w:sz w:val="21"/>
                      <w:szCs w:val="21"/>
                    </w:rPr>
                  </w:pPr>
                  <w:r>
                    <w:rPr>
                      <w:b w:val="0"/>
                      <w:kern w:val="28"/>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jc w:val="center"/>
              </w:trPr>
              <w:tc>
                <w:tcPr>
                  <w:tcW w:w="185" w:type="pct"/>
                  <w:vMerge w:val="continue"/>
                  <w:vAlign w:val="center"/>
                </w:tcPr>
                <w:p>
                  <w:pPr>
                    <w:pStyle w:val="98"/>
                    <w:spacing w:line="300" w:lineRule="exact"/>
                    <w:jc w:val="center"/>
                    <w:rPr>
                      <w:b w:val="0"/>
                      <w:kern w:val="28"/>
                      <w:sz w:val="21"/>
                      <w:szCs w:val="21"/>
                    </w:rPr>
                  </w:pPr>
                </w:p>
              </w:tc>
              <w:tc>
                <w:tcPr>
                  <w:tcW w:w="498" w:type="pct"/>
                  <w:vMerge w:val="continue"/>
                  <w:vAlign w:val="center"/>
                </w:tcPr>
                <w:p>
                  <w:pPr>
                    <w:pStyle w:val="98"/>
                    <w:spacing w:line="300" w:lineRule="exact"/>
                    <w:jc w:val="center"/>
                    <w:rPr>
                      <w:b w:val="0"/>
                      <w:kern w:val="28"/>
                      <w:sz w:val="21"/>
                      <w:szCs w:val="21"/>
                    </w:rPr>
                  </w:pPr>
                </w:p>
              </w:tc>
              <w:tc>
                <w:tcPr>
                  <w:tcW w:w="300" w:type="pct"/>
                  <w:vAlign w:val="center"/>
                </w:tcPr>
                <w:p>
                  <w:pPr>
                    <w:pStyle w:val="98"/>
                    <w:spacing w:line="300" w:lineRule="exact"/>
                    <w:jc w:val="center"/>
                    <w:rPr>
                      <w:b w:val="0"/>
                      <w:kern w:val="28"/>
                      <w:sz w:val="21"/>
                      <w:szCs w:val="21"/>
                    </w:rPr>
                  </w:pPr>
                  <w:r>
                    <w:rPr>
                      <w:rFonts w:hint="eastAsia"/>
                      <w:b w:val="0"/>
                      <w:kern w:val="28"/>
                      <w:sz w:val="21"/>
                      <w:szCs w:val="21"/>
                    </w:rPr>
                    <w:t>氨氮</w:t>
                  </w:r>
                </w:p>
              </w:tc>
              <w:tc>
                <w:tcPr>
                  <w:tcW w:w="738" w:type="pct"/>
                  <w:vAlign w:val="center"/>
                </w:tcPr>
                <w:p>
                  <w:pPr>
                    <w:pStyle w:val="68"/>
                    <w:spacing w:line="300" w:lineRule="exact"/>
                    <w:rPr>
                      <w:bCs/>
                      <w:szCs w:val="21"/>
                    </w:rPr>
                  </w:pPr>
                  <w:r>
                    <w:rPr>
                      <w:bCs/>
                      <w:szCs w:val="21"/>
                    </w:rPr>
                    <w:t>排放量:0.0</w:t>
                  </w:r>
                  <w:r>
                    <w:rPr>
                      <w:rFonts w:hint="eastAsia"/>
                      <w:bCs/>
                      <w:szCs w:val="21"/>
                    </w:rPr>
                    <w:t>043</w:t>
                  </w:r>
                  <w:r>
                    <w:rPr>
                      <w:bCs/>
                      <w:szCs w:val="21"/>
                    </w:rPr>
                    <w:t>t/a</w:t>
                  </w:r>
                </w:p>
                <w:p>
                  <w:pPr>
                    <w:pStyle w:val="98"/>
                    <w:spacing w:line="300" w:lineRule="exact"/>
                    <w:jc w:val="center"/>
                    <w:rPr>
                      <w:b w:val="0"/>
                      <w:kern w:val="28"/>
                      <w:sz w:val="21"/>
                      <w:szCs w:val="21"/>
                    </w:rPr>
                  </w:pPr>
                  <w:r>
                    <w:rPr>
                      <w:b w:val="0"/>
                      <w:bCs/>
                      <w:sz w:val="21"/>
                      <w:szCs w:val="21"/>
                    </w:rPr>
                    <w:t>浓度:</w:t>
                  </w:r>
                  <w:r>
                    <w:rPr>
                      <w:rFonts w:hint="eastAsia"/>
                      <w:b w:val="0"/>
                      <w:bCs/>
                      <w:sz w:val="21"/>
                      <w:szCs w:val="21"/>
                    </w:rPr>
                    <w:t>30</w:t>
                  </w:r>
                  <w:r>
                    <w:rPr>
                      <w:b w:val="0"/>
                      <w:bCs/>
                      <w:sz w:val="21"/>
                      <w:szCs w:val="21"/>
                    </w:rPr>
                    <w:t>mg/</w:t>
                  </w:r>
                  <w:r>
                    <w:rPr>
                      <w:rFonts w:hint="eastAsia"/>
                      <w:b w:val="0"/>
                      <w:bCs/>
                      <w:sz w:val="21"/>
                      <w:szCs w:val="21"/>
                    </w:rPr>
                    <w:t>L</w:t>
                  </w:r>
                </w:p>
              </w:tc>
              <w:tc>
                <w:tcPr>
                  <w:tcW w:w="738" w:type="pct"/>
                  <w:vAlign w:val="center"/>
                </w:tcPr>
                <w:p>
                  <w:pPr>
                    <w:pStyle w:val="68"/>
                    <w:spacing w:line="300" w:lineRule="exact"/>
                    <w:rPr>
                      <w:bCs/>
                      <w:szCs w:val="21"/>
                    </w:rPr>
                  </w:pPr>
                  <w:r>
                    <w:rPr>
                      <w:bCs/>
                      <w:szCs w:val="21"/>
                    </w:rPr>
                    <w:t>排放量:0.0</w:t>
                  </w:r>
                  <w:r>
                    <w:rPr>
                      <w:rFonts w:hint="eastAsia"/>
                      <w:bCs/>
                      <w:szCs w:val="21"/>
                    </w:rPr>
                    <w:t>042</w:t>
                  </w:r>
                  <w:r>
                    <w:rPr>
                      <w:bCs/>
                      <w:szCs w:val="21"/>
                    </w:rPr>
                    <w:t>t/a</w:t>
                  </w:r>
                </w:p>
                <w:p>
                  <w:pPr>
                    <w:pStyle w:val="98"/>
                    <w:spacing w:line="300" w:lineRule="exact"/>
                    <w:jc w:val="center"/>
                    <w:rPr>
                      <w:b w:val="0"/>
                      <w:kern w:val="28"/>
                      <w:sz w:val="21"/>
                      <w:szCs w:val="21"/>
                    </w:rPr>
                  </w:pPr>
                  <w:r>
                    <w:rPr>
                      <w:b w:val="0"/>
                      <w:bCs/>
                      <w:sz w:val="21"/>
                      <w:szCs w:val="21"/>
                    </w:rPr>
                    <w:t>浓度:</w:t>
                  </w:r>
                  <w:r>
                    <w:rPr>
                      <w:rFonts w:hint="eastAsia"/>
                      <w:b w:val="0"/>
                      <w:bCs/>
                      <w:sz w:val="21"/>
                      <w:szCs w:val="21"/>
                    </w:rPr>
                    <w:t>29.1</w:t>
                  </w:r>
                  <w:r>
                    <w:rPr>
                      <w:b w:val="0"/>
                      <w:bCs/>
                      <w:sz w:val="21"/>
                      <w:szCs w:val="21"/>
                    </w:rPr>
                    <w:t>mg/</w:t>
                  </w:r>
                  <w:r>
                    <w:rPr>
                      <w:rFonts w:hint="eastAsia"/>
                      <w:b w:val="0"/>
                      <w:bCs/>
                      <w:sz w:val="21"/>
                      <w:szCs w:val="21"/>
                    </w:rPr>
                    <w:t>L</w:t>
                  </w:r>
                </w:p>
              </w:tc>
              <w:tc>
                <w:tcPr>
                  <w:tcW w:w="705" w:type="pct"/>
                  <w:vMerge w:val="continue"/>
                  <w:vAlign w:val="center"/>
                </w:tcPr>
                <w:p>
                  <w:pPr>
                    <w:pStyle w:val="98"/>
                    <w:spacing w:line="300" w:lineRule="exact"/>
                    <w:jc w:val="center"/>
                    <w:rPr>
                      <w:b w:val="0"/>
                      <w:kern w:val="28"/>
                      <w:sz w:val="21"/>
                      <w:szCs w:val="21"/>
                    </w:rPr>
                  </w:pPr>
                </w:p>
              </w:tc>
              <w:tc>
                <w:tcPr>
                  <w:tcW w:w="1115" w:type="pct"/>
                  <w:vMerge w:val="continue"/>
                  <w:vAlign w:val="center"/>
                </w:tcPr>
                <w:p>
                  <w:pPr>
                    <w:pStyle w:val="98"/>
                    <w:spacing w:line="300" w:lineRule="exact"/>
                    <w:jc w:val="center"/>
                    <w:rPr>
                      <w:b w:val="0"/>
                      <w:kern w:val="28"/>
                      <w:sz w:val="21"/>
                      <w:szCs w:val="21"/>
                    </w:rPr>
                  </w:pPr>
                </w:p>
              </w:tc>
              <w:tc>
                <w:tcPr>
                  <w:tcW w:w="408" w:type="pct"/>
                  <w:vMerge w:val="continue"/>
                  <w:vAlign w:val="center"/>
                </w:tcPr>
                <w:p>
                  <w:pPr>
                    <w:pStyle w:val="98"/>
                    <w:spacing w:line="300" w:lineRule="exact"/>
                    <w:jc w:val="center"/>
                    <w:rPr>
                      <w:b w:val="0"/>
                      <w:sz w:val="21"/>
                      <w:szCs w:val="21"/>
                    </w:rPr>
                  </w:pPr>
                </w:p>
              </w:tc>
              <w:tc>
                <w:tcPr>
                  <w:tcW w:w="312" w:type="pct"/>
                  <w:vMerge w:val="continue"/>
                  <w:vAlign w:val="center"/>
                </w:tcPr>
                <w:p>
                  <w:pPr>
                    <w:pStyle w:val="98"/>
                    <w:spacing w:line="300" w:lineRule="exact"/>
                    <w:jc w:val="center"/>
                    <w:rPr>
                      <w:b w:val="0"/>
                      <w:kern w:val="2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jc w:val="center"/>
              </w:trPr>
              <w:tc>
                <w:tcPr>
                  <w:tcW w:w="185" w:type="pct"/>
                  <w:vMerge w:val="continue"/>
                  <w:vAlign w:val="center"/>
                </w:tcPr>
                <w:p>
                  <w:pPr>
                    <w:pStyle w:val="98"/>
                    <w:spacing w:line="300" w:lineRule="exact"/>
                    <w:jc w:val="center"/>
                    <w:rPr>
                      <w:b w:val="0"/>
                      <w:kern w:val="28"/>
                      <w:sz w:val="21"/>
                      <w:szCs w:val="21"/>
                    </w:rPr>
                  </w:pPr>
                </w:p>
              </w:tc>
              <w:tc>
                <w:tcPr>
                  <w:tcW w:w="498" w:type="pct"/>
                  <w:vMerge w:val="continue"/>
                  <w:vAlign w:val="center"/>
                </w:tcPr>
                <w:p>
                  <w:pPr>
                    <w:pStyle w:val="98"/>
                    <w:spacing w:line="300" w:lineRule="exact"/>
                    <w:jc w:val="center"/>
                    <w:rPr>
                      <w:b w:val="0"/>
                      <w:kern w:val="28"/>
                      <w:sz w:val="21"/>
                      <w:szCs w:val="21"/>
                    </w:rPr>
                  </w:pPr>
                </w:p>
              </w:tc>
              <w:tc>
                <w:tcPr>
                  <w:tcW w:w="300" w:type="pct"/>
                  <w:vAlign w:val="center"/>
                </w:tcPr>
                <w:p>
                  <w:pPr>
                    <w:pStyle w:val="98"/>
                    <w:spacing w:line="300" w:lineRule="exact"/>
                    <w:jc w:val="center"/>
                    <w:rPr>
                      <w:b w:val="0"/>
                      <w:kern w:val="28"/>
                      <w:sz w:val="21"/>
                      <w:szCs w:val="21"/>
                    </w:rPr>
                  </w:pPr>
                  <w:r>
                    <w:rPr>
                      <w:rFonts w:hint="eastAsia"/>
                      <w:b w:val="0"/>
                      <w:kern w:val="28"/>
                      <w:sz w:val="21"/>
                      <w:szCs w:val="21"/>
                    </w:rPr>
                    <w:t>BOD</w:t>
                  </w:r>
                  <w:r>
                    <w:rPr>
                      <w:rFonts w:hint="eastAsia"/>
                      <w:b w:val="0"/>
                      <w:kern w:val="28"/>
                      <w:sz w:val="21"/>
                      <w:szCs w:val="21"/>
                      <w:vertAlign w:val="subscript"/>
                    </w:rPr>
                    <w:t>5</w:t>
                  </w:r>
                </w:p>
              </w:tc>
              <w:tc>
                <w:tcPr>
                  <w:tcW w:w="738" w:type="pct"/>
                  <w:vAlign w:val="center"/>
                </w:tcPr>
                <w:p>
                  <w:pPr>
                    <w:pStyle w:val="68"/>
                    <w:spacing w:line="300" w:lineRule="exact"/>
                    <w:rPr>
                      <w:bCs/>
                      <w:szCs w:val="21"/>
                    </w:rPr>
                  </w:pPr>
                  <w:r>
                    <w:rPr>
                      <w:bCs/>
                      <w:szCs w:val="21"/>
                    </w:rPr>
                    <w:t>排放量:0.0</w:t>
                  </w:r>
                  <w:r>
                    <w:rPr>
                      <w:rFonts w:hint="eastAsia"/>
                      <w:bCs/>
                      <w:szCs w:val="21"/>
                    </w:rPr>
                    <w:t>259</w:t>
                  </w:r>
                  <w:r>
                    <w:rPr>
                      <w:bCs/>
                      <w:szCs w:val="21"/>
                    </w:rPr>
                    <w:t>t/a</w:t>
                  </w:r>
                </w:p>
                <w:p>
                  <w:pPr>
                    <w:pStyle w:val="98"/>
                    <w:spacing w:line="300" w:lineRule="exact"/>
                    <w:jc w:val="center"/>
                    <w:rPr>
                      <w:b w:val="0"/>
                      <w:kern w:val="28"/>
                      <w:sz w:val="21"/>
                      <w:szCs w:val="21"/>
                    </w:rPr>
                  </w:pPr>
                  <w:r>
                    <w:rPr>
                      <w:b w:val="0"/>
                      <w:bCs/>
                      <w:sz w:val="21"/>
                      <w:szCs w:val="21"/>
                    </w:rPr>
                    <w:t>浓度:</w:t>
                  </w:r>
                  <w:r>
                    <w:rPr>
                      <w:rFonts w:hint="eastAsia"/>
                      <w:b w:val="0"/>
                      <w:bCs/>
                      <w:sz w:val="21"/>
                      <w:szCs w:val="21"/>
                    </w:rPr>
                    <w:t>180</w:t>
                  </w:r>
                  <w:r>
                    <w:rPr>
                      <w:b w:val="0"/>
                      <w:bCs/>
                      <w:sz w:val="21"/>
                      <w:szCs w:val="21"/>
                    </w:rPr>
                    <w:t>mg/</w:t>
                  </w:r>
                  <w:r>
                    <w:rPr>
                      <w:rFonts w:hint="eastAsia"/>
                      <w:b w:val="0"/>
                      <w:bCs/>
                      <w:sz w:val="21"/>
                      <w:szCs w:val="21"/>
                    </w:rPr>
                    <w:t>L</w:t>
                  </w:r>
                </w:p>
              </w:tc>
              <w:tc>
                <w:tcPr>
                  <w:tcW w:w="738" w:type="pct"/>
                  <w:vAlign w:val="center"/>
                </w:tcPr>
                <w:p>
                  <w:pPr>
                    <w:pStyle w:val="68"/>
                    <w:spacing w:line="300" w:lineRule="exact"/>
                    <w:rPr>
                      <w:bCs/>
                      <w:szCs w:val="21"/>
                    </w:rPr>
                  </w:pPr>
                  <w:r>
                    <w:rPr>
                      <w:bCs/>
                      <w:szCs w:val="21"/>
                    </w:rPr>
                    <w:t>排放量:0.0</w:t>
                  </w:r>
                  <w:r>
                    <w:rPr>
                      <w:rFonts w:hint="eastAsia"/>
                      <w:bCs/>
                      <w:szCs w:val="21"/>
                    </w:rPr>
                    <w:t>207</w:t>
                  </w:r>
                  <w:r>
                    <w:rPr>
                      <w:bCs/>
                      <w:szCs w:val="21"/>
                    </w:rPr>
                    <w:t>t/a</w:t>
                  </w:r>
                </w:p>
                <w:p>
                  <w:pPr>
                    <w:pStyle w:val="98"/>
                    <w:spacing w:line="300" w:lineRule="exact"/>
                    <w:jc w:val="center"/>
                    <w:rPr>
                      <w:b w:val="0"/>
                      <w:kern w:val="28"/>
                      <w:sz w:val="21"/>
                      <w:szCs w:val="21"/>
                    </w:rPr>
                  </w:pPr>
                  <w:r>
                    <w:rPr>
                      <w:b w:val="0"/>
                      <w:bCs/>
                      <w:sz w:val="21"/>
                      <w:szCs w:val="21"/>
                    </w:rPr>
                    <w:t>浓度:</w:t>
                  </w:r>
                  <w:r>
                    <w:rPr>
                      <w:rFonts w:hint="eastAsia"/>
                      <w:b w:val="0"/>
                      <w:bCs/>
                      <w:sz w:val="21"/>
                      <w:szCs w:val="21"/>
                    </w:rPr>
                    <w:t>144</w:t>
                  </w:r>
                  <w:r>
                    <w:rPr>
                      <w:b w:val="0"/>
                      <w:bCs/>
                      <w:sz w:val="21"/>
                      <w:szCs w:val="21"/>
                    </w:rPr>
                    <w:t>mg/</w:t>
                  </w:r>
                  <w:r>
                    <w:rPr>
                      <w:rFonts w:hint="eastAsia"/>
                      <w:b w:val="0"/>
                      <w:bCs/>
                      <w:sz w:val="21"/>
                      <w:szCs w:val="21"/>
                    </w:rPr>
                    <w:t>L</w:t>
                  </w:r>
                </w:p>
              </w:tc>
              <w:tc>
                <w:tcPr>
                  <w:tcW w:w="705" w:type="pct"/>
                  <w:vMerge w:val="continue"/>
                  <w:vAlign w:val="center"/>
                </w:tcPr>
                <w:p>
                  <w:pPr>
                    <w:pStyle w:val="98"/>
                    <w:spacing w:line="300" w:lineRule="exact"/>
                    <w:jc w:val="center"/>
                    <w:rPr>
                      <w:b w:val="0"/>
                      <w:kern w:val="28"/>
                      <w:sz w:val="21"/>
                      <w:szCs w:val="21"/>
                    </w:rPr>
                  </w:pPr>
                </w:p>
              </w:tc>
              <w:tc>
                <w:tcPr>
                  <w:tcW w:w="1115" w:type="pct"/>
                  <w:vMerge w:val="continue"/>
                  <w:vAlign w:val="center"/>
                </w:tcPr>
                <w:p>
                  <w:pPr>
                    <w:pStyle w:val="98"/>
                    <w:spacing w:line="300" w:lineRule="exact"/>
                    <w:jc w:val="center"/>
                    <w:rPr>
                      <w:b w:val="0"/>
                      <w:kern w:val="28"/>
                      <w:sz w:val="21"/>
                      <w:szCs w:val="21"/>
                    </w:rPr>
                  </w:pPr>
                </w:p>
              </w:tc>
              <w:tc>
                <w:tcPr>
                  <w:tcW w:w="408" w:type="pct"/>
                  <w:vMerge w:val="continue"/>
                  <w:vAlign w:val="center"/>
                </w:tcPr>
                <w:p>
                  <w:pPr>
                    <w:pStyle w:val="98"/>
                    <w:spacing w:line="300" w:lineRule="exact"/>
                    <w:jc w:val="center"/>
                    <w:rPr>
                      <w:b w:val="0"/>
                      <w:sz w:val="21"/>
                      <w:szCs w:val="21"/>
                    </w:rPr>
                  </w:pPr>
                </w:p>
              </w:tc>
              <w:tc>
                <w:tcPr>
                  <w:tcW w:w="312" w:type="pct"/>
                  <w:vMerge w:val="continue"/>
                  <w:vAlign w:val="center"/>
                </w:tcPr>
                <w:p>
                  <w:pPr>
                    <w:pStyle w:val="98"/>
                    <w:spacing w:line="300" w:lineRule="exact"/>
                    <w:jc w:val="center"/>
                    <w:rPr>
                      <w:b w:val="0"/>
                      <w:kern w:val="2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jc w:val="center"/>
              </w:trPr>
              <w:tc>
                <w:tcPr>
                  <w:tcW w:w="185" w:type="pct"/>
                  <w:vMerge w:val="continue"/>
                  <w:vAlign w:val="center"/>
                </w:tcPr>
                <w:p>
                  <w:pPr>
                    <w:pStyle w:val="98"/>
                    <w:spacing w:line="300" w:lineRule="exact"/>
                    <w:jc w:val="center"/>
                    <w:rPr>
                      <w:b w:val="0"/>
                      <w:kern w:val="28"/>
                      <w:sz w:val="21"/>
                      <w:szCs w:val="21"/>
                    </w:rPr>
                  </w:pPr>
                </w:p>
              </w:tc>
              <w:tc>
                <w:tcPr>
                  <w:tcW w:w="498" w:type="pct"/>
                  <w:vMerge w:val="continue"/>
                  <w:vAlign w:val="center"/>
                </w:tcPr>
                <w:p>
                  <w:pPr>
                    <w:pStyle w:val="98"/>
                    <w:spacing w:line="300" w:lineRule="exact"/>
                    <w:jc w:val="center"/>
                    <w:rPr>
                      <w:b w:val="0"/>
                      <w:kern w:val="28"/>
                      <w:sz w:val="21"/>
                      <w:szCs w:val="21"/>
                    </w:rPr>
                  </w:pPr>
                </w:p>
              </w:tc>
              <w:tc>
                <w:tcPr>
                  <w:tcW w:w="300" w:type="pct"/>
                  <w:vAlign w:val="center"/>
                </w:tcPr>
                <w:p>
                  <w:pPr>
                    <w:pStyle w:val="98"/>
                    <w:spacing w:line="300" w:lineRule="exact"/>
                    <w:jc w:val="center"/>
                    <w:rPr>
                      <w:b w:val="0"/>
                      <w:kern w:val="28"/>
                      <w:sz w:val="21"/>
                      <w:szCs w:val="21"/>
                    </w:rPr>
                  </w:pPr>
                  <w:r>
                    <w:rPr>
                      <w:rFonts w:hint="eastAsia"/>
                      <w:b w:val="0"/>
                      <w:kern w:val="28"/>
                      <w:sz w:val="21"/>
                      <w:szCs w:val="21"/>
                    </w:rPr>
                    <w:t>氨氮</w:t>
                  </w:r>
                </w:p>
              </w:tc>
              <w:tc>
                <w:tcPr>
                  <w:tcW w:w="738" w:type="pct"/>
                  <w:vAlign w:val="center"/>
                </w:tcPr>
                <w:p>
                  <w:pPr>
                    <w:pStyle w:val="68"/>
                    <w:spacing w:line="300" w:lineRule="exact"/>
                    <w:rPr>
                      <w:bCs/>
                      <w:szCs w:val="21"/>
                    </w:rPr>
                  </w:pPr>
                  <w:r>
                    <w:rPr>
                      <w:bCs/>
                      <w:szCs w:val="21"/>
                    </w:rPr>
                    <w:t>排放量:0.0</w:t>
                  </w:r>
                  <w:r>
                    <w:rPr>
                      <w:rFonts w:hint="eastAsia"/>
                      <w:bCs/>
                      <w:szCs w:val="21"/>
                    </w:rPr>
                    <w:t>288</w:t>
                  </w:r>
                  <w:r>
                    <w:rPr>
                      <w:bCs/>
                      <w:szCs w:val="21"/>
                    </w:rPr>
                    <w:t>t/a</w:t>
                  </w:r>
                </w:p>
                <w:p>
                  <w:pPr>
                    <w:pStyle w:val="98"/>
                    <w:spacing w:line="300" w:lineRule="exact"/>
                    <w:jc w:val="center"/>
                    <w:rPr>
                      <w:b w:val="0"/>
                      <w:kern w:val="28"/>
                      <w:sz w:val="21"/>
                      <w:szCs w:val="21"/>
                    </w:rPr>
                  </w:pPr>
                  <w:r>
                    <w:rPr>
                      <w:b w:val="0"/>
                      <w:bCs/>
                      <w:sz w:val="21"/>
                      <w:szCs w:val="21"/>
                    </w:rPr>
                    <w:t>浓度:</w:t>
                  </w:r>
                  <w:r>
                    <w:rPr>
                      <w:rFonts w:hint="eastAsia"/>
                      <w:b w:val="0"/>
                      <w:bCs/>
                      <w:sz w:val="21"/>
                      <w:szCs w:val="21"/>
                    </w:rPr>
                    <w:t>200</w:t>
                  </w:r>
                  <w:r>
                    <w:rPr>
                      <w:b w:val="0"/>
                      <w:bCs/>
                      <w:sz w:val="21"/>
                      <w:szCs w:val="21"/>
                    </w:rPr>
                    <w:t>mg/</w:t>
                  </w:r>
                  <w:r>
                    <w:rPr>
                      <w:rFonts w:hint="eastAsia"/>
                      <w:b w:val="0"/>
                      <w:bCs/>
                      <w:sz w:val="21"/>
                      <w:szCs w:val="21"/>
                    </w:rPr>
                    <w:t>L</w:t>
                  </w:r>
                </w:p>
              </w:tc>
              <w:tc>
                <w:tcPr>
                  <w:tcW w:w="738" w:type="pct"/>
                  <w:vAlign w:val="center"/>
                </w:tcPr>
                <w:p>
                  <w:pPr>
                    <w:pStyle w:val="68"/>
                    <w:spacing w:line="300" w:lineRule="exact"/>
                    <w:rPr>
                      <w:bCs/>
                      <w:szCs w:val="21"/>
                    </w:rPr>
                  </w:pPr>
                  <w:r>
                    <w:rPr>
                      <w:bCs/>
                      <w:szCs w:val="21"/>
                    </w:rPr>
                    <w:t>排放量:0.0</w:t>
                  </w:r>
                  <w:r>
                    <w:rPr>
                      <w:rFonts w:hint="eastAsia"/>
                      <w:bCs/>
                      <w:szCs w:val="21"/>
                    </w:rPr>
                    <w:t>144</w:t>
                  </w:r>
                  <w:r>
                    <w:rPr>
                      <w:bCs/>
                      <w:szCs w:val="21"/>
                    </w:rPr>
                    <w:t>t/a</w:t>
                  </w:r>
                </w:p>
                <w:p>
                  <w:pPr>
                    <w:pStyle w:val="98"/>
                    <w:spacing w:line="300" w:lineRule="exact"/>
                    <w:jc w:val="center"/>
                    <w:rPr>
                      <w:b w:val="0"/>
                      <w:kern w:val="28"/>
                      <w:sz w:val="21"/>
                      <w:szCs w:val="21"/>
                    </w:rPr>
                  </w:pPr>
                  <w:r>
                    <w:rPr>
                      <w:b w:val="0"/>
                      <w:bCs/>
                      <w:sz w:val="21"/>
                      <w:szCs w:val="21"/>
                    </w:rPr>
                    <w:t>浓度:</w:t>
                  </w:r>
                  <w:r>
                    <w:rPr>
                      <w:rFonts w:hint="eastAsia"/>
                      <w:b w:val="0"/>
                      <w:bCs/>
                      <w:sz w:val="21"/>
                      <w:szCs w:val="21"/>
                    </w:rPr>
                    <w:t>100</w:t>
                  </w:r>
                  <w:r>
                    <w:rPr>
                      <w:b w:val="0"/>
                      <w:bCs/>
                      <w:sz w:val="21"/>
                      <w:szCs w:val="21"/>
                    </w:rPr>
                    <w:t>mg/</w:t>
                  </w:r>
                  <w:r>
                    <w:rPr>
                      <w:rFonts w:hint="eastAsia"/>
                      <w:b w:val="0"/>
                      <w:bCs/>
                      <w:sz w:val="21"/>
                      <w:szCs w:val="21"/>
                    </w:rPr>
                    <w:t>L</w:t>
                  </w:r>
                </w:p>
              </w:tc>
              <w:tc>
                <w:tcPr>
                  <w:tcW w:w="705" w:type="pct"/>
                  <w:vMerge w:val="continue"/>
                  <w:vAlign w:val="center"/>
                </w:tcPr>
                <w:p>
                  <w:pPr>
                    <w:pStyle w:val="98"/>
                    <w:spacing w:line="300" w:lineRule="exact"/>
                    <w:jc w:val="center"/>
                    <w:rPr>
                      <w:b w:val="0"/>
                      <w:kern w:val="28"/>
                      <w:sz w:val="21"/>
                      <w:szCs w:val="21"/>
                    </w:rPr>
                  </w:pPr>
                </w:p>
              </w:tc>
              <w:tc>
                <w:tcPr>
                  <w:tcW w:w="1115" w:type="pct"/>
                  <w:vMerge w:val="continue"/>
                  <w:vAlign w:val="center"/>
                </w:tcPr>
                <w:p>
                  <w:pPr>
                    <w:pStyle w:val="98"/>
                    <w:spacing w:line="300" w:lineRule="exact"/>
                    <w:jc w:val="center"/>
                    <w:rPr>
                      <w:b w:val="0"/>
                      <w:kern w:val="28"/>
                      <w:sz w:val="21"/>
                      <w:szCs w:val="21"/>
                    </w:rPr>
                  </w:pPr>
                </w:p>
              </w:tc>
              <w:tc>
                <w:tcPr>
                  <w:tcW w:w="408" w:type="pct"/>
                  <w:vMerge w:val="continue"/>
                  <w:vAlign w:val="center"/>
                </w:tcPr>
                <w:p>
                  <w:pPr>
                    <w:pStyle w:val="98"/>
                    <w:spacing w:line="300" w:lineRule="exact"/>
                    <w:jc w:val="center"/>
                    <w:rPr>
                      <w:b w:val="0"/>
                      <w:kern w:val="28"/>
                      <w:sz w:val="21"/>
                      <w:szCs w:val="21"/>
                    </w:rPr>
                  </w:pPr>
                </w:p>
              </w:tc>
              <w:tc>
                <w:tcPr>
                  <w:tcW w:w="312" w:type="pct"/>
                  <w:vMerge w:val="continue"/>
                  <w:vAlign w:val="center"/>
                </w:tcPr>
                <w:p>
                  <w:pPr>
                    <w:pStyle w:val="98"/>
                    <w:spacing w:line="300" w:lineRule="exact"/>
                    <w:jc w:val="center"/>
                    <w:rPr>
                      <w:b w:val="0"/>
                      <w:kern w:val="2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5" w:type="pct"/>
                  <w:vAlign w:val="center"/>
                </w:tcPr>
                <w:p>
                  <w:pPr>
                    <w:pStyle w:val="98"/>
                    <w:spacing w:line="300" w:lineRule="exact"/>
                    <w:jc w:val="center"/>
                    <w:rPr>
                      <w:b w:val="0"/>
                      <w:kern w:val="28"/>
                      <w:sz w:val="21"/>
                      <w:szCs w:val="21"/>
                    </w:rPr>
                  </w:pPr>
                  <w:r>
                    <w:rPr>
                      <w:b w:val="0"/>
                      <w:kern w:val="28"/>
                      <w:sz w:val="21"/>
                      <w:szCs w:val="21"/>
                    </w:rPr>
                    <w:t>噪声</w:t>
                  </w:r>
                </w:p>
              </w:tc>
              <w:tc>
                <w:tcPr>
                  <w:tcW w:w="498" w:type="pct"/>
                  <w:vAlign w:val="center"/>
                </w:tcPr>
                <w:p>
                  <w:pPr>
                    <w:pStyle w:val="98"/>
                    <w:spacing w:line="300" w:lineRule="exact"/>
                    <w:jc w:val="center"/>
                    <w:rPr>
                      <w:b w:val="0"/>
                      <w:kern w:val="28"/>
                      <w:sz w:val="21"/>
                      <w:szCs w:val="21"/>
                    </w:rPr>
                  </w:pPr>
                  <w:r>
                    <w:rPr>
                      <w:b w:val="0"/>
                      <w:kern w:val="28"/>
                      <w:sz w:val="21"/>
                      <w:szCs w:val="21"/>
                    </w:rPr>
                    <w:t>设备</w:t>
                  </w:r>
                </w:p>
                <w:p>
                  <w:pPr>
                    <w:pStyle w:val="98"/>
                    <w:spacing w:line="300" w:lineRule="exact"/>
                    <w:jc w:val="center"/>
                    <w:rPr>
                      <w:b w:val="0"/>
                      <w:kern w:val="28"/>
                      <w:sz w:val="21"/>
                      <w:szCs w:val="21"/>
                    </w:rPr>
                  </w:pPr>
                  <w:r>
                    <w:rPr>
                      <w:b w:val="0"/>
                      <w:kern w:val="28"/>
                      <w:sz w:val="21"/>
                      <w:szCs w:val="21"/>
                    </w:rPr>
                    <w:t>噪声</w:t>
                  </w:r>
                </w:p>
              </w:tc>
              <w:tc>
                <w:tcPr>
                  <w:tcW w:w="1038" w:type="pct"/>
                  <w:gridSpan w:val="2"/>
                  <w:vAlign w:val="center"/>
                </w:tcPr>
                <w:p>
                  <w:pPr>
                    <w:pStyle w:val="98"/>
                    <w:spacing w:line="300" w:lineRule="exact"/>
                    <w:jc w:val="center"/>
                    <w:rPr>
                      <w:b w:val="0"/>
                      <w:sz w:val="21"/>
                      <w:szCs w:val="21"/>
                    </w:rPr>
                  </w:pPr>
                  <w:r>
                    <w:rPr>
                      <w:b w:val="0"/>
                      <w:kern w:val="28"/>
                      <w:sz w:val="21"/>
                      <w:szCs w:val="21"/>
                    </w:rPr>
                    <w:t>噪声</w:t>
                  </w:r>
                </w:p>
              </w:tc>
              <w:tc>
                <w:tcPr>
                  <w:tcW w:w="738" w:type="pct"/>
                  <w:vAlign w:val="center"/>
                </w:tcPr>
                <w:p>
                  <w:pPr>
                    <w:pStyle w:val="98"/>
                    <w:spacing w:line="300" w:lineRule="exact"/>
                    <w:jc w:val="center"/>
                    <w:rPr>
                      <w:b w:val="0"/>
                      <w:kern w:val="28"/>
                      <w:sz w:val="21"/>
                      <w:szCs w:val="21"/>
                    </w:rPr>
                  </w:pPr>
                  <w:r>
                    <w:rPr>
                      <w:b w:val="0"/>
                      <w:kern w:val="28"/>
                      <w:sz w:val="21"/>
                      <w:szCs w:val="21"/>
                    </w:rPr>
                    <w:t>昼间：54.</w:t>
                  </w:r>
                  <w:r>
                    <w:rPr>
                      <w:rFonts w:hint="eastAsia"/>
                      <w:b w:val="0"/>
                      <w:kern w:val="28"/>
                      <w:sz w:val="21"/>
                      <w:szCs w:val="21"/>
                    </w:rPr>
                    <w:t>1</w:t>
                  </w:r>
                  <w:r>
                    <w:rPr>
                      <w:b w:val="0"/>
                      <w:kern w:val="28"/>
                      <w:sz w:val="21"/>
                      <w:szCs w:val="21"/>
                    </w:rPr>
                    <w:t>-5</w:t>
                  </w:r>
                  <w:r>
                    <w:rPr>
                      <w:rFonts w:hint="eastAsia"/>
                      <w:b w:val="0"/>
                      <w:kern w:val="28"/>
                      <w:sz w:val="21"/>
                      <w:szCs w:val="21"/>
                    </w:rPr>
                    <w:t>5.1</w:t>
                  </w:r>
                  <w:r>
                    <w:rPr>
                      <w:b w:val="0"/>
                      <w:kern w:val="28"/>
                      <w:sz w:val="21"/>
                      <w:szCs w:val="21"/>
                    </w:rPr>
                    <w:t>dB（A）</w:t>
                  </w:r>
                </w:p>
                <w:p>
                  <w:pPr>
                    <w:pStyle w:val="51"/>
                    <w:spacing w:line="300" w:lineRule="exact"/>
                    <w:ind w:firstLine="0" w:firstLineChars="0"/>
                    <w:rPr>
                      <w:sz w:val="21"/>
                      <w:szCs w:val="21"/>
                    </w:rPr>
                  </w:pPr>
                  <w:r>
                    <w:rPr>
                      <w:sz w:val="21"/>
                      <w:szCs w:val="21"/>
                    </w:rPr>
                    <w:t>夜间：44.</w:t>
                  </w:r>
                  <w:r>
                    <w:rPr>
                      <w:rFonts w:hint="eastAsia"/>
                      <w:sz w:val="21"/>
                      <w:szCs w:val="21"/>
                    </w:rPr>
                    <w:t>6</w:t>
                  </w:r>
                  <w:r>
                    <w:rPr>
                      <w:sz w:val="21"/>
                      <w:szCs w:val="21"/>
                    </w:rPr>
                    <w:t>-4</w:t>
                  </w:r>
                  <w:r>
                    <w:rPr>
                      <w:rFonts w:hint="eastAsia"/>
                      <w:sz w:val="21"/>
                      <w:szCs w:val="21"/>
                    </w:rPr>
                    <w:t>5.6</w:t>
                  </w:r>
                  <w:r>
                    <w:rPr>
                      <w:sz w:val="21"/>
                      <w:szCs w:val="21"/>
                    </w:rPr>
                    <w:t>dB（A）</w:t>
                  </w:r>
                </w:p>
              </w:tc>
              <w:tc>
                <w:tcPr>
                  <w:tcW w:w="705" w:type="pct"/>
                  <w:vAlign w:val="center"/>
                </w:tcPr>
                <w:p>
                  <w:pPr>
                    <w:spacing w:line="300" w:lineRule="exact"/>
                    <w:jc w:val="center"/>
                    <w:rPr>
                      <w:szCs w:val="21"/>
                    </w:rPr>
                  </w:pPr>
                  <w:r>
                    <w:rPr>
                      <w:szCs w:val="21"/>
                    </w:rPr>
                    <w:t>厂房隔声、距离衰减</w:t>
                  </w:r>
                </w:p>
              </w:tc>
              <w:tc>
                <w:tcPr>
                  <w:tcW w:w="1115" w:type="pct"/>
                  <w:vAlign w:val="center"/>
                </w:tcPr>
                <w:p>
                  <w:pPr>
                    <w:pStyle w:val="98"/>
                    <w:spacing w:line="300" w:lineRule="exact"/>
                    <w:jc w:val="center"/>
                    <w:rPr>
                      <w:b w:val="0"/>
                      <w:kern w:val="28"/>
                      <w:sz w:val="21"/>
                      <w:szCs w:val="21"/>
                    </w:rPr>
                  </w:pPr>
                  <w:r>
                    <w:rPr>
                      <w:b w:val="0"/>
                      <w:kern w:val="28"/>
                      <w:sz w:val="21"/>
                      <w:szCs w:val="21"/>
                    </w:rPr>
                    <w:t>《工业企业厂界环境噪声排放标准》(GB12348-2008)中</w:t>
                  </w:r>
                  <w:r>
                    <w:rPr>
                      <w:rFonts w:hint="eastAsia"/>
                      <w:b w:val="0"/>
                      <w:kern w:val="28"/>
                      <w:sz w:val="21"/>
                      <w:szCs w:val="21"/>
                    </w:rPr>
                    <w:t>2</w:t>
                  </w:r>
                  <w:r>
                    <w:rPr>
                      <w:b w:val="0"/>
                      <w:kern w:val="28"/>
                      <w:sz w:val="21"/>
                      <w:szCs w:val="21"/>
                    </w:rPr>
                    <w:t>类标准</w:t>
                  </w:r>
                </w:p>
              </w:tc>
              <w:tc>
                <w:tcPr>
                  <w:tcW w:w="408" w:type="pct"/>
                  <w:vAlign w:val="center"/>
                </w:tcPr>
                <w:p>
                  <w:pPr>
                    <w:pStyle w:val="98"/>
                    <w:spacing w:line="300" w:lineRule="exact"/>
                    <w:jc w:val="center"/>
                    <w:rPr>
                      <w:b w:val="0"/>
                      <w:kern w:val="28"/>
                      <w:sz w:val="21"/>
                      <w:szCs w:val="21"/>
                    </w:rPr>
                  </w:pPr>
                  <w:r>
                    <w:rPr>
                      <w:b w:val="0"/>
                      <w:kern w:val="28"/>
                      <w:sz w:val="21"/>
                      <w:szCs w:val="21"/>
                    </w:rPr>
                    <w:t>/</w:t>
                  </w:r>
                </w:p>
              </w:tc>
              <w:tc>
                <w:tcPr>
                  <w:tcW w:w="312" w:type="pct"/>
                  <w:vAlign w:val="center"/>
                </w:tcPr>
                <w:p>
                  <w:pPr>
                    <w:pStyle w:val="98"/>
                    <w:spacing w:line="300" w:lineRule="exact"/>
                    <w:jc w:val="center"/>
                    <w:rPr>
                      <w:b w:val="0"/>
                      <w:kern w:val="28"/>
                      <w:sz w:val="21"/>
                      <w:szCs w:val="21"/>
                    </w:rPr>
                  </w:pPr>
                  <w:r>
                    <w:rPr>
                      <w:b w:val="0"/>
                      <w:kern w:val="28"/>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5" w:type="pct"/>
                  <w:vMerge w:val="restart"/>
                  <w:vAlign w:val="center"/>
                </w:tcPr>
                <w:p>
                  <w:pPr>
                    <w:pStyle w:val="98"/>
                    <w:spacing w:line="300" w:lineRule="exact"/>
                    <w:jc w:val="center"/>
                    <w:rPr>
                      <w:b w:val="0"/>
                      <w:kern w:val="28"/>
                      <w:sz w:val="21"/>
                      <w:szCs w:val="21"/>
                    </w:rPr>
                  </w:pPr>
                  <w:r>
                    <w:rPr>
                      <w:b w:val="0"/>
                      <w:kern w:val="28"/>
                      <w:sz w:val="21"/>
                      <w:szCs w:val="21"/>
                    </w:rPr>
                    <w:t>固废</w:t>
                  </w:r>
                </w:p>
              </w:tc>
              <w:tc>
                <w:tcPr>
                  <w:tcW w:w="498" w:type="pct"/>
                  <w:vAlign w:val="center"/>
                </w:tcPr>
                <w:p>
                  <w:pPr>
                    <w:pStyle w:val="98"/>
                    <w:spacing w:line="300" w:lineRule="exact"/>
                    <w:jc w:val="center"/>
                    <w:rPr>
                      <w:b w:val="0"/>
                      <w:kern w:val="28"/>
                      <w:sz w:val="21"/>
                      <w:szCs w:val="21"/>
                    </w:rPr>
                  </w:pPr>
                  <w:r>
                    <w:rPr>
                      <w:b w:val="0"/>
                      <w:sz w:val="21"/>
                      <w:szCs w:val="21"/>
                    </w:rPr>
                    <w:t>生活垃圾</w:t>
                  </w:r>
                </w:p>
              </w:tc>
              <w:tc>
                <w:tcPr>
                  <w:tcW w:w="1038" w:type="pct"/>
                  <w:gridSpan w:val="2"/>
                  <w:vAlign w:val="center"/>
                </w:tcPr>
                <w:p>
                  <w:pPr>
                    <w:pStyle w:val="98"/>
                    <w:spacing w:line="300" w:lineRule="exact"/>
                    <w:jc w:val="center"/>
                    <w:rPr>
                      <w:b w:val="0"/>
                      <w:kern w:val="28"/>
                      <w:sz w:val="21"/>
                      <w:szCs w:val="21"/>
                    </w:rPr>
                  </w:pPr>
                  <w:r>
                    <w:rPr>
                      <w:b w:val="0"/>
                      <w:sz w:val="21"/>
                      <w:szCs w:val="21"/>
                    </w:rPr>
                    <w:t>生活垃圾</w:t>
                  </w:r>
                </w:p>
              </w:tc>
              <w:tc>
                <w:tcPr>
                  <w:tcW w:w="738" w:type="pct"/>
                  <w:vAlign w:val="center"/>
                </w:tcPr>
                <w:p>
                  <w:pPr>
                    <w:pStyle w:val="98"/>
                    <w:spacing w:line="300" w:lineRule="exact"/>
                    <w:jc w:val="center"/>
                    <w:rPr>
                      <w:b w:val="0"/>
                      <w:sz w:val="21"/>
                      <w:szCs w:val="21"/>
                      <w:highlight w:val="yellow"/>
                    </w:rPr>
                  </w:pPr>
                  <w:r>
                    <w:rPr>
                      <w:rFonts w:hint="eastAsia"/>
                      <w:b w:val="0"/>
                      <w:sz w:val="21"/>
                      <w:szCs w:val="21"/>
                    </w:rPr>
                    <w:t>2.25</w:t>
                  </w:r>
                  <w:r>
                    <w:rPr>
                      <w:b w:val="0"/>
                      <w:sz w:val="21"/>
                      <w:szCs w:val="21"/>
                    </w:rPr>
                    <w:t>t/a</w:t>
                  </w:r>
                </w:p>
              </w:tc>
              <w:tc>
                <w:tcPr>
                  <w:tcW w:w="705" w:type="pct"/>
                  <w:vAlign w:val="center"/>
                </w:tcPr>
                <w:p>
                  <w:pPr>
                    <w:pStyle w:val="98"/>
                    <w:spacing w:line="300" w:lineRule="exact"/>
                    <w:jc w:val="center"/>
                    <w:rPr>
                      <w:b w:val="0"/>
                      <w:sz w:val="21"/>
                      <w:szCs w:val="21"/>
                    </w:rPr>
                  </w:pPr>
                  <w:r>
                    <w:rPr>
                      <w:b w:val="0"/>
                      <w:sz w:val="21"/>
                      <w:szCs w:val="21"/>
                    </w:rPr>
                    <w:t>集中收集后交由环卫部门统一清运</w:t>
                  </w:r>
                </w:p>
              </w:tc>
              <w:tc>
                <w:tcPr>
                  <w:tcW w:w="1115" w:type="pct"/>
                  <w:vMerge w:val="restart"/>
                  <w:vAlign w:val="center"/>
                </w:tcPr>
                <w:p>
                  <w:pPr>
                    <w:pStyle w:val="98"/>
                    <w:spacing w:line="300" w:lineRule="exact"/>
                    <w:jc w:val="center"/>
                    <w:rPr>
                      <w:b w:val="0"/>
                      <w:kern w:val="28"/>
                      <w:sz w:val="21"/>
                      <w:szCs w:val="21"/>
                    </w:rPr>
                  </w:pPr>
                  <w:r>
                    <w:rPr>
                      <w:b w:val="0"/>
                      <w:sz w:val="21"/>
                      <w:szCs w:val="21"/>
                    </w:rPr>
                    <w:t>合理的处置和利用</w:t>
                  </w:r>
                </w:p>
              </w:tc>
              <w:tc>
                <w:tcPr>
                  <w:tcW w:w="408" w:type="pct"/>
                  <w:vAlign w:val="center"/>
                </w:tcPr>
                <w:p>
                  <w:pPr>
                    <w:pStyle w:val="98"/>
                    <w:spacing w:line="300" w:lineRule="exact"/>
                    <w:jc w:val="center"/>
                    <w:rPr>
                      <w:b w:val="0"/>
                      <w:kern w:val="28"/>
                      <w:sz w:val="21"/>
                      <w:szCs w:val="21"/>
                    </w:rPr>
                  </w:pPr>
                  <w:r>
                    <w:rPr>
                      <w:rFonts w:hint="eastAsia"/>
                      <w:b w:val="0"/>
                      <w:kern w:val="28"/>
                      <w:sz w:val="21"/>
                      <w:szCs w:val="21"/>
                    </w:rPr>
                    <w:t>/</w:t>
                  </w:r>
                </w:p>
              </w:tc>
              <w:tc>
                <w:tcPr>
                  <w:tcW w:w="312" w:type="pct"/>
                  <w:vAlign w:val="center"/>
                </w:tcPr>
                <w:p>
                  <w:pPr>
                    <w:pStyle w:val="98"/>
                    <w:spacing w:line="300" w:lineRule="exact"/>
                    <w:jc w:val="center"/>
                    <w:rPr>
                      <w:b w:val="0"/>
                      <w:kern w:val="28"/>
                      <w:sz w:val="21"/>
                      <w:szCs w:val="21"/>
                    </w:rPr>
                  </w:pPr>
                  <w:r>
                    <w:rPr>
                      <w:rFonts w:hint="eastAsia"/>
                      <w:b w:val="0"/>
                      <w:kern w:val="28"/>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185" w:type="pct"/>
                  <w:vMerge w:val="continue"/>
                  <w:vAlign w:val="center"/>
                </w:tcPr>
                <w:p>
                  <w:pPr>
                    <w:pStyle w:val="98"/>
                    <w:spacing w:line="300" w:lineRule="exact"/>
                    <w:jc w:val="center"/>
                    <w:rPr>
                      <w:b w:val="0"/>
                      <w:kern w:val="28"/>
                      <w:sz w:val="21"/>
                      <w:szCs w:val="21"/>
                    </w:rPr>
                  </w:pPr>
                </w:p>
              </w:tc>
              <w:tc>
                <w:tcPr>
                  <w:tcW w:w="498" w:type="pct"/>
                  <w:vMerge w:val="restart"/>
                  <w:vAlign w:val="center"/>
                </w:tcPr>
                <w:p>
                  <w:pPr>
                    <w:pStyle w:val="98"/>
                    <w:spacing w:line="300" w:lineRule="exact"/>
                    <w:jc w:val="center"/>
                    <w:rPr>
                      <w:b w:val="0"/>
                      <w:kern w:val="28"/>
                      <w:sz w:val="21"/>
                      <w:szCs w:val="21"/>
                    </w:rPr>
                  </w:pPr>
                  <w:r>
                    <w:rPr>
                      <w:b w:val="0"/>
                      <w:kern w:val="28"/>
                      <w:sz w:val="21"/>
                      <w:szCs w:val="21"/>
                    </w:rPr>
                    <w:t>一般固废</w:t>
                  </w:r>
                </w:p>
              </w:tc>
              <w:tc>
                <w:tcPr>
                  <w:tcW w:w="1038" w:type="pct"/>
                  <w:gridSpan w:val="2"/>
                  <w:vAlign w:val="center"/>
                </w:tcPr>
                <w:p>
                  <w:pPr>
                    <w:pStyle w:val="68"/>
                    <w:spacing w:line="300" w:lineRule="exact"/>
                    <w:rPr>
                      <w:szCs w:val="21"/>
                    </w:rPr>
                  </w:pPr>
                  <w:r>
                    <w:rPr>
                      <w:szCs w:val="21"/>
                    </w:rPr>
                    <w:t>废包装材料</w:t>
                  </w:r>
                </w:p>
              </w:tc>
              <w:tc>
                <w:tcPr>
                  <w:tcW w:w="738" w:type="pct"/>
                  <w:vAlign w:val="center"/>
                </w:tcPr>
                <w:p>
                  <w:pPr>
                    <w:pStyle w:val="68"/>
                    <w:spacing w:line="300" w:lineRule="exact"/>
                    <w:rPr>
                      <w:szCs w:val="21"/>
                    </w:rPr>
                  </w:pPr>
                  <w:r>
                    <w:rPr>
                      <w:rFonts w:hint="eastAsia"/>
                      <w:szCs w:val="21"/>
                    </w:rPr>
                    <w:t>0.5</w:t>
                  </w:r>
                  <w:r>
                    <w:rPr>
                      <w:szCs w:val="21"/>
                    </w:rPr>
                    <w:t>t/a</w:t>
                  </w:r>
                </w:p>
              </w:tc>
              <w:tc>
                <w:tcPr>
                  <w:tcW w:w="705" w:type="pct"/>
                  <w:vMerge w:val="restart"/>
                  <w:vAlign w:val="center"/>
                </w:tcPr>
                <w:p>
                  <w:pPr>
                    <w:pStyle w:val="68"/>
                    <w:spacing w:line="300" w:lineRule="exact"/>
                    <w:rPr>
                      <w:szCs w:val="21"/>
                    </w:rPr>
                  </w:pPr>
                  <w:r>
                    <w:rPr>
                      <w:szCs w:val="21"/>
                    </w:rPr>
                    <w:t>暂存于固废处外售</w:t>
                  </w:r>
                </w:p>
              </w:tc>
              <w:tc>
                <w:tcPr>
                  <w:tcW w:w="1115" w:type="pct"/>
                  <w:vMerge w:val="continue"/>
                  <w:vAlign w:val="center"/>
                </w:tcPr>
                <w:p>
                  <w:pPr>
                    <w:pStyle w:val="98"/>
                    <w:spacing w:line="300" w:lineRule="exact"/>
                    <w:jc w:val="center"/>
                    <w:rPr>
                      <w:b w:val="0"/>
                      <w:kern w:val="28"/>
                      <w:sz w:val="21"/>
                      <w:szCs w:val="21"/>
                    </w:rPr>
                  </w:pPr>
                </w:p>
              </w:tc>
              <w:tc>
                <w:tcPr>
                  <w:tcW w:w="408" w:type="pct"/>
                  <w:vMerge w:val="restart"/>
                  <w:vAlign w:val="center"/>
                </w:tcPr>
                <w:p>
                  <w:pPr>
                    <w:pStyle w:val="98"/>
                    <w:spacing w:line="300" w:lineRule="exact"/>
                    <w:jc w:val="center"/>
                    <w:rPr>
                      <w:b w:val="0"/>
                      <w:kern w:val="28"/>
                      <w:sz w:val="21"/>
                      <w:szCs w:val="21"/>
                    </w:rPr>
                  </w:pPr>
                  <w:r>
                    <w:rPr>
                      <w:b w:val="0"/>
                      <w:kern w:val="28"/>
                      <w:sz w:val="21"/>
                      <w:szCs w:val="21"/>
                    </w:rPr>
                    <w:t>一般固废暂存间</w:t>
                  </w:r>
                </w:p>
              </w:tc>
              <w:tc>
                <w:tcPr>
                  <w:tcW w:w="312" w:type="pct"/>
                  <w:vMerge w:val="restart"/>
                  <w:vAlign w:val="center"/>
                </w:tcPr>
                <w:p>
                  <w:pPr>
                    <w:pStyle w:val="98"/>
                    <w:spacing w:line="300" w:lineRule="exact"/>
                    <w:jc w:val="center"/>
                    <w:rPr>
                      <w:b w:val="0"/>
                      <w:kern w:val="28"/>
                      <w:sz w:val="21"/>
                      <w:szCs w:val="21"/>
                    </w:rPr>
                  </w:pPr>
                  <w:r>
                    <w:rPr>
                      <w:b w:val="0"/>
                      <w:kern w:val="28"/>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185" w:type="pct"/>
                  <w:vMerge w:val="continue"/>
                  <w:vAlign w:val="center"/>
                </w:tcPr>
                <w:p>
                  <w:pPr>
                    <w:pStyle w:val="98"/>
                    <w:spacing w:line="300" w:lineRule="exact"/>
                    <w:jc w:val="center"/>
                    <w:rPr>
                      <w:b w:val="0"/>
                      <w:kern w:val="28"/>
                      <w:sz w:val="21"/>
                      <w:szCs w:val="21"/>
                    </w:rPr>
                  </w:pPr>
                </w:p>
              </w:tc>
              <w:tc>
                <w:tcPr>
                  <w:tcW w:w="498" w:type="pct"/>
                  <w:vMerge w:val="continue"/>
                  <w:vAlign w:val="center"/>
                </w:tcPr>
                <w:p>
                  <w:pPr>
                    <w:pStyle w:val="98"/>
                    <w:spacing w:line="300" w:lineRule="exact"/>
                    <w:jc w:val="center"/>
                    <w:rPr>
                      <w:b w:val="0"/>
                      <w:kern w:val="28"/>
                      <w:sz w:val="21"/>
                      <w:szCs w:val="21"/>
                    </w:rPr>
                  </w:pPr>
                </w:p>
              </w:tc>
              <w:tc>
                <w:tcPr>
                  <w:tcW w:w="1038" w:type="pct"/>
                  <w:gridSpan w:val="2"/>
                  <w:vAlign w:val="center"/>
                </w:tcPr>
                <w:p>
                  <w:pPr>
                    <w:pStyle w:val="68"/>
                    <w:spacing w:line="300" w:lineRule="exact"/>
                    <w:rPr>
                      <w:szCs w:val="21"/>
                    </w:rPr>
                  </w:pPr>
                  <w:r>
                    <w:rPr>
                      <w:rFonts w:hint="eastAsia"/>
                      <w:szCs w:val="21"/>
                    </w:rPr>
                    <w:t>废边角料</w:t>
                  </w:r>
                </w:p>
              </w:tc>
              <w:tc>
                <w:tcPr>
                  <w:tcW w:w="738" w:type="pct"/>
                  <w:vAlign w:val="center"/>
                </w:tcPr>
                <w:p>
                  <w:pPr>
                    <w:pStyle w:val="68"/>
                    <w:spacing w:line="300" w:lineRule="exact"/>
                    <w:rPr>
                      <w:szCs w:val="21"/>
                    </w:rPr>
                  </w:pPr>
                  <w:r>
                    <w:rPr>
                      <w:rFonts w:hint="eastAsia"/>
                      <w:szCs w:val="21"/>
                    </w:rPr>
                    <w:t>0.3t/a</w:t>
                  </w:r>
                </w:p>
              </w:tc>
              <w:tc>
                <w:tcPr>
                  <w:tcW w:w="705" w:type="pct"/>
                  <w:vMerge w:val="continue"/>
                  <w:vAlign w:val="center"/>
                </w:tcPr>
                <w:p>
                  <w:pPr>
                    <w:pStyle w:val="68"/>
                    <w:spacing w:line="300" w:lineRule="exact"/>
                    <w:rPr>
                      <w:szCs w:val="21"/>
                    </w:rPr>
                  </w:pPr>
                </w:p>
              </w:tc>
              <w:tc>
                <w:tcPr>
                  <w:tcW w:w="1115" w:type="pct"/>
                  <w:vMerge w:val="continue"/>
                  <w:vAlign w:val="center"/>
                </w:tcPr>
                <w:p>
                  <w:pPr>
                    <w:pStyle w:val="98"/>
                    <w:spacing w:line="300" w:lineRule="exact"/>
                    <w:jc w:val="center"/>
                    <w:rPr>
                      <w:b w:val="0"/>
                      <w:kern w:val="28"/>
                      <w:sz w:val="21"/>
                      <w:szCs w:val="21"/>
                    </w:rPr>
                  </w:pPr>
                </w:p>
              </w:tc>
              <w:tc>
                <w:tcPr>
                  <w:tcW w:w="408" w:type="pct"/>
                  <w:vMerge w:val="continue"/>
                  <w:vAlign w:val="center"/>
                </w:tcPr>
                <w:p>
                  <w:pPr>
                    <w:pStyle w:val="98"/>
                    <w:spacing w:line="300" w:lineRule="exact"/>
                    <w:jc w:val="center"/>
                    <w:rPr>
                      <w:b w:val="0"/>
                      <w:kern w:val="28"/>
                      <w:sz w:val="21"/>
                      <w:szCs w:val="21"/>
                    </w:rPr>
                  </w:pPr>
                </w:p>
              </w:tc>
              <w:tc>
                <w:tcPr>
                  <w:tcW w:w="312" w:type="pct"/>
                  <w:vMerge w:val="continue"/>
                  <w:vAlign w:val="center"/>
                </w:tcPr>
                <w:p>
                  <w:pPr>
                    <w:pStyle w:val="98"/>
                    <w:spacing w:line="300" w:lineRule="exact"/>
                    <w:jc w:val="center"/>
                    <w:rPr>
                      <w:b w:val="0"/>
                      <w:kern w:val="2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185" w:type="pct"/>
                  <w:vMerge w:val="continue"/>
                  <w:vAlign w:val="center"/>
                </w:tcPr>
                <w:p>
                  <w:pPr>
                    <w:pStyle w:val="98"/>
                    <w:spacing w:line="300" w:lineRule="exact"/>
                    <w:jc w:val="center"/>
                    <w:rPr>
                      <w:b w:val="0"/>
                      <w:kern w:val="28"/>
                      <w:sz w:val="21"/>
                      <w:szCs w:val="21"/>
                    </w:rPr>
                  </w:pPr>
                </w:p>
              </w:tc>
              <w:tc>
                <w:tcPr>
                  <w:tcW w:w="498" w:type="pct"/>
                  <w:vAlign w:val="center"/>
                </w:tcPr>
                <w:p>
                  <w:pPr>
                    <w:pStyle w:val="98"/>
                    <w:spacing w:line="300" w:lineRule="exact"/>
                    <w:jc w:val="center"/>
                    <w:rPr>
                      <w:b w:val="0"/>
                      <w:kern w:val="28"/>
                      <w:sz w:val="21"/>
                      <w:szCs w:val="21"/>
                    </w:rPr>
                  </w:pPr>
                  <w:r>
                    <w:rPr>
                      <w:rFonts w:hint="eastAsia"/>
                      <w:b w:val="0"/>
                      <w:kern w:val="28"/>
                      <w:sz w:val="21"/>
                      <w:szCs w:val="21"/>
                    </w:rPr>
                    <w:t>危险废物</w:t>
                  </w:r>
                </w:p>
              </w:tc>
              <w:tc>
                <w:tcPr>
                  <w:tcW w:w="1038" w:type="pct"/>
                  <w:gridSpan w:val="2"/>
                  <w:vAlign w:val="center"/>
                </w:tcPr>
                <w:p>
                  <w:pPr>
                    <w:pStyle w:val="68"/>
                    <w:spacing w:line="300" w:lineRule="exact"/>
                    <w:rPr>
                      <w:szCs w:val="21"/>
                    </w:rPr>
                  </w:pPr>
                  <w:r>
                    <w:rPr>
                      <w:rFonts w:hint="eastAsia"/>
                      <w:szCs w:val="21"/>
                    </w:rPr>
                    <w:t>废液压油</w:t>
                  </w:r>
                </w:p>
              </w:tc>
              <w:tc>
                <w:tcPr>
                  <w:tcW w:w="738" w:type="pct"/>
                  <w:vAlign w:val="center"/>
                </w:tcPr>
                <w:p>
                  <w:pPr>
                    <w:pStyle w:val="68"/>
                    <w:spacing w:line="300" w:lineRule="exact"/>
                    <w:rPr>
                      <w:szCs w:val="21"/>
                      <w:highlight w:val="yellow"/>
                    </w:rPr>
                  </w:pPr>
                  <w:r>
                    <w:rPr>
                      <w:rFonts w:hint="eastAsia"/>
                      <w:szCs w:val="21"/>
                    </w:rPr>
                    <w:t>0.12t/a</w:t>
                  </w:r>
                </w:p>
              </w:tc>
              <w:tc>
                <w:tcPr>
                  <w:tcW w:w="705" w:type="pct"/>
                  <w:vAlign w:val="center"/>
                </w:tcPr>
                <w:p>
                  <w:pPr>
                    <w:pStyle w:val="68"/>
                    <w:spacing w:line="300" w:lineRule="exact"/>
                    <w:rPr>
                      <w:szCs w:val="21"/>
                    </w:rPr>
                  </w:pPr>
                  <w:r>
                    <w:rPr>
                      <w:szCs w:val="21"/>
                    </w:rPr>
                    <w:t>暂存于</w:t>
                  </w:r>
                  <w:r>
                    <w:rPr>
                      <w:rFonts w:hint="eastAsia"/>
                      <w:szCs w:val="21"/>
                    </w:rPr>
                    <w:t>危险废物暂存间，定期委托有资质单位处置</w:t>
                  </w:r>
                </w:p>
              </w:tc>
              <w:tc>
                <w:tcPr>
                  <w:tcW w:w="1115" w:type="pct"/>
                  <w:vMerge w:val="continue"/>
                  <w:vAlign w:val="center"/>
                </w:tcPr>
                <w:p>
                  <w:pPr>
                    <w:pStyle w:val="98"/>
                    <w:spacing w:line="300" w:lineRule="exact"/>
                    <w:jc w:val="center"/>
                    <w:rPr>
                      <w:b w:val="0"/>
                      <w:kern w:val="28"/>
                      <w:sz w:val="21"/>
                      <w:szCs w:val="21"/>
                    </w:rPr>
                  </w:pPr>
                </w:p>
              </w:tc>
              <w:tc>
                <w:tcPr>
                  <w:tcW w:w="408" w:type="pct"/>
                  <w:vAlign w:val="center"/>
                </w:tcPr>
                <w:p>
                  <w:pPr>
                    <w:pStyle w:val="98"/>
                    <w:spacing w:line="300" w:lineRule="exact"/>
                    <w:jc w:val="center"/>
                    <w:rPr>
                      <w:b w:val="0"/>
                      <w:kern w:val="28"/>
                      <w:sz w:val="21"/>
                      <w:szCs w:val="21"/>
                    </w:rPr>
                  </w:pPr>
                  <w:r>
                    <w:rPr>
                      <w:rFonts w:hint="eastAsia"/>
                      <w:b w:val="0"/>
                      <w:sz w:val="21"/>
                      <w:szCs w:val="21"/>
                    </w:rPr>
                    <w:t>危险废物暂存间</w:t>
                  </w:r>
                </w:p>
              </w:tc>
              <w:tc>
                <w:tcPr>
                  <w:tcW w:w="312" w:type="pct"/>
                  <w:vAlign w:val="center"/>
                </w:tcPr>
                <w:p>
                  <w:pPr>
                    <w:pStyle w:val="98"/>
                    <w:spacing w:line="300" w:lineRule="exact"/>
                    <w:jc w:val="center"/>
                    <w:rPr>
                      <w:b w:val="0"/>
                      <w:kern w:val="28"/>
                      <w:sz w:val="21"/>
                      <w:szCs w:val="21"/>
                    </w:rPr>
                  </w:pPr>
                  <w:r>
                    <w:rPr>
                      <w:b w:val="0"/>
                      <w:kern w:val="28"/>
                      <w:sz w:val="21"/>
                      <w:szCs w:val="21"/>
                    </w:rPr>
                    <w:t>是</w:t>
                  </w:r>
                </w:p>
              </w:tc>
            </w:tr>
          </w:tbl>
          <w:p>
            <w:pPr>
              <w:pStyle w:val="51"/>
              <w:ind w:firstLine="480"/>
            </w:pPr>
          </w:p>
        </w:tc>
      </w:tr>
    </w:tbl>
    <w:p>
      <w:pPr>
        <w:pStyle w:val="99"/>
        <w:ind w:firstLine="480"/>
        <w:rPr>
          <w:rFonts w:eastAsia="黑体"/>
        </w:rPr>
        <w:sectPr>
          <w:pgSz w:w="16838" w:h="11906" w:orient="landscape"/>
          <w:pgMar w:top="1531" w:right="1701" w:bottom="1531" w:left="1701" w:header="851" w:footer="851" w:gutter="0"/>
          <w:cols w:space="720" w:num="1"/>
          <w:docGrid w:linePitch="312" w:charSpace="0"/>
        </w:sectPr>
      </w:pPr>
    </w:p>
    <w:tbl>
      <w:tblPr>
        <w:tblStyle w:val="2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00" w:type="pct"/>
            <w:vAlign w:val="center"/>
          </w:tcPr>
          <w:p>
            <w:pPr>
              <w:pStyle w:val="91"/>
              <w:rPr>
                <w:b w:val="0"/>
                <w:color w:val="auto"/>
              </w:rPr>
            </w:pPr>
            <w:r>
              <w:rPr>
                <w:b w:val="0"/>
                <w:color w:val="auto"/>
              </w:rPr>
              <w:t>2.8 项目污染物排放情况</w:t>
            </w:r>
          </w:p>
          <w:p>
            <w:pPr>
              <w:pStyle w:val="53"/>
              <w:ind w:firstLine="480"/>
              <w:rPr>
                <w:rFonts w:eastAsia="宋体"/>
              </w:rPr>
            </w:pPr>
            <w:r>
              <w:rPr>
                <w:rFonts w:eastAsia="宋体"/>
              </w:rPr>
              <w:t>现有工程具体污染物排放情况见表</w:t>
            </w:r>
            <w:r>
              <w:rPr>
                <w:rFonts w:hint="eastAsia" w:eastAsia="宋体"/>
              </w:rPr>
              <w:t>20</w:t>
            </w:r>
            <w:r>
              <w:rPr>
                <w:rFonts w:eastAsia="宋体"/>
              </w:rPr>
              <w:t>。</w:t>
            </w:r>
          </w:p>
          <w:p>
            <w:pPr>
              <w:pStyle w:val="53"/>
              <w:ind w:firstLine="480"/>
              <w:rPr>
                <w:rStyle w:val="80"/>
              </w:rPr>
            </w:pPr>
            <w:r>
              <w:rPr>
                <w:rStyle w:val="80"/>
              </w:rPr>
              <w:t>表</w:t>
            </w:r>
            <w:r>
              <w:rPr>
                <w:rStyle w:val="80"/>
                <w:rFonts w:hint="eastAsia"/>
              </w:rPr>
              <w:t xml:space="preserve">20           </w:t>
            </w:r>
            <w:r>
              <w:rPr>
                <w:rStyle w:val="80"/>
              </w:rPr>
              <w:t>现有工程主要污染物产排情况汇总表</w:t>
            </w:r>
          </w:p>
          <w:tbl>
            <w:tblPr>
              <w:tblStyle w:val="22"/>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856"/>
              <w:gridCol w:w="998"/>
              <w:gridCol w:w="1675"/>
              <w:gridCol w:w="2332"/>
              <w:gridCol w:w="295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486" w:type="pct"/>
                  <w:vAlign w:val="center"/>
                </w:tcPr>
                <w:p>
                  <w:pPr>
                    <w:pStyle w:val="68"/>
                    <w:spacing w:line="400" w:lineRule="exact"/>
                    <w:rPr>
                      <w:szCs w:val="21"/>
                    </w:rPr>
                  </w:pPr>
                  <w:r>
                    <w:rPr>
                      <w:szCs w:val="21"/>
                    </w:rPr>
                    <w:t>类别</w:t>
                  </w:r>
                </w:p>
              </w:tc>
              <w:tc>
                <w:tcPr>
                  <w:tcW w:w="1516" w:type="pct"/>
                  <w:gridSpan w:val="2"/>
                  <w:vAlign w:val="center"/>
                </w:tcPr>
                <w:p>
                  <w:pPr>
                    <w:pStyle w:val="68"/>
                    <w:spacing w:line="400" w:lineRule="exact"/>
                    <w:rPr>
                      <w:szCs w:val="21"/>
                    </w:rPr>
                  </w:pPr>
                  <w:r>
                    <w:rPr>
                      <w:szCs w:val="21"/>
                    </w:rPr>
                    <w:t>污染物</w:t>
                  </w:r>
                </w:p>
              </w:tc>
              <w:tc>
                <w:tcPr>
                  <w:tcW w:w="1323" w:type="pct"/>
                </w:tcPr>
                <w:p>
                  <w:pPr>
                    <w:pStyle w:val="68"/>
                    <w:spacing w:line="400" w:lineRule="exact"/>
                    <w:rPr>
                      <w:szCs w:val="21"/>
                    </w:rPr>
                  </w:pPr>
                  <w:r>
                    <w:rPr>
                      <w:szCs w:val="21"/>
                    </w:rPr>
                    <w:t>批复排放量</w:t>
                  </w:r>
                </w:p>
              </w:tc>
              <w:tc>
                <w:tcPr>
                  <w:tcW w:w="1675" w:type="pct"/>
                  <w:vAlign w:val="center"/>
                </w:tcPr>
                <w:p>
                  <w:pPr>
                    <w:pStyle w:val="68"/>
                    <w:spacing w:line="400" w:lineRule="exact"/>
                    <w:rPr>
                      <w:szCs w:val="21"/>
                    </w:rPr>
                  </w:pPr>
                  <w:r>
                    <w:rPr>
                      <w:szCs w:val="21"/>
                    </w:rPr>
                    <w:t>实际排放量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486" w:type="pct"/>
                  <w:vMerge w:val="restart"/>
                  <w:vAlign w:val="center"/>
                </w:tcPr>
                <w:p>
                  <w:pPr>
                    <w:pStyle w:val="68"/>
                    <w:spacing w:line="400" w:lineRule="exact"/>
                    <w:rPr>
                      <w:szCs w:val="21"/>
                    </w:rPr>
                  </w:pPr>
                  <w:r>
                    <w:rPr>
                      <w:rFonts w:hint="eastAsia"/>
                      <w:szCs w:val="21"/>
                    </w:rPr>
                    <w:t>废水</w:t>
                  </w:r>
                </w:p>
              </w:tc>
              <w:tc>
                <w:tcPr>
                  <w:tcW w:w="1516" w:type="pct"/>
                  <w:gridSpan w:val="2"/>
                  <w:vAlign w:val="center"/>
                </w:tcPr>
                <w:p>
                  <w:pPr>
                    <w:pStyle w:val="98"/>
                    <w:spacing w:line="400" w:lineRule="exact"/>
                    <w:jc w:val="center"/>
                    <w:rPr>
                      <w:b w:val="0"/>
                      <w:kern w:val="28"/>
                      <w:sz w:val="21"/>
                      <w:szCs w:val="21"/>
                    </w:rPr>
                  </w:pPr>
                  <w:r>
                    <w:rPr>
                      <w:rFonts w:hint="eastAsia"/>
                      <w:b w:val="0"/>
                      <w:kern w:val="28"/>
                      <w:sz w:val="21"/>
                      <w:szCs w:val="21"/>
                    </w:rPr>
                    <w:t>COD</w:t>
                  </w:r>
                </w:p>
              </w:tc>
              <w:tc>
                <w:tcPr>
                  <w:tcW w:w="1323" w:type="pct"/>
                  <w:vAlign w:val="center"/>
                </w:tcPr>
                <w:p>
                  <w:pPr>
                    <w:pStyle w:val="68"/>
                    <w:spacing w:line="400" w:lineRule="exact"/>
                  </w:pPr>
                  <w:r>
                    <w:rPr>
                      <w:rFonts w:hint="eastAsia"/>
                    </w:rPr>
                    <w:t>/</w:t>
                  </w:r>
                </w:p>
              </w:tc>
              <w:tc>
                <w:tcPr>
                  <w:tcW w:w="1675" w:type="pct"/>
                  <w:vAlign w:val="center"/>
                </w:tcPr>
                <w:p>
                  <w:pPr>
                    <w:pStyle w:val="68"/>
                    <w:spacing w:line="400" w:lineRule="exact"/>
                  </w:pPr>
                  <w:r>
                    <w:rPr>
                      <w:rFonts w:hint="eastAsia"/>
                    </w:rPr>
                    <w:t>0.0403t/a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486" w:type="pct"/>
                  <w:vMerge w:val="continue"/>
                  <w:vAlign w:val="center"/>
                </w:tcPr>
                <w:p>
                  <w:pPr>
                    <w:pStyle w:val="68"/>
                    <w:spacing w:line="400" w:lineRule="exact"/>
                    <w:rPr>
                      <w:szCs w:val="21"/>
                    </w:rPr>
                  </w:pPr>
                </w:p>
              </w:tc>
              <w:tc>
                <w:tcPr>
                  <w:tcW w:w="1516" w:type="pct"/>
                  <w:gridSpan w:val="2"/>
                  <w:vAlign w:val="center"/>
                </w:tcPr>
                <w:p>
                  <w:pPr>
                    <w:pStyle w:val="98"/>
                    <w:spacing w:line="400" w:lineRule="exact"/>
                    <w:jc w:val="center"/>
                    <w:rPr>
                      <w:b w:val="0"/>
                      <w:kern w:val="28"/>
                      <w:sz w:val="21"/>
                      <w:szCs w:val="21"/>
                    </w:rPr>
                  </w:pPr>
                  <w:r>
                    <w:rPr>
                      <w:rFonts w:hint="eastAsia"/>
                      <w:b w:val="0"/>
                      <w:kern w:val="28"/>
                      <w:sz w:val="21"/>
                      <w:szCs w:val="21"/>
                    </w:rPr>
                    <w:t>氨氮</w:t>
                  </w:r>
                </w:p>
              </w:tc>
              <w:tc>
                <w:tcPr>
                  <w:tcW w:w="1323" w:type="pct"/>
                  <w:vAlign w:val="center"/>
                </w:tcPr>
                <w:p>
                  <w:pPr>
                    <w:pStyle w:val="68"/>
                    <w:spacing w:line="400" w:lineRule="exact"/>
                  </w:pPr>
                  <w:r>
                    <w:rPr>
                      <w:rFonts w:hint="eastAsia"/>
                    </w:rPr>
                    <w:t>/</w:t>
                  </w:r>
                </w:p>
              </w:tc>
              <w:tc>
                <w:tcPr>
                  <w:tcW w:w="1675" w:type="pct"/>
                  <w:vAlign w:val="center"/>
                </w:tcPr>
                <w:p>
                  <w:pPr>
                    <w:pStyle w:val="68"/>
                    <w:spacing w:line="400" w:lineRule="exact"/>
                  </w:pPr>
                  <w:r>
                    <w:rPr>
                      <w:rFonts w:hint="eastAsia"/>
                    </w:rPr>
                    <w:t>0.0042t/a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486" w:type="pct"/>
                  <w:vMerge w:val="continue"/>
                  <w:vAlign w:val="center"/>
                </w:tcPr>
                <w:p>
                  <w:pPr>
                    <w:pStyle w:val="68"/>
                    <w:spacing w:line="400" w:lineRule="exact"/>
                    <w:rPr>
                      <w:szCs w:val="21"/>
                    </w:rPr>
                  </w:pPr>
                </w:p>
              </w:tc>
              <w:tc>
                <w:tcPr>
                  <w:tcW w:w="1516" w:type="pct"/>
                  <w:gridSpan w:val="2"/>
                  <w:vAlign w:val="center"/>
                </w:tcPr>
                <w:p>
                  <w:pPr>
                    <w:pStyle w:val="98"/>
                    <w:spacing w:line="400" w:lineRule="exact"/>
                    <w:jc w:val="center"/>
                    <w:rPr>
                      <w:b w:val="0"/>
                      <w:kern w:val="28"/>
                      <w:sz w:val="21"/>
                      <w:szCs w:val="21"/>
                    </w:rPr>
                  </w:pPr>
                  <w:r>
                    <w:rPr>
                      <w:rFonts w:hint="eastAsia"/>
                      <w:b w:val="0"/>
                      <w:kern w:val="28"/>
                      <w:sz w:val="21"/>
                      <w:szCs w:val="21"/>
                    </w:rPr>
                    <w:t>BOD</w:t>
                  </w:r>
                  <w:r>
                    <w:rPr>
                      <w:rFonts w:hint="eastAsia"/>
                      <w:b w:val="0"/>
                      <w:kern w:val="28"/>
                      <w:sz w:val="21"/>
                      <w:szCs w:val="21"/>
                      <w:vertAlign w:val="subscript"/>
                    </w:rPr>
                    <w:t>5</w:t>
                  </w:r>
                </w:p>
              </w:tc>
              <w:tc>
                <w:tcPr>
                  <w:tcW w:w="1323" w:type="pct"/>
                  <w:vAlign w:val="center"/>
                </w:tcPr>
                <w:p>
                  <w:pPr>
                    <w:pStyle w:val="68"/>
                    <w:spacing w:line="400" w:lineRule="exact"/>
                  </w:pPr>
                  <w:r>
                    <w:rPr>
                      <w:rFonts w:hint="eastAsia"/>
                    </w:rPr>
                    <w:t>/</w:t>
                  </w:r>
                </w:p>
              </w:tc>
              <w:tc>
                <w:tcPr>
                  <w:tcW w:w="1675" w:type="pct"/>
                  <w:vAlign w:val="center"/>
                </w:tcPr>
                <w:p>
                  <w:pPr>
                    <w:pStyle w:val="68"/>
                    <w:spacing w:line="400" w:lineRule="exact"/>
                  </w:pPr>
                  <w:r>
                    <w:rPr>
                      <w:bCs/>
                      <w:szCs w:val="21"/>
                    </w:rPr>
                    <w:t>0.0</w:t>
                  </w:r>
                  <w:r>
                    <w:rPr>
                      <w:rFonts w:hint="eastAsia"/>
                      <w:bCs/>
                      <w:szCs w:val="21"/>
                    </w:rPr>
                    <w:t>207</w:t>
                  </w:r>
                  <w:r>
                    <w:rPr>
                      <w:bCs/>
                      <w:szCs w:val="21"/>
                    </w:rPr>
                    <w:t>t/a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486" w:type="pct"/>
                  <w:vMerge w:val="continue"/>
                  <w:vAlign w:val="center"/>
                </w:tcPr>
                <w:p>
                  <w:pPr>
                    <w:pStyle w:val="68"/>
                    <w:spacing w:line="400" w:lineRule="exact"/>
                    <w:rPr>
                      <w:szCs w:val="21"/>
                    </w:rPr>
                  </w:pPr>
                </w:p>
              </w:tc>
              <w:tc>
                <w:tcPr>
                  <w:tcW w:w="1516" w:type="pct"/>
                  <w:gridSpan w:val="2"/>
                  <w:vAlign w:val="center"/>
                </w:tcPr>
                <w:p>
                  <w:pPr>
                    <w:pStyle w:val="98"/>
                    <w:spacing w:line="400" w:lineRule="exact"/>
                    <w:jc w:val="center"/>
                    <w:rPr>
                      <w:b w:val="0"/>
                      <w:kern w:val="28"/>
                      <w:sz w:val="21"/>
                      <w:szCs w:val="21"/>
                    </w:rPr>
                  </w:pPr>
                  <w:r>
                    <w:rPr>
                      <w:rFonts w:hint="eastAsia"/>
                      <w:b w:val="0"/>
                      <w:kern w:val="28"/>
                      <w:sz w:val="21"/>
                      <w:szCs w:val="21"/>
                    </w:rPr>
                    <w:t>氨氮</w:t>
                  </w:r>
                </w:p>
              </w:tc>
              <w:tc>
                <w:tcPr>
                  <w:tcW w:w="1323" w:type="pct"/>
                  <w:vAlign w:val="center"/>
                </w:tcPr>
                <w:p>
                  <w:pPr>
                    <w:pStyle w:val="68"/>
                    <w:spacing w:line="400" w:lineRule="exact"/>
                  </w:pPr>
                  <w:r>
                    <w:rPr>
                      <w:rFonts w:hint="eastAsia"/>
                    </w:rPr>
                    <w:t>/</w:t>
                  </w:r>
                </w:p>
              </w:tc>
              <w:tc>
                <w:tcPr>
                  <w:tcW w:w="1675" w:type="pct"/>
                  <w:vAlign w:val="center"/>
                </w:tcPr>
                <w:p>
                  <w:pPr>
                    <w:pStyle w:val="68"/>
                    <w:spacing w:line="320" w:lineRule="exact"/>
                  </w:pPr>
                  <w:r>
                    <w:rPr>
                      <w:bCs/>
                      <w:szCs w:val="21"/>
                    </w:rPr>
                    <w:t>0.0</w:t>
                  </w:r>
                  <w:r>
                    <w:rPr>
                      <w:rFonts w:hint="eastAsia"/>
                      <w:bCs/>
                      <w:szCs w:val="21"/>
                    </w:rPr>
                    <w:t>144</w:t>
                  </w:r>
                  <w:r>
                    <w:rPr>
                      <w:bCs/>
                      <w:szCs w:val="21"/>
                    </w:rPr>
                    <w:t>t/a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486" w:type="pct"/>
                  <w:vAlign w:val="center"/>
                </w:tcPr>
                <w:p>
                  <w:pPr>
                    <w:pStyle w:val="68"/>
                    <w:spacing w:line="400" w:lineRule="exact"/>
                    <w:rPr>
                      <w:szCs w:val="21"/>
                    </w:rPr>
                  </w:pPr>
                  <w:r>
                    <w:rPr>
                      <w:szCs w:val="21"/>
                    </w:rPr>
                    <w:t>噪声</w:t>
                  </w:r>
                </w:p>
              </w:tc>
              <w:tc>
                <w:tcPr>
                  <w:tcW w:w="1516" w:type="pct"/>
                  <w:gridSpan w:val="2"/>
                  <w:vAlign w:val="center"/>
                </w:tcPr>
                <w:p>
                  <w:pPr>
                    <w:pStyle w:val="68"/>
                    <w:spacing w:line="400" w:lineRule="exact"/>
                    <w:rPr>
                      <w:szCs w:val="21"/>
                    </w:rPr>
                  </w:pPr>
                  <w:r>
                    <w:rPr>
                      <w:szCs w:val="21"/>
                    </w:rPr>
                    <w:t>设备噪声</w:t>
                  </w:r>
                </w:p>
              </w:tc>
              <w:tc>
                <w:tcPr>
                  <w:tcW w:w="1323" w:type="pct"/>
                  <w:vAlign w:val="center"/>
                </w:tcPr>
                <w:p>
                  <w:pPr>
                    <w:pStyle w:val="68"/>
                    <w:spacing w:line="400" w:lineRule="exact"/>
                    <w:rPr>
                      <w:szCs w:val="21"/>
                    </w:rPr>
                  </w:pPr>
                  <w:r>
                    <w:rPr>
                      <w:szCs w:val="21"/>
                    </w:rPr>
                    <w:t>/</w:t>
                  </w:r>
                </w:p>
              </w:tc>
              <w:tc>
                <w:tcPr>
                  <w:tcW w:w="1675" w:type="pct"/>
                  <w:vAlign w:val="center"/>
                </w:tcPr>
                <w:p>
                  <w:pPr>
                    <w:pStyle w:val="98"/>
                    <w:spacing w:line="400" w:lineRule="exact"/>
                    <w:jc w:val="center"/>
                    <w:rPr>
                      <w:b w:val="0"/>
                      <w:kern w:val="28"/>
                      <w:sz w:val="21"/>
                      <w:szCs w:val="21"/>
                    </w:rPr>
                  </w:pPr>
                  <w:r>
                    <w:rPr>
                      <w:b w:val="0"/>
                      <w:kern w:val="28"/>
                      <w:sz w:val="21"/>
                      <w:szCs w:val="21"/>
                    </w:rPr>
                    <w:t>昼间：54.</w:t>
                  </w:r>
                  <w:r>
                    <w:rPr>
                      <w:rFonts w:hint="eastAsia"/>
                      <w:b w:val="0"/>
                      <w:kern w:val="28"/>
                      <w:sz w:val="21"/>
                      <w:szCs w:val="21"/>
                    </w:rPr>
                    <w:t>1</w:t>
                  </w:r>
                  <w:r>
                    <w:rPr>
                      <w:b w:val="0"/>
                      <w:kern w:val="28"/>
                      <w:sz w:val="21"/>
                      <w:szCs w:val="21"/>
                    </w:rPr>
                    <w:t>-5</w:t>
                  </w:r>
                  <w:r>
                    <w:rPr>
                      <w:rFonts w:hint="eastAsia"/>
                      <w:b w:val="0"/>
                      <w:kern w:val="28"/>
                      <w:sz w:val="21"/>
                      <w:szCs w:val="21"/>
                    </w:rPr>
                    <w:t>5.1</w:t>
                  </w:r>
                  <w:r>
                    <w:rPr>
                      <w:b w:val="0"/>
                      <w:kern w:val="28"/>
                      <w:sz w:val="21"/>
                      <w:szCs w:val="21"/>
                    </w:rPr>
                    <w:t>dB（A）</w:t>
                  </w:r>
                </w:p>
                <w:p>
                  <w:pPr>
                    <w:pStyle w:val="98"/>
                    <w:spacing w:line="400" w:lineRule="exact"/>
                    <w:jc w:val="center"/>
                    <w:rPr>
                      <w:b w:val="0"/>
                      <w:sz w:val="21"/>
                      <w:szCs w:val="21"/>
                    </w:rPr>
                  </w:pPr>
                  <w:r>
                    <w:rPr>
                      <w:b w:val="0"/>
                      <w:sz w:val="21"/>
                      <w:szCs w:val="21"/>
                    </w:rPr>
                    <w:t>夜间：44.</w:t>
                  </w:r>
                  <w:r>
                    <w:rPr>
                      <w:rFonts w:hint="eastAsia"/>
                      <w:b w:val="0"/>
                      <w:sz w:val="21"/>
                      <w:szCs w:val="21"/>
                    </w:rPr>
                    <w:t>6</w:t>
                  </w:r>
                  <w:r>
                    <w:rPr>
                      <w:b w:val="0"/>
                      <w:sz w:val="21"/>
                      <w:szCs w:val="21"/>
                    </w:rPr>
                    <w:t>-4</w:t>
                  </w:r>
                  <w:r>
                    <w:rPr>
                      <w:rFonts w:hint="eastAsia"/>
                      <w:b w:val="0"/>
                      <w:sz w:val="21"/>
                      <w:szCs w:val="21"/>
                    </w:rPr>
                    <w:t>5.6</w:t>
                  </w:r>
                  <w:r>
                    <w:rPr>
                      <w:b w:val="0"/>
                      <w:sz w:val="21"/>
                      <w:szCs w:val="21"/>
                    </w:rPr>
                    <w:t>dB（A）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486" w:type="pct"/>
                  <w:vMerge w:val="restart"/>
                  <w:vAlign w:val="center"/>
                </w:tcPr>
                <w:p>
                  <w:pPr>
                    <w:pStyle w:val="68"/>
                    <w:spacing w:line="400" w:lineRule="exact"/>
                    <w:rPr>
                      <w:szCs w:val="21"/>
                    </w:rPr>
                  </w:pPr>
                  <w:r>
                    <w:rPr>
                      <w:szCs w:val="21"/>
                    </w:rPr>
                    <w:t>固废</w:t>
                  </w:r>
                </w:p>
              </w:tc>
              <w:tc>
                <w:tcPr>
                  <w:tcW w:w="1516" w:type="pct"/>
                  <w:gridSpan w:val="2"/>
                  <w:vAlign w:val="center"/>
                </w:tcPr>
                <w:p>
                  <w:pPr>
                    <w:pStyle w:val="98"/>
                    <w:spacing w:line="400" w:lineRule="exact"/>
                    <w:jc w:val="center"/>
                    <w:rPr>
                      <w:b w:val="0"/>
                      <w:kern w:val="28"/>
                      <w:sz w:val="21"/>
                      <w:szCs w:val="21"/>
                    </w:rPr>
                  </w:pPr>
                  <w:r>
                    <w:rPr>
                      <w:b w:val="0"/>
                      <w:sz w:val="21"/>
                      <w:szCs w:val="21"/>
                    </w:rPr>
                    <w:t>生活垃圾</w:t>
                  </w:r>
                </w:p>
              </w:tc>
              <w:tc>
                <w:tcPr>
                  <w:tcW w:w="1323" w:type="pct"/>
                  <w:vAlign w:val="center"/>
                </w:tcPr>
                <w:p>
                  <w:pPr>
                    <w:pStyle w:val="68"/>
                    <w:spacing w:line="400" w:lineRule="exact"/>
                    <w:rPr>
                      <w:szCs w:val="21"/>
                    </w:rPr>
                  </w:pPr>
                  <w:r>
                    <w:rPr>
                      <w:rFonts w:hint="eastAsia"/>
                      <w:szCs w:val="21"/>
                    </w:rPr>
                    <w:t>/</w:t>
                  </w:r>
                </w:p>
              </w:tc>
              <w:tc>
                <w:tcPr>
                  <w:tcW w:w="1675" w:type="pct"/>
                  <w:vAlign w:val="center"/>
                </w:tcPr>
                <w:p>
                  <w:pPr>
                    <w:pStyle w:val="98"/>
                    <w:spacing w:line="400" w:lineRule="exact"/>
                    <w:jc w:val="center"/>
                    <w:rPr>
                      <w:b w:val="0"/>
                      <w:sz w:val="21"/>
                      <w:szCs w:val="21"/>
                    </w:rPr>
                  </w:pPr>
                  <w:r>
                    <w:rPr>
                      <w:rFonts w:hint="eastAsia"/>
                      <w:b w:val="0"/>
                      <w:sz w:val="21"/>
                      <w:szCs w:val="21"/>
                    </w:rPr>
                    <w:t>2.25</w:t>
                  </w:r>
                  <w:r>
                    <w:rPr>
                      <w:b w:val="0"/>
                      <w:sz w:val="21"/>
                      <w:szCs w:val="21"/>
                    </w:rPr>
                    <w:t>t/a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486" w:type="pct"/>
                  <w:vMerge w:val="continue"/>
                  <w:vAlign w:val="center"/>
                </w:tcPr>
                <w:p>
                  <w:pPr>
                    <w:pStyle w:val="68"/>
                    <w:spacing w:line="400" w:lineRule="exact"/>
                    <w:rPr>
                      <w:szCs w:val="21"/>
                    </w:rPr>
                  </w:pPr>
                </w:p>
              </w:tc>
              <w:tc>
                <w:tcPr>
                  <w:tcW w:w="566" w:type="pct"/>
                  <w:vMerge w:val="restart"/>
                  <w:vAlign w:val="center"/>
                </w:tcPr>
                <w:p>
                  <w:pPr>
                    <w:pStyle w:val="98"/>
                    <w:spacing w:line="400" w:lineRule="exact"/>
                    <w:jc w:val="center"/>
                    <w:rPr>
                      <w:b w:val="0"/>
                      <w:sz w:val="21"/>
                      <w:szCs w:val="21"/>
                    </w:rPr>
                  </w:pPr>
                  <w:r>
                    <w:rPr>
                      <w:b w:val="0"/>
                      <w:kern w:val="28"/>
                      <w:sz w:val="21"/>
                      <w:szCs w:val="21"/>
                    </w:rPr>
                    <w:t>一般固废</w:t>
                  </w:r>
                </w:p>
              </w:tc>
              <w:tc>
                <w:tcPr>
                  <w:tcW w:w="950" w:type="pct"/>
                  <w:vAlign w:val="center"/>
                </w:tcPr>
                <w:p>
                  <w:pPr>
                    <w:pStyle w:val="68"/>
                    <w:spacing w:line="400" w:lineRule="exact"/>
                    <w:rPr>
                      <w:szCs w:val="21"/>
                    </w:rPr>
                  </w:pPr>
                  <w:r>
                    <w:rPr>
                      <w:szCs w:val="21"/>
                    </w:rPr>
                    <w:t>废包装材料</w:t>
                  </w:r>
                </w:p>
              </w:tc>
              <w:tc>
                <w:tcPr>
                  <w:tcW w:w="1323" w:type="pct"/>
                  <w:vAlign w:val="center"/>
                </w:tcPr>
                <w:p>
                  <w:pPr>
                    <w:pStyle w:val="68"/>
                    <w:spacing w:line="400" w:lineRule="exact"/>
                    <w:rPr>
                      <w:szCs w:val="21"/>
                    </w:rPr>
                  </w:pPr>
                  <w:r>
                    <w:rPr>
                      <w:rFonts w:hint="eastAsia"/>
                      <w:szCs w:val="21"/>
                    </w:rPr>
                    <w:t>/</w:t>
                  </w:r>
                </w:p>
              </w:tc>
              <w:tc>
                <w:tcPr>
                  <w:tcW w:w="1675" w:type="pct"/>
                  <w:vAlign w:val="center"/>
                </w:tcPr>
                <w:p>
                  <w:pPr>
                    <w:pStyle w:val="68"/>
                    <w:spacing w:line="400" w:lineRule="exact"/>
                    <w:rPr>
                      <w:szCs w:val="21"/>
                    </w:rPr>
                  </w:pPr>
                  <w:r>
                    <w:rPr>
                      <w:rFonts w:hint="eastAsia"/>
                      <w:szCs w:val="21"/>
                    </w:rPr>
                    <w:t>0.5</w:t>
                  </w:r>
                  <w:r>
                    <w:rPr>
                      <w:szCs w:val="21"/>
                    </w:rPr>
                    <w:t>t/a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486" w:type="pct"/>
                  <w:vMerge w:val="continue"/>
                  <w:vAlign w:val="center"/>
                </w:tcPr>
                <w:p>
                  <w:pPr>
                    <w:pStyle w:val="68"/>
                    <w:spacing w:line="400" w:lineRule="exact"/>
                    <w:rPr>
                      <w:szCs w:val="21"/>
                    </w:rPr>
                  </w:pPr>
                </w:p>
              </w:tc>
              <w:tc>
                <w:tcPr>
                  <w:tcW w:w="566" w:type="pct"/>
                  <w:vMerge w:val="continue"/>
                  <w:vAlign w:val="center"/>
                </w:tcPr>
                <w:p>
                  <w:pPr>
                    <w:pStyle w:val="98"/>
                    <w:spacing w:line="400" w:lineRule="exact"/>
                    <w:jc w:val="center"/>
                    <w:rPr>
                      <w:b w:val="0"/>
                      <w:kern w:val="28"/>
                      <w:sz w:val="21"/>
                      <w:szCs w:val="21"/>
                    </w:rPr>
                  </w:pPr>
                </w:p>
              </w:tc>
              <w:tc>
                <w:tcPr>
                  <w:tcW w:w="950" w:type="pct"/>
                  <w:vAlign w:val="center"/>
                </w:tcPr>
                <w:p>
                  <w:pPr>
                    <w:pStyle w:val="68"/>
                    <w:spacing w:line="400" w:lineRule="exact"/>
                    <w:rPr>
                      <w:szCs w:val="21"/>
                    </w:rPr>
                  </w:pPr>
                  <w:r>
                    <w:rPr>
                      <w:rFonts w:hint="eastAsia"/>
                      <w:szCs w:val="21"/>
                    </w:rPr>
                    <w:t>废边角料</w:t>
                  </w:r>
                </w:p>
              </w:tc>
              <w:tc>
                <w:tcPr>
                  <w:tcW w:w="1323" w:type="pct"/>
                  <w:vAlign w:val="center"/>
                </w:tcPr>
                <w:p>
                  <w:pPr>
                    <w:pStyle w:val="68"/>
                    <w:spacing w:line="400" w:lineRule="exact"/>
                    <w:rPr>
                      <w:szCs w:val="21"/>
                    </w:rPr>
                  </w:pPr>
                  <w:r>
                    <w:rPr>
                      <w:rFonts w:hint="eastAsia"/>
                      <w:szCs w:val="21"/>
                    </w:rPr>
                    <w:t>/</w:t>
                  </w:r>
                </w:p>
              </w:tc>
              <w:tc>
                <w:tcPr>
                  <w:tcW w:w="1675" w:type="pct"/>
                  <w:vAlign w:val="center"/>
                </w:tcPr>
                <w:p>
                  <w:pPr>
                    <w:pStyle w:val="68"/>
                    <w:spacing w:line="400" w:lineRule="exact"/>
                    <w:rPr>
                      <w:szCs w:val="21"/>
                    </w:rPr>
                  </w:pPr>
                  <w:r>
                    <w:rPr>
                      <w:rFonts w:hint="eastAsia"/>
                      <w:szCs w:val="21"/>
                    </w:rPr>
                    <w:t>0.3t/a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486" w:type="pct"/>
                  <w:vMerge w:val="continue"/>
                  <w:vAlign w:val="center"/>
                </w:tcPr>
                <w:p>
                  <w:pPr>
                    <w:pStyle w:val="68"/>
                    <w:spacing w:line="400" w:lineRule="exact"/>
                    <w:rPr>
                      <w:szCs w:val="21"/>
                    </w:rPr>
                  </w:pPr>
                </w:p>
              </w:tc>
              <w:tc>
                <w:tcPr>
                  <w:tcW w:w="566" w:type="pct"/>
                  <w:vAlign w:val="center"/>
                </w:tcPr>
                <w:p>
                  <w:pPr>
                    <w:pStyle w:val="98"/>
                    <w:spacing w:line="400" w:lineRule="exact"/>
                    <w:jc w:val="center"/>
                    <w:rPr>
                      <w:b w:val="0"/>
                      <w:kern w:val="28"/>
                      <w:sz w:val="21"/>
                      <w:szCs w:val="21"/>
                    </w:rPr>
                  </w:pPr>
                  <w:r>
                    <w:rPr>
                      <w:rFonts w:hint="eastAsia"/>
                      <w:b w:val="0"/>
                      <w:kern w:val="28"/>
                      <w:sz w:val="21"/>
                      <w:szCs w:val="21"/>
                    </w:rPr>
                    <w:t>危险废物</w:t>
                  </w:r>
                </w:p>
              </w:tc>
              <w:tc>
                <w:tcPr>
                  <w:tcW w:w="950" w:type="pct"/>
                  <w:vAlign w:val="center"/>
                </w:tcPr>
                <w:p>
                  <w:pPr>
                    <w:pStyle w:val="68"/>
                    <w:spacing w:line="400" w:lineRule="exact"/>
                    <w:rPr>
                      <w:szCs w:val="21"/>
                    </w:rPr>
                  </w:pPr>
                  <w:r>
                    <w:rPr>
                      <w:rFonts w:hint="eastAsia"/>
                      <w:szCs w:val="21"/>
                    </w:rPr>
                    <w:t>废液压油</w:t>
                  </w:r>
                </w:p>
              </w:tc>
              <w:tc>
                <w:tcPr>
                  <w:tcW w:w="1323" w:type="pct"/>
                  <w:vAlign w:val="center"/>
                </w:tcPr>
                <w:p>
                  <w:pPr>
                    <w:pStyle w:val="68"/>
                    <w:spacing w:line="400" w:lineRule="exact"/>
                    <w:rPr>
                      <w:szCs w:val="21"/>
                    </w:rPr>
                  </w:pPr>
                  <w:r>
                    <w:rPr>
                      <w:rFonts w:hint="eastAsia"/>
                      <w:szCs w:val="21"/>
                    </w:rPr>
                    <w:t>/</w:t>
                  </w:r>
                </w:p>
              </w:tc>
              <w:tc>
                <w:tcPr>
                  <w:tcW w:w="1675" w:type="pct"/>
                  <w:vAlign w:val="center"/>
                </w:tcPr>
                <w:p>
                  <w:pPr>
                    <w:pStyle w:val="68"/>
                    <w:spacing w:line="400" w:lineRule="exact"/>
                    <w:rPr>
                      <w:szCs w:val="21"/>
                    </w:rPr>
                  </w:pPr>
                  <w:r>
                    <w:rPr>
                      <w:rFonts w:hint="eastAsia"/>
                      <w:szCs w:val="21"/>
                    </w:rPr>
                    <w:t>0.12t/a</w:t>
                  </w:r>
                </w:p>
              </w:tc>
            </w:tr>
          </w:tbl>
          <w:p>
            <w:pPr>
              <w:spacing w:line="500" w:lineRule="exact"/>
              <w:rPr>
                <w:rFonts w:asciiTheme="minorEastAsia" w:hAnsiTheme="minorEastAsia" w:eastAsiaTheme="minorEastAsia"/>
                <w:sz w:val="24"/>
              </w:rPr>
            </w:pPr>
            <w:r>
              <w:rPr>
                <w:rFonts w:hint="eastAsia" w:asciiTheme="minorEastAsia" w:hAnsiTheme="minorEastAsia" w:eastAsiaTheme="minorEastAsia"/>
                <w:sz w:val="24"/>
              </w:rPr>
              <w:t>2.9现存环保问题</w:t>
            </w:r>
          </w:p>
          <w:p>
            <w:pPr>
              <w:pStyle w:val="51"/>
              <w:ind w:firstLine="480"/>
              <w:rPr>
                <w:rFonts w:asciiTheme="minorEastAsia" w:hAnsiTheme="minorEastAsia" w:eastAsiaTheme="minorEastAsia"/>
              </w:rPr>
            </w:pPr>
            <w:r>
              <w:rPr>
                <w:rFonts w:hint="eastAsia" w:asciiTheme="minorEastAsia" w:hAnsiTheme="minorEastAsia" w:eastAsiaTheme="minorEastAsia"/>
              </w:rPr>
              <w:t>经调查，由于现有工程投产时间较短，尚未产生危险废物，危废暂存间尚未建设，本次评价要求在生产车间东北角按相关规范要求建设危废暂存间，并于改扩建工程投产前完成。</w:t>
            </w:r>
          </w:p>
          <w:p>
            <w:pPr>
              <w:pStyle w:val="51"/>
              <w:ind w:firstLine="480"/>
              <w:rPr>
                <w:rFonts w:eastAsia="楷体"/>
              </w:rPr>
            </w:pPr>
          </w:p>
          <w:p>
            <w:pPr>
              <w:pStyle w:val="51"/>
              <w:ind w:firstLine="480"/>
              <w:rPr>
                <w:rFonts w:eastAsia="楷体"/>
              </w:rPr>
            </w:pPr>
          </w:p>
          <w:p>
            <w:pPr>
              <w:pStyle w:val="51"/>
              <w:ind w:firstLine="480"/>
              <w:rPr>
                <w:rFonts w:eastAsia="楷体"/>
              </w:rPr>
            </w:pPr>
          </w:p>
          <w:p>
            <w:pPr>
              <w:pStyle w:val="51"/>
              <w:ind w:firstLine="480"/>
              <w:rPr>
                <w:rFonts w:eastAsia="楷体"/>
              </w:rPr>
            </w:pPr>
          </w:p>
          <w:p>
            <w:pPr>
              <w:pStyle w:val="51"/>
              <w:ind w:firstLine="480"/>
              <w:rPr>
                <w:rFonts w:eastAsia="楷体"/>
              </w:rPr>
            </w:pPr>
          </w:p>
          <w:p>
            <w:pPr>
              <w:pStyle w:val="51"/>
              <w:ind w:firstLine="480"/>
              <w:rPr>
                <w:rFonts w:eastAsia="楷体"/>
              </w:rPr>
            </w:pPr>
          </w:p>
          <w:p>
            <w:pPr>
              <w:pStyle w:val="51"/>
              <w:ind w:firstLine="480"/>
              <w:rPr>
                <w:rFonts w:eastAsia="楷体"/>
              </w:rPr>
            </w:pPr>
          </w:p>
          <w:p>
            <w:pPr>
              <w:pStyle w:val="51"/>
              <w:ind w:firstLine="480"/>
              <w:rPr>
                <w:rFonts w:eastAsia="楷体"/>
              </w:rPr>
            </w:pPr>
          </w:p>
          <w:p>
            <w:pPr>
              <w:pStyle w:val="51"/>
              <w:ind w:firstLine="480"/>
              <w:rPr>
                <w:rFonts w:eastAsia="黑体"/>
              </w:rPr>
            </w:pPr>
          </w:p>
        </w:tc>
      </w:tr>
    </w:tbl>
    <w:p>
      <w:pPr>
        <w:pStyle w:val="19"/>
        <w:jc w:val="center"/>
        <w:rPr>
          <w:rFonts w:ascii="黑体" w:hAnsi="黑体" w:eastAsia="黑体"/>
          <w:snapToGrid w:val="0"/>
          <w:sz w:val="36"/>
          <w:szCs w:val="36"/>
        </w:rPr>
        <w:sectPr>
          <w:pgSz w:w="11906" w:h="16838"/>
          <w:pgMar w:top="1701" w:right="1531" w:bottom="1701" w:left="1531" w:header="851" w:footer="851" w:gutter="0"/>
          <w:cols w:space="720" w:num="1"/>
          <w:docGrid w:linePitch="312" w:charSpace="0"/>
        </w:sectPr>
      </w:pPr>
    </w:p>
    <w:p>
      <w:pPr>
        <w:pStyle w:val="19"/>
        <w:adjustRightInd w:val="0"/>
        <w:snapToGrid w:val="0"/>
        <w:spacing w:before="0" w:beforeAutospacing="0" w:after="0" w:afterAutospacing="0" w:line="14" w:lineRule="auto"/>
        <w:jc w:val="center"/>
        <w:outlineLvl w:val="0"/>
        <w:rPr>
          <w:rFonts w:ascii="黑体" w:hAnsi="黑体" w:eastAsia="黑体"/>
          <w:snapToGrid w:val="0"/>
          <w:sz w:val="30"/>
          <w:szCs w:val="30"/>
        </w:rPr>
      </w:pPr>
    </w:p>
    <w:p>
      <w:pPr>
        <w:pStyle w:val="19"/>
        <w:jc w:val="center"/>
        <w:outlineLvl w:val="0"/>
        <w:rPr>
          <w:rFonts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6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26" w:type="dxa"/>
            <w:vAlign w:val="center"/>
          </w:tcPr>
          <w:p>
            <w:pPr>
              <w:adjustRightInd w:val="0"/>
              <w:snapToGrid w:val="0"/>
              <w:jc w:val="center"/>
              <w:rPr>
                <w:rFonts w:ascii="宋体" w:hAnsi="宋体" w:cs="宋体"/>
                <w:kern w:val="0"/>
                <w:szCs w:val="21"/>
              </w:rPr>
            </w:pPr>
            <w:r>
              <w:rPr>
                <w:rFonts w:hint="eastAsia" w:ascii="宋体" w:hAnsi="宋体" w:cs="宋体"/>
                <w:kern w:val="0"/>
                <w:szCs w:val="21"/>
              </w:rPr>
              <w:t>区域环境质量现状</w:t>
            </w:r>
          </w:p>
        </w:tc>
        <w:tc>
          <w:tcPr>
            <w:tcW w:w="8635" w:type="dxa"/>
            <w:vAlign w:val="center"/>
          </w:tcPr>
          <w:p>
            <w:pPr>
              <w:pStyle w:val="91"/>
              <w:rPr>
                <w:color w:val="auto"/>
              </w:rPr>
            </w:pPr>
            <w:r>
              <w:rPr>
                <w:color w:val="auto"/>
              </w:rPr>
              <w:t>1. 环境空气质量现状</w:t>
            </w:r>
          </w:p>
          <w:p>
            <w:pPr>
              <w:spacing w:line="520" w:lineRule="exact"/>
              <w:rPr>
                <w:sz w:val="24"/>
              </w:rPr>
            </w:pPr>
            <w:r>
              <w:rPr>
                <w:sz w:val="24"/>
              </w:rPr>
              <w:t>1.1基本污染物环境质量现状</w:t>
            </w:r>
          </w:p>
          <w:p>
            <w:pPr>
              <w:pStyle w:val="93"/>
              <w:ind w:firstLine="480" w:firstLineChars="200"/>
              <w:rPr>
                <w:sz w:val="24"/>
                <w:szCs w:val="24"/>
              </w:rPr>
            </w:pPr>
            <w:r>
              <w:rPr>
                <w:rFonts w:hint="eastAsia"/>
                <w:sz w:val="24"/>
                <w:szCs w:val="24"/>
              </w:rPr>
              <w:t>（1）</w:t>
            </w:r>
            <w:r>
              <w:rPr>
                <w:sz w:val="24"/>
                <w:szCs w:val="24"/>
              </w:rPr>
              <w:t>空气质量达标区判定</w:t>
            </w:r>
          </w:p>
          <w:p>
            <w:pPr>
              <w:pStyle w:val="51"/>
              <w:ind w:firstLine="480"/>
            </w:pPr>
            <w:r>
              <w:t>根据《环境空气质量标准》（GB3095-2012）及《洛阳市人民政府关于调整洛阳市环境空气质量功能区划分的通知》洛政【2009】69号，本项目所在地区属于二类区，环境空气功能区质量要求应执行二级标准要求。</w:t>
            </w:r>
          </w:p>
          <w:p>
            <w:pPr>
              <w:pStyle w:val="51"/>
              <w:ind w:firstLine="480"/>
            </w:pPr>
            <w:r>
              <w:t>根据《2021年洛阳市生态环境状况公报》可知：2021年，洛阳市城区环境空气质量优、良天数为246天（评价因子为PM</w:t>
            </w:r>
            <w:r>
              <w:rPr>
                <w:vertAlign w:val="subscript"/>
              </w:rPr>
              <w:t>2.5</w:t>
            </w:r>
            <w:r>
              <w:t>、PM</w:t>
            </w:r>
            <w:r>
              <w:rPr>
                <w:vertAlign w:val="subscript"/>
              </w:rPr>
              <w:t>10</w:t>
            </w:r>
            <w:r>
              <w:t>、SO</w:t>
            </w:r>
            <w:r>
              <w:rPr>
                <w:vertAlign w:val="subscript"/>
              </w:rPr>
              <w:t>2</w:t>
            </w:r>
            <w:r>
              <w:t>、NO</w:t>
            </w:r>
            <w:r>
              <w:rPr>
                <w:vertAlign w:val="subscript"/>
              </w:rPr>
              <w:t>2</w:t>
            </w:r>
            <w:r>
              <w:t>、CO和O</w:t>
            </w:r>
            <w:r>
              <w:rPr>
                <w:vertAlign w:val="subscript"/>
              </w:rPr>
              <w:t>3</w:t>
            </w:r>
            <w:r>
              <w:t>六项），较2020年（244天）增加2天，达标率为67.4%。</w:t>
            </w:r>
          </w:p>
          <w:p>
            <w:pPr>
              <w:pStyle w:val="51"/>
              <w:ind w:firstLine="480"/>
            </w:pPr>
            <w:r>
              <w:t>表</w:t>
            </w:r>
            <w:r>
              <w:rPr>
                <w:rFonts w:hint="eastAsia"/>
              </w:rPr>
              <w:t>21</w:t>
            </w:r>
            <w:r>
              <w:t xml:space="preserve">            洛阳市</w:t>
            </w:r>
            <w:r>
              <w:rPr>
                <w:rFonts w:hint="eastAsia"/>
              </w:rPr>
              <w:t>2021年</w:t>
            </w:r>
            <w:r>
              <w:t>空气质量现状评价表</w:t>
            </w:r>
          </w:p>
          <w:tbl>
            <w:tblPr>
              <w:tblStyle w:val="22"/>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2824"/>
              <w:gridCol w:w="1210"/>
              <w:gridCol w:w="1280"/>
              <w:gridCol w:w="1156"/>
              <w:gridCol w:w="11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54" w:type="pct"/>
                  <w:tcBorders>
                    <w:tl2br w:val="nil"/>
                    <w:tr2bl w:val="nil"/>
                  </w:tcBorders>
                  <w:vAlign w:val="center"/>
                </w:tcPr>
                <w:p>
                  <w:pPr>
                    <w:pStyle w:val="62"/>
                    <w:rPr>
                      <w:sz w:val="21"/>
                      <w:szCs w:val="21"/>
                    </w:rPr>
                  </w:pPr>
                  <w:r>
                    <w:rPr>
                      <w:sz w:val="21"/>
                      <w:szCs w:val="21"/>
                    </w:rPr>
                    <w:t>污染物</w:t>
                  </w:r>
                </w:p>
              </w:tc>
              <w:tc>
                <w:tcPr>
                  <w:tcW w:w="1683" w:type="pct"/>
                  <w:tcBorders>
                    <w:tl2br w:val="nil"/>
                    <w:tr2bl w:val="nil"/>
                  </w:tcBorders>
                  <w:vAlign w:val="center"/>
                </w:tcPr>
                <w:p>
                  <w:pPr>
                    <w:pStyle w:val="62"/>
                    <w:rPr>
                      <w:sz w:val="21"/>
                      <w:szCs w:val="21"/>
                    </w:rPr>
                  </w:pPr>
                  <w:r>
                    <w:rPr>
                      <w:sz w:val="21"/>
                      <w:szCs w:val="21"/>
                    </w:rPr>
                    <w:t>年评价指标</w:t>
                  </w:r>
                </w:p>
              </w:tc>
              <w:tc>
                <w:tcPr>
                  <w:tcW w:w="721" w:type="pct"/>
                  <w:tcBorders>
                    <w:tl2br w:val="nil"/>
                    <w:tr2bl w:val="nil"/>
                  </w:tcBorders>
                  <w:vAlign w:val="center"/>
                </w:tcPr>
                <w:p>
                  <w:pPr>
                    <w:pStyle w:val="62"/>
                    <w:rPr>
                      <w:sz w:val="21"/>
                      <w:szCs w:val="21"/>
                    </w:rPr>
                  </w:pPr>
                  <w:r>
                    <w:rPr>
                      <w:sz w:val="21"/>
                      <w:szCs w:val="21"/>
                    </w:rPr>
                    <w:t>现状浓度（μg/m</w:t>
                  </w:r>
                  <w:r>
                    <w:rPr>
                      <w:sz w:val="21"/>
                      <w:szCs w:val="21"/>
                      <w:vertAlign w:val="superscript"/>
                    </w:rPr>
                    <w:t>3</w:t>
                  </w:r>
                  <w:r>
                    <w:rPr>
                      <w:sz w:val="21"/>
                      <w:szCs w:val="21"/>
                    </w:rPr>
                    <w:t>）</w:t>
                  </w:r>
                </w:p>
              </w:tc>
              <w:tc>
                <w:tcPr>
                  <w:tcW w:w="763" w:type="pct"/>
                  <w:tcBorders>
                    <w:tl2br w:val="nil"/>
                    <w:tr2bl w:val="nil"/>
                  </w:tcBorders>
                  <w:vAlign w:val="center"/>
                </w:tcPr>
                <w:p>
                  <w:pPr>
                    <w:pStyle w:val="62"/>
                    <w:rPr>
                      <w:sz w:val="21"/>
                      <w:szCs w:val="21"/>
                    </w:rPr>
                  </w:pPr>
                  <w:r>
                    <w:rPr>
                      <w:sz w:val="21"/>
                      <w:szCs w:val="21"/>
                    </w:rPr>
                    <w:t>标准值（μg/m</w:t>
                  </w:r>
                  <w:r>
                    <w:rPr>
                      <w:sz w:val="21"/>
                      <w:szCs w:val="21"/>
                      <w:vertAlign w:val="superscript"/>
                    </w:rPr>
                    <w:t>3</w:t>
                  </w:r>
                  <w:r>
                    <w:rPr>
                      <w:sz w:val="21"/>
                      <w:szCs w:val="21"/>
                    </w:rPr>
                    <w:t>）</w:t>
                  </w:r>
                </w:p>
              </w:tc>
              <w:tc>
                <w:tcPr>
                  <w:tcW w:w="689" w:type="pct"/>
                  <w:tcBorders>
                    <w:tl2br w:val="nil"/>
                    <w:tr2bl w:val="nil"/>
                  </w:tcBorders>
                  <w:vAlign w:val="center"/>
                </w:tcPr>
                <w:p>
                  <w:pPr>
                    <w:pStyle w:val="62"/>
                    <w:rPr>
                      <w:sz w:val="21"/>
                      <w:szCs w:val="21"/>
                    </w:rPr>
                  </w:pPr>
                  <w:r>
                    <w:rPr>
                      <w:sz w:val="21"/>
                      <w:szCs w:val="21"/>
                    </w:rPr>
                    <w:t>占标率/%</w:t>
                  </w:r>
                </w:p>
              </w:tc>
              <w:tc>
                <w:tcPr>
                  <w:tcW w:w="689" w:type="pct"/>
                  <w:tcBorders>
                    <w:tl2br w:val="nil"/>
                    <w:tr2bl w:val="nil"/>
                  </w:tcBorders>
                  <w:vAlign w:val="center"/>
                </w:tcPr>
                <w:p>
                  <w:pPr>
                    <w:pStyle w:val="62"/>
                    <w:rPr>
                      <w:sz w:val="21"/>
                      <w:szCs w:val="21"/>
                    </w:rPr>
                  </w:pPr>
                  <w:r>
                    <w:rPr>
                      <w:sz w:val="21"/>
                      <w:szCs w:val="21"/>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54" w:type="pct"/>
                  <w:tcBorders>
                    <w:tl2br w:val="nil"/>
                    <w:tr2bl w:val="nil"/>
                  </w:tcBorders>
                  <w:vAlign w:val="center"/>
                </w:tcPr>
                <w:p>
                  <w:pPr>
                    <w:pStyle w:val="62"/>
                    <w:rPr>
                      <w:sz w:val="21"/>
                      <w:szCs w:val="21"/>
                    </w:rPr>
                  </w:pPr>
                  <w:r>
                    <w:rPr>
                      <w:sz w:val="21"/>
                      <w:szCs w:val="21"/>
                    </w:rPr>
                    <w:t>SO</w:t>
                  </w:r>
                  <w:r>
                    <w:rPr>
                      <w:sz w:val="21"/>
                      <w:szCs w:val="21"/>
                      <w:vertAlign w:val="subscript"/>
                    </w:rPr>
                    <w:t>2</w:t>
                  </w:r>
                </w:p>
              </w:tc>
              <w:tc>
                <w:tcPr>
                  <w:tcW w:w="1683" w:type="pct"/>
                  <w:tcBorders>
                    <w:tl2br w:val="nil"/>
                    <w:tr2bl w:val="nil"/>
                  </w:tcBorders>
                  <w:vAlign w:val="center"/>
                </w:tcPr>
                <w:p>
                  <w:pPr>
                    <w:pStyle w:val="62"/>
                    <w:rPr>
                      <w:sz w:val="21"/>
                      <w:szCs w:val="21"/>
                    </w:rPr>
                  </w:pPr>
                  <w:r>
                    <w:rPr>
                      <w:sz w:val="21"/>
                      <w:szCs w:val="21"/>
                    </w:rPr>
                    <w:t>年平均质量浓度</w:t>
                  </w:r>
                </w:p>
              </w:tc>
              <w:tc>
                <w:tcPr>
                  <w:tcW w:w="721" w:type="pct"/>
                  <w:tcBorders>
                    <w:tl2br w:val="nil"/>
                    <w:tr2bl w:val="nil"/>
                  </w:tcBorders>
                  <w:vAlign w:val="center"/>
                </w:tcPr>
                <w:p>
                  <w:pPr>
                    <w:spacing w:line="360" w:lineRule="exact"/>
                    <w:jc w:val="center"/>
                    <w:rPr>
                      <w:szCs w:val="21"/>
                    </w:rPr>
                  </w:pPr>
                  <w:r>
                    <w:rPr>
                      <w:szCs w:val="21"/>
                    </w:rPr>
                    <w:t>6</w:t>
                  </w:r>
                </w:p>
              </w:tc>
              <w:tc>
                <w:tcPr>
                  <w:tcW w:w="763" w:type="pct"/>
                  <w:tcBorders>
                    <w:tl2br w:val="nil"/>
                    <w:tr2bl w:val="nil"/>
                  </w:tcBorders>
                  <w:vAlign w:val="center"/>
                </w:tcPr>
                <w:p>
                  <w:pPr>
                    <w:spacing w:line="360" w:lineRule="exact"/>
                    <w:jc w:val="center"/>
                    <w:rPr>
                      <w:szCs w:val="21"/>
                    </w:rPr>
                  </w:pPr>
                  <w:r>
                    <w:rPr>
                      <w:szCs w:val="21"/>
                    </w:rPr>
                    <w:t>60</w:t>
                  </w:r>
                </w:p>
              </w:tc>
              <w:tc>
                <w:tcPr>
                  <w:tcW w:w="689" w:type="pct"/>
                  <w:tcBorders>
                    <w:tl2br w:val="nil"/>
                    <w:tr2bl w:val="nil"/>
                  </w:tcBorders>
                  <w:vAlign w:val="center"/>
                </w:tcPr>
                <w:p>
                  <w:pPr>
                    <w:spacing w:line="360" w:lineRule="exact"/>
                    <w:jc w:val="center"/>
                    <w:rPr>
                      <w:szCs w:val="21"/>
                    </w:rPr>
                  </w:pPr>
                  <w:r>
                    <w:rPr>
                      <w:szCs w:val="21"/>
                    </w:rPr>
                    <w:t>10</w:t>
                  </w:r>
                </w:p>
              </w:tc>
              <w:tc>
                <w:tcPr>
                  <w:tcW w:w="689" w:type="pct"/>
                  <w:tcBorders>
                    <w:tl2br w:val="nil"/>
                    <w:tr2bl w:val="nil"/>
                  </w:tcBorders>
                  <w:vAlign w:val="center"/>
                </w:tcPr>
                <w:p>
                  <w:pPr>
                    <w:spacing w:line="360" w:lineRule="exact"/>
                    <w:jc w:val="center"/>
                    <w:rPr>
                      <w:szCs w:val="21"/>
                    </w:rPr>
                  </w:pPr>
                  <w:r>
                    <w:rPr>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54" w:type="pct"/>
                  <w:tcBorders>
                    <w:tl2br w:val="nil"/>
                    <w:tr2bl w:val="nil"/>
                  </w:tcBorders>
                  <w:vAlign w:val="center"/>
                </w:tcPr>
                <w:p>
                  <w:pPr>
                    <w:pStyle w:val="62"/>
                    <w:rPr>
                      <w:sz w:val="21"/>
                      <w:szCs w:val="21"/>
                    </w:rPr>
                  </w:pPr>
                  <w:r>
                    <w:rPr>
                      <w:sz w:val="21"/>
                      <w:szCs w:val="21"/>
                    </w:rPr>
                    <w:t>NO</w:t>
                  </w:r>
                  <w:r>
                    <w:rPr>
                      <w:sz w:val="21"/>
                      <w:szCs w:val="21"/>
                      <w:vertAlign w:val="subscript"/>
                    </w:rPr>
                    <w:t>2</w:t>
                  </w:r>
                </w:p>
              </w:tc>
              <w:tc>
                <w:tcPr>
                  <w:tcW w:w="1683" w:type="pct"/>
                  <w:tcBorders>
                    <w:tl2br w:val="nil"/>
                    <w:tr2bl w:val="nil"/>
                  </w:tcBorders>
                  <w:vAlign w:val="center"/>
                </w:tcPr>
                <w:p>
                  <w:pPr>
                    <w:pStyle w:val="62"/>
                    <w:rPr>
                      <w:sz w:val="21"/>
                      <w:szCs w:val="21"/>
                    </w:rPr>
                  </w:pPr>
                  <w:r>
                    <w:rPr>
                      <w:sz w:val="21"/>
                      <w:szCs w:val="21"/>
                    </w:rPr>
                    <w:t>年平均质量浓度</w:t>
                  </w:r>
                </w:p>
              </w:tc>
              <w:tc>
                <w:tcPr>
                  <w:tcW w:w="721" w:type="pct"/>
                  <w:tcBorders>
                    <w:tl2br w:val="nil"/>
                    <w:tr2bl w:val="nil"/>
                  </w:tcBorders>
                  <w:vAlign w:val="center"/>
                </w:tcPr>
                <w:p>
                  <w:pPr>
                    <w:spacing w:line="360" w:lineRule="exact"/>
                    <w:jc w:val="center"/>
                    <w:rPr>
                      <w:szCs w:val="21"/>
                    </w:rPr>
                  </w:pPr>
                  <w:r>
                    <w:rPr>
                      <w:szCs w:val="21"/>
                    </w:rPr>
                    <w:t>29</w:t>
                  </w:r>
                </w:p>
              </w:tc>
              <w:tc>
                <w:tcPr>
                  <w:tcW w:w="763" w:type="pct"/>
                  <w:tcBorders>
                    <w:tl2br w:val="nil"/>
                    <w:tr2bl w:val="nil"/>
                  </w:tcBorders>
                  <w:vAlign w:val="center"/>
                </w:tcPr>
                <w:p>
                  <w:pPr>
                    <w:spacing w:line="360" w:lineRule="exact"/>
                    <w:jc w:val="center"/>
                    <w:rPr>
                      <w:szCs w:val="21"/>
                    </w:rPr>
                  </w:pPr>
                  <w:r>
                    <w:rPr>
                      <w:szCs w:val="21"/>
                    </w:rPr>
                    <w:t>40</w:t>
                  </w:r>
                </w:p>
              </w:tc>
              <w:tc>
                <w:tcPr>
                  <w:tcW w:w="689" w:type="pct"/>
                  <w:tcBorders>
                    <w:tl2br w:val="nil"/>
                    <w:tr2bl w:val="nil"/>
                  </w:tcBorders>
                  <w:vAlign w:val="center"/>
                </w:tcPr>
                <w:p>
                  <w:pPr>
                    <w:spacing w:line="360" w:lineRule="exact"/>
                    <w:jc w:val="center"/>
                    <w:rPr>
                      <w:szCs w:val="21"/>
                    </w:rPr>
                  </w:pPr>
                  <w:r>
                    <w:rPr>
                      <w:szCs w:val="21"/>
                    </w:rPr>
                    <w:t>72.5</w:t>
                  </w:r>
                </w:p>
              </w:tc>
              <w:tc>
                <w:tcPr>
                  <w:tcW w:w="689" w:type="pct"/>
                  <w:tcBorders>
                    <w:tl2br w:val="nil"/>
                    <w:tr2bl w:val="nil"/>
                  </w:tcBorders>
                  <w:vAlign w:val="center"/>
                </w:tcPr>
                <w:p>
                  <w:pPr>
                    <w:spacing w:line="360" w:lineRule="exact"/>
                    <w:jc w:val="center"/>
                    <w:rPr>
                      <w:szCs w:val="21"/>
                    </w:rPr>
                  </w:pPr>
                  <w:r>
                    <w:rPr>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54" w:type="pct"/>
                  <w:tcBorders>
                    <w:tl2br w:val="nil"/>
                    <w:tr2bl w:val="nil"/>
                  </w:tcBorders>
                  <w:vAlign w:val="center"/>
                </w:tcPr>
                <w:p>
                  <w:pPr>
                    <w:pStyle w:val="62"/>
                    <w:rPr>
                      <w:sz w:val="21"/>
                      <w:szCs w:val="21"/>
                    </w:rPr>
                  </w:pPr>
                  <w:r>
                    <w:rPr>
                      <w:sz w:val="21"/>
                      <w:szCs w:val="21"/>
                    </w:rPr>
                    <w:t>PM</w:t>
                  </w:r>
                  <w:r>
                    <w:rPr>
                      <w:sz w:val="21"/>
                      <w:szCs w:val="21"/>
                      <w:vertAlign w:val="subscript"/>
                    </w:rPr>
                    <w:t>10</w:t>
                  </w:r>
                </w:p>
              </w:tc>
              <w:tc>
                <w:tcPr>
                  <w:tcW w:w="1683" w:type="pct"/>
                  <w:tcBorders>
                    <w:tl2br w:val="nil"/>
                    <w:tr2bl w:val="nil"/>
                  </w:tcBorders>
                  <w:vAlign w:val="center"/>
                </w:tcPr>
                <w:p>
                  <w:pPr>
                    <w:pStyle w:val="62"/>
                    <w:rPr>
                      <w:sz w:val="21"/>
                      <w:szCs w:val="21"/>
                    </w:rPr>
                  </w:pPr>
                  <w:r>
                    <w:rPr>
                      <w:sz w:val="21"/>
                      <w:szCs w:val="21"/>
                    </w:rPr>
                    <w:t>年平均质量浓度</w:t>
                  </w:r>
                </w:p>
              </w:tc>
              <w:tc>
                <w:tcPr>
                  <w:tcW w:w="721" w:type="pct"/>
                  <w:tcBorders>
                    <w:tl2br w:val="nil"/>
                    <w:tr2bl w:val="nil"/>
                  </w:tcBorders>
                  <w:vAlign w:val="center"/>
                </w:tcPr>
                <w:p>
                  <w:pPr>
                    <w:spacing w:line="360" w:lineRule="exact"/>
                    <w:jc w:val="center"/>
                    <w:rPr>
                      <w:spacing w:val="-10"/>
                      <w:szCs w:val="21"/>
                    </w:rPr>
                  </w:pPr>
                  <w:r>
                    <w:rPr>
                      <w:spacing w:val="-10"/>
                      <w:szCs w:val="21"/>
                    </w:rPr>
                    <w:t>77</w:t>
                  </w:r>
                </w:p>
              </w:tc>
              <w:tc>
                <w:tcPr>
                  <w:tcW w:w="763" w:type="pct"/>
                  <w:tcBorders>
                    <w:tl2br w:val="nil"/>
                    <w:tr2bl w:val="nil"/>
                  </w:tcBorders>
                  <w:vAlign w:val="center"/>
                </w:tcPr>
                <w:p>
                  <w:pPr>
                    <w:spacing w:line="360" w:lineRule="exact"/>
                    <w:jc w:val="center"/>
                    <w:rPr>
                      <w:spacing w:val="-10"/>
                      <w:szCs w:val="21"/>
                    </w:rPr>
                  </w:pPr>
                  <w:r>
                    <w:rPr>
                      <w:spacing w:val="-10"/>
                      <w:szCs w:val="21"/>
                    </w:rPr>
                    <w:t>70</w:t>
                  </w:r>
                </w:p>
              </w:tc>
              <w:tc>
                <w:tcPr>
                  <w:tcW w:w="689" w:type="pct"/>
                  <w:tcBorders>
                    <w:tl2br w:val="nil"/>
                    <w:tr2bl w:val="nil"/>
                  </w:tcBorders>
                  <w:vAlign w:val="center"/>
                </w:tcPr>
                <w:p>
                  <w:pPr>
                    <w:spacing w:line="360" w:lineRule="exact"/>
                    <w:jc w:val="center"/>
                    <w:rPr>
                      <w:spacing w:val="-10"/>
                      <w:szCs w:val="21"/>
                    </w:rPr>
                  </w:pPr>
                  <w:r>
                    <w:rPr>
                      <w:spacing w:val="-10"/>
                      <w:szCs w:val="21"/>
                    </w:rPr>
                    <w:t>110</w:t>
                  </w:r>
                </w:p>
              </w:tc>
              <w:tc>
                <w:tcPr>
                  <w:tcW w:w="689" w:type="pct"/>
                  <w:tcBorders>
                    <w:tl2br w:val="nil"/>
                    <w:tr2bl w:val="nil"/>
                  </w:tcBorders>
                  <w:vAlign w:val="center"/>
                </w:tcPr>
                <w:p>
                  <w:pPr>
                    <w:spacing w:line="360" w:lineRule="exact"/>
                    <w:jc w:val="center"/>
                    <w:rPr>
                      <w:szCs w:val="21"/>
                    </w:rPr>
                  </w:pPr>
                  <w:r>
                    <w:rPr>
                      <w:szCs w:val="21"/>
                    </w:rPr>
                    <w:t>不达标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54" w:type="pct"/>
                  <w:tcBorders>
                    <w:tl2br w:val="nil"/>
                    <w:tr2bl w:val="nil"/>
                  </w:tcBorders>
                  <w:vAlign w:val="center"/>
                </w:tcPr>
                <w:p>
                  <w:pPr>
                    <w:pStyle w:val="62"/>
                    <w:rPr>
                      <w:sz w:val="21"/>
                      <w:szCs w:val="21"/>
                    </w:rPr>
                  </w:pPr>
                  <w:r>
                    <w:rPr>
                      <w:sz w:val="21"/>
                      <w:szCs w:val="21"/>
                    </w:rPr>
                    <w:t>PM</w:t>
                  </w:r>
                  <w:r>
                    <w:rPr>
                      <w:sz w:val="21"/>
                      <w:szCs w:val="21"/>
                      <w:vertAlign w:val="subscript"/>
                    </w:rPr>
                    <w:t>2.5</w:t>
                  </w:r>
                </w:p>
              </w:tc>
              <w:tc>
                <w:tcPr>
                  <w:tcW w:w="1683" w:type="pct"/>
                  <w:tcBorders>
                    <w:tl2br w:val="nil"/>
                    <w:tr2bl w:val="nil"/>
                  </w:tcBorders>
                  <w:vAlign w:val="center"/>
                </w:tcPr>
                <w:p>
                  <w:pPr>
                    <w:pStyle w:val="62"/>
                    <w:rPr>
                      <w:sz w:val="21"/>
                      <w:szCs w:val="21"/>
                    </w:rPr>
                  </w:pPr>
                  <w:r>
                    <w:rPr>
                      <w:sz w:val="21"/>
                      <w:szCs w:val="21"/>
                    </w:rPr>
                    <w:t>年平均质量浓度</w:t>
                  </w:r>
                </w:p>
              </w:tc>
              <w:tc>
                <w:tcPr>
                  <w:tcW w:w="721" w:type="pct"/>
                  <w:tcBorders>
                    <w:tl2br w:val="nil"/>
                    <w:tr2bl w:val="nil"/>
                  </w:tcBorders>
                  <w:vAlign w:val="center"/>
                </w:tcPr>
                <w:p>
                  <w:pPr>
                    <w:spacing w:line="360" w:lineRule="exact"/>
                    <w:jc w:val="center"/>
                    <w:rPr>
                      <w:szCs w:val="21"/>
                    </w:rPr>
                  </w:pPr>
                  <w:r>
                    <w:rPr>
                      <w:szCs w:val="21"/>
                    </w:rPr>
                    <w:t>43</w:t>
                  </w:r>
                </w:p>
              </w:tc>
              <w:tc>
                <w:tcPr>
                  <w:tcW w:w="763" w:type="pct"/>
                  <w:tcBorders>
                    <w:tl2br w:val="nil"/>
                    <w:tr2bl w:val="nil"/>
                  </w:tcBorders>
                  <w:vAlign w:val="center"/>
                </w:tcPr>
                <w:p>
                  <w:pPr>
                    <w:spacing w:line="360" w:lineRule="exact"/>
                    <w:jc w:val="center"/>
                    <w:rPr>
                      <w:szCs w:val="21"/>
                    </w:rPr>
                  </w:pPr>
                  <w:r>
                    <w:rPr>
                      <w:szCs w:val="21"/>
                    </w:rPr>
                    <w:t>35</w:t>
                  </w:r>
                </w:p>
              </w:tc>
              <w:tc>
                <w:tcPr>
                  <w:tcW w:w="689" w:type="pct"/>
                  <w:tcBorders>
                    <w:tl2br w:val="nil"/>
                    <w:tr2bl w:val="nil"/>
                  </w:tcBorders>
                  <w:vAlign w:val="center"/>
                </w:tcPr>
                <w:p>
                  <w:pPr>
                    <w:spacing w:line="360" w:lineRule="exact"/>
                    <w:jc w:val="center"/>
                    <w:rPr>
                      <w:szCs w:val="21"/>
                    </w:rPr>
                  </w:pPr>
                  <w:r>
                    <w:rPr>
                      <w:szCs w:val="21"/>
                    </w:rPr>
                    <w:t>122</w:t>
                  </w:r>
                </w:p>
              </w:tc>
              <w:tc>
                <w:tcPr>
                  <w:tcW w:w="689" w:type="pct"/>
                  <w:tcBorders>
                    <w:tl2br w:val="nil"/>
                    <w:tr2bl w:val="nil"/>
                  </w:tcBorders>
                  <w:vAlign w:val="center"/>
                </w:tcPr>
                <w:p>
                  <w:pPr>
                    <w:spacing w:line="360" w:lineRule="exact"/>
                    <w:jc w:val="center"/>
                    <w:rPr>
                      <w:szCs w:val="21"/>
                    </w:rPr>
                  </w:pPr>
                  <w:r>
                    <w:rPr>
                      <w:szCs w:val="21"/>
                    </w:rPr>
                    <w:t>不达标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54" w:type="pct"/>
                  <w:tcBorders>
                    <w:tl2br w:val="nil"/>
                    <w:tr2bl w:val="nil"/>
                  </w:tcBorders>
                  <w:vAlign w:val="center"/>
                </w:tcPr>
                <w:p>
                  <w:pPr>
                    <w:pStyle w:val="62"/>
                    <w:rPr>
                      <w:sz w:val="21"/>
                      <w:szCs w:val="21"/>
                    </w:rPr>
                  </w:pPr>
                  <w:r>
                    <w:rPr>
                      <w:sz w:val="21"/>
                      <w:szCs w:val="21"/>
                    </w:rPr>
                    <w:t>CO</w:t>
                  </w:r>
                </w:p>
              </w:tc>
              <w:tc>
                <w:tcPr>
                  <w:tcW w:w="1683" w:type="pct"/>
                  <w:tcBorders>
                    <w:tl2br w:val="nil"/>
                    <w:tr2bl w:val="nil"/>
                  </w:tcBorders>
                  <w:vAlign w:val="center"/>
                </w:tcPr>
                <w:p>
                  <w:pPr>
                    <w:pStyle w:val="62"/>
                    <w:rPr>
                      <w:sz w:val="21"/>
                      <w:szCs w:val="21"/>
                    </w:rPr>
                  </w:pPr>
                  <w:r>
                    <w:rPr>
                      <w:sz w:val="21"/>
                      <w:szCs w:val="21"/>
                    </w:rPr>
                    <w:t>24小时平均第95百分位数浓度</w:t>
                  </w:r>
                </w:p>
              </w:tc>
              <w:tc>
                <w:tcPr>
                  <w:tcW w:w="721" w:type="pct"/>
                  <w:tcBorders>
                    <w:tl2br w:val="nil"/>
                    <w:tr2bl w:val="nil"/>
                  </w:tcBorders>
                  <w:vAlign w:val="center"/>
                </w:tcPr>
                <w:p>
                  <w:pPr>
                    <w:spacing w:line="360" w:lineRule="exact"/>
                    <w:jc w:val="center"/>
                    <w:rPr>
                      <w:szCs w:val="21"/>
                    </w:rPr>
                  </w:pPr>
                  <w:r>
                    <w:rPr>
                      <w:szCs w:val="21"/>
                    </w:rPr>
                    <w:t>1.1mg/m</w:t>
                  </w:r>
                  <w:r>
                    <w:rPr>
                      <w:szCs w:val="21"/>
                      <w:vertAlign w:val="superscript"/>
                    </w:rPr>
                    <w:t>3</w:t>
                  </w:r>
                </w:p>
              </w:tc>
              <w:tc>
                <w:tcPr>
                  <w:tcW w:w="763" w:type="pct"/>
                  <w:tcBorders>
                    <w:tl2br w:val="nil"/>
                    <w:tr2bl w:val="nil"/>
                  </w:tcBorders>
                  <w:vAlign w:val="center"/>
                </w:tcPr>
                <w:p>
                  <w:pPr>
                    <w:spacing w:line="360" w:lineRule="exact"/>
                    <w:jc w:val="center"/>
                    <w:rPr>
                      <w:szCs w:val="21"/>
                    </w:rPr>
                  </w:pPr>
                  <w:r>
                    <w:rPr>
                      <w:szCs w:val="21"/>
                    </w:rPr>
                    <w:t>4mg/m</w:t>
                  </w:r>
                  <w:r>
                    <w:rPr>
                      <w:szCs w:val="21"/>
                      <w:vertAlign w:val="superscript"/>
                    </w:rPr>
                    <w:t>3</w:t>
                  </w:r>
                </w:p>
              </w:tc>
              <w:tc>
                <w:tcPr>
                  <w:tcW w:w="689" w:type="pct"/>
                  <w:tcBorders>
                    <w:tl2br w:val="nil"/>
                    <w:tr2bl w:val="nil"/>
                  </w:tcBorders>
                  <w:vAlign w:val="center"/>
                </w:tcPr>
                <w:p>
                  <w:pPr>
                    <w:spacing w:line="360" w:lineRule="exact"/>
                    <w:jc w:val="center"/>
                    <w:rPr>
                      <w:szCs w:val="21"/>
                    </w:rPr>
                  </w:pPr>
                  <w:r>
                    <w:rPr>
                      <w:szCs w:val="21"/>
                    </w:rPr>
                    <w:t>27.5</w:t>
                  </w:r>
                </w:p>
              </w:tc>
              <w:tc>
                <w:tcPr>
                  <w:tcW w:w="689" w:type="pct"/>
                  <w:tcBorders>
                    <w:tl2br w:val="nil"/>
                    <w:tr2bl w:val="nil"/>
                  </w:tcBorders>
                  <w:vAlign w:val="center"/>
                </w:tcPr>
                <w:p>
                  <w:pPr>
                    <w:spacing w:line="360" w:lineRule="exact"/>
                    <w:jc w:val="center"/>
                    <w:rPr>
                      <w:szCs w:val="21"/>
                    </w:rPr>
                  </w:pPr>
                  <w:r>
                    <w:rPr>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0" w:hRule="atLeast"/>
              </w:trPr>
              <w:tc>
                <w:tcPr>
                  <w:tcW w:w="454" w:type="pct"/>
                  <w:tcBorders>
                    <w:tl2br w:val="nil"/>
                    <w:tr2bl w:val="nil"/>
                  </w:tcBorders>
                  <w:vAlign w:val="center"/>
                </w:tcPr>
                <w:p>
                  <w:pPr>
                    <w:pStyle w:val="62"/>
                    <w:rPr>
                      <w:sz w:val="21"/>
                      <w:szCs w:val="21"/>
                    </w:rPr>
                  </w:pPr>
                  <w:r>
                    <w:rPr>
                      <w:sz w:val="21"/>
                      <w:szCs w:val="21"/>
                    </w:rPr>
                    <w:t>O</w:t>
                  </w:r>
                  <w:r>
                    <w:rPr>
                      <w:sz w:val="21"/>
                      <w:szCs w:val="21"/>
                      <w:vertAlign w:val="subscript"/>
                    </w:rPr>
                    <w:t>3</w:t>
                  </w:r>
                </w:p>
              </w:tc>
              <w:tc>
                <w:tcPr>
                  <w:tcW w:w="1683" w:type="pct"/>
                  <w:tcBorders>
                    <w:tl2br w:val="nil"/>
                    <w:tr2bl w:val="nil"/>
                  </w:tcBorders>
                  <w:vAlign w:val="center"/>
                </w:tcPr>
                <w:p>
                  <w:pPr>
                    <w:pStyle w:val="62"/>
                    <w:rPr>
                      <w:sz w:val="21"/>
                      <w:szCs w:val="21"/>
                    </w:rPr>
                  </w:pPr>
                  <w:r>
                    <w:rPr>
                      <w:sz w:val="21"/>
                      <w:szCs w:val="21"/>
                    </w:rPr>
                    <w:t>日最大8小时滑动平均值第90百分位数浓度</w:t>
                  </w:r>
                </w:p>
              </w:tc>
              <w:tc>
                <w:tcPr>
                  <w:tcW w:w="721" w:type="pct"/>
                  <w:tcBorders>
                    <w:tl2br w:val="nil"/>
                    <w:tr2bl w:val="nil"/>
                  </w:tcBorders>
                  <w:vAlign w:val="center"/>
                </w:tcPr>
                <w:p>
                  <w:pPr>
                    <w:spacing w:line="360" w:lineRule="exact"/>
                    <w:jc w:val="center"/>
                    <w:rPr>
                      <w:szCs w:val="21"/>
                    </w:rPr>
                  </w:pPr>
                  <w:r>
                    <w:rPr>
                      <w:szCs w:val="21"/>
                    </w:rPr>
                    <w:t>172</w:t>
                  </w:r>
                </w:p>
              </w:tc>
              <w:tc>
                <w:tcPr>
                  <w:tcW w:w="763" w:type="pct"/>
                  <w:tcBorders>
                    <w:tl2br w:val="nil"/>
                    <w:tr2bl w:val="nil"/>
                  </w:tcBorders>
                  <w:vAlign w:val="center"/>
                </w:tcPr>
                <w:p>
                  <w:pPr>
                    <w:spacing w:line="360" w:lineRule="exact"/>
                    <w:jc w:val="center"/>
                    <w:rPr>
                      <w:szCs w:val="21"/>
                    </w:rPr>
                  </w:pPr>
                  <w:r>
                    <w:rPr>
                      <w:szCs w:val="21"/>
                    </w:rPr>
                    <w:t>160</w:t>
                  </w:r>
                </w:p>
              </w:tc>
              <w:tc>
                <w:tcPr>
                  <w:tcW w:w="689" w:type="pct"/>
                  <w:tcBorders>
                    <w:tl2br w:val="nil"/>
                    <w:tr2bl w:val="nil"/>
                  </w:tcBorders>
                  <w:vAlign w:val="center"/>
                </w:tcPr>
                <w:p>
                  <w:pPr>
                    <w:spacing w:line="360" w:lineRule="exact"/>
                    <w:jc w:val="center"/>
                    <w:rPr>
                      <w:szCs w:val="21"/>
                    </w:rPr>
                  </w:pPr>
                  <w:r>
                    <w:rPr>
                      <w:szCs w:val="21"/>
                    </w:rPr>
                    <w:t>107.5</w:t>
                  </w:r>
                </w:p>
              </w:tc>
              <w:tc>
                <w:tcPr>
                  <w:tcW w:w="689" w:type="pct"/>
                  <w:tcBorders>
                    <w:tl2br w:val="nil"/>
                    <w:tr2bl w:val="nil"/>
                  </w:tcBorders>
                  <w:vAlign w:val="center"/>
                </w:tcPr>
                <w:p>
                  <w:pPr>
                    <w:spacing w:line="360" w:lineRule="exact"/>
                    <w:jc w:val="center"/>
                    <w:rPr>
                      <w:szCs w:val="21"/>
                    </w:rPr>
                  </w:pPr>
                  <w:r>
                    <w:rPr>
                      <w:szCs w:val="21"/>
                    </w:rPr>
                    <w:t>不达标</w:t>
                  </w:r>
                </w:p>
              </w:tc>
            </w:tr>
          </w:tbl>
          <w:p>
            <w:pPr>
              <w:pStyle w:val="51"/>
              <w:ind w:firstLine="480"/>
            </w:pPr>
            <w:r>
              <w:t>由上表可知，SO</w:t>
            </w:r>
            <w:r>
              <w:rPr>
                <w:vertAlign w:val="subscript"/>
              </w:rPr>
              <w:t>2</w:t>
            </w:r>
            <w:r>
              <w:t>、NO</w:t>
            </w:r>
            <w:r>
              <w:rPr>
                <w:vertAlign w:val="subscript"/>
              </w:rPr>
              <w:t>2</w:t>
            </w:r>
            <w:r>
              <w:t>年均质量浓度</w:t>
            </w:r>
            <w:r>
              <w:rPr>
                <w:rFonts w:hint="eastAsia"/>
              </w:rPr>
              <w:t>、</w:t>
            </w:r>
            <w:r>
              <w:t>CO24小时平均第95百分位数浓度满足《环境空气质量标准》（GB3095-2012）二级标准；PM</w:t>
            </w:r>
            <w:r>
              <w:rPr>
                <w:vertAlign w:val="subscript"/>
              </w:rPr>
              <w:t>10</w:t>
            </w:r>
            <w:r>
              <w:t>、PM</w:t>
            </w:r>
            <w:r>
              <w:rPr>
                <w:vertAlign w:val="subscript"/>
              </w:rPr>
              <w:t>2.5</w:t>
            </w:r>
            <w:r>
              <w:t>的年均浓度</w:t>
            </w:r>
            <w:r>
              <w:rPr>
                <w:rFonts w:hint="eastAsia"/>
              </w:rPr>
              <w:t>和</w:t>
            </w:r>
            <w:r>
              <w:t>O</w:t>
            </w:r>
            <w:r>
              <w:rPr>
                <w:vertAlign w:val="subscript"/>
              </w:rPr>
              <w:t>3</w:t>
            </w:r>
            <w:r>
              <w:t>日最大8小时滑动平均值第90百分位数浓度超过《环境空气质量标准》（GB3095-2012）二级标准。因此，洛阳市为不达标区。</w:t>
            </w:r>
          </w:p>
          <w:p>
            <w:pPr>
              <w:spacing w:line="520" w:lineRule="exact"/>
              <w:ind w:firstLine="480" w:firstLineChars="200"/>
              <w:rPr>
                <w:rFonts w:ascii="宋体" w:hAnsi="宋体" w:cs="宋体"/>
                <w:sz w:val="24"/>
              </w:rPr>
            </w:pPr>
            <w:r>
              <w:rPr>
                <w:rFonts w:hint="eastAsia"/>
                <w:sz w:val="24"/>
              </w:rPr>
              <w:t>（2）</w:t>
            </w:r>
            <w:r>
              <w:rPr>
                <w:rFonts w:hint="eastAsia" w:ascii="宋体" w:hAnsi="宋体" w:cs="宋体"/>
                <w:sz w:val="24"/>
              </w:rPr>
              <w:t xml:space="preserve">环境质量改善计划 </w:t>
            </w:r>
          </w:p>
          <w:p>
            <w:pPr>
              <w:pStyle w:val="51"/>
              <w:ind w:firstLine="480"/>
            </w:pPr>
            <w:r>
              <w:rPr>
                <w:rFonts w:hint="eastAsia"/>
              </w:rPr>
              <w:t>目</w:t>
            </w:r>
            <w:r>
              <w:t>前</w:t>
            </w:r>
            <w:r>
              <w:rPr>
                <w:rFonts w:hint="eastAsia"/>
              </w:rPr>
              <w:t>偃师区出台了《偃师区2022年大气、水、土壤污染防治攻坚战及农业农村污染治理攻坚战实施方案》偃环攻坚办〔2022〕8号</w:t>
            </w:r>
            <w:r>
              <w:t>等措施，</w:t>
            </w:r>
            <w:r>
              <w:rPr>
                <w:rFonts w:hint="eastAsia"/>
              </w:rPr>
              <w:t>将不断</w:t>
            </w:r>
            <w:r>
              <w:t>改善区域大气环境质量</w:t>
            </w:r>
            <w:r>
              <w:rPr>
                <w:rFonts w:hint="eastAsia"/>
              </w:rPr>
              <w:t>。</w:t>
            </w:r>
          </w:p>
          <w:p>
            <w:pPr>
              <w:pStyle w:val="51"/>
              <w:ind w:firstLine="480"/>
            </w:pPr>
            <w:r>
              <w:rPr>
                <w:rFonts w:hint="eastAsia"/>
              </w:rPr>
              <w:t>环境空气质量改善目标：</w:t>
            </w:r>
          </w:p>
          <w:p>
            <w:pPr>
              <w:pStyle w:val="51"/>
              <w:ind w:firstLine="480"/>
            </w:pPr>
            <w:r>
              <w:rPr>
                <w:rFonts w:hint="eastAsia"/>
              </w:rPr>
              <w:t>全区环境空气质量改善目标：可吸入颗粒物（PM</w:t>
            </w:r>
            <w:r>
              <w:rPr>
                <w:rFonts w:hint="eastAsia"/>
                <w:vertAlign w:val="subscript"/>
              </w:rPr>
              <w:t>10</w:t>
            </w:r>
            <w:r>
              <w:rPr>
                <w:rFonts w:hint="eastAsia"/>
              </w:rPr>
              <w:t>）平均浓度控制在86微克/立方米以下，细颗粒物（PM</w:t>
            </w:r>
            <w:r>
              <w:rPr>
                <w:rFonts w:hint="eastAsia"/>
                <w:vertAlign w:val="subscript"/>
              </w:rPr>
              <w:t>2.5</w:t>
            </w:r>
            <w:r>
              <w:rPr>
                <w:rFonts w:hint="eastAsia"/>
              </w:rPr>
              <w:t>）平均浓度控制在43微克/立方米以下，优良天数237天，重度及以上污染天数目标值5天，5-9月臭氧超标天数目标值52天。</w:t>
            </w:r>
          </w:p>
          <w:p>
            <w:pPr>
              <w:spacing w:line="520" w:lineRule="exact"/>
              <w:rPr>
                <w:sz w:val="24"/>
              </w:rPr>
            </w:pPr>
            <w:r>
              <w:rPr>
                <w:rFonts w:hint="eastAsia"/>
                <w:sz w:val="24"/>
              </w:rPr>
              <w:t>1.2</w:t>
            </w:r>
            <w:r>
              <w:rPr>
                <w:sz w:val="24"/>
              </w:rPr>
              <w:t>其他污染物环境质量现状</w:t>
            </w:r>
          </w:p>
          <w:p>
            <w:pPr>
              <w:spacing w:line="520" w:lineRule="exact"/>
              <w:ind w:firstLine="480" w:firstLineChars="200"/>
              <w:rPr>
                <w:sz w:val="24"/>
              </w:rPr>
            </w:pPr>
            <w:r>
              <w:rPr>
                <w:rFonts w:hint="eastAsia"/>
                <w:sz w:val="24"/>
              </w:rPr>
              <w:t>本项目排放的特征污染物为非甲烷总烃，借用《偃师市岳滩镇强力机械厂年产7万套摩托车零部件技改项目环境影响评价报告表》中监测数据，监测点位于后马郡村（距本项目东170m），监测时间为2022年6月30日~7月2日。监测结果见下表。</w:t>
            </w:r>
          </w:p>
          <w:p>
            <w:pPr>
              <w:spacing w:beforeLines="30"/>
              <w:ind w:firstLine="480" w:firstLineChars="200"/>
              <w:rPr>
                <w:rFonts w:ascii="黑体" w:eastAsia="黑体"/>
                <w:sz w:val="24"/>
              </w:rPr>
            </w:pPr>
            <w:r>
              <w:rPr>
                <w:rFonts w:ascii="黑体" w:eastAsia="黑体"/>
                <w:sz w:val="24"/>
              </w:rPr>
              <w:t>表</w:t>
            </w:r>
            <w:r>
              <w:rPr>
                <w:rFonts w:hint="eastAsia" w:ascii="黑体" w:eastAsia="黑体"/>
                <w:sz w:val="24"/>
              </w:rPr>
              <w:t xml:space="preserve">22           </w:t>
            </w:r>
            <w:r>
              <w:rPr>
                <w:rFonts w:ascii="黑体" w:eastAsia="黑体"/>
                <w:sz w:val="24"/>
              </w:rPr>
              <w:t xml:space="preserve"> 环境空气现状监测数据统计表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27"/>
              <w:gridCol w:w="1122"/>
              <w:gridCol w:w="1603"/>
              <w:gridCol w:w="1066"/>
              <w:gridCol w:w="1250"/>
              <w:gridCol w:w="1090"/>
              <w:gridCol w:w="838"/>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3" w:hRule="atLeast"/>
                <w:jc w:val="center"/>
              </w:trPr>
              <w:tc>
                <w:tcPr>
                  <w:tcW w:w="433" w:type="pct"/>
                  <w:vMerge w:val="restart"/>
                  <w:vAlign w:val="center"/>
                </w:tcPr>
                <w:p>
                  <w:pPr>
                    <w:jc w:val="center"/>
                    <w:rPr>
                      <w:szCs w:val="21"/>
                    </w:rPr>
                  </w:pPr>
                  <w:r>
                    <w:rPr>
                      <w:szCs w:val="21"/>
                    </w:rPr>
                    <w:t>监测</w:t>
                  </w:r>
                </w:p>
                <w:p>
                  <w:pPr>
                    <w:jc w:val="center"/>
                    <w:rPr>
                      <w:szCs w:val="21"/>
                    </w:rPr>
                  </w:pPr>
                  <w:r>
                    <w:rPr>
                      <w:szCs w:val="21"/>
                    </w:rPr>
                    <w:t>点位</w:t>
                  </w:r>
                </w:p>
              </w:tc>
              <w:tc>
                <w:tcPr>
                  <w:tcW w:w="667" w:type="pct"/>
                  <w:vMerge w:val="restart"/>
                  <w:vAlign w:val="center"/>
                </w:tcPr>
                <w:p>
                  <w:pPr>
                    <w:jc w:val="center"/>
                    <w:rPr>
                      <w:szCs w:val="21"/>
                    </w:rPr>
                  </w:pPr>
                  <w:r>
                    <w:rPr>
                      <w:szCs w:val="21"/>
                    </w:rPr>
                    <w:t>污染物</w:t>
                  </w:r>
                </w:p>
              </w:tc>
              <w:tc>
                <w:tcPr>
                  <w:tcW w:w="953" w:type="pct"/>
                  <w:vMerge w:val="restart"/>
                  <w:vAlign w:val="center"/>
                </w:tcPr>
                <w:p>
                  <w:pPr>
                    <w:jc w:val="center"/>
                    <w:rPr>
                      <w:szCs w:val="21"/>
                    </w:rPr>
                  </w:pPr>
                  <w:r>
                    <w:rPr>
                      <w:szCs w:val="21"/>
                    </w:rPr>
                    <w:t>监测点坐标</w:t>
                  </w:r>
                </w:p>
              </w:tc>
              <w:tc>
                <w:tcPr>
                  <w:tcW w:w="634" w:type="pct"/>
                  <w:vMerge w:val="restart"/>
                  <w:vAlign w:val="center"/>
                </w:tcPr>
                <w:p>
                  <w:pPr>
                    <w:jc w:val="center"/>
                    <w:rPr>
                      <w:szCs w:val="21"/>
                    </w:rPr>
                  </w:pPr>
                  <w:r>
                    <w:rPr>
                      <w:szCs w:val="21"/>
                    </w:rPr>
                    <w:t>评价标准/mg/m</w:t>
                  </w:r>
                  <w:r>
                    <w:rPr>
                      <w:szCs w:val="21"/>
                      <w:vertAlign w:val="superscript"/>
                    </w:rPr>
                    <w:t>3</w:t>
                  </w:r>
                </w:p>
              </w:tc>
              <w:tc>
                <w:tcPr>
                  <w:tcW w:w="743" w:type="pct"/>
                  <w:vMerge w:val="restart"/>
                  <w:vAlign w:val="center"/>
                </w:tcPr>
                <w:p>
                  <w:pPr>
                    <w:jc w:val="center"/>
                    <w:rPr>
                      <w:szCs w:val="21"/>
                    </w:rPr>
                  </w:pPr>
                  <w:r>
                    <w:rPr>
                      <w:szCs w:val="21"/>
                    </w:rPr>
                    <w:t>监测浓度范围/mg/m</w:t>
                  </w:r>
                  <w:r>
                    <w:rPr>
                      <w:szCs w:val="21"/>
                      <w:vertAlign w:val="superscript"/>
                    </w:rPr>
                    <w:t>3</w:t>
                  </w:r>
                </w:p>
              </w:tc>
              <w:tc>
                <w:tcPr>
                  <w:tcW w:w="648" w:type="pct"/>
                  <w:vMerge w:val="restart"/>
                  <w:vAlign w:val="center"/>
                </w:tcPr>
                <w:p>
                  <w:pPr>
                    <w:jc w:val="center"/>
                    <w:rPr>
                      <w:szCs w:val="21"/>
                    </w:rPr>
                  </w:pPr>
                  <w:r>
                    <w:rPr>
                      <w:szCs w:val="21"/>
                    </w:rPr>
                    <w:t>最大浓度占标率/%</w:t>
                  </w:r>
                </w:p>
              </w:tc>
              <w:tc>
                <w:tcPr>
                  <w:tcW w:w="498" w:type="pct"/>
                  <w:vMerge w:val="restart"/>
                  <w:vAlign w:val="center"/>
                </w:tcPr>
                <w:p>
                  <w:pPr>
                    <w:jc w:val="center"/>
                    <w:rPr>
                      <w:szCs w:val="21"/>
                    </w:rPr>
                  </w:pPr>
                  <w:r>
                    <w:rPr>
                      <w:szCs w:val="21"/>
                    </w:rPr>
                    <w:t>超标率/%</w:t>
                  </w:r>
                </w:p>
              </w:tc>
              <w:tc>
                <w:tcPr>
                  <w:tcW w:w="424" w:type="pct"/>
                  <w:vMerge w:val="restart"/>
                  <w:vAlign w:val="center"/>
                </w:tcPr>
                <w:p>
                  <w:pPr>
                    <w:jc w:val="center"/>
                    <w:rPr>
                      <w:szCs w:val="21"/>
                    </w:rPr>
                  </w:pPr>
                  <w:r>
                    <w:rPr>
                      <w:szCs w:val="21"/>
                    </w:rPr>
                    <w:t>达标</w:t>
                  </w:r>
                </w:p>
                <w:p>
                  <w:pPr>
                    <w:jc w:val="center"/>
                    <w:rPr>
                      <w:szCs w:val="21"/>
                    </w:rPr>
                  </w:pPr>
                  <w:r>
                    <w:rPr>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433" w:type="pct"/>
                  <w:vMerge w:val="continue"/>
                  <w:vAlign w:val="center"/>
                </w:tcPr>
                <w:p>
                  <w:pPr>
                    <w:jc w:val="center"/>
                    <w:rPr>
                      <w:szCs w:val="21"/>
                    </w:rPr>
                  </w:pPr>
                </w:p>
              </w:tc>
              <w:tc>
                <w:tcPr>
                  <w:tcW w:w="667" w:type="pct"/>
                  <w:vMerge w:val="continue"/>
                  <w:vAlign w:val="center"/>
                </w:tcPr>
                <w:p>
                  <w:pPr>
                    <w:jc w:val="center"/>
                    <w:rPr>
                      <w:szCs w:val="21"/>
                    </w:rPr>
                  </w:pPr>
                </w:p>
              </w:tc>
              <w:tc>
                <w:tcPr>
                  <w:tcW w:w="953" w:type="pct"/>
                  <w:vMerge w:val="continue"/>
                  <w:vAlign w:val="center"/>
                </w:tcPr>
                <w:p>
                  <w:pPr>
                    <w:jc w:val="center"/>
                    <w:rPr>
                      <w:szCs w:val="21"/>
                    </w:rPr>
                  </w:pPr>
                </w:p>
              </w:tc>
              <w:tc>
                <w:tcPr>
                  <w:tcW w:w="634" w:type="pct"/>
                  <w:vMerge w:val="continue"/>
                  <w:vAlign w:val="center"/>
                </w:tcPr>
                <w:p>
                  <w:pPr>
                    <w:jc w:val="center"/>
                    <w:rPr>
                      <w:szCs w:val="21"/>
                    </w:rPr>
                  </w:pPr>
                </w:p>
              </w:tc>
              <w:tc>
                <w:tcPr>
                  <w:tcW w:w="743" w:type="pct"/>
                  <w:vMerge w:val="continue"/>
                  <w:vAlign w:val="center"/>
                </w:tcPr>
                <w:p>
                  <w:pPr>
                    <w:jc w:val="center"/>
                    <w:rPr>
                      <w:szCs w:val="21"/>
                    </w:rPr>
                  </w:pPr>
                </w:p>
              </w:tc>
              <w:tc>
                <w:tcPr>
                  <w:tcW w:w="648" w:type="pct"/>
                  <w:vMerge w:val="continue"/>
                  <w:vAlign w:val="center"/>
                </w:tcPr>
                <w:p>
                  <w:pPr>
                    <w:jc w:val="center"/>
                    <w:rPr>
                      <w:szCs w:val="21"/>
                    </w:rPr>
                  </w:pPr>
                </w:p>
              </w:tc>
              <w:tc>
                <w:tcPr>
                  <w:tcW w:w="498" w:type="pct"/>
                  <w:vMerge w:val="continue"/>
                  <w:vAlign w:val="center"/>
                </w:tcPr>
                <w:p>
                  <w:pPr>
                    <w:jc w:val="center"/>
                    <w:rPr>
                      <w:szCs w:val="21"/>
                    </w:rPr>
                  </w:pPr>
                </w:p>
              </w:tc>
              <w:tc>
                <w:tcPr>
                  <w:tcW w:w="424" w:type="pct"/>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33" w:type="pct"/>
                  <w:vAlign w:val="center"/>
                </w:tcPr>
                <w:p>
                  <w:pPr>
                    <w:jc w:val="center"/>
                    <w:rPr>
                      <w:szCs w:val="21"/>
                    </w:rPr>
                  </w:pPr>
                  <w:r>
                    <w:rPr>
                      <w:szCs w:val="21"/>
                    </w:rPr>
                    <w:t>后马郡村</w:t>
                  </w:r>
                </w:p>
              </w:tc>
              <w:tc>
                <w:tcPr>
                  <w:tcW w:w="667" w:type="pct"/>
                  <w:vAlign w:val="center"/>
                </w:tcPr>
                <w:p>
                  <w:pPr>
                    <w:jc w:val="center"/>
                    <w:rPr>
                      <w:szCs w:val="21"/>
                    </w:rPr>
                  </w:pPr>
                  <w:r>
                    <w:rPr>
                      <w:szCs w:val="21"/>
                    </w:rPr>
                    <w:t>非甲烷总烃</w:t>
                  </w:r>
                </w:p>
              </w:tc>
              <w:tc>
                <w:tcPr>
                  <w:tcW w:w="953" w:type="pct"/>
                  <w:vAlign w:val="center"/>
                </w:tcPr>
                <w:p>
                  <w:pPr>
                    <w:jc w:val="center"/>
                    <w:rPr>
                      <w:szCs w:val="21"/>
                    </w:rPr>
                  </w:pPr>
                  <w:r>
                    <w:rPr>
                      <w:szCs w:val="21"/>
                    </w:rPr>
                    <w:t>E112°45′53.545″</w:t>
                  </w:r>
                </w:p>
                <w:p>
                  <w:pPr>
                    <w:jc w:val="center"/>
                    <w:rPr>
                      <w:szCs w:val="21"/>
                    </w:rPr>
                  </w:pPr>
                  <w:r>
                    <w:rPr>
                      <w:szCs w:val="21"/>
                    </w:rPr>
                    <w:t>N34°41′48.628″</w:t>
                  </w:r>
                </w:p>
              </w:tc>
              <w:tc>
                <w:tcPr>
                  <w:tcW w:w="634" w:type="pct"/>
                  <w:vAlign w:val="center"/>
                </w:tcPr>
                <w:p>
                  <w:pPr>
                    <w:jc w:val="center"/>
                    <w:rPr>
                      <w:szCs w:val="21"/>
                    </w:rPr>
                  </w:pPr>
                  <w:r>
                    <w:rPr>
                      <w:szCs w:val="21"/>
                    </w:rPr>
                    <w:t>2.0</w:t>
                  </w:r>
                </w:p>
              </w:tc>
              <w:tc>
                <w:tcPr>
                  <w:tcW w:w="743" w:type="pct"/>
                  <w:vAlign w:val="center"/>
                </w:tcPr>
                <w:p>
                  <w:pPr>
                    <w:jc w:val="center"/>
                    <w:rPr>
                      <w:szCs w:val="21"/>
                    </w:rPr>
                  </w:pPr>
                  <w:r>
                    <w:rPr>
                      <w:kern w:val="0"/>
                      <w:szCs w:val="21"/>
                    </w:rPr>
                    <w:t>0.2</w:t>
                  </w:r>
                  <w:r>
                    <w:rPr>
                      <w:szCs w:val="21"/>
                    </w:rPr>
                    <w:t>~0.25</w:t>
                  </w:r>
                </w:p>
              </w:tc>
              <w:tc>
                <w:tcPr>
                  <w:tcW w:w="648" w:type="pct"/>
                  <w:vAlign w:val="center"/>
                </w:tcPr>
                <w:p>
                  <w:pPr>
                    <w:jc w:val="center"/>
                    <w:rPr>
                      <w:szCs w:val="21"/>
                    </w:rPr>
                  </w:pPr>
                  <w:r>
                    <w:rPr>
                      <w:szCs w:val="21"/>
                    </w:rPr>
                    <w:t>12.5</w:t>
                  </w:r>
                </w:p>
              </w:tc>
              <w:tc>
                <w:tcPr>
                  <w:tcW w:w="498" w:type="pct"/>
                  <w:vAlign w:val="center"/>
                </w:tcPr>
                <w:p>
                  <w:pPr>
                    <w:jc w:val="center"/>
                    <w:rPr>
                      <w:szCs w:val="21"/>
                    </w:rPr>
                  </w:pPr>
                  <w:r>
                    <w:rPr>
                      <w:szCs w:val="21"/>
                    </w:rPr>
                    <w:t>0</w:t>
                  </w:r>
                </w:p>
              </w:tc>
              <w:tc>
                <w:tcPr>
                  <w:tcW w:w="424" w:type="pct"/>
                  <w:vAlign w:val="center"/>
                </w:tcPr>
                <w:p>
                  <w:pPr>
                    <w:jc w:val="center"/>
                    <w:rPr>
                      <w:szCs w:val="21"/>
                    </w:rPr>
                  </w:pPr>
                  <w:r>
                    <w:rPr>
                      <w:szCs w:val="21"/>
                    </w:rPr>
                    <w:t>达标</w:t>
                  </w:r>
                </w:p>
              </w:tc>
            </w:tr>
          </w:tbl>
          <w:p>
            <w:pPr>
              <w:spacing w:line="520" w:lineRule="exact"/>
              <w:ind w:firstLine="480" w:firstLineChars="200"/>
              <w:rPr>
                <w:sz w:val="24"/>
              </w:rPr>
            </w:pPr>
            <w:r>
              <w:rPr>
                <w:rFonts w:hint="eastAsia"/>
                <w:sz w:val="24"/>
              </w:rPr>
              <w:t>根据监测结果可知，项目所在区域环境空气中非甲烷总烃小时值均能满足《大气污染物综合排放标准详解》中非甲烷总烃环境质量标准值2mg/m</w:t>
            </w:r>
            <w:r>
              <w:rPr>
                <w:rFonts w:hint="eastAsia"/>
                <w:sz w:val="24"/>
                <w:vertAlign w:val="superscript"/>
              </w:rPr>
              <w:t>3</w:t>
            </w:r>
            <w:r>
              <w:rPr>
                <w:rFonts w:hint="eastAsia"/>
                <w:sz w:val="24"/>
              </w:rPr>
              <w:t>的要求。</w:t>
            </w:r>
          </w:p>
          <w:p>
            <w:pPr>
              <w:pStyle w:val="91"/>
              <w:rPr>
                <w:color w:val="auto"/>
              </w:rPr>
            </w:pPr>
            <w:r>
              <w:rPr>
                <w:color w:val="auto"/>
              </w:rPr>
              <w:t>2. 地表水环境质量现状</w:t>
            </w:r>
          </w:p>
          <w:p>
            <w:pPr>
              <w:pStyle w:val="51"/>
              <w:ind w:firstLine="480"/>
            </w:pPr>
            <w:r>
              <w:t>本项目生活污水经厂区化粪池预处理后</w:t>
            </w:r>
            <w:r>
              <w:rPr>
                <w:rFonts w:hint="eastAsia"/>
              </w:rPr>
              <w:t>近期用于施肥，远期管网敷设到位后通过市政管网排入偃师市第三污水处理厂。</w:t>
            </w:r>
          </w:p>
          <w:p>
            <w:pPr>
              <w:pStyle w:val="51"/>
              <w:ind w:firstLine="480"/>
            </w:pPr>
            <w:r>
              <w:t>根据《2021年洛阳市生态环境状况公报》可知：2021 年，全市共设置地表水监测断面22 个。其中，黄河流域设置20个监测断面，分别是伊河陶湾、伊河潭头、伊河窑北坡、伊河鸣皋、伊河龙门大桥、伊河西石坝、伊河岳滩，洛河故县水库、洛河长水、洛河温庄、洛河高崖寨、洛河白马寺、伊洛河汇合处，涧河党湾、金水河尚庄、金水河下河、瀍河中后李、明白河庙湾、二道河入黄河口、小浪底大横岭；淮河流域和长江流域各设置1 个监测断面，分别是北汝河紫罗山和淯河前龙脖。监测河段总长度为724.5 千米，其中黄河流域监测河段长度为569.2 千米。</w:t>
            </w:r>
          </w:p>
          <w:p>
            <w:pPr>
              <w:pStyle w:val="51"/>
              <w:ind w:firstLine="480"/>
            </w:pPr>
            <w:r>
              <w:t>2021 年，全市主要监测河流中，伊河、洛河、汝河、小浪底水库、涧河均为</w:t>
            </w:r>
            <w:r>
              <w:rPr>
                <w:rFonts w:ascii="宋体"/>
              </w:rPr>
              <w:t>Ⅱ</w:t>
            </w:r>
            <w:r>
              <w:t>类，水质状况为“优”，伊洛河水质为</w:t>
            </w:r>
            <w:r>
              <w:rPr>
                <w:rFonts w:ascii="宋体"/>
              </w:rPr>
              <w:t>Ⅲ</w:t>
            </w:r>
            <w:r>
              <w:t>类，水质状况为“良好”。</w:t>
            </w:r>
          </w:p>
          <w:p>
            <w:pPr>
              <w:pStyle w:val="51"/>
              <w:ind w:firstLine="480"/>
            </w:pPr>
            <w:r>
              <w:t>本项目最近水体为洛河，洛河水质为</w:t>
            </w:r>
            <w:r>
              <w:rPr>
                <w:rFonts w:ascii="宋体"/>
              </w:rPr>
              <w:t>Ⅱ</w:t>
            </w:r>
            <w:r>
              <w:t>类，水质状况为“优”。</w:t>
            </w:r>
          </w:p>
          <w:p>
            <w:pPr>
              <w:pStyle w:val="91"/>
              <w:rPr>
                <w:color w:val="auto"/>
              </w:rPr>
            </w:pPr>
            <w:r>
              <w:rPr>
                <w:rFonts w:hint="eastAsia"/>
                <w:color w:val="auto"/>
              </w:rPr>
              <w:t>3</w:t>
            </w:r>
            <w:r>
              <w:rPr>
                <w:color w:val="auto"/>
              </w:rPr>
              <w:t>. 声环境质量现状</w:t>
            </w:r>
          </w:p>
          <w:p>
            <w:pPr>
              <w:spacing w:line="520" w:lineRule="exact"/>
              <w:ind w:firstLine="480" w:firstLineChars="200"/>
              <w:rPr>
                <w:sz w:val="24"/>
              </w:rPr>
            </w:pPr>
            <w:r>
              <w:rPr>
                <w:sz w:val="24"/>
              </w:rPr>
              <w:t>本项目厂址所在地位于</w:t>
            </w:r>
            <w:r>
              <w:rPr>
                <w:rFonts w:hint="eastAsia"/>
                <w:sz w:val="24"/>
              </w:rPr>
              <w:t>洛阳市偃师区岳滩镇，根据《声环境质量标准》（GB3096-2008），本项目所在地属于2类声环境功能区，距项目最近声环境敏感点为北侧30m处的后马郡村散户。为了解该项目所在区域的声环境质量现状，特委托河南哈勃环境检测有限公司于 2023年3月29日~2023年3月30日对项目所在区域声环境质量现状进行了检测（附件7），检测期间，其它企业正常生产，结果见下表。</w:t>
            </w:r>
          </w:p>
          <w:p>
            <w:pPr>
              <w:pStyle w:val="116"/>
            </w:pPr>
            <w:r>
              <w:t>表</w:t>
            </w:r>
            <w:r>
              <w:rPr>
                <w:rFonts w:hint="eastAsia"/>
              </w:rPr>
              <w:t xml:space="preserve">23           </w:t>
            </w:r>
            <w:r>
              <w:t>噪声检测结果统计表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714"/>
              <w:gridCol w:w="2047"/>
              <w:gridCol w:w="1578"/>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43" w:type="pct"/>
                  <w:vMerge w:val="restart"/>
                  <w:vAlign w:val="center"/>
                </w:tcPr>
                <w:p>
                  <w:pPr>
                    <w:widowControl/>
                    <w:spacing w:line="400" w:lineRule="exact"/>
                    <w:jc w:val="center"/>
                    <w:rPr>
                      <w:bCs/>
                      <w:szCs w:val="21"/>
                    </w:rPr>
                  </w:pPr>
                  <w:r>
                    <w:rPr>
                      <w:bCs/>
                      <w:szCs w:val="21"/>
                    </w:rPr>
                    <w:t>检测时间</w:t>
                  </w:r>
                </w:p>
              </w:tc>
              <w:tc>
                <w:tcPr>
                  <w:tcW w:w="1019" w:type="pct"/>
                  <w:vMerge w:val="restart"/>
                  <w:vAlign w:val="center"/>
                </w:tcPr>
                <w:p>
                  <w:pPr>
                    <w:widowControl/>
                    <w:spacing w:line="400" w:lineRule="exact"/>
                    <w:jc w:val="center"/>
                    <w:rPr>
                      <w:bCs/>
                      <w:szCs w:val="21"/>
                    </w:rPr>
                  </w:pPr>
                  <w:r>
                    <w:rPr>
                      <w:bCs/>
                      <w:szCs w:val="21"/>
                    </w:rPr>
                    <w:t>检测因子</w:t>
                  </w:r>
                </w:p>
              </w:tc>
              <w:tc>
                <w:tcPr>
                  <w:tcW w:w="1217" w:type="pct"/>
                  <w:vMerge w:val="restart"/>
                  <w:vAlign w:val="center"/>
                </w:tcPr>
                <w:p>
                  <w:pPr>
                    <w:widowControl/>
                    <w:spacing w:line="400" w:lineRule="exact"/>
                    <w:jc w:val="center"/>
                    <w:rPr>
                      <w:bCs/>
                      <w:szCs w:val="21"/>
                    </w:rPr>
                  </w:pPr>
                  <w:r>
                    <w:rPr>
                      <w:bCs/>
                      <w:szCs w:val="21"/>
                    </w:rPr>
                    <w:t>检测点位</w:t>
                  </w:r>
                </w:p>
              </w:tc>
              <w:tc>
                <w:tcPr>
                  <w:tcW w:w="1921" w:type="pct"/>
                  <w:gridSpan w:val="2"/>
                  <w:vAlign w:val="center"/>
                </w:tcPr>
                <w:p>
                  <w:pPr>
                    <w:spacing w:line="400" w:lineRule="exact"/>
                    <w:jc w:val="center"/>
                    <w:rPr>
                      <w:bCs/>
                      <w:szCs w:val="21"/>
                    </w:rPr>
                  </w:pPr>
                  <w:r>
                    <w:rPr>
                      <w:bCs/>
                      <w:szCs w:val="21"/>
                    </w:rPr>
                    <w:t>检测结果dB(A)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3" w:type="pct"/>
                  <w:vMerge w:val="continue"/>
                  <w:vAlign w:val="center"/>
                </w:tcPr>
                <w:p>
                  <w:pPr>
                    <w:widowControl/>
                    <w:spacing w:line="400" w:lineRule="exact"/>
                    <w:jc w:val="center"/>
                  </w:pPr>
                </w:p>
              </w:tc>
              <w:tc>
                <w:tcPr>
                  <w:tcW w:w="1019" w:type="pct"/>
                  <w:vMerge w:val="continue"/>
                  <w:vAlign w:val="center"/>
                </w:tcPr>
                <w:p>
                  <w:pPr>
                    <w:widowControl/>
                    <w:spacing w:line="400" w:lineRule="exact"/>
                    <w:jc w:val="center"/>
                  </w:pPr>
                </w:p>
              </w:tc>
              <w:tc>
                <w:tcPr>
                  <w:tcW w:w="1217" w:type="pct"/>
                  <w:vMerge w:val="continue"/>
                  <w:vAlign w:val="center"/>
                </w:tcPr>
                <w:p>
                  <w:pPr>
                    <w:widowControl/>
                    <w:spacing w:line="400" w:lineRule="exact"/>
                    <w:jc w:val="center"/>
                  </w:pPr>
                </w:p>
              </w:tc>
              <w:tc>
                <w:tcPr>
                  <w:tcW w:w="938" w:type="pct"/>
                  <w:vAlign w:val="center"/>
                </w:tcPr>
                <w:p>
                  <w:pPr>
                    <w:spacing w:line="400" w:lineRule="exact"/>
                    <w:jc w:val="center"/>
                    <w:rPr>
                      <w:bCs/>
                      <w:szCs w:val="21"/>
                    </w:rPr>
                  </w:pPr>
                  <w:r>
                    <w:rPr>
                      <w:bCs/>
                      <w:szCs w:val="21"/>
                    </w:rPr>
                    <w:t>昼间</w:t>
                  </w:r>
                </w:p>
              </w:tc>
              <w:tc>
                <w:tcPr>
                  <w:tcW w:w="983" w:type="pct"/>
                  <w:vAlign w:val="center"/>
                </w:tcPr>
                <w:p>
                  <w:pPr>
                    <w:spacing w:line="400" w:lineRule="exact"/>
                    <w:jc w:val="center"/>
                    <w:rPr>
                      <w:bCs/>
                      <w:szCs w:val="21"/>
                    </w:rPr>
                  </w:pPr>
                  <w:r>
                    <w:rPr>
                      <w:bCs/>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843" w:type="pct"/>
                  <w:vMerge w:val="restart"/>
                  <w:vAlign w:val="center"/>
                </w:tcPr>
                <w:p>
                  <w:pPr>
                    <w:pStyle w:val="5"/>
                    <w:spacing w:line="400" w:lineRule="exact"/>
                    <w:jc w:val="center"/>
                    <w:rPr>
                      <w:szCs w:val="21"/>
                    </w:rPr>
                  </w:pPr>
                  <w:r>
                    <w:rPr>
                      <w:rFonts w:hint="eastAsia"/>
                      <w:sz w:val="21"/>
                      <w:szCs w:val="21"/>
                    </w:rPr>
                    <w:t>2023.3.29</w:t>
                  </w:r>
                </w:p>
              </w:tc>
              <w:tc>
                <w:tcPr>
                  <w:tcW w:w="1019" w:type="pct"/>
                  <w:vMerge w:val="restart"/>
                  <w:vAlign w:val="center"/>
                </w:tcPr>
                <w:p>
                  <w:pPr>
                    <w:spacing w:line="400" w:lineRule="exact"/>
                    <w:jc w:val="center"/>
                    <w:rPr>
                      <w:szCs w:val="21"/>
                    </w:rPr>
                  </w:pPr>
                  <w:r>
                    <w:rPr>
                      <w:szCs w:val="21"/>
                    </w:rPr>
                    <w:t>等效连续A声级</w:t>
                  </w:r>
                </w:p>
              </w:tc>
              <w:tc>
                <w:tcPr>
                  <w:tcW w:w="1217" w:type="pct"/>
                  <w:vAlign w:val="center"/>
                </w:tcPr>
                <w:p>
                  <w:pPr>
                    <w:spacing w:line="400" w:lineRule="exact"/>
                    <w:jc w:val="center"/>
                  </w:pPr>
                  <w:r>
                    <w:rPr>
                      <w:rFonts w:hint="eastAsia"/>
                    </w:rPr>
                    <w:t>南厂界</w:t>
                  </w:r>
                </w:p>
              </w:tc>
              <w:tc>
                <w:tcPr>
                  <w:tcW w:w="938" w:type="pct"/>
                  <w:vAlign w:val="center"/>
                </w:tcPr>
                <w:p>
                  <w:pPr>
                    <w:spacing w:line="400" w:lineRule="exact"/>
                    <w:jc w:val="center"/>
                  </w:pPr>
                  <w:r>
                    <w:rPr>
                      <w:rFonts w:hint="eastAsia"/>
                    </w:rPr>
                    <w:t>55.1</w:t>
                  </w:r>
                </w:p>
              </w:tc>
              <w:tc>
                <w:tcPr>
                  <w:tcW w:w="983" w:type="pct"/>
                  <w:vAlign w:val="center"/>
                </w:tcPr>
                <w:p>
                  <w:pPr>
                    <w:spacing w:line="400" w:lineRule="exact"/>
                    <w:jc w:val="center"/>
                  </w:pPr>
                  <w:r>
                    <w:rPr>
                      <w:rFonts w:hint="eastAsia"/>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843" w:type="pct"/>
                  <w:vMerge w:val="continue"/>
                  <w:vAlign w:val="center"/>
                </w:tcPr>
                <w:p>
                  <w:pPr>
                    <w:pStyle w:val="5"/>
                    <w:spacing w:line="400" w:lineRule="exact"/>
                    <w:jc w:val="center"/>
                    <w:rPr>
                      <w:sz w:val="21"/>
                      <w:szCs w:val="21"/>
                    </w:rPr>
                  </w:pPr>
                </w:p>
              </w:tc>
              <w:tc>
                <w:tcPr>
                  <w:tcW w:w="1019" w:type="pct"/>
                  <w:vMerge w:val="continue"/>
                  <w:vAlign w:val="center"/>
                </w:tcPr>
                <w:p>
                  <w:pPr>
                    <w:spacing w:line="400" w:lineRule="exact"/>
                    <w:jc w:val="center"/>
                    <w:rPr>
                      <w:szCs w:val="21"/>
                    </w:rPr>
                  </w:pPr>
                </w:p>
              </w:tc>
              <w:tc>
                <w:tcPr>
                  <w:tcW w:w="1217" w:type="pct"/>
                  <w:vAlign w:val="center"/>
                </w:tcPr>
                <w:p>
                  <w:pPr>
                    <w:spacing w:line="400" w:lineRule="exact"/>
                    <w:jc w:val="center"/>
                  </w:pPr>
                  <w:r>
                    <w:rPr>
                      <w:rFonts w:hint="eastAsia"/>
                    </w:rPr>
                    <w:t>北厂界</w:t>
                  </w:r>
                </w:p>
              </w:tc>
              <w:tc>
                <w:tcPr>
                  <w:tcW w:w="938" w:type="pct"/>
                  <w:vAlign w:val="center"/>
                </w:tcPr>
                <w:p>
                  <w:pPr>
                    <w:spacing w:line="400" w:lineRule="exact"/>
                    <w:jc w:val="center"/>
                  </w:pPr>
                  <w:r>
                    <w:rPr>
                      <w:rFonts w:hint="eastAsia"/>
                    </w:rPr>
                    <w:t>54.9</w:t>
                  </w:r>
                </w:p>
              </w:tc>
              <w:tc>
                <w:tcPr>
                  <w:tcW w:w="983" w:type="pct"/>
                  <w:vAlign w:val="center"/>
                </w:tcPr>
                <w:p>
                  <w:pPr>
                    <w:spacing w:line="400" w:lineRule="exact"/>
                    <w:jc w:val="center"/>
                  </w:pPr>
                  <w:r>
                    <w:rPr>
                      <w:rFonts w:hint="eastAsia"/>
                    </w:rPr>
                    <w:t>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843" w:type="pct"/>
                  <w:vMerge w:val="continue"/>
                  <w:vAlign w:val="center"/>
                </w:tcPr>
                <w:p>
                  <w:pPr>
                    <w:pStyle w:val="5"/>
                    <w:spacing w:line="400" w:lineRule="exact"/>
                    <w:jc w:val="center"/>
                    <w:rPr>
                      <w:sz w:val="21"/>
                      <w:szCs w:val="21"/>
                    </w:rPr>
                  </w:pPr>
                </w:p>
              </w:tc>
              <w:tc>
                <w:tcPr>
                  <w:tcW w:w="1019" w:type="pct"/>
                  <w:vMerge w:val="continue"/>
                  <w:vAlign w:val="center"/>
                </w:tcPr>
                <w:p>
                  <w:pPr>
                    <w:spacing w:line="400" w:lineRule="exact"/>
                    <w:jc w:val="center"/>
                    <w:rPr>
                      <w:szCs w:val="21"/>
                    </w:rPr>
                  </w:pPr>
                </w:p>
              </w:tc>
              <w:tc>
                <w:tcPr>
                  <w:tcW w:w="1217" w:type="pct"/>
                  <w:vAlign w:val="center"/>
                </w:tcPr>
                <w:p>
                  <w:pPr>
                    <w:spacing w:line="400" w:lineRule="exact"/>
                    <w:jc w:val="center"/>
                  </w:pPr>
                  <w:r>
                    <w:rPr>
                      <w:rFonts w:hint="eastAsia"/>
                    </w:rPr>
                    <w:t>后马郡村散户</w:t>
                  </w:r>
                </w:p>
              </w:tc>
              <w:tc>
                <w:tcPr>
                  <w:tcW w:w="938" w:type="pct"/>
                  <w:vAlign w:val="center"/>
                </w:tcPr>
                <w:p>
                  <w:pPr>
                    <w:spacing w:line="400" w:lineRule="exact"/>
                    <w:jc w:val="center"/>
                  </w:pPr>
                  <w:r>
                    <w:rPr>
                      <w:rFonts w:hint="eastAsia"/>
                    </w:rPr>
                    <w:t>51.2</w:t>
                  </w:r>
                </w:p>
              </w:tc>
              <w:tc>
                <w:tcPr>
                  <w:tcW w:w="983" w:type="pct"/>
                  <w:vAlign w:val="center"/>
                </w:tcPr>
                <w:p>
                  <w:pPr>
                    <w:spacing w:line="400" w:lineRule="exact"/>
                    <w:jc w:val="center"/>
                  </w:pPr>
                  <w:r>
                    <w:rPr>
                      <w:rFonts w:hint="eastAsia"/>
                    </w:rPr>
                    <w:t>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843" w:type="pct"/>
                  <w:vMerge w:val="restart"/>
                  <w:vAlign w:val="center"/>
                </w:tcPr>
                <w:p>
                  <w:pPr>
                    <w:spacing w:line="400" w:lineRule="exact"/>
                    <w:jc w:val="center"/>
                    <w:rPr>
                      <w:szCs w:val="21"/>
                    </w:rPr>
                  </w:pPr>
                  <w:r>
                    <w:rPr>
                      <w:rFonts w:hint="eastAsia"/>
                      <w:szCs w:val="21"/>
                    </w:rPr>
                    <w:t>2023.3.30</w:t>
                  </w:r>
                </w:p>
              </w:tc>
              <w:tc>
                <w:tcPr>
                  <w:tcW w:w="1019" w:type="pct"/>
                  <w:vMerge w:val="continue"/>
                  <w:vAlign w:val="center"/>
                </w:tcPr>
                <w:p>
                  <w:pPr>
                    <w:spacing w:line="400" w:lineRule="exact"/>
                    <w:jc w:val="center"/>
                    <w:rPr>
                      <w:szCs w:val="21"/>
                    </w:rPr>
                  </w:pPr>
                </w:p>
              </w:tc>
              <w:tc>
                <w:tcPr>
                  <w:tcW w:w="1217" w:type="pct"/>
                  <w:vAlign w:val="center"/>
                </w:tcPr>
                <w:p>
                  <w:pPr>
                    <w:spacing w:line="400" w:lineRule="exact"/>
                    <w:jc w:val="center"/>
                  </w:pPr>
                  <w:r>
                    <w:rPr>
                      <w:rFonts w:hint="eastAsia"/>
                    </w:rPr>
                    <w:t>南厂界</w:t>
                  </w:r>
                </w:p>
              </w:tc>
              <w:tc>
                <w:tcPr>
                  <w:tcW w:w="938" w:type="pct"/>
                  <w:vAlign w:val="center"/>
                </w:tcPr>
                <w:p>
                  <w:pPr>
                    <w:spacing w:line="400" w:lineRule="exact"/>
                    <w:jc w:val="center"/>
                  </w:pPr>
                  <w:r>
                    <w:rPr>
                      <w:rFonts w:hint="eastAsia"/>
                    </w:rPr>
                    <w:t>54.1</w:t>
                  </w:r>
                </w:p>
              </w:tc>
              <w:tc>
                <w:tcPr>
                  <w:tcW w:w="983" w:type="pct"/>
                  <w:vAlign w:val="center"/>
                </w:tcPr>
                <w:p>
                  <w:pPr>
                    <w:spacing w:line="400" w:lineRule="exact"/>
                    <w:jc w:val="center"/>
                  </w:pPr>
                  <w:r>
                    <w:rPr>
                      <w:rFonts w:hint="eastAsia"/>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843" w:type="pct"/>
                  <w:vMerge w:val="continue"/>
                  <w:vAlign w:val="center"/>
                </w:tcPr>
                <w:p>
                  <w:pPr>
                    <w:spacing w:line="400" w:lineRule="exact"/>
                    <w:jc w:val="center"/>
                    <w:rPr>
                      <w:szCs w:val="21"/>
                    </w:rPr>
                  </w:pPr>
                </w:p>
              </w:tc>
              <w:tc>
                <w:tcPr>
                  <w:tcW w:w="1019" w:type="pct"/>
                  <w:vMerge w:val="continue"/>
                  <w:vAlign w:val="center"/>
                </w:tcPr>
                <w:p>
                  <w:pPr>
                    <w:spacing w:line="400" w:lineRule="exact"/>
                    <w:jc w:val="center"/>
                    <w:rPr>
                      <w:szCs w:val="21"/>
                    </w:rPr>
                  </w:pPr>
                </w:p>
              </w:tc>
              <w:tc>
                <w:tcPr>
                  <w:tcW w:w="1217" w:type="pct"/>
                  <w:vAlign w:val="center"/>
                </w:tcPr>
                <w:p>
                  <w:pPr>
                    <w:spacing w:line="400" w:lineRule="exact"/>
                    <w:jc w:val="center"/>
                  </w:pPr>
                  <w:r>
                    <w:rPr>
                      <w:rFonts w:hint="eastAsia"/>
                    </w:rPr>
                    <w:t>北厂界</w:t>
                  </w:r>
                </w:p>
              </w:tc>
              <w:tc>
                <w:tcPr>
                  <w:tcW w:w="938" w:type="pct"/>
                  <w:vAlign w:val="center"/>
                </w:tcPr>
                <w:p>
                  <w:pPr>
                    <w:spacing w:line="400" w:lineRule="exact"/>
                    <w:jc w:val="center"/>
                  </w:pPr>
                  <w:r>
                    <w:rPr>
                      <w:rFonts w:hint="eastAsia"/>
                    </w:rPr>
                    <w:t>54.6</w:t>
                  </w:r>
                </w:p>
              </w:tc>
              <w:tc>
                <w:tcPr>
                  <w:tcW w:w="983" w:type="pct"/>
                  <w:vAlign w:val="center"/>
                </w:tcPr>
                <w:p>
                  <w:pPr>
                    <w:spacing w:line="400" w:lineRule="exact"/>
                    <w:jc w:val="center"/>
                  </w:pPr>
                  <w:r>
                    <w:rPr>
                      <w:rFonts w:hint="eastAsia"/>
                    </w:rPr>
                    <w:t>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843" w:type="pct"/>
                  <w:vMerge w:val="continue"/>
                  <w:vAlign w:val="center"/>
                </w:tcPr>
                <w:p>
                  <w:pPr>
                    <w:spacing w:line="400" w:lineRule="exact"/>
                    <w:jc w:val="center"/>
                    <w:rPr>
                      <w:szCs w:val="21"/>
                    </w:rPr>
                  </w:pPr>
                </w:p>
              </w:tc>
              <w:tc>
                <w:tcPr>
                  <w:tcW w:w="1019" w:type="pct"/>
                  <w:vMerge w:val="continue"/>
                  <w:vAlign w:val="center"/>
                </w:tcPr>
                <w:p>
                  <w:pPr>
                    <w:spacing w:line="400" w:lineRule="exact"/>
                    <w:jc w:val="center"/>
                    <w:rPr>
                      <w:szCs w:val="21"/>
                    </w:rPr>
                  </w:pPr>
                </w:p>
              </w:tc>
              <w:tc>
                <w:tcPr>
                  <w:tcW w:w="1217" w:type="pct"/>
                  <w:vAlign w:val="center"/>
                </w:tcPr>
                <w:p>
                  <w:pPr>
                    <w:spacing w:line="400" w:lineRule="exact"/>
                    <w:jc w:val="center"/>
                  </w:pPr>
                  <w:r>
                    <w:rPr>
                      <w:rFonts w:hint="eastAsia"/>
                    </w:rPr>
                    <w:t>后马郡村散户</w:t>
                  </w:r>
                </w:p>
              </w:tc>
              <w:tc>
                <w:tcPr>
                  <w:tcW w:w="938" w:type="pct"/>
                  <w:vAlign w:val="center"/>
                </w:tcPr>
                <w:p>
                  <w:pPr>
                    <w:spacing w:line="400" w:lineRule="exact"/>
                    <w:jc w:val="center"/>
                  </w:pPr>
                  <w:r>
                    <w:rPr>
                      <w:rFonts w:hint="eastAsia"/>
                    </w:rPr>
                    <w:t>52.3</w:t>
                  </w:r>
                </w:p>
              </w:tc>
              <w:tc>
                <w:tcPr>
                  <w:tcW w:w="983" w:type="pct"/>
                  <w:vAlign w:val="center"/>
                </w:tcPr>
                <w:p>
                  <w:pPr>
                    <w:spacing w:line="400" w:lineRule="exact"/>
                    <w:jc w:val="center"/>
                  </w:pPr>
                  <w:r>
                    <w:rPr>
                      <w:rFonts w:hint="eastAsia"/>
                    </w:rPr>
                    <w:t>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000" w:type="pct"/>
                  <w:gridSpan w:val="5"/>
                  <w:vAlign w:val="center"/>
                </w:tcPr>
                <w:p>
                  <w:pPr>
                    <w:spacing w:line="400" w:lineRule="exact"/>
                    <w:jc w:val="center"/>
                  </w:pPr>
                  <w:r>
                    <w:rPr>
                      <w:rFonts w:hint="eastAsia"/>
                    </w:rPr>
                    <w:t>（东、西厂界不具备检测条件）</w:t>
                  </w:r>
                </w:p>
              </w:tc>
            </w:tr>
          </w:tbl>
          <w:p>
            <w:pPr>
              <w:pStyle w:val="51"/>
              <w:ind w:firstLine="480"/>
              <w:rPr>
                <w:rFonts w:ascii="宋体" w:hAnsi="宋体" w:cs="宋体"/>
                <w:kern w:val="0"/>
                <w:szCs w:val="21"/>
              </w:rPr>
            </w:pPr>
            <w:r>
              <w:rPr>
                <w:rFonts w:hint="eastAsia"/>
              </w:rPr>
              <w:t>由结果可知，项目厂界声环境质量均满足《工业企业厂界环境噪声排放标准》（GB12348-2008）中 2 类标准限值要求。后马郡村散户声环境质量现状满足《声环境质量标准》（GB3096-2008）2类标准限值要求。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426" w:type="dxa"/>
            <w:vAlign w:val="center"/>
          </w:tcPr>
          <w:p>
            <w:pPr>
              <w:adjustRightInd w:val="0"/>
              <w:snapToGrid w:val="0"/>
              <w:jc w:val="center"/>
              <w:rPr>
                <w:rFonts w:ascii="宋体" w:hAnsi="宋体" w:cs="宋体"/>
                <w:kern w:val="0"/>
                <w:szCs w:val="21"/>
              </w:rPr>
            </w:pPr>
            <w:r>
              <w:rPr>
                <w:rFonts w:hint="eastAsia" w:ascii="宋体" w:hAnsi="宋体" w:cs="宋体"/>
                <w:kern w:val="0"/>
                <w:szCs w:val="21"/>
              </w:rPr>
              <w:t>环境</w:t>
            </w:r>
          </w:p>
          <w:p>
            <w:pPr>
              <w:adjustRightInd w:val="0"/>
              <w:snapToGrid w:val="0"/>
              <w:jc w:val="center"/>
              <w:rPr>
                <w:rFonts w:ascii="宋体" w:hAnsi="宋体" w:cs="宋体"/>
                <w:kern w:val="0"/>
                <w:szCs w:val="21"/>
              </w:rPr>
            </w:pPr>
            <w:r>
              <w:rPr>
                <w:rFonts w:hint="eastAsia" w:ascii="宋体" w:hAnsi="宋体" w:cs="宋体"/>
                <w:kern w:val="0"/>
                <w:szCs w:val="21"/>
              </w:rPr>
              <w:t>保护</w:t>
            </w:r>
          </w:p>
          <w:p>
            <w:pPr>
              <w:adjustRightInd w:val="0"/>
              <w:snapToGrid w:val="0"/>
              <w:jc w:val="center"/>
              <w:rPr>
                <w:rFonts w:ascii="宋体" w:hAnsi="宋体" w:cs="宋体"/>
                <w:kern w:val="0"/>
                <w:szCs w:val="21"/>
              </w:rPr>
            </w:pPr>
            <w:r>
              <w:rPr>
                <w:rFonts w:hint="eastAsia" w:ascii="宋体" w:hAnsi="宋体" w:cs="宋体"/>
                <w:kern w:val="0"/>
                <w:szCs w:val="21"/>
              </w:rPr>
              <w:t>目标</w:t>
            </w:r>
          </w:p>
        </w:tc>
        <w:tc>
          <w:tcPr>
            <w:tcW w:w="8635" w:type="dxa"/>
            <w:vAlign w:val="center"/>
          </w:tcPr>
          <w:p>
            <w:pPr>
              <w:pStyle w:val="51"/>
              <w:ind w:firstLine="480"/>
            </w:pPr>
            <w:r>
              <w:t>本项目周围环境保护目标见</w:t>
            </w:r>
            <w:r>
              <w:rPr>
                <w:rFonts w:hint="eastAsia"/>
              </w:rPr>
              <w:t>下表</w:t>
            </w:r>
            <w:r>
              <w:t>。</w:t>
            </w:r>
          </w:p>
          <w:p>
            <w:pPr>
              <w:pStyle w:val="53"/>
              <w:ind w:firstLine="480"/>
            </w:pPr>
            <w:r>
              <w:t>表</w:t>
            </w:r>
            <w:r>
              <w:rPr>
                <w:rFonts w:hint="eastAsia"/>
              </w:rPr>
              <w:t>24</w:t>
            </w:r>
            <w:r>
              <w:t xml:space="preserve">            本项目环境保护目标</w:t>
            </w:r>
            <w:r>
              <w:rPr>
                <w:rFonts w:hint="eastAsia"/>
              </w:rPr>
              <w:t>（大气环境）</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1464"/>
              <w:gridCol w:w="1532"/>
              <w:gridCol w:w="643"/>
              <w:gridCol w:w="1289"/>
              <w:gridCol w:w="23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687" w:type="pct"/>
                  <w:vMerge w:val="restart"/>
                  <w:vAlign w:val="center"/>
                </w:tcPr>
                <w:p>
                  <w:pPr>
                    <w:pStyle w:val="68"/>
                    <w:spacing w:line="400" w:lineRule="exact"/>
                    <w:rPr>
                      <w:snapToGrid w:val="0"/>
                      <w:kern w:val="0"/>
                      <w:szCs w:val="21"/>
                    </w:rPr>
                  </w:pPr>
                  <w:r>
                    <w:rPr>
                      <w:szCs w:val="21"/>
                    </w:rPr>
                    <w:t>名称</w:t>
                  </w:r>
                </w:p>
              </w:tc>
              <w:tc>
                <w:tcPr>
                  <w:tcW w:w="1786" w:type="pct"/>
                  <w:gridSpan w:val="2"/>
                  <w:vAlign w:val="center"/>
                </w:tcPr>
                <w:p>
                  <w:pPr>
                    <w:pStyle w:val="68"/>
                    <w:spacing w:line="400" w:lineRule="exact"/>
                    <w:rPr>
                      <w:snapToGrid w:val="0"/>
                      <w:kern w:val="0"/>
                      <w:szCs w:val="21"/>
                    </w:rPr>
                  </w:pPr>
                  <w:r>
                    <w:rPr>
                      <w:szCs w:val="21"/>
                    </w:rPr>
                    <w:t>坐标</w:t>
                  </w:r>
                </w:p>
              </w:tc>
              <w:tc>
                <w:tcPr>
                  <w:tcW w:w="383" w:type="pct"/>
                  <w:vMerge w:val="restart"/>
                  <w:vAlign w:val="center"/>
                </w:tcPr>
                <w:p>
                  <w:pPr>
                    <w:pStyle w:val="68"/>
                    <w:spacing w:line="400" w:lineRule="exact"/>
                    <w:rPr>
                      <w:snapToGrid w:val="0"/>
                      <w:kern w:val="0"/>
                      <w:szCs w:val="21"/>
                    </w:rPr>
                  </w:pPr>
                  <w:r>
                    <w:rPr>
                      <w:snapToGrid w:val="0"/>
                      <w:kern w:val="0"/>
                      <w:szCs w:val="21"/>
                    </w:rPr>
                    <w:t>方位</w:t>
                  </w:r>
                </w:p>
              </w:tc>
              <w:tc>
                <w:tcPr>
                  <w:tcW w:w="768" w:type="pct"/>
                  <w:vMerge w:val="restart"/>
                  <w:vAlign w:val="center"/>
                </w:tcPr>
                <w:p>
                  <w:pPr>
                    <w:pStyle w:val="68"/>
                    <w:spacing w:line="400" w:lineRule="exact"/>
                    <w:rPr>
                      <w:snapToGrid w:val="0"/>
                      <w:kern w:val="0"/>
                      <w:szCs w:val="21"/>
                    </w:rPr>
                  </w:pPr>
                  <w:r>
                    <w:rPr>
                      <w:snapToGrid w:val="0"/>
                      <w:kern w:val="0"/>
                      <w:szCs w:val="21"/>
                    </w:rPr>
                    <w:t>与厂界最近距离</w:t>
                  </w:r>
                </w:p>
              </w:tc>
              <w:tc>
                <w:tcPr>
                  <w:tcW w:w="1376" w:type="pct"/>
                  <w:vMerge w:val="restart"/>
                  <w:vAlign w:val="center"/>
                </w:tcPr>
                <w:p>
                  <w:pPr>
                    <w:pStyle w:val="68"/>
                    <w:spacing w:line="400" w:lineRule="exact"/>
                    <w:rPr>
                      <w:snapToGrid w:val="0"/>
                      <w:kern w:val="0"/>
                      <w:szCs w:val="21"/>
                    </w:rPr>
                  </w:pPr>
                  <w:r>
                    <w:rPr>
                      <w:szCs w:val="21"/>
                    </w:rPr>
                    <w:t>目标功能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687" w:type="pct"/>
                  <w:vMerge w:val="continue"/>
                  <w:vAlign w:val="center"/>
                </w:tcPr>
                <w:p>
                  <w:pPr>
                    <w:pStyle w:val="68"/>
                    <w:spacing w:line="400" w:lineRule="exact"/>
                    <w:rPr>
                      <w:szCs w:val="21"/>
                    </w:rPr>
                  </w:pPr>
                </w:p>
              </w:tc>
              <w:tc>
                <w:tcPr>
                  <w:tcW w:w="873" w:type="pct"/>
                  <w:vAlign w:val="center"/>
                </w:tcPr>
                <w:p>
                  <w:pPr>
                    <w:adjustRightInd w:val="0"/>
                    <w:snapToGrid w:val="0"/>
                    <w:spacing w:line="360" w:lineRule="exact"/>
                    <w:jc w:val="center"/>
                    <w:rPr>
                      <w:szCs w:val="21"/>
                    </w:rPr>
                  </w:pPr>
                  <w:r>
                    <w:rPr>
                      <w:szCs w:val="21"/>
                    </w:rPr>
                    <w:t>经度</w:t>
                  </w:r>
                  <w:r>
                    <w:rPr>
                      <w:rFonts w:hint="eastAsia"/>
                      <w:szCs w:val="21"/>
                    </w:rPr>
                    <w:t>°</w:t>
                  </w:r>
                </w:p>
              </w:tc>
              <w:tc>
                <w:tcPr>
                  <w:tcW w:w="913" w:type="pct"/>
                  <w:vAlign w:val="center"/>
                </w:tcPr>
                <w:p>
                  <w:pPr>
                    <w:adjustRightInd w:val="0"/>
                    <w:snapToGrid w:val="0"/>
                    <w:spacing w:line="360" w:lineRule="exact"/>
                    <w:jc w:val="center"/>
                    <w:rPr>
                      <w:szCs w:val="21"/>
                    </w:rPr>
                  </w:pPr>
                  <w:r>
                    <w:rPr>
                      <w:szCs w:val="21"/>
                    </w:rPr>
                    <w:t>纬度</w:t>
                  </w:r>
                  <w:r>
                    <w:rPr>
                      <w:rFonts w:hint="eastAsia"/>
                      <w:szCs w:val="21"/>
                    </w:rPr>
                    <w:t>°</w:t>
                  </w:r>
                </w:p>
              </w:tc>
              <w:tc>
                <w:tcPr>
                  <w:tcW w:w="383" w:type="pct"/>
                  <w:vMerge w:val="continue"/>
                  <w:vAlign w:val="center"/>
                </w:tcPr>
                <w:p>
                  <w:pPr>
                    <w:pStyle w:val="68"/>
                    <w:spacing w:line="400" w:lineRule="exact"/>
                    <w:rPr>
                      <w:snapToGrid w:val="0"/>
                      <w:kern w:val="0"/>
                      <w:szCs w:val="21"/>
                    </w:rPr>
                  </w:pPr>
                </w:p>
              </w:tc>
              <w:tc>
                <w:tcPr>
                  <w:tcW w:w="768" w:type="pct"/>
                  <w:vMerge w:val="continue"/>
                  <w:vAlign w:val="center"/>
                </w:tcPr>
                <w:p>
                  <w:pPr>
                    <w:pStyle w:val="68"/>
                    <w:spacing w:line="400" w:lineRule="exact"/>
                    <w:rPr>
                      <w:snapToGrid w:val="0"/>
                      <w:kern w:val="0"/>
                      <w:szCs w:val="21"/>
                    </w:rPr>
                  </w:pPr>
                </w:p>
              </w:tc>
              <w:tc>
                <w:tcPr>
                  <w:tcW w:w="1376" w:type="pct"/>
                  <w:vMerge w:val="continue"/>
                  <w:vAlign w:val="center"/>
                </w:tcPr>
                <w:p>
                  <w:pPr>
                    <w:pStyle w:val="68"/>
                    <w:spacing w:line="400" w:lineRule="exact"/>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687" w:type="pct"/>
                  <w:vAlign w:val="center"/>
                </w:tcPr>
                <w:p>
                  <w:pPr>
                    <w:pStyle w:val="68"/>
                    <w:spacing w:line="400" w:lineRule="exact"/>
                    <w:rPr>
                      <w:bCs/>
                      <w:szCs w:val="21"/>
                    </w:rPr>
                  </w:pPr>
                  <w:r>
                    <w:rPr>
                      <w:bCs/>
                      <w:szCs w:val="21"/>
                    </w:rPr>
                    <w:t>后马郡村</w:t>
                  </w:r>
                </w:p>
              </w:tc>
              <w:tc>
                <w:tcPr>
                  <w:tcW w:w="873" w:type="pct"/>
                  <w:vAlign w:val="center"/>
                </w:tcPr>
                <w:p>
                  <w:pPr>
                    <w:pStyle w:val="68"/>
                    <w:spacing w:line="400" w:lineRule="exact"/>
                    <w:rPr>
                      <w:szCs w:val="21"/>
                    </w:rPr>
                  </w:pPr>
                  <w:r>
                    <w:rPr>
                      <w:szCs w:val="21"/>
                    </w:rPr>
                    <w:t>112.76714350</w:t>
                  </w:r>
                </w:p>
              </w:tc>
              <w:tc>
                <w:tcPr>
                  <w:tcW w:w="913" w:type="pct"/>
                  <w:vAlign w:val="center"/>
                </w:tcPr>
                <w:p>
                  <w:pPr>
                    <w:pStyle w:val="68"/>
                    <w:spacing w:line="400" w:lineRule="exact"/>
                    <w:rPr>
                      <w:snapToGrid w:val="0"/>
                      <w:kern w:val="0"/>
                      <w:szCs w:val="21"/>
                    </w:rPr>
                  </w:pPr>
                  <w:r>
                    <w:rPr>
                      <w:snapToGrid w:val="0"/>
                      <w:kern w:val="0"/>
                      <w:szCs w:val="21"/>
                    </w:rPr>
                    <w:t>34.69539491</w:t>
                  </w:r>
                </w:p>
              </w:tc>
              <w:tc>
                <w:tcPr>
                  <w:tcW w:w="383" w:type="pct"/>
                  <w:vAlign w:val="center"/>
                </w:tcPr>
                <w:p>
                  <w:pPr>
                    <w:pStyle w:val="68"/>
                    <w:spacing w:line="400" w:lineRule="exact"/>
                    <w:rPr>
                      <w:snapToGrid w:val="0"/>
                      <w:kern w:val="0"/>
                      <w:szCs w:val="21"/>
                    </w:rPr>
                  </w:pPr>
                  <w:r>
                    <w:rPr>
                      <w:rFonts w:hint="eastAsia"/>
                      <w:snapToGrid w:val="0"/>
                      <w:kern w:val="0"/>
                      <w:szCs w:val="21"/>
                    </w:rPr>
                    <w:t>西</w:t>
                  </w:r>
                </w:p>
              </w:tc>
              <w:tc>
                <w:tcPr>
                  <w:tcW w:w="768" w:type="pct"/>
                  <w:vAlign w:val="center"/>
                </w:tcPr>
                <w:p>
                  <w:pPr>
                    <w:pStyle w:val="88"/>
                    <w:adjustRightInd w:val="0"/>
                    <w:snapToGrid w:val="0"/>
                    <w:spacing w:line="360" w:lineRule="exact"/>
                    <w:rPr>
                      <w:szCs w:val="21"/>
                    </w:rPr>
                  </w:pPr>
                  <w:r>
                    <w:rPr>
                      <w:rFonts w:hint="eastAsia"/>
                      <w:szCs w:val="21"/>
                    </w:rPr>
                    <w:t>170m</w:t>
                  </w:r>
                </w:p>
              </w:tc>
              <w:tc>
                <w:tcPr>
                  <w:tcW w:w="1376" w:type="pct"/>
                  <w:vMerge w:val="restart"/>
                  <w:vAlign w:val="center"/>
                </w:tcPr>
                <w:p>
                  <w:pPr>
                    <w:pStyle w:val="68"/>
                    <w:spacing w:line="400" w:lineRule="exact"/>
                    <w:rPr>
                      <w:szCs w:val="21"/>
                    </w:rPr>
                  </w:pPr>
                  <w:r>
                    <w:rPr>
                      <w:szCs w:val="21"/>
                    </w:rPr>
                    <w:t>《环境空气质量标准》（GB3095-2012）二级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687" w:type="pct"/>
                  <w:vAlign w:val="center"/>
                </w:tcPr>
                <w:p>
                  <w:pPr>
                    <w:pStyle w:val="68"/>
                    <w:spacing w:line="400" w:lineRule="exact"/>
                    <w:rPr>
                      <w:bCs/>
                      <w:szCs w:val="21"/>
                    </w:rPr>
                  </w:pPr>
                  <w:r>
                    <w:rPr>
                      <w:rFonts w:hint="eastAsia"/>
                      <w:bCs/>
                      <w:szCs w:val="21"/>
                    </w:rPr>
                    <w:t>寇圪垯村</w:t>
                  </w:r>
                </w:p>
              </w:tc>
              <w:tc>
                <w:tcPr>
                  <w:tcW w:w="873" w:type="pct"/>
                  <w:vAlign w:val="center"/>
                </w:tcPr>
                <w:p>
                  <w:pPr>
                    <w:pStyle w:val="68"/>
                    <w:spacing w:line="400" w:lineRule="exact"/>
                    <w:rPr>
                      <w:szCs w:val="21"/>
                    </w:rPr>
                  </w:pPr>
                  <w:r>
                    <w:rPr>
                      <w:szCs w:val="21"/>
                    </w:rPr>
                    <w:t>112.76459560</w:t>
                  </w:r>
                </w:p>
              </w:tc>
              <w:tc>
                <w:tcPr>
                  <w:tcW w:w="913" w:type="pct"/>
                  <w:vAlign w:val="center"/>
                </w:tcPr>
                <w:p>
                  <w:pPr>
                    <w:pStyle w:val="68"/>
                    <w:spacing w:line="400" w:lineRule="exact"/>
                    <w:rPr>
                      <w:snapToGrid w:val="0"/>
                      <w:kern w:val="0"/>
                      <w:szCs w:val="21"/>
                    </w:rPr>
                  </w:pPr>
                  <w:r>
                    <w:rPr>
                      <w:snapToGrid w:val="0"/>
                      <w:kern w:val="0"/>
                      <w:szCs w:val="21"/>
                    </w:rPr>
                    <w:t>34.69402283</w:t>
                  </w:r>
                </w:p>
              </w:tc>
              <w:tc>
                <w:tcPr>
                  <w:tcW w:w="383" w:type="pct"/>
                  <w:vAlign w:val="center"/>
                </w:tcPr>
                <w:p>
                  <w:pPr>
                    <w:pStyle w:val="68"/>
                    <w:spacing w:line="400" w:lineRule="exact"/>
                    <w:rPr>
                      <w:snapToGrid w:val="0"/>
                      <w:kern w:val="0"/>
                      <w:szCs w:val="21"/>
                    </w:rPr>
                  </w:pPr>
                  <w:r>
                    <w:rPr>
                      <w:rFonts w:hint="eastAsia"/>
                      <w:snapToGrid w:val="0"/>
                      <w:kern w:val="0"/>
                      <w:szCs w:val="21"/>
                    </w:rPr>
                    <w:t>南</w:t>
                  </w:r>
                </w:p>
              </w:tc>
              <w:tc>
                <w:tcPr>
                  <w:tcW w:w="768" w:type="pct"/>
                  <w:vAlign w:val="center"/>
                </w:tcPr>
                <w:p>
                  <w:pPr>
                    <w:pStyle w:val="88"/>
                    <w:adjustRightInd w:val="0"/>
                    <w:snapToGrid w:val="0"/>
                    <w:spacing w:line="360" w:lineRule="exact"/>
                    <w:rPr>
                      <w:szCs w:val="21"/>
                    </w:rPr>
                  </w:pPr>
                  <w:r>
                    <w:rPr>
                      <w:rFonts w:hint="eastAsia"/>
                      <w:szCs w:val="21"/>
                    </w:rPr>
                    <w:t>150m</w:t>
                  </w:r>
                </w:p>
              </w:tc>
              <w:tc>
                <w:tcPr>
                  <w:tcW w:w="1376" w:type="pct"/>
                  <w:vMerge w:val="continue"/>
                  <w:vAlign w:val="center"/>
                </w:tcPr>
                <w:p>
                  <w:pPr>
                    <w:pStyle w:val="68"/>
                    <w:spacing w:line="400" w:lineRule="exact"/>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687" w:type="pct"/>
                  <w:vAlign w:val="center"/>
                </w:tcPr>
                <w:p>
                  <w:pPr>
                    <w:pStyle w:val="68"/>
                    <w:spacing w:line="400" w:lineRule="exact"/>
                    <w:rPr>
                      <w:snapToGrid w:val="0"/>
                      <w:kern w:val="0"/>
                      <w:szCs w:val="21"/>
                    </w:rPr>
                  </w:pPr>
                  <w:r>
                    <w:rPr>
                      <w:rFonts w:hint="eastAsia"/>
                      <w:bCs/>
                      <w:szCs w:val="21"/>
                    </w:rPr>
                    <w:t>后马郡村散户</w:t>
                  </w:r>
                </w:p>
              </w:tc>
              <w:tc>
                <w:tcPr>
                  <w:tcW w:w="873" w:type="pct"/>
                  <w:vAlign w:val="center"/>
                </w:tcPr>
                <w:p>
                  <w:pPr>
                    <w:pStyle w:val="68"/>
                    <w:spacing w:line="400" w:lineRule="exact"/>
                    <w:rPr>
                      <w:szCs w:val="21"/>
                    </w:rPr>
                  </w:pPr>
                  <w:r>
                    <w:rPr>
                      <w:szCs w:val="21"/>
                    </w:rPr>
                    <w:t>112.76502231</w:t>
                  </w:r>
                </w:p>
              </w:tc>
              <w:tc>
                <w:tcPr>
                  <w:tcW w:w="913" w:type="pct"/>
                  <w:vAlign w:val="center"/>
                </w:tcPr>
                <w:p>
                  <w:pPr>
                    <w:pStyle w:val="68"/>
                    <w:spacing w:line="400" w:lineRule="exact"/>
                    <w:rPr>
                      <w:snapToGrid w:val="0"/>
                      <w:kern w:val="0"/>
                      <w:szCs w:val="21"/>
                    </w:rPr>
                  </w:pPr>
                  <w:r>
                    <w:rPr>
                      <w:snapToGrid w:val="0"/>
                      <w:kern w:val="0"/>
                      <w:szCs w:val="21"/>
                    </w:rPr>
                    <w:t>34.69666488</w:t>
                  </w:r>
                </w:p>
              </w:tc>
              <w:tc>
                <w:tcPr>
                  <w:tcW w:w="383" w:type="pct"/>
                  <w:vAlign w:val="center"/>
                </w:tcPr>
                <w:p>
                  <w:pPr>
                    <w:pStyle w:val="68"/>
                    <w:spacing w:line="400" w:lineRule="exact"/>
                    <w:rPr>
                      <w:snapToGrid w:val="0"/>
                      <w:kern w:val="0"/>
                      <w:szCs w:val="21"/>
                    </w:rPr>
                  </w:pPr>
                  <w:r>
                    <w:rPr>
                      <w:rFonts w:hint="eastAsia"/>
                      <w:snapToGrid w:val="0"/>
                      <w:kern w:val="0"/>
                      <w:szCs w:val="21"/>
                    </w:rPr>
                    <w:t>北</w:t>
                  </w:r>
                </w:p>
              </w:tc>
              <w:tc>
                <w:tcPr>
                  <w:tcW w:w="768" w:type="pct"/>
                  <w:vAlign w:val="center"/>
                </w:tcPr>
                <w:p>
                  <w:pPr>
                    <w:pStyle w:val="88"/>
                    <w:adjustRightInd w:val="0"/>
                    <w:snapToGrid w:val="0"/>
                    <w:spacing w:line="360" w:lineRule="exact"/>
                    <w:rPr>
                      <w:szCs w:val="21"/>
                    </w:rPr>
                  </w:pPr>
                  <w:r>
                    <w:rPr>
                      <w:rFonts w:hint="eastAsia"/>
                      <w:szCs w:val="21"/>
                    </w:rPr>
                    <w:t>30m</w:t>
                  </w:r>
                </w:p>
              </w:tc>
              <w:tc>
                <w:tcPr>
                  <w:tcW w:w="1376" w:type="pct"/>
                  <w:vMerge w:val="continue"/>
                  <w:vAlign w:val="center"/>
                </w:tcPr>
                <w:p>
                  <w:pPr>
                    <w:pStyle w:val="68"/>
                    <w:spacing w:line="400" w:lineRule="exact"/>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5000" w:type="pct"/>
                  <w:gridSpan w:val="6"/>
                  <w:vAlign w:val="center"/>
                </w:tcPr>
                <w:p>
                  <w:pPr>
                    <w:pStyle w:val="68"/>
                    <w:spacing w:line="400" w:lineRule="exact"/>
                    <w:rPr>
                      <w:szCs w:val="21"/>
                    </w:rPr>
                  </w:pPr>
                  <w:r>
                    <w:rPr>
                      <w:snapToGrid w:val="0"/>
                      <w:kern w:val="0"/>
                    </w:rPr>
                    <w:t>本项目大气环境敏感目标为自然保护区、风景名胜区、居住区、文化区和农村地区中人群较集中的区域</w:t>
                  </w:r>
                </w:p>
              </w:tc>
            </w:tr>
          </w:tbl>
          <w:p>
            <w:pPr>
              <w:pStyle w:val="116"/>
            </w:pPr>
            <w:r>
              <w:t>表</w:t>
            </w:r>
            <w:r>
              <w:rPr>
                <w:rFonts w:hint="eastAsia"/>
              </w:rPr>
              <w:t>25</w:t>
            </w:r>
            <w:r>
              <w:t xml:space="preserve">              项目敏感保护目标(声环境)</w:t>
            </w:r>
          </w:p>
          <w:tbl>
            <w:tblPr>
              <w:tblStyle w:val="22"/>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247"/>
              <w:gridCol w:w="846"/>
              <w:gridCol w:w="404"/>
              <w:gridCol w:w="451"/>
              <w:gridCol w:w="448"/>
              <w:gridCol w:w="750"/>
              <w:gridCol w:w="448"/>
              <w:gridCol w:w="1948"/>
              <w:gridCol w:w="284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147" w:type="pct"/>
                  <w:vMerge w:val="restart"/>
                  <w:vAlign w:val="center"/>
                </w:tcPr>
                <w:p>
                  <w:pPr>
                    <w:pStyle w:val="68"/>
                    <w:rPr>
                      <w:szCs w:val="21"/>
                    </w:rPr>
                  </w:pPr>
                  <w:r>
                    <w:rPr>
                      <w:szCs w:val="21"/>
                    </w:rPr>
                    <w:t>序号</w:t>
                  </w:r>
                </w:p>
              </w:tc>
              <w:tc>
                <w:tcPr>
                  <w:tcW w:w="504" w:type="pct"/>
                  <w:vMerge w:val="restart"/>
                  <w:vAlign w:val="center"/>
                </w:tcPr>
                <w:p>
                  <w:pPr>
                    <w:pStyle w:val="68"/>
                    <w:rPr>
                      <w:szCs w:val="21"/>
                    </w:rPr>
                  </w:pPr>
                  <w:r>
                    <w:rPr>
                      <w:szCs w:val="21"/>
                    </w:rPr>
                    <w:t>声环境保护目标名称</w:t>
                  </w:r>
                </w:p>
              </w:tc>
              <w:tc>
                <w:tcPr>
                  <w:tcW w:w="777" w:type="pct"/>
                  <w:gridSpan w:val="3"/>
                  <w:vAlign w:val="center"/>
                </w:tcPr>
                <w:p>
                  <w:pPr>
                    <w:pStyle w:val="68"/>
                    <w:rPr>
                      <w:szCs w:val="21"/>
                    </w:rPr>
                  </w:pPr>
                  <w:r>
                    <w:rPr>
                      <w:szCs w:val="21"/>
                    </w:rPr>
                    <w:t>空间相对位置/m</w:t>
                  </w:r>
                </w:p>
              </w:tc>
              <w:tc>
                <w:tcPr>
                  <w:tcW w:w="447" w:type="pct"/>
                  <w:vMerge w:val="restart"/>
                  <w:vAlign w:val="center"/>
                </w:tcPr>
                <w:p>
                  <w:pPr>
                    <w:pStyle w:val="68"/>
                    <w:rPr>
                      <w:szCs w:val="21"/>
                    </w:rPr>
                  </w:pPr>
                  <w:r>
                    <w:rPr>
                      <w:szCs w:val="21"/>
                    </w:rPr>
                    <w:t>距厂界最近距离/m</w:t>
                  </w:r>
                </w:p>
              </w:tc>
              <w:tc>
                <w:tcPr>
                  <w:tcW w:w="267" w:type="pct"/>
                  <w:vMerge w:val="restart"/>
                  <w:vAlign w:val="center"/>
                </w:tcPr>
                <w:p>
                  <w:pPr>
                    <w:pStyle w:val="68"/>
                    <w:rPr>
                      <w:szCs w:val="21"/>
                    </w:rPr>
                  </w:pPr>
                  <w:r>
                    <w:rPr>
                      <w:szCs w:val="21"/>
                    </w:rPr>
                    <w:t>方位</w:t>
                  </w:r>
                </w:p>
              </w:tc>
              <w:tc>
                <w:tcPr>
                  <w:tcW w:w="1161" w:type="pct"/>
                  <w:vMerge w:val="restart"/>
                  <w:vAlign w:val="center"/>
                </w:tcPr>
                <w:p>
                  <w:pPr>
                    <w:pStyle w:val="68"/>
                    <w:rPr>
                      <w:szCs w:val="21"/>
                    </w:rPr>
                  </w:pPr>
                  <w:r>
                    <w:rPr>
                      <w:szCs w:val="21"/>
                    </w:rPr>
                    <w:t>执行标准/功能区类别</w:t>
                  </w:r>
                </w:p>
              </w:tc>
              <w:tc>
                <w:tcPr>
                  <w:tcW w:w="1697" w:type="pct"/>
                  <w:vMerge w:val="restart"/>
                  <w:vAlign w:val="center"/>
                </w:tcPr>
                <w:p>
                  <w:pPr>
                    <w:pStyle w:val="68"/>
                    <w:rPr>
                      <w:szCs w:val="21"/>
                    </w:rPr>
                  </w:pPr>
                  <w:r>
                    <w:rPr>
                      <w:szCs w:val="21"/>
                    </w:rPr>
                    <w:t>声环境保护目标情况说明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147" w:type="pct"/>
                  <w:vMerge w:val="continue"/>
                  <w:vAlign w:val="center"/>
                </w:tcPr>
                <w:p>
                  <w:pPr>
                    <w:pStyle w:val="68"/>
                    <w:rPr>
                      <w:szCs w:val="21"/>
                    </w:rPr>
                  </w:pPr>
                </w:p>
              </w:tc>
              <w:tc>
                <w:tcPr>
                  <w:tcW w:w="504" w:type="pct"/>
                  <w:vMerge w:val="continue"/>
                  <w:vAlign w:val="center"/>
                </w:tcPr>
                <w:p>
                  <w:pPr>
                    <w:pStyle w:val="68"/>
                    <w:rPr>
                      <w:szCs w:val="21"/>
                    </w:rPr>
                  </w:pPr>
                </w:p>
              </w:tc>
              <w:tc>
                <w:tcPr>
                  <w:tcW w:w="241" w:type="pct"/>
                  <w:vAlign w:val="center"/>
                </w:tcPr>
                <w:p>
                  <w:pPr>
                    <w:pStyle w:val="68"/>
                    <w:rPr>
                      <w:szCs w:val="21"/>
                    </w:rPr>
                  </w:pPr>
                  <w:r>
                    <w:rPr>
                      <w:szCs w:val="21"/>
                    </w:rPr>
                    <w:t>X</w:t>
                  </w:r>
                </w:p>
              </w:tc>
              <w:tc>
                <w:tcPr>
                  <w:tcW w:w="269" w:type="pct"/>
                  <w:vAlign w:val="center"/>
                </w:tcPr>
                <w:p>
                  <w:pPr>
                    <w:pStyle w:val="68"/>
                    <w:rPr>
                      <w:szCs w:val="21"/>
                    </w:rPr>
                  </w:pPr>
                  <w:r>
                    <w:rPr>
                      <w:szCs w:val="21"/>
                    </w:rPr>
                    <w:t>Y</w:t>
                  </w:r>
                </w:p>
              </w:tc>
              <w:tc>
                <w:tcPr>
                  <w:tcW w:w="267" w:type="pct"/>
                  <w:vAlign w:val="center"/>
                </w:tcPr>
                <w:p>
                  <w:pPr>
                    <w:pStyle w:val="68"/>
                    <w:rPr>
                      <w:szCs w:val="21"/>
                    </w:rPr>
                  </w:pPr>
                  <w:r>
                    <w:rPr>
                      <w:szCs w:val="21"/>
                    </w:rPr>
                    <w:t>Z</w:t>
                  </w:r>
                </w:p>
              </w:tc>
              <w:tc>
                <w:tcPr>
                  <w:tcW w:w="447" w:type="pct"/>
                  <w:vMerge w:val="continue"/>
                  <w:vAlign w:val="center"/>
                </w:tcPr>
                <w:p>
                  <w:pPr>
                    <w:pStyle w:val="68"/>
                    <w:rPr>
                      <w:szCs w:val="21"/>
                    </w:rPr>
                  </w:pPr>
                </w:p>
              </w:tc>
              <w:tc>
                <w:tcPr>
                  <w:tcW w:w="267" w:type="pct"/>
                  <w:vMerge w:val="continue"/>
                  <w:vAlign w:val="center"/>
                </w:tcPr>
                <w:p>
                  <w:pPr>
                    <w:pStyle w:val="68"/>
                    <w:rPr>
                      <w:szCs w:val="21"/>
                    </w:rPr>
                  </w:pPr>
                </w:p>
              </w:tc>
              <w:tc>
                <w:tcPr>
                  <w:tcW w:w="1161" w:type="pct"/>
                  <w:vMerge w:val="continue"/>
                  <w:vAlign w:val="center"/>
                </w:tcPr>
                <w:p>
                  <w:pPr>
                    <w:pStyle w:val="68"/>
                    <w:rPr>
                      <w:szCs w:val="21"/>
                    </w:rPr>
                  </w:pPr>
                </w:p>
              </w:tc>
              <w:tc>
                <w:tcPr>
                  <w:tcW w:w="1697" w:type="pct"/>
                  <w:vMerge w:val="continue"/>
                  <w:vAlign w:val="center"/>
                </w:tcPr>
                <w:p>
                  <w:pPr>
                    <w:pStyle w:val="68"/>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147" w:type="pct"/>
                  <w:vAlign w:val="center"/>
                </w:tcPr>
                <w:p>
                  <w:pPr>
                    <w:pStyle w:val="68"/>
                    <w:rPr>
                      <w:szCs w:val="21"/>
                    </w:rPr>
                  </w:pPr>
                  <w:r>
                    <w:rPr>
                      <w:rFonts w:hint="eastAsia"/>
                      <w:szCs w:val="21"/>
                    </w:rPr>
                    <w:t>1</w:t>
                  </w:r>
                </w:p>
              </w:tc>
              <w:tc>
                <w:tcPr>
                  <w:tcW w:w="504" w:type="pct"/>
                  <w:vAlign w:val="center"/>
                </w:tcPr>
                <w:p>
                  <w:pPr>
                    <w:pStyle w:val="68"/>
                    <w:rPr>
                      <w:szCs w:val="21"/>
                    </w:rPr>
                  </w:pPr>
                  <w:r>
                    <w:rPr>
                      <w:rFonts w:hint="eastAsia"/>
                      <w:snapToGrid w:val="0"/>
                      <w:kern w:val="0"/>
                    </w:rPr>
                    <w:t>后马郡村散户</w:t>
                  </w:r>
                </w:p>
              </w:tc>
              <w:tc>
                <w:tcPr>
                  <w:tcW w:w="241" w:type="pct"/>
                  <w:vAlign w:val="center"/>
                </w:tcPr>
                <w:p>
                  <w:pPr>
                    <w:pStyle w:val="68"/>
                    <w:rPr>
                      <w:szCs w:val="21"/>
                    </w:rPr>
                  </w:pPr>
                  <w:r>
                    <w:rPr>
                      <w:rFonts w:hint="eastAsia"/>
                      <w:szCs w:val="21"/>
                    </w:rPr>
                    <w:t>0</w:t>
                  </w:r>
                </w:p>
              </w:tc>
              <w:tc>
                <w:tcPr>
                  <w:tcW w:w="269" w:type="pct"/>
                  <w:vAlign w:val="center"/>
                </w:tcPr>
                <w:p>
                  <w:pPr>
                    <w:pStyle w:val="68"/>
                    <w:rPr>
                      <w:szCs w:val="21"/>
                    </w:rPr>
                  </w:pPr>
                  <w:r>
                    <w:rPr>
                      <w:rFonts w:hint="eastAsia"/>
                      <w:szCs w:val="21"/>
                    </w:rPr>
                    <w:t>150</w:t>
                  </w:r>
                </w:p>
              </w:tc>
              <w:tc>
                <w:tcPr>
                  <w:tcW w:w="267" w:type="pct"/>
                  <w:vAlign w:val="center"/>
                </w:tcPr>
                <w:p>
                  <w:pPr>
                    <w:pStyle w:val="68"/>
                    <w:rPr>
                      <w:szCs w:val="21"/>
                    </w:rPr>
                  </w:pPr>
                  <w:r>
                    <w:rPr>
                      <w:rFonts w:hint="eastAsia"/>
                      <w:szCs w:val="21"/>
                    </w:rPr>
                    <w:t>1.5</w:t>
                  </w:r>
                </w:p>
              </w:tc>
              <w:tc>
                <w:tcPr>
                  <w:tcW w:w="447" w:type="pct"/>
                  <w:vAlign w:val="center"/>
                </w:tcPr>
                <w:p>
                  <w:pPr>
                    <w:pStyle w:val="68"/>
                    <w:rPr>
                      <w:szCs w:val="21"/>
                    </w:rPr>
                  </w:pPr>
                  <w:r>
                    <w:rPr>
                      <w:rFonts w:hint="eastAsia"/>
                      <w:szCs w:val="21"/>
                    </w:rPr>
                    <w:t>30</w:t>
                  </w:r>
                </w:p>
              </w:tc>
              <w:tc>
                <w:tcPr>
                  <w:tcW w:w="267" w:type="pct"/>
                  <w:vAlign w:val="center"/>
                </w:tcPr>
                <w:p>
                  <w:pPr>
                    <w:pStyle w:val="68"/>
                    <w:rPr>
                      <w:szCs w:val="21"/>
                    </w:rPr>
                  </w:pPr>
                  <w:r>
                    <w:rPr>
                      <w:rFonts w:hint="eastAsia"/>
                      <w:szCs w:val="21"/>
                    </w:rPr>
                    <w:t>N</w:t>
                  </w:r>
                </w:p>
              </w:tc>
              <w:tc>
                <w:tcPr>
                  <w:tcW w:w="1161" w:type="pct"/>
                  <w:vAlign w:val="center"/>
                </w:tcPr>
                <w:p>
                  <w:pPr>
                    <w:autoSpaceDE w:val="0"/>
                    <w:autoSpaceDN w:val="0"/>
                    <w:jc w:val="center"/>
                    <w:rPr>
                      <w:szCs w:val="21"/>
                    </w:rPr>
                  </w:pPr>
                  <w:r>
                    <w:rPr>
                      <w:rStyle w:val="31"/>
                      <w:rFonts w:hint="eastAsia"/>
                      <w:kern w:val="0"/>
                      <w:szCs w:val="20"/>
                    </w:rPr>
                    <w:t>《声环境质量标准》（GB3096-2008）2 类标准</w:t>
                  </w:r>
                </w:p>
              </w:tc>
              <w:tc>
                <w:tcPr>
                  <w:tcW w:w="1697" w:type="pct"/>
                  <w:vAlign w:val="center"/>
                </w:tcPr>
                <w:p>
                  <w:pPr>
                    <w:autoSpaceDE w:val="0"/>
                    <w:autoSpaceDN w:val="0"/>
                    <w:jc w:val="center"/>
                    <w:rPr>
                      <w:szCs w:val="21"/>
                    </w:rPr>
                  </w:pPr>
                  <w:r>
                    <w:rPr>
                      <w:rFonts w:hint="eastAsia"/>
                      <w:szCs w:val="21"/>
                    </w:rPr>
                    <w:t>3层民房砖混结构，南朝向，周边多为企业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5000" w:type="pct"/>
                  <w:gridSpan w:val="9"/>
                  <w:vAlign w:val="center"/>
                </w:tcPr>
                <w:p>
                  <w:pPr>
                    <w:autoSpaceDE w:val="0"/>
                    <w:autoSpaceDN w:val="0"/>
                    <w:jc w:val="left"/>
                    <w:rPr>
                      <w:szCs w:val="21"/>
                    </w:rPr>
                  </w:pPr>
                  <w:r>
                    <w:rPr>
                      <w:rFonts w:hint="eastAsia"/>
                      <w:szCs w:val="21"/>
                    </w:rPr>
                    <w:t>注：本项目原点为项目西南角</w:t>
                  </w:r>
                </w:p>
              </w:tc>
            </w:tr>
          </w:tbl>
          <w:p>
            <w:pPr>
              <w:pStyle w:val="53"/>
              <w:ind w:firstLine="480"/>
            </w:pPr>
            <w:r>
              <w:t>表</w:t>
            </w:r>
            <w:r>
              <w:rPr>
                <w:rFonts w:hint="eastAsia"/>
              </w:rPr>
              <w:t>26</w:t>
            </w:r>
            <w:r>
              <w:t xml:space="preserve">         本项目环境保护目标</w:t>
            </w:r>
            <w:r>
              <w:rPr>
                <w:rFonts w:hint="eastAsia"/>
              </w:rPr>
              <w:t>（地下水和生态环境）</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498"/>
              <w:gridCol w:w="1131"/>
              <w:gridCol w:w="708"/>
              <w:gridCol w:w="2127"/>
              <w:gridCol w:w="21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52" w:type="pct"/>
                  <w:vAlign w:val="center"/>
                </w:tcPr>
                <w:p>
                  <w:pPr>
                    <w:pStyle w:val="68"/>
                    <w:spacing w:line="400" w:lineRule="exact"/>
                    <w:rPr>
                      <w:snapToGrid w:val="0"/>
                      <w:kern w:val="0"/>
                    </w:rPr>
                  </w:pPr>
                  <w:r>
                    <w:rPr>
                      <w:snapToGrid w:val="0"/>
                      <w:kern w:val="0"/>
                    </w:rPr>
                    <w:t>序号</w:t>
                  </w:r>
                </w:p>
              </w:tc>
              <w:tc>
                <w:tcPr>
                  <w:tcW w:w="893" w:type="pct"/>
                  <w:vAlign w:val="center"/>
                </w:tcPr>
                <w:p>
                  <w:pPr>
                    <w:pStyle w:val="68"/>
                    <w:spacing w:line="400" w:lineRule="exact"/>
                    <w:rPr>
                      <w:snapToGrid w:val="0"/>
                      <w:kern w:val="0"/>
                    </w:rPr>
                  </w:pPr>
                  <w:r>
                    <w:t>环境要素</w:t>
                  </w:r>
                </w:p>
              </w:tc>
              <w:tc>
                <w:tcPr>
                  <w:tcW w:w="674" w:type="pct"/>
                  <w:vAlign w:val="center"/>
                </w:tcPr>
                <w:p>
                  <w:pPr>
                    <w:pStyle w:val="68"/>
                    <w:spacing w:line="400" w:lineRule="exact"/>
                    <w:rPr>
                      <w:snapToGrid w:val="0"/>
                      <w:kern w:val="0"/>
                    </w:rPr>
                  </w:pPr>
                  <w:r>
                    <w:rPr>
                      <w:snapToGrid w:val="0"/>
                      <w:kern w:val="0"/>
                    </w:rPr>
                    <w:t>保护目标</w:t>
                  </w:r>
                </w:p>
              </w:tc>
              <w:tc>
                <w:tcPr>
                  <w:tcW w:w="422" w:type="pct"/>
                  <w:vAlign w:val="center"/>
                </w:tcPr>
                <w:p>
                  <w:pPr>
                    <w:pStyle w:val="68"/>
                    <w:spacing w:line="400" w:lineRule="exact"/>
                    <w:rPr>
                      <w:snapToGrid w:val="0"/>
                      <w:kern w:val="0"/>
                    </w:rPr>
                  </w:pPr>
                  <w:r>
                    <w:rPr>
                      <w:snapToGrid w:val="0"/>
                      <w:kern w:val="0"/>
                    </w:rPr>
                    <w:t>方位</w:t>
                  </w:r>
                </w:p>
              </w:tc>
              <w:tc>
                <w:tcPr>
                  <w:tcW w:w="1268" w:type="pct"/>
                  <w:vAlign w:val="center"/>
                </w:tcPr>
                <w:p>
                  <w:pPr>
                    <w:pStyle w:val="68"/>
                    <w:spacing w:line="400" w:lineRule="exact"/>
                    <w:rPr>
                      <w:snapToGrid w:val="0"/>
                      <w:kern w:val="0"/>
                    </w:rPr>
                  </w:pPr>
                  <w:r>
                    <w:rPr>
                      <w:snapToGrid w:val="0"/>
                      <w:kern w:val="0"/>
                    </w:rPr>
                    <w:t>与厂界最近距离</w:t>
                  </w:r>
                  <w:r>
                    <w:t>（m）</w:t>
                  </w:r>
                </w:p>
              </w:tc>
              <w:tc>
                <w:tcPr>
                  <w:tcW w:w="1292" w:type="pct"/>
                  <w:vAlign w:val="center"/>
                </w:tcPr>
                <w:p>
                  <w:pPr>
                    <w:pStyle w:val="68"/>
                    <w:spacing w:line="400" w:lineRule="exact"/>
                    <w:rPr>
                      <w:snapToGrid w:val="0"/>
                      <w:kern w:val="0"/>
                    </w:rPr>
                  </w:pPr>
                  <w:r>
                    <w:t>目标功能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452" w:type="pct"/>
                  <w:vAlign w:val="center"/>
                </w:tcPr>
                <w:p>
                  <w:pPr>
                    <w:pStyle w:val="68"/>
                    <w:spacing w:line="400" w:lineRule="exact"/>
                    <w:rPr>
                      <w:snapToGrid w:val="0"/>
                      <w:kern w:val="0"/>
                    </w:rPr>
                  </w:pPr>
                  <w:r>
                    <w:rPr>
                      <w:rFonts w:hint="eastAsia"/>
                      <w:snapToGrid w:val="0"/>
                      <w:kern w:val="0"/>
                    </w:rPr>
                    <w:t>1</w:t>
                  </w:r>
                </w:p>
              </w:tc>
              <w:tc>
                <w:tcPr>
                  <w:tcW w:w="893" w:type="pct"/>
                  <w:vAlign w:val="center"/>
                </w:tcPr>
                <w:p>
                  <w:pPr>
                    <w:pStyle w:val="68"/>
                    <w:spacing w:line="400" w:lineRule="exact"/>
                    <w:rPr>
                      <w:snapToGrid w:val="0"/>
                      <w:kern w:val="0"/>
                    </w:rPr>
                  </w:pPr>
                  <w:r>
                    <w:rPr>
                      <w:snapToGrid w:val="0"/>
                      <w:kern w:val="0"/>
                    </w:rPr>
                    <w:t>地</w:t>
                  </w:r>
                  <w:r>
                    <w:rPr>
                      <w:rFonts w:hint="eastAsia"/>
                      <w:snapToGrid w:val="0"/>
                      <w:kern w:val="0"/>
                    </w:rPr>
                    <w:t>下</w:t>
                  </w:r>
                  <w:r>
                    <w:rPr>
                      <w:snapToGrid w:val="0"/>
                      <w:kern w:val="0"/>
                    </w:rPr>
                    <w:t>水</w:t>
                  </w:r>
                  <w:r>
                    <w:rPr>
                      <w:rFonts w:hint="eastAsia"/>
                      <w:snapToGrid w:val="0"/>
                      <w:kern w:val="0"/>
                    </w:rPr>
                    <w:t>环境</w:t>
                  </w:r>
                </w:p>
              </w:tc>
              <w:tc>
                <w:tcPr>
                  <w:tcW w:w="674" w:type="pct"/>
                  <w:vAlign w:val="center"/>
                </w:tcPr>
                <w:p>
                  <w:pPr>
                    <w:pStyle w:val="68"/>
                    <w:spacing w:line="400" w:lineRule="exact"/>
                  </w:pPr>
                  <w:r>
                    <w:rPr>
                      <w:rFonts w:hint="eastAsia"/>
                    </w:rPr>
                    <w:t>岳滩镇三水厂</w:t>
                  </w:r>
                </w:p>
              </w:tc>
              <w:tc>
                <w:tcPr>
                  <w:tcW w:w="422" w:type="pct"/>
                  <w:vAlign w:val="center"/>
                </w:tcPr>
                <w:p>
                  <w:pPr>
                    <w:pStyle w:val="68"/>
                    <w:spacing w:line="400" w:lineRule="exact"/>
                  </w:pPr>
                  <w:r>
                    <w:rPr>
                      <w:rFonts w:hint="eastAsia"/>
                    </w:rPr>
                    <w:t>W</w:t>
                  </w:r>
                </w:p>
              </w:tc>
              <w:tc>
                <w:tcPr>
                  <w:tcW w:w="1268" w:type="pct"/>
                  <w:vAlign w:val="center"/>
                </w:tcPr>
                <w:p>
                  <w:pPr>
                    <w:pStyle w:val="68"/>
                    <w:spacing w:line="400" w:lineRule="exact"/>
                  </w:pPr>
                  <w:r>
                    <w:rPr>
                      <w:rFonts w:hint="eastAsia"/>
                    </w:rPr>
                    <w:t>约60</w:t>
                  </w:r>
                </w:p>
              </w:tc>
              <w:tc>
                <w:tcPr>
                  <w:tcW w:w="1292" w:type="pct"/>
                  <w:vAlign w:val="center"/>
                </w:tcPr>
                <w:p>
                  <w:pPr>
                    <w:pStyle w:val="68"/>
                    <w:spacing w:line="400" w:lineRule="exact"/>
                  </w:pPr>
                  <w:r>
                    <w:rPr>
                      <w:rFonts w:hint="eastAsia"/>
                    </w:rPr>
                    <w:t>《地下水环境质量标准》（GB14848-2017）Ⅲ类水质标准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452" w:type="pct"/>
                  <w:vAlign w:val="center"/>
                </w:tcPr>
                <w:p>
                  <w:pPr>
                    <w:pStyle w:val="68"/>
                    <w:spacing w:line="400" w:lineRule="exact"/>
                    <w:rPr>
                      <w:snapToGrid w:val="0"/>
                      <w:kern w:val="0"/>
                    </w:rPr>
                  </w:pPr>
                  <w:r>
                    <w:rPr>
                      <w:rFonts w:hint="eastAsia"/>
                      <w:snapToGrid w:val="0"/>
                      <w:kern w:val="0"/>
                    </w:rPr>
                    <w:t>2</w:t>
                  </w:r>
                </w:p>
              </w:tc>
              <w:tc>
                <w:tcPr>
                  <w:tcW w:w="893" w:type="pct"/>
                  <w:vAlign w:val="center"/>
                </w:tcPr>
                <w:p>
                  <w:pPr>
                    <w:pStyle w:val="68"/>
                    <w:spacing w:line="400" w:lineRule="exact"/>
                    <w:rPr>
                      <w:snapToGrid w:val="0"/>
                      <w:kern w:val="0"/>
                    </w:rPr>
                  </w:pPr>
                  <w:r>
                    <w:rPr>
                      <w:rFonts w:hint="eastAsia"/>
                      <w:snapToGrid w:val="0"/>
                      <w:kern w:val="0"/>
                    </w:rPr>
                    <w:t>生态环境</w:t>
                  </w:r>
                </w:p>
              </w:tc>
              <w:tc>
                <w:tcPr>
                  <w:tcW w:w="3655" w:type="pct"/>
                  <w:gridSpan w:val="4"/>
                  <w:vAlign w:val="center"/>
                </w:tcPr>
                <w:p>
                  <w:pPr>
                    <w:pStyle w:val="68"/>
                    <w:spacing w:line="400" w:lineRule="exact"/>
                    <w:rPr>
                      <w:kern w:val="0"/>
                    </w:rPr>
                  </w:pPr>
                  <w:r>
                    <w:rPr>
                      <w:rFonts w:hint="eastAsia"/>
                      <w:kern w:val="0"/>
                    </w:rPr>
                    <w:t>本项目评价范围无生态保护目标</w:t>
                  </w:r>
                </w:p>
              </w:tc>
            </w:tr>
          </w:tbl>
          <w:p>
            <w:pPr>
              <w:adjustRightInd w:val="0"/>
              <w:snapToGrid w:val="0"/>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426" w:type="dxa"/>
            <w:tcMar>
              <w:left w:w="28" w:type="dxa"/>
              <w:right w:w="28" w:type="dxa"/>
            </w:tcMar>
            <w:vAlign w:val="center"/>
          </w:tcPr>
          <w:p>
            <w:pPr>
              <w:adjustRightInd w:val="0"/>
              <w:snapToGrid w:val="0"/>
              <w:jc w:val="center"/>
              <w:rPr>
                <w:rFonts w:ascii="宋体" w:hAnsi="宋体" w:cs="宋体"/>
                <w:kern w:val="0"/>
                <w:szCs w:val="21"/>
              </w:rPr>
            </w:pPr>
            <w:r>
              <w:rPr>
                <w:rFonts w:hint="eastAsia" w:ascii="宋体" w:hAnsi="宋体" w:cs="宋体"/>
                <w:kern w:val="0"/>
                <w:szCs w:val="21"/>
              </w:rPr>
              <w:t>污染物排放控制标准</w:t>
            </w:r>
          </w:p>
        </w:tc>
        <w:tc>
          <w:tcPr>
            <w:tcW w:w="8635" w:type="dxa"/>
            <w:vAlign w:val="center"/>
          </w:tcPr>
          <w:p>
            <w:pPr>
              <w:pStyle w:val="51"/>
              <w:ind w:firstLine="480"/>
            </w:pPr>
            <w:r>
              <w:t>（1）废气</w:t>
            </w:r>
          </w:p>
          <w:p>
            <w:pPr>
              <w:pStyle w:val="51"/>
              <w:ind w:firstLine="480"/>
            </w:pPr>
            <w:r>
              <w:rPr>
                <w:rFonts w:hint="eastAsia"/>
              </w:rPr>
              <w:t>热裁废气</w:t>
            </w:r>
            <w:r>
              <w:t>执行《合成树脂工业污染物排放标准》（GB31572-2015）表5特别排放限值（排气筒高度应不低于15 m）；</w:t>
            </w:r>
            <w:r>
              <w:rPr>
                <w:rFonts w:hint="eastAsia"/>
              </w:rPr>
              <w:t>印刷废气</w:t>
            </w:r>
            <w:r>
              <w:t>执行</w:t>
            </w:r>
            <w:r>
              <w:rPr>
                <w:rFonts w:hint="eastAsia"/>
              </w:rPr>
              <w:t>《河南省印刷工业挥发性有机物排放标准》（DB41/1956-2020）表1排放限值。</w:t>
            </w:r>
          </w:p>
          <w:p>
            <w:pPr>
              <w:pStyle w:val="51"/>
              <w:spacing w:line="500" w:lineRule="exact"/>
              <w:ind w:firstLine="480"/>
            </w:pPr>
            <w:r>
              <w:t>同时应满足河南省《关于全省开展工业企业挥发性有机物专项治理工作中排放建议值的通知》（豫环攻坚办【2017】162号）相关要求（建议排放浓度≤80 mg/m</w:t>
            </w:r>
            <w:r>
              <w:rPr>
                <w:vertAlign w:val="superscript"/>
              </w:rPr>
              <w:t>3</w:t>
            </w:r>
            <w:r>
              <w:t>，建议去除效率应≥70%；工业企业边界挥发性有机物排放建议值≤2.0 mg/m</w:t>
            </w:r>
            <w:r>
              <w:rPr>
                <w:vertAlign w:val="superscript"/>
              </w:rPr>
              <w:t>3</w:t>
            </w:r>
            <w:r>
              <w:t>）。</w:t>
            </w:r>
          </w:p>
          <w:p>
            <w:pPr>
              <w:pStyle w:val="51"/>
              <w:spacing w:line="500" w:lineRule="exact"/>
              <w:ind w:firstLine="480"/>
            </w:pPr>
            <w:r>
              <w:t>同时满足《挥发性有机物无组织排放控制标准》（GB37822-2019），厂区内VOCS无组织排放限值（特别排放限值：监控点处1m平均浓度值≤6mg/m</w:t>
            </w:r>
            <w:r>
              <w:rPr>
                <w:vertAlign w:val="superscript"/>
              </w:rPr>
              <w:t>3</w:t>
            </w:r>
            <w:r>
              <w:t>，监控点处任意一次浓度值≤20 mg/m</w:t>
            </w:r>
            <w:r>
              <w:rPr>
                <w:vertAlign w:val="superscript"/>
              </w:rPr>
              <w:t>3</w:t>
            </w:r>
            <w:r>
              <w:t>）。</w:t>
            </w:r>
          </w:p>
          <w:p>
            <w:pPr>
              <w:pStyle w:val="51"/>
              <w:ind w:firstLine="480"/>
            </w:pPr>
            <w:r>
              <w:t>废气排放标准见表</w:t>
            </w:r>
            <w:r>
              <w:rPr>
                <w:rFonts w:hint="eastAsia"/>
              </w:rPr>
              <w:t>27</w:t>
            </w:r>
            <w:r>
              <w:t>~表</w:t>
            </w:r>
            <w:r>
              <w:rPr>
                <w:rFonts w:hint="eastAsia"/>
              </w:rPr>
              <w:t>30</w:t>
            </w:r>
            <w:r>
              <w:t>。</w:t>
            </w:r>
          </w:p>
          <w:p>
            <w:pPr>
              <w:pStyle w:val="53"/>
              <w:ind w:firstLine="480"/>
            </w:pPr>
            <w:r>
              <w:t>表</w:t>
            </w:r>
            <w:r>
              <w:rPr>
                <w:rFonts w:hint="eastAsia"/>
              </w:rPr>
              <w:t>27</w:t>
            </w:r>
            <w:r>
              <w:t xml:space="preserve">            合成树脂工业大气污染物特别排放限值</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462"/>
              <w:gridCol w:w="2002"/>
              <w:gridCol w:w="1802"/>
              <w:gridCol w:w="1923"/>
              <w:gridCol w:w="12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4" w:hRule="atLeast"/>
                <w:jc w:val="center"/>
              </w:trPr>
              <w:tc>
                <w:tcPr>
                  <w:tcW w:w="872" w:type="pct"/>
                  <w:vMerge w:val="restart"/>
                  <w:vAlign w:val="center"/>
                </w:tcPr>
                <w:p>
                  <w:pPr>
                    <w:pStyle w:val="68"/>
                  </w:pPr>
                  <w:r>
                    <w:rPr>
                      <w:rFonts w:hint="eastAsia"/>
                    </w:rPr>
                    <w:t>污染物</w:t>
                  </w:r>
                </w:p>
              </w:tc>
              <w:tc>
                <w:tcPr>
                  <w:tcW w:w="2267" w:type="pct"/>
                  <w:gridSpan w:val="2"/>
                  <w:vAlign w:val="center"/>
                </w:tcPr>
                <w:p>
                  <w:pPr>
                    <w:pStyle w:val="68"/>
                  </w:pPr>
                  <w:r>
                    <w:rPr>
                      <w:rFonts w:hint="eastAsia"/>
                    </w:rPr>
                    <w:t>有组织排放</w:t>
                  </w:r>
                </w:p>
              </w:tc>
              <w:tc>
                <w:tcPr>
                  <w:tcW w:w="1861" w:type="pct"/>
                  <w:gridSpan w:val="2"/>
                  <w:vAlign w:val="center"/>
                </w:tcPr>
                <w:p>
                  <w:pPr>
                    <w:pStyle w:val="68"/>
                  </w:pPr>
                  <w:r>
                    <w:rPr>
                      <w:rFonts w:hint="eastAsia"/>
                    </w:rPr>
                    <w:t>无组织排放监控浓度限值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14" w:hRule="atLeast"/>
                <w:jc w:val="center"/>
              </w:trPr>
              <w:tc>
                <w:tcPr>
                  <w:tcW w:w="872" w:type="pct"/>
                  <w:vMerge w:val="continue"/>
                  <w:vAlign w:val="center"/>
                </w:tcPr>
                <w:p>
                  <w:pPr>
                    <w:pStyle w:val="68"/>
                  </w:pPr>
                </w:p>
              </w:tc>
              <w:tc>
                <w:tcPr>
                  <w:tcW w:w="1193" w:type="pct"/>
                  <w:vAlign w:val="center"/>
                </w:tcPr>
                <w:p>
                  <w:pPr>
                    <w:pStyle w:val="68"/>
                  </w:pPr>
                  <w:r>
                    <w:rPr>
                      <w:rFonts w:hint="eastAsia"/>
                    </w:rPr>
                    <w:t>特别排放限值</w:t>
                  </w:r>
                </w:p>
              </w:tc>
              <w:tc>
                <w:tcPr>
                  <w:tcW w:w="1074" w:type="pct"/>
                  <w:vAlign w:val="center"/>
                </w:tcPr>
                <w:p>
                  <w:pPr>
                    <w:pStyle w:val="68"/>
                    <w:rPr>
                      <w:highlight w:val="yellow"/>
                    </w:rPr>
                  </w:pPr>
                  <w:r>
                    <w:rPr>
                      <w:rFonts w:hint="eastAsia"/>
                    </w:rPr>
                    <w:t>排气筒高度</w:t>
                  </w:r>
                </w:p>
              </w:tc>
              <w:tc>
                <w:tcPr>
                  <w:tcW w:w="1146" w:type="pct"/>
                  <w:vAlign w:val="center"/>
                </w:tcPr>
                <w:p>
                  <w:pPr>
                    <w:pStyle w:val="68"/>
                  </w:pPr>
                  <w:r>
                    <w:rPr>
                      <w:rFonts w:hint="eastAsia"/>
                    </w:rPr>
                    <w:t>监控点</w:t>
                  </w:r>
                </w:p>
              </w:tc>
              <w:tc>
                <w:tcPr>
                  <w:tcW w:w="715" w:type="pct"/>
                  <w:vAlign w:val="center"/>
                </w:tcPr>
                <w:p>
                  <w:pPr>
                    <w:pStyle w:val="68"/>
                  </w:pPr>
                  <w:r>
                    <w:rPr>
                      <w:rFonts w:hint="eastAsia"/>
                    </w:rPr>
                    <w:t>浓度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8" w:hRule="atLeast"/>
                <w:jc w:val="center"/>
              </w:trPr>
              <w:tc>
                <w:tcPr>
                  <w:tcW w:w="872" w:type="pct"/>
                  <w:vAlign w:val="center"/>
                </w:tcPr>
                <w:p>
                  <w:pPr>
                    <w:pStyle w:val="68"/>
                  </w:pPr>
                  <w:r>
                    <w:rPr>
                      <w:rFonts w:hint="eastAsia"/>
                    </w:rPr>
                    <w:t>非甲烷总烃</w:t>
                  </w:r>
                </w:p>
              </w:tc>
              <w:tc>
                <w:tcPr>
                  <w:tcW w:w="1193" w:type="pct"/>
                  <w:vAlign w:val="center"/>
                </w:tcPr>
                <w:p>
                  <w:pPr>
                    <w:pStyle w:val="68"/>
                  </w:pPr>
                  <w:r>
                    <w:t>60mg/m</w:t>
                  </w:r>
                  <w:r>
                    <w:rPr>
                      <w:vertAlign w:val="superscript"/>
                    </w:rPr>
                    <w:t>3</w:t>
                  </w:r>
                </w:p>
              </w:tc>
              <w:tc>
                <w:tcPr>
                  <w:tcW w:w="1074" w:type="pct"/>
                  <w:vAlign w:val="center"/>
                </w:tcPr>
                <w:p>
                  <w:pPr>
                    <w:pStyle w:val="68"/>
                    <w:rPr>
                      <w:highlight w:val="yellow"/>
                    </w:rPr>
                  </w:pPr>
                  <w:r>
                    <w:t>15m</w:t>
                  </w:r>
                </w:p>
              </w:tc>
              <w:tc>
                <w:tcPr>
                  <w:tcW w:w="1146" w:type="pct"/>
                  <w:vAlign w:val="center"/>
                </w:tcPr>
                <w:p>
                  <w:pPr>
                    <w:pStyle w:val="68"/>
                  </w:pPr>
                  <w:r>
                    <w:rPr>
                      <w:rFonts w:hint="eastAsia"/>
                    </w:rPr>
                    <w:t>周界外浓度最高点</w:t>
                  </w:r>
                </w:p>
              </w:tc>
              <w:tc>
                <w:tcPr>
                  <w:tcW w:w="715" w:type="pct"/>
                  <w:vAlign w:val="center"/>
                </w:tcPr>
                <w:p>
                  <w:pPr>
                    <w:pStyle w:val="68"/>
                  </w:pPr>
                  <w:r>
                    <w:t>4.0mg/m</w:t>
                  </w:r>
                  <w:r>
                    <w:rPr>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8" w:hRule="atLeast"/>
                <w:jc w:val="center"/>
              </w:trPr>
              <w:tc>
                <w:tcPr>
                  <w:tcW w:w="5000" w:type="pct"/>
                  <w:gridSpan w:val="5"/>
                  <w:vAlign w:val="center"/>
                </w:tcPr>
                <w:p>
                  <w:pPr>
                    <w:pStyle w:val="68"/>
                  </w:pPr>
                  <w:r>
                    <w:rPr>
                      <w:rFonts w:hint="eastAsia"/>
                    </w:rPr>
                    <w:t>单位产品非甲烷总烃排放量</w:t>
                  </w:r>
                  <w:r>
                    <w:t xml:space="preserve">0.3kg/t </w:t>
                  </w:r>
                  <w:r>
                    <w:rPr>
                      <w:rFonts w:hint="eastAsia"/>
                    </w:rPr>
                    <w:t>产品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8" w:hRule="atLeast"/>
                <w:jc w:val="center"/>
              </w:trPr>
              <w:tc>
                <w:tcPr>
                  <w:tcW w:w="5000" w:type="pct"/>
                  <w:gridSpan w:val="5"/>
                  <w:vAlign w:val="center"/>
                </w:tcPr>
                <w:p>
                  <w:pPr>
                    <w:pStyle w:val="68"/>
                    <w:jc w:val="left"/>
                  </w:pPr>
                  <w:r>
                    <w:rPr>
                      <w:rFonts w:hint="eastAsia"/>
                    </w:rPr>
                    <w:t>注：排气筒高度还应高出周围</w:t>
                  </w:r>
                  <w:r>
                    <w:t>200m</w:t>
                  </w:r>
                  <w:r>
                    <w:rPr>
                      <w:rFonts w:hint="eastAsia"/>
                    </w:rPr>
                    <w:t>半径范围的建筑物</w:t>
                  </w:r>
                  <w:r>
                    <w:t>5m</w:t>
                  </w:r>
                  <w:r>
                    <w:rPr>
                      <w:rFonts w:hint="eastAsia"/>
                    </w:rPr>
                    <w:t>以上。</w:t>
                  </w:r>
                </w:p>
              </w:tc>
            </w:tr>
          </w:tbl>
          <w:p>
            <w:pPr>
              <w:pStyle w:val="53"/>
              <w:ind w:firstLine="480"/>
            </w:pPr>
            <w:r>
              <w:t>表</w:t>
            </w:r>
            <w:r>
              <w:rPr>
                <w:rFonts w:hint="eastAsia"/>
              </w:rPr>
              <w:t>28</w:t>
            </w:r>
            <w:r>
              <w:t xml:space="preserve">   《挥发性有机物无组织排放控制标准》（GB 37822-2019）</w:t>
            </w:r>
          </w:p>
          <w:tbl>
            <w:tblPr>
              <w:tblStyle w:val="2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65"/>
              <w:gridCol w:w="1596"/>
              <w:gridCol w:w="2985"/>
              <w:gridCol w:w="2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33" w:type="pct"/>
                  <w:vAlign w:val="center"/>
                </w:tcPr>
                <w:p>
                  <w:pPr>
                    <w:jc w:val="center"/>
                  </w:pPr>
                  <w:r>
                    <w:t>污染物项目</w:t>
                  </w:r>
                </w:p>
              </w:tc>
              <w:tc>
                <w:tcPr>
                  <w:tcW w:w="951" w:type="pct"/>
                  <w:vAlign w:val="center"/>
                </w:tcPr>
                <w:p>
                  <w:pPr>
                    <w:jc w:val="center"/>
                  </w:pPr>
                  <w:r>
                    <w:t>特别排放限值</w:t>
                  </w:r>
                </w:p>
              </w:tc>
              <w:tc>
                <w:tcPr>
                  <w:tcW w:w="1779" w:type="pct"/>
                  <w:vAlign w:val="center"/>
                </w:tcPr>
                <w:p>
                  <w:pPr>
                    <w:jc w:val="center"/>
                  </w:pPr>
                  <w:r>
                    <w:t>限值含义</w:t>
                  </w:r>
                </w:p>
              </w:tc>
              <w:tc>
                <w:tcPr>
                  <w:tcW w:w="1337" w:type="pct"/>
                  <w:vAlign w:val="center"/>
                </w:tcPr>
                <w:p>
                  <w:pPr>
                    <w:jc w:val="center"/>
                  </w:pPr>
                  <w:r>
                    <w:t>无组织排放监控位置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33" w:type="pct"/>
                  <w:vMerge w:val="restart"/>
                  <w:vAlign w:val="center"/>
                </w:tcPr>
                <w:p>
                  <w:pPr>
                    <w:jc w:val="center"/>
                  </w:pPr>
                  <w:r>
                    <w:t>非甲烷总烃（NMHC）</w:t>
                  </w:r>
                </w:p>
              </w:tc>
              <w:tc>
                <w:tcPr>
                  <w:tcW w:w="951" w:type="pct"/>
                  <w:vAlign w:val="center"/>
                </w:tcPr>
                <w:p>
                  <w:pPr>
                    <w:jc w:val="center"/>
                  </w:pPr>
                  <w:r>
                    <w:t>6 mg/m</w:t>
                  </w:r>
                  <w:r>
                    <w:rPr>
                      <w:vertAlign w:val="superscript"/>
                    </w:rPr>
                    <w:t>3</w:t>
                  </w:r>
                </w:p>
              </w:tc>
              <w:tc>
                <w:tcPr>
                  <w:tcW w:w="1779" w:type="pct"/>
                  <w:vAlign w:val="center"/>
                </w:tcPr>
                <w:p>
                  <w:pPr>
                    <w:jc w:val="center"/>
                  </w:pPr>
                  <w:r>
                    <w:t>监控点处1h平均浓度值</w:t>
                  </w:r>
                </w:p>
              </w:tc>
              <w:tc>
                <w:tcPr>
                  <w:tcW w:w="1337" w:type="pct"/>
                  <w:vMerge w:val="restart"/>
                  <w:vAlign w:val="center"/>
                </w:tcPr>
                <w:p>
                  <w:pPr>
                    <w:jc w:val="center"/>
                  </w:pPr>
                  <w:r>
                    <w:t>在厂房外设置监控点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33" w:type="pct"/>
                  <w:vMerge w:val="continue"/>
                  <w:vAlign w:val="center"/>
                </w:tcPr>
                <w:p>
                  <w:pPr>
                    <w:jc w:val="center"/>
                  </w:pPr>
                </w:p>
              </w:tc>
              <w:tc>
                <w:tcPr>
                  <w:tcW w:w="951" w:type="pct"/>
                  <w:vAlign w:val="center"/>
                </w:tcPr>
                <w:p>
                  <w:pPr>
                    <w:jc w:val="center"/>
                  </w:pPr>
                  <w:r>
                    <w:t>20 mg/m</w:t>
                  </w:r>
                  <w:r>
                    <w:rPr>
                      <w:vertAlign w:val="superscript"/>
                    </w:rPr>
                    <w:t>3</w:t>
                  </w:r>
                </w:p>
              </w:tc>
              <w:tc>
                <w:tcPr>
                  <w:tcW w:w="1779" w:type="pct"/>
                  <w:vAlign w:val="center"/>
                </w:tcPr>
                <w:p>
                  <w:pPr>
                    <w:jc w:val="center"/>
                  </w:pPr>
                  <w:r>
                    <w:t>监控点出任意一次浓度值</w:t>
                  </w:r>
                </w:p>
              </w:tc>
              <w:tc>
                <w:tcPr>
                  <w:tcW w:w="1337" w:type="pct"/>
                  <w:vMerge w:val="continue"/>
                  <w:vAlign w:val="center"/>
                </w:tcPr>
                <w:p>
                  <w:pPr>
                    <w:jc w:val="center"/>
                  </w:pPr>
                </w:p>
              </w:tc>
            </w:tr>
          </w:tbl>
          <w:p>
            <w:pPr>
              <w:pStyle w:val="53"/>
              <w:ind w:firstLine="480"/>
              <w:rPr>
                <w:sz w:val="21"/>
                <w:vertAlign w:val="superscript"/>
              </w:rPr>
            </w:pPr>
            <w:r>
              <w:t>表</w:t>
            </w:r>
            <w:r>
              <w:rPr>
                <w:rFonts w:hint="eastAsia"/>
              </w:rPr>
              <w:t>29</w:t>
            </w:r>
            <w:r>
              <w:t xml:space="preserve">  工业企业挥发性有机物专项治理工作中排放建议值的通知</w:t>
            </w:r>
          </w:p>
          <w:tbl>
            <w:tblPr>
              <w:tblStyle w:val="2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50"/>
              <w:gridCol w:w="1163"/>
              <w:gridCol w:w="1654"/>
              <w:gridCol w:w="1386"/>
              <w:gridCol w:w="1691"/>
              <w:gridCol w:w="12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45" w:type="pct"/>
                  <w:vAlign w:val="center"/>
                </w:tcPr>
                <w:p>
                  <w:pPr>
                    <w:pStyle w:val="68"/>
                    <w:spacing w:line="320" w:lineRule="exact"/>
                  </w:pPr>
                  <w:r>
                    <w:t>排放方式</w:t>
                  </w:r>
                </w:p>
              </w:tc>
              <w:tc>
                <w:tcPr>
                  <w:tcW w:w="693" w:type="pct"/>
                  <w:vAlign w:val="center"/>
                </w:tcPr>
                <w:p>
                  <w:pPr>
                    <w:pStyle w:val="68"/>
                    <w:spacing w:line="320" w:lineRule="exact"/>
                  </w:pPr>
                  <w:r>
                    <w:t>行业</w:t>
                  </w:r>
                </w:p>
              </w:tc>
              <w:tc>
                <w:tcPr>
                  <w:tcW w:w="986" w:type="pct"/>
                  <w:vAlign w:val="center"/>
                </w:tcPr>
                <w:p>
                  <w:pPr>
                    <w:pStyle w:val="68"/>
                    <w:spacing w:line="320" w:lineRule="exact"/>
                  </w:pPr>
                  <w:r>
                    <w:t>工艺设施</w:t>
                  </w:r>
                </w:p>
              </w:tc>
              <w:tc>
                <w:tcPr>
                  <w:tcW w:w="826" w:type="pct"/>
                  <w:vAlign w:val="center"/>
                </w:tcPr>
                <w:p>
                  <w:pPr>
                    <w:pStyle w:val="68"/>
                    <w:spacing w:line="320" w:lineRule="exact"/>
                  </w:pPr>
                  <w:r>
                    <w:t>污染物</w:t>
                  </w:r>
                </w:p>
              </w:tc>
              <w:tc>
                <w:tcPr>
                  <w:tcW w:w="1008" w:type="pct"/>
                  <w:vAlign w:val="center"/>
                </w:tcPr>
                <w:p>
                  <w:pPr>
                    <w:pStyle w:val="68"/>
                    <w:spacing w:line="320" w:lineRule="exact"/>
                  </w:pPr>
                  <w:r>
                    <w:t>建议排放浓度</w:t>
                  </w:r>
                </w:p>
              </w:tc>
              <w:tc>
                <w:tcPr>
                  <w:tcW w:w="742" w:type="pct"/>
                  <w:vAlign w:val="center"/>
                </w:tcPr>
                <w:p>
                  <w:pPr>
                    <w:pStyle w:val="68"/>
                    <w:spacing w:line="320" w:lineRule="exact"/>
                  </w:pPr>
                  <w:r>
                    <w:t>去除效率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45" w:type="pct"/>
                  <w:vAlign w:val="center"/>
                </w:tcPr>
                <w:p>
                  <w:pPr>
                    <w:pStyle w:val="68"/>
                    <w:spacing w:line="320" w:lineRule="exact"/>
                  </w:pPr>
                  <w:r>
                    <w:t>有组织</w:t>
                  </w:r>
                </w:p>
              </w:tc>
              <w:tc>
                <w:tcPr>
                  <w:tcW w:w="693" w:type="pct"/>
                  <w:vMerge w:val="restart"/>
                  <w:vAlign w:val="center"/>
                </w:tcPr>
                <w:p>
                  <w:pPr>
                    <w:pStyle w:val="68"/>
                    <w:spacing w:line="320" w:lineRule="exact"/>
                  </w:pPr>
                  <w:r>
                    <w:t>其他企业</w:t>
                  </w:r>
                </w:p>
              </w:tc>
              <w:tc>
                <w:tcPr>
                  <w:tcW w:w="986" w:type="pct"/>
                  <w:vAlign w:val="center"/>
                </w:tcPr>
                <w:p>
                  <w:pPr>
                    <w:pStyle w:val="68"/>
                    <w:spacing w:line="320" w:lineRule="exact"/>
                  </w:pPr>
                  <w:r>
                    <w:t>排放口</w:t>
                  </w:r>
                </w:p>
              </w:tc>
              <w:tc>
                <w:tcPr>
                  <w:tcW w:w="826" w:type="pct"/>
                  <w:vAlign w:val="center"/>
                </w:tcPr>
                <w:p>
                  <w:pPr>
                    <w:pStyle w:val="68"/>
                    <w:spacing w:line="320" w:lineRule="exact"/>
                  </w:pPr>
                  <w:r>
                    <w:t>非甲烷总烃</w:t>
                  </w:r>
                </w:p>
              </w:tc>
              <w:tc>
                <w:tcPr>
                  <w:tcW w:w="1008" w:type="pct"/>
                  <w:vAlign w:val="center"/>
                </w:tcPr>
                <w:p>
                  <w:pPr>
                    <w:pStyle w:val="68"/>
                    <w:spacing w:line="320" w:lineRule="exact"/>
                  </w:pPr>
                  <w:r>
                    <w:t>80.0 mg/m</w:t>
                  </w:r>
                  <w:r>
                    <w:rPr>
                      <w:vertAlign w:val="superscript"/>
                    </w:rPr>
                    <w:t>3</w:t>
                  </w:r>
                </w:p>
              </w:tc>
              <w:tc>
                <w:tcPr>
                  <w:tcW w:w="742" w:type="pct"/>
                  <w:vAlign w:val="center"/>
                </w:tcPr>
                <w:p>
                  <w:pPr>
                    <w:pStyle w:val="68"/>
                    <w:spacing w:line="320" w:lineRule="exact"/>
                  </w:pPr>
                  <w:r>
                    <w:t>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45" w:type="pct"/>
                  <w:vAlign w:val="center"/>
                </w:tcPr>
                <w:p>
                  <w:pPr>
                    <w:pStyle w:val="68"/>
                    <w:spacing w:line="320" w:lineRule="exact"/>
                  </w:pPr>
                  <w:r>
                    <w:t>无组织</w:t>
                  </w:r>
                </w:p>
              </w:tc>
              <w:tc>
                <w:tcPr>
                  <w:tcW w:w="693" w:type="pct"/>
                  <w:vMerge w:val="continue"/>
                  <w:vAlign w:val="center"/>
                </w:tcPr>
                <w:p>
                  <w:pPr>
                    <w:pStyle w:val="68"/>
                    <w:spacing w:line="320" w:lineRule="exact"/>
                  </w:pPr>
                </w:p>
              </w:tc>
              <w:tc>
                <w:tcPr>
                  <w:tcW w:w="986" w:type="pct"/>
                  <w:vAlign w:val="center"/>
                </w:tcPr>
                <w:p>
                  <w:pPr>
                    <w:pStyle w:val="68"/>
                    <w:spacing w:line="320" w:lineRule="exact"/>
                  </w:pPr>
                  <w:r>
                    <w:t>厂界</w:t>
                  </w:r>
                </w:p>
              </w:tc>
              <w:tc>
                <w:tcPr>
                  <w:tcW w:w="826" w:type="pct"/>
                  <w:vAlign w:val="center"/>
                </w:tcPr>
                <w:p>
                  <w:pPr>
                    <w:pStyle w:val="68"/>
                    <w:spacing w:line="320" w:lineRule="exact"/>
                  </w:pPr>
                  <w:r>
                    <w:t>非甲烷总烃</w:t>
                  </w:r>
                </w:p>
              </w:tc>
              <w:tc>
                <w:tcPr>
                  <w:tcW w:w="1008" w:type="pct"/>
                  <w:vAlign w:val="center"/>
                </w:tcPr>
                <w:p>
                  <w:pPr>
                    <w:pStyle w:val="68"/>
                    <w:spacing w:line="320" w:lineRule="exact"/>
                  </w:pPr>
                  <w:r>
                    <w:t>2.0 mg/m</w:t>
                  </w:r>
                  <w:r>
                    <w:rPr>
                      <w:vertAlign w:val="superscript"/>
                    </w:rPr>
                    <w:t>3</w:t>
                  </w:r>
                </w:p>
              </w:tc>
              <w:tc>
                <w:tcPr>
                  <w:tcW w:w="742" w:type="pct"/>
                  <w:vAlign w:val="center"/>
                </w:tcPr>
                <w:p>
                  <w:pPr>
                    <w:pStyle w:val="68"/>
                    <w:spacing w:line="320" w:lineRule="exact"/>
                  </w:pPr>
                  <w:r>
                    <w:t>/</w:t>
                  </w:r>
                </w:p>
              </w:tc>
            </w:tr>
          </w:tbl>
          <w:p>
            <w:pPr>
              <w:pStyle w:val="53"/>
              <w:ind w:firstLine="480"/>
            </w:pPr>
            <w:r>
              <w:t>表</w:t>
            </w:r>
            <w:r>
              <w:rPr>
                <w:rFonts w:hint="eastAsia"/>
              </w:rPr>
              <w:t>30</w:t>
            </w:r>
            <w:r>
              <w:t xml:space="preserve">        河南省印刷工业挥发性有机物排放限值</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28"/>
              <w:gridCol w:w="3593"/>
              <w:gridCol w:w="26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4" w:hRule="atLeast"/>
                <w:jc w:val="center"/>
              </w:trPr>
              <w:tc>
                <w:tcPr>
                  <w:tcW w:w="1268" w:type="pct"/>
                  <w:vAlign w:val="center"/>
                </w:tcPr>
                <w:p>
                  <w:pPr>
                    <w:pStyle w:val="68"/>
                  </w:pPr>
                  <w:r>
                    <w:t>污染物</w:t>
                  </w:r>
                </w:p>
              </w:tc>
              <w:tc>
                <w:tcPr>
                  <w:tcW w:w="2141" w:type="pct"/>
                  <w:tcBorders>
                    <w:right w:val="single" w:color="auto" w:sz="4" w:space="0"/>
                  </w:tcBorders>
                  <w:vAlign w:val="center"/>
                </w:tcPr>
                <w:p>
                  <w:pPr>
                    <w:pStyle w:val="68"/>
                  </w:pPr>
                  <w:r>
                    <w:t>有组织特别排放浓度限值</w:t>
                  </w:r>
                </w:p>
              </w:tc>
              <w:tc>
                <w:tcPr>
                  <w:tcW w:w="1590" w:type="pct"/>
                  <w:tcBorders>
                    <w:right w:val="single" w:color="auto" w:sz="4" w:space="0"/>
                  </w:tcBorders>
                </w:tcPr>
                <w:p>
                  <w:pPr>
                    <w:pStyle w:val="68"/>
                  </w:pPr>
                  <w:r>
                    <w:t>最高允许排放速率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 w:hRule="atLeast"/>
                <w:jc w:val="center"/>
              </w:trPr>
              <w:tc>
                <w:tcPr>
                  <w:tcW w:w="1268" w:type="pct"/>
                  <w:vAlign w:val="center"/>
                </w:tcPr>
                <w:p>
                  <w:pPr>
                    <w:pStyle w:val="68"/>
                  </w:pPr>
                  <w:r>
                    <w:t>非甲烷总烃</w:t>
                  </w:r>
                </w:p>
              </w:tc>
              <w:tc>
                <w:tcPr>
                  <w:tcW w:w="2141" w:type="pct"/>
                  <w:tcBorders>
                    <w:right w:val="single" w:color="auto" w:sz="4" w:space="0"/>
                  </w:tcBorders>
                  <w:vAlign w:val="center"/>
                </w:tcPr>
                <w:p>
                  <w:pPr>
                    <w:pStyle w:val="68"/>
                  </w:pPr>
                  <w:r>
                    <w:t>40mg/m</w:t>
                  </w:r>
                  <w:r>
                    <w:rPr>
                      <w:vertAlign w:val="superscript"/>
                    </w:rPr>
                    <w:t>3</w:t>
                  </w:r>
                </w:p>
              </w:tc>
              <w:tc>
                <w:tcPr>
                  <w:tcW w:w="1590" w:type="pct"/>
                  <w:tcBorders>
                    <w:right w:val="single" w:color="auto" w:sz="4" w:space="0"/>
                  </w:tcBorders>
                </w:tcPr>
                <w:p>
                  <w:pPr>
                    <w:pStyle w:val="68"/>
                  </w:pPr>
                  <w:r>
                    <w:t>1.0kg/h</w:t>
                  </w:r>
                </w:p>
              </w:tc>
            </w:tr>
          </w:tbl>
          <w:p>
            <w:pPr>
              <w:pStyle w:val="51"/>
              <w:ind w:firstLine="480"/>
            </w:pPr>
            <w:r>
              <w:t>（2）废水</w:t>
            </w:r>
          </w:p>
          <w:p>
            <w:pPr>
              <w:pStyle w:val="51"/>
              <w:ind w:firstLine="480"/>
            </w:pPr>
            <w:r>
              <w:t>本项目生活污水依托厂区化粪池预处理后</w:t>
            </w:r>
            <w:r>
              <w:rPr>
                <w:rFonts w:hint="eastAsia"/>
              </w:rPr>
              <w:t>近期用于施肥，远期管网敷设到位后</w:t>
            </w:r>
            <w:r>
              <w:t>满足《污水综合排放标准》（GB8978-1996）表4三级标准后通过市政污水管网送偃师市第三污水处理厂深度处理，具体标准值见下表。</w:t>
            </w:r>
          </w:p>
          <w:p>
            <w:pPr>
              <w:pStyle w:val="51"/>
              <w:ind w:firstLine="480"/>
            </w:pPr>
          </w:p>
          <w:p>
            <w:pPr>
              <w:pStyle w:val="51"/>
              <w:ind w:firstLine="480"/>
            </w:pPr>
          </w:p>
          <w:p>
            <w:pPr>
              <w:spacing w:line="520" w:lineRule="exact"/>
              <w:ind w:firstLine="480" w:firstLineChars="200"/>
              <w:rPr>
                <w:sz w:val="24"/>
              </w:rPr>
            </w:pPr>
            <w:r>
              <w:rPr>
                <w:rFonts w:eastAsia="黑体"/>
                <w:sz w:val="24"/>
              </w:rPr>
              <w:t>表</w:t>
            </w:r>
            <w:r>
              <w:rPr>
                <w:rFonts w:hint="eastAsia" w:eastAsia="黑体"/>
                <w:sz w:val="24"/>
              </w:rPr>
              <w:t>31</w:t>
            </w:r>
            <w:r>
              <w:rPr>
                <w:rFonts w:eastAsia="黑体"/>
                <w:sz w:val="24"/>
              </w:rPr>
              <w:t xml:space="preserve">    污水综合排放标准及污水处理厂进水水质       </w:t>
            </w:r>
            <w:r>
              <w:rPr>
                <w:sz w:val="24"/>
              </w:rPr>
              <w:t>单位：mg/L</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5424"/>
              <w:gridCol w:w="1045"/>
              <w:gridCol w:w="1044"/>
              <w:gridCol w:w="8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233" w:type="pct"/>
                  <w:vAlign w:val="center"/>
                </w:tcPr>
                <w:p>
                  <w:pPr>
                    <w:spacing w:line="440" w:lineRule="exact"/>
                    <w:jc w:val="center"/>
                    <w:rPr>
                      <w:szCs w:val="21"/>
                    </w:rPr>
                  </w:pPr>
                  <w:r>
                    <w:rPr>
                      <w:szCs w:val="21"/>
                    </w:rPr>
                    <w:t>项目</w:t>
                  </w:r>
                </w:p>
              </w:tc>
              <w:tc>
                <w:tcPr>
                  <w:tcW w:w="623" w:type="pct"/>
                  <w:vAlign w:val="center"/>
                </w:tcPr>
                <w:p>
                  <w:pPr>
                    <w:spacing w:line="440" w:lineRule="exact"/>
                    <w:jc w:val="center"/>
                    <w:rPr>
                      <w:szCs w:val="21"/>
                    </w:rPr>
                  </w:pPr>
                  <w:r>
                    <w:rPr>
                      <w:szCs w:val="21"/>
                    </w:rPr>
                    <w:t>COD</w:t>
                  </w:r>
                </w:p>
              </w:tc>
              <w:tc>
                <w:tcPr>
                  <w:tcW w:w="622" w:type="pct"/>
                  <w:vAlign w:val="center"/>
                </w:tcPr>
                <w:p>
                  <w:pPr>
                    <w:spacing w:line="440" w:lineRule="exact"/>
                    <w:jc w:val="center"/>
                    <w:rPr>
                      <w:szCs w:val="21"/>
                    </w:rPr>
                  </w:pPr>
                  <w:r>
                    <w:rPr>
                      <w:szCs w:val="21"/>
                    </w:rPr>
                    <w:t>BOD</w:t>
                  </w:r>
                  <w:r>
                    <w:rPr>
                      <w:szCs w:val="21"/>
                      <w:vertAlign w:val="subscript"/>
                    </w:rPr>
                    <w:t>5</w:t>
                  </w:r>
                </w:p>
              </w:tc>
              <w:tc>
                <w:tcPr>
                  <w:tcW w:w="522" w:type="pct"/>
                  <w:vAlign w:val="center"/>
                </w:tcPr>
                <w:p>
                  <w:pPr>
                    <w:spacing w:line="440" w:lineRule="exact"/>
                    <w:jc w:val="center"/>
                    <w:rPr>
                      <w:szCs w:val="21"/>
                    </w:rPr>
                  </w:pPr>
                  <w:r>
                    <w:rPr>
                      <w:szCs w:val="21"/>
                    </w:rPr>
                    <w:t>氨氮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26" w:hRule="atLeast"/>
                <w:jc w:val="center"/>
              </w:trPr>
              <w:tc>
                <w:tcPr>
                  <w:tcW w:w="3233" w:type="pct"/>
                  <w:vAlign w:val="center"/>
                </w:tcPr>
                <w:p>
                  <w:pPr>
                    <w:spacing w:line="440" w:lineRule="exact"/>
                    <w:jc w:val="center"/>
                    <w:rPr>
                      <w:szCs w:val="21"/>
                    </w:rPr>
                  </w:pPr>
                  <w:r>
                    <w:rPr>
                      <w:szCs w:val="21"/>
                    </w:rPr>
                    <w:t>《污水综合排放标准》（GB8978-1996）表4三级标准</w:t>
                  </w:r>
                </w:p>
              </w:tc>
              <w:tc>
                <w:tcPr>
                  <w:tcW w:w="623" w:type="pct"/>
                  <w:vAlign w:val="center"/>
                </w:tcPr>
                <w:p>
                  <w:pPr>
                    <w:spacing w:line="440" w:lineRule="exact"/>
                    <w:jc w:val="center"/>
                    <w:rPr>
                      <w:szCs w:val="21"/>
                    </w:rPr>
                  </w:pPr>
                  <w:r>
                    <w:rPr>
                      <w:szCs w:val="21"/>
                    </w:rPr>
                    <w:t>500</w:t>
                  </w:r>
                </w:p>
              </w:tc>
              <w:tc>
                <w:tcPr>
                  <w:tcW w:w="622" w:type="pct"/>
                  <w:vAlign w:val="center"/>
                </w:tcPr>
                <w:p>
                  <w:pPr>
                    <w:spacing w:line="440" w:lineRule="exact"/>
                    <w:jc w:val="center"/>
                    <w:rPr>
                      <w:szCs w:val="21"/>
                    </w:rPr>
                  </w:pPr>
                  <w:r>
                    <w:rPr>
                      <w:szCs w:val="21"/>
                    </w:rPr>
                    <w:t>300</w:t>
                  </w:r>
                </w:p>
              </w:tc>
              <w:tc>
                <w:tcPr>
                  <w:tcW w:w="522" w:type="pct"/>
                  <w:vAlign w:val="center"/>
                </w:tcPr>
                <w:p>
                  <w:pPr>
                    <w:spacing w:line="440" w:lineRule="exact"/>
                    <w:jc w:val="center"/>
                    <w:rPr>
                      <w:szCs w:val="21"/>
                    </w:rPr>
                  </w:pPr>
                  <w:r>
                    <w:rPr>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26" w:hRule="atLeast"/>
                <w:jc w:val="center"/>
              </w:trPr>
              <w:tc>
                <w:tcPr>
                  <w:tcW w:w="3233" w:type="pct"/>
                  <w:vAlign w:val="center"/>
                </w:tcPr>
                <w:p>
                  <w:pPr>
                    <w:spacing w:line="440" w:lineRule="exact"/>
                    <w:jc w:val="center"/>
                    <w:rPr>
                      <w:szCs w:val="21"/>
                    </w:rPr>
                  </w:pPr>
                  <w:r>
                    <w:rPr>
                      <w:szCs w:val="21"/>
                    </w:rPr>
                    <w:t>偃师市第三污水处理厂设计进水水质</w:t>
                  </w:r>
                </w:p>
              </w:tc>
              <w:tc>
                <w:tcPr>
                  <w:tcW w:w="623" w:type="pct"/>
                  <w:vAlign w:val="center"/>
                </w:tcPr>
                <w:p>
                  <w:pPr>
                    <w:spacing w:line="440" w:lineRule="exact"/>
                    <w:jc w:val="center"/>
                    <w:rPr>
                      <w:szCs w:val="21"/>
                    </w:rPr>
                  </w:pPr>
                  <w:r>
                    <w:rPr>
                      <w:szCs w:val="21"/>
                    </w:rPr>
                    <w:t>350</w:t>
                  </w:r>
                </w:p>
              </w:tc>
              <w:tc>
                <w:tcPr>
                  <w:tcW w:w="622" w:type="pct"/>
                  <w:vAlign w:val="center"/>
                </w:tcPr>
                <w:p>
                  <w:pPr>
                    <w:spacing w:line="440" w:lineRule="exact"/>
                    <w:jc w:val="center"/>
                    <w:rPr>
                      <w:szCs w:val="21"/>
                    </w:rPr>
                  </w:pPr>
                  <w:r>
                    <w:rPr>
                      <w:szCs w:val="21"/>
                    </w:rPr>
                    <w:t>/</w:t>
                  </w:r>
                </w:p>
              </w:tc>
              <w:tc>
                <w:tcPr>
                  <w:tcW w:w="522" w:type="pct"/>
                  <w:vAlign w:val="center"/>
                </w:tcPr>
                <w:p>
                  <w:pPr>
                    <w:spacing w:line="440" w:lineRule="exact"/>
                    <w:jc w:val="center"/>
                    <w:rPr>
                      <w:szCs w:val="21"/>
                    </w:rPr>
                  </w:pPr>
                  <w:r>
                    <w:rPr>
                      <w:szCs w:val="21"/>
                    </w:rPr>
                    <w:t>35</w:t>
                  </w:r>
                </w:p>
              </w:tc>
            </w:tr>
          </w:tbl>
          <w:p>
            <w:pPr>
              <w:pStyle w:val="51"/>
              <w:ind w:firstLine="480"/>
            </w:pPr>
            <w:r>
              <w:t>（3）噪声</w:t>
            </w:r>
          </w:p>
          <w:p>
            <w:pPr>
              <w:pStyle w:val="51"/>
              <w:ind w:firstLine="480"/>
            </w:pPr>
            <w:r>
              <w:t>运营期厂界噪声执行《工业企业厂界环境噪声排放标准》（GB12348－2008）中2类标准要求。</w:t>
            </w:r>
          </w:p>
          <w:p>
            <w:pPr>
              <w:pStyle w:val="51"/>
              <w:ind w:firstLine="480"/>
            </w:pPr>
            <w:r>
              <w:t>噪声排放标准见表</w:t>
            </w:r>
            <w:r>
              <w:rPr>
                <w:rFonts w:hint="eastAsia"/>
              </w:rPr>
              <w:t>32</w:t>
            </w:r>
            <w:r>
              <w:t>。</w:t>
            </w:r>
          </w:p>
          <w:p>
            <w:pPr>
              <w:pStyle w:val="53"/>
              <w:ind w:firstLine="480"/>
            </w:pPr>
            <w:r>
              <w:t>表</w:t>
            </w:r>
            <w:r>
              <w:rPr>
                <w:rFonts w:hint="eastAsia"/>
              </w:rPr>
              <w:t>32</w:t>
            </w:r>
            <w:r>
              <w:t xml:space="preserve">                 噪声排放标准</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92"/>
              <w:gridCol w:w="1496"/>
              <w:gridCol w:w="30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78" w:type="pct"/>
                  <w:vAlign w:val="center"/>
                </w:tcPr>
                <w:p>
                  <w:pPr>
                    <w:pStyle w:val="68"/>
                    <w:spacing w:line="400" w:lineRule="exact"/>
                  </w:pPr>
                  <w:r>
                    <w:t>标准名称及级(类)别</w:t>
                  </w:r>
                </w:p>
              </w:tc>
              <w:tc>
                <w:tcPr>
                  <w:tcW w:w="837" w:type="pct"/>
                  <w:vAlign w:val="center"/>
                </w:tcPr>
                <w:p>
                  <w:pPr>
                    <w:pStyle w:val="68"/>
                    <w:spacing w:line="400" w:lineRule="exact"/>
                  </w:pPr>
                  <w:r>
                    <w:t>污染因子</w:t>
                  </w:r>
                </w:p>
              </w:tc>
              <w:tc>
                <w:tcPr>
                  <w:tcW w:w="1679" w:type="pct"/>
                  <w:vAlign w:val="center"/>
                </w:tcPr>
                <w:p>
                  <w:pPr>
                    <w:pStyle w:val="68"/>
                    <w:spacing w:line="400" w:lineRule="exact"/>
                  </w:pPr>
                  <w:r>
                    <w:t>标准限值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2178" w:type="pct"/>
                  <w:vAlign w:val="center"/>
                </w:tcPr>
                <w:p>
                  <w:pPr>
                    <w:pStyle w:val="68"/>
                    <w:spacing w:line="400" w:lineRule="exact"/>
                  </w:pPr>
                  <w:r>
                    <w:t>《工业企业厂界环境噪声排放标准》（GB12348-2008）2类标准</w:t>
                  </w:r>
                </w:p>
              </w:tc>
              <w:tc>
                <w:tcPr>
                  <w:tcW w:w="837" w:type="pct"/>
                  <w:vAlign w:val="center"/>
                </w:tcPr>
                <w:p>
                  <w:pPr>
                    <w:pStyle w:val="68"/>
                    <w:spacing w:line="400" w:lineRule="exact"/>
                  </w:pPr>
                  <w:r>
                    <w:rPr>
                      <w:kern w:val="28"/>
                      <w:szCs w:val="21"/>
                    </w:rPr>
                    <w:t>等效A声级</w:t>
                  </w:r>
                </w:p>
              </w:tc>
              <w:tc>
                <w:tcPr>
                  <w:tcW w:w="1679" w:type="pct"/>
                  <w:vAlign w:val="center"/>
                </w:tcPr>
                <w:p>
                  <w:pPr>
                    <w:pStyle w:val="68"/>
                    <w:spacing w:line="400" w:lineRule="exact"/>
                  </w:pPr>
                  <w:r>
                    <w:t>昼间60dB(A)  夜间50B(A)</w:t>
                  </w:r>
                </w:p>
              </w:tc>
            </w:tr>
          </w:tbl>
          <w:p>
            <w:pPr>
              <w:pStyle w:val="51"/>
              <w:ind w:firstLine="480"/>
            </w:pPr>
            <w:r>
              <w:t>（4）固废</w:t>
            </w:r>
          </w:p>
          <w:p>
            <w:pPr>
              <w:pStyle w:val="51"/>
              <w:ind w:firstLine="480"/>
            </w:pPr>
            <w:r>
              <w:t>一般固废暂存间满足防渗漏、防雨淋、防扬尘等环境保护要求。</w:t>
            </w:r>
          </w:p>
          <w:p>
            <w:pPr>
              <w:pStyle w:val="51"/>
              <w:ind w:firstLine="480"/>
              <w:rPr>
                <w:rFonts w:ascii="宋体" w:hAnsi="宋体" w:cs="宋体"/>
                <w:kern w:val="0"/>
                <w:szCs w:val="21"/>
              </w:rPr>
            </w:pPr>
            <w:r>
              <w:t>危险废物：执行《危险废物贮存污染控制标准》（GB 18597-20</w:t>
            </w:r>
            <w:r>
              <w:rPr>
                <w:rFonts w:hint="eastAsia"/>
              </w:rPr>
              <w:t>23</w:t>
            </w: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Align w:val="center"/>
          </w:tcPr>
          <w:p>
            <w:pPr>
              <w:adjustRightInd w:val="0"/>
              <w:snapToGrid w:val="0"/>
              <w:jc w:val="center"/>
              <w:rPr>
                <w:rFonts w:ascii="宋体" w:hAnsi="宋体" w:cs="宋体"/>
                <w:kern w:val="0"/>
                <w:szCs w:val="21"/>
              </w:rPr>
            </w:pPr>
            <w:r>
              <w:rPr>
                <w:rFonts w:hint="eastAsia" w:ascii="宋体" w:hAnsi="宋体" w:cs="宋体"/>
                <w:kern w:val="0"/>
                <w:szCs w:val="21"/>
              </w:rPr>
              <w:t>总量</w:t>
            </w:r>
          </w:p>
          <w:p>
            <w:pPr>
              <w:adjustRightInd w:val="0"/>
              <w:snapToGrid w:val="0"/>
              <w:jc w:val="center"/>
              <w:rPr>
                <w:rFonts w:ascii="宋体" w:hAnsi="宋体" w:cs="宋体"/>
                <w:kern w:val="0"/>
                <w:szCs w:val="21"/>
              </w:rPr>
            </w:pPr>
            <w:r>
              <w:rPr>
                <w:rFonts w:hint="eastAsia" w:ascii="宋体" w:hAnsi="宋体" w:cs="宋体"/>
                <w:kern w:val="0"/>
                <w:szCs w:val="21"/>
              </w:rPr>
              <w:t>控制</w:t>
            </w:r>
          </w:p>
          <w:p>
            <w:pPr>
              <w:adjustRightInd w:val="0"/>
              <w:snapToGrid w:val="0"/>
              <w:jc w:val="center"/>
              <w:rPr>
                <w:rFonts w:ascii="宋体" w:hAnsi="宋体" w:cs="宋体"/>
                <w:kern w:val="0"/>
                <w:szCs w:val="21"/>
              </w:rPr>
            </w:pPr>
            <w:r>
              <w:rPr>
                <w:rFonts w:hint="eastAsia" w:ascii="宋体" w:hAnsi="宋体" w:cs="宋体"/>
                <w:kern w:val="0"/>
                <w:szCs w:val="21"/>
              </w:rPr>
              <w:t>指标</w:t>
            </w:r>
          </w:p>
        </w:tc>
        <w:tc>
          <w:tcPr>
            <w:tcW w:w="8635" w:type="dxa"/>
            <w:vAlign w:val="center"/>
          </w:tcPr>
          <w:p>
            <w:pPr>
              <w:autoSpaceDE w:val="0"/>
              <w:autoSpaceDN w:val="0"/>
              <w:adjustRightInd w:val="0"/>
              <w:snapToGrid w:val="0"/>
              <w:spacing w:line="480" w:lineRule="exact"/>
              <w:ind w:firstLine="480" w:firstLineChars="200"/>
              <w:textAlignment w:val="baseline"/>
              <w:rPr>
                <w:sz w:val="24"/>
              </w:rPr>
            </w:pPr>
            <w:r>
              <w:rPr>
                <w:rFonts w:hint="eastAsia"/>
                <w:sz w:val="24"/>
              </w:rPr>
              <w:t>根据环保部确定的污染物排放总量控制指标，结合本项目污染物特点，确定非甲烷总烃为本项目污染物总量控制因子。</w:t>
            </w:r>
          </w:p>
          <w:p>
            <w:pPr>
              <w:autoSpaceDE w:val="0"/>
              <w:autoSpaceDN w:val="0"/>
              <w:adjustRightInd w:val="0"/>
              <w:snapToGrid w:val="0"/>
              <w:spacing w:line="480" w:lineRule="exact"/>
              <w:ind w:firstLine="480" w:firstLineChars="200"/>
              <w:textAlignment w:val="baseline"/>
              <w:rPr>
                <w:sz w:val="24"/>
              </w:rPr>
            </w:pPr>
            <w:r>
              <w:rPr>
                <w:rFonts w:hint="eastAsia"/>
                <w:sz w:val="24"/>
              </w:rPr>
              <w:t>废水污染物：本项目无生产废水排放，生活污水依托原有化粪池处理后近期用于施肥，远期管网敷设到位后经市政污水管网排入偃师市第三污水处理厂进行深度处理，故不再进行总量指标核定。</w:t>
            </w:r>
          </w:p>
          <w:p>
            <w:pPr>
              <w:autoSpaceDE w:val="0"/>
              <w:autoSpaceDN w:val="0"/>
              <w:adjustRightInd w:val="0"/>
              <w:snapToGrid w:val="0"/>
              <w:spacing w:line="480" w:lineRule="exact"/>
              <w:ind w:firstLine="480" w:firstLineChars="200"/>
              <w:textAlignment w:val="baseline"/>
              <w:rPr>
                <w:sz w:val="24"/>
              </w:rPr>
            </w:pPr>
            <w:r>
              <w:rPr>
                <w:rFonts w:hint="eastAsia"/>
                <w:sz w:val="24"/>
              </w:rPr>
              <w:t>废气污染物：洛阳市一浩包装有限公司年产150万条集装袋项目VOCs 排放量为0.0221t/a，VOCs替代来源为洛阳艺隆装饰材料有限公司的VOCs减排量。</w:t>
            </w:r>
          </w:p>
          <w:p>
            <w:pPr>
              <w:autoSpaceDE w:val="0"/>
              <w:autoSpaceDN w:val="0"/>
              <w:adjustRightInd w:val="0"/>
              <w:snapToGrid w:val="0"/>
              <w:spacing w:line="480" w:lineRule="exact"/>
              <w:ind w:firstLine="480" w:firstLineChars="200"/>
              <w:textAlignment w:val="baseline"/>
              <w:rPr>
                <w:sz w:val="24"/>
              </w:rPr>
            </w:pPr>
          </w:p>
          <w:p>
            <w:pPr>
              <w:autoSpaceDE w:val="0"/>
              <w:autoSpaceDN w:val="0"/>
              <w:adjustRightInd w:val="0"/>
              <w:snapToGrid w:val="0"/>
              <w:spacing w:line="480" w:lineRule="exact"/>
              <w:ind w:firstLine="480" w:firstLineChars="200"/>
              <w:textAlignment w:val="baseline"/>
              <w:rPr>
                <w:sz w:val="24"/>
              </w:rPr>
            </w:pPr>
          </w:p>
          <w:p>
            <w:pPr>
              <w:autoSpaceDE w:val="0"/>
              <w:autoSpaceDN w:val="0"/>
              <w:adjustRightInd w:val="0"/>
              <w:snapToGrid w:val="0"/>
              <w:spacing w:line="480" w:lineRule="exact"/>
              <w:ind w:firstLine="420" w:firstLineChars="200"/>
              <w:textAlignment w:val="baseline"/>
              <w:rPr>
                <w:rFonts w:ascii="宋体" w:hAnsi="宋体" w:cs="宋体"/>
                <w:kern w:val="0"/>
                <w:szCs w:val="21"/>
              </w:rPr>
            </w:pPr>
          </w:p>
        </w:tc>
      </w:tr>
    </w:tbl>
    <w:p>
      <w:pPr>
        <w:pStyle w:val="19"/>
        <w:jc w:val="center"/>
        <w:outlineLvl w:val="0"/>
        <w:rPr>
          <w:rFonts w:ascii="黑体" w:hAnsi="黑体" w:eastAsia="黑体"/>
          <w:snapToGrid w:val="0"/>
          <w:sz w:val="30"/>
          <w:szCs w:val="30"/>
        </w:rPr>
      </w:pPr>
      <w:r>
        <w:rPr>
          <w:rFonts w:ascii="黑体" w:hAnsi="黑体" w:eastAsia="黑体"/>
          <w:snapToGrid w:val="0"/>
          <w:sz w:val="36"/>
          <w:szCs w:val="36"/>
        </w:rPr>
        <w:br w:type="page"/>
      </w:r>
      <w:r>
        <w:rPr>
          <w:rFonts w:hint="eastAsia" w:ascii="黑体" w:hAnsi="黑体" w:eastAsia="黑体"/>
          <w:snapToGrid w:val="0"/>
          <w:sz w:val="30"/>
          <w:szCs w:val="30"/>
        </w:rPr>
        <w:t>四、主要环境影响和保护措施</w:t>
      </w:r>
    </w:p>
    <w:tbl>
      <w:tblPr>
        <w:tblStyle w:val="22"/>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746" w:type="dxa"/>
            <w:tcMar>
              <w:left w:w="28" w:type="dxa"/>
              <w:right w:w="28" w:type="dxa"/>
            </w:tcMar>
            <w:vAlign w:val="center"/>
          </w:tcPr>
          <w:p>
            <w:pPr>
              <w:pStyle w:val="19"/>
              <w:adjustRightInd w:val="0"/>
              <w:snapToGrid w:val="0"/>
              <w:spacing w:before="0" w:beforeAutospacing="0" w:after="0" w:afterAutospacing="0"/>
              <w:jc w:val="center"/>
              <w:rPr>
                <w:rFonts w:cs="宋体"/>
                <w:kern w:val="2"/>
                <w:sz w:val="21"/>
                <w:szCs w:val="21"/>
              </w:rPr>
            </w:pPr>
            <w:r>
              <w:rPr>
                <w:rFonts w:hint="eastAsia" w:cs="宋体"/>
                <w:kern w:val="2"/>
                <w:sz w:val="21"/>
                <w:szCs w:val="21"/>
              </w:rPr>
              <w:t>施工</w:t>
            </w:r>
          </w:p>
          <w:p>
            <w:pPr>
              <w:pStyle w:val="19"/>
              <w:adjustRightInd w:val="0"/>
              <w:snapToGrid w:val="0"/>
              <w:spacing w:before="0" w:beforeAutospacing="0" w:after="0" w:afterAutospacing="0"/>
              <w:jc w:val="center"/>
              <w:rPr>
                <w:rFonts w:cs="宋体"/>
                <w:kern w:val="2"/>
                <w:sz w:val="21"/>
                <w:szCs w:val="21"/>
              </w:rPr>
            </w:pPr>
            <w:r>
              <w:rPr>
                <w:rFonts w:hint="eastAsia" w:cs="宋体"/>
                <w:kern w:val="2"/>
                <w:sz w:val="21"/>
                <w:szCs w:val="21"/>
              </w:rPr>
              <w:t>期环</w:t>
            </w:r>
          </w:p>
          <w:p>
            <w:pPr>
              <w:pStyle w:val="19"/>
              <w:adjustRightInd w:val="0"/>
              <w:snapToGrid w:val="0"/>
              <w:spacing w:before="0" w:beforeAutospacing="0" w:after="0" w:afterAutospacing="0"/>
              <w:jc w:val="center"/>
              <w:rPr>
                <w:rFonts w:cs="宋体"/>
                <w:kern w:val="2"/>
                <w:sz w:val="21"/>
                <w:szCs w:val="21"/>
              </w:rPr>
            </w:pPr>
            <w:r>
              <w:rPr>
                <w:rFonts w:hint="eastAsia" w:cs="宋体"/>
                <w:kern w:val="2"/>
                <w:sz w:val="21"/>
                <w:szCs w:val="21"/>
              </w:rPr>
              <w:t>境保</w:t>
            </w:r>
          </w:p>
          <w:p>
            <w:pPr>
              <w:pStyle w:val="19"/>
              <w:adjustRightInd w:val="0"/>
              <w:snapToGrid w:val="0"/>
              <w:spacing w:before="0" w:beforeAutospacing="0" w:after="0" w:afterAutospacing="0"/>
              <w:jc w:val="center"/>
              <w:rPr>
                <w:rFonts w:cs="宋体"/>
                <w:kern w:val="2"/>
                <w:sz w:val="21"/>
                <w:szCs w:val="21"/>
              </w:rPr>
            </w:pPr>
            <w:r>
              <w:rPr>
                <w:rFonts w:hint="eastAsia" w:cs="宋体"/>
                <w:kern w:val="2"/>
                <w:sz w:val="21"/>
                <w:szCs w:val="21"/>
              </w:rPr>
              <w:t>护措</w:t>
            </w:r>
          </w:p>
          <w:p>
            <w:pPr>
              <w:pStyle w:val="19"/>
              <w:adjustRightInd w:val="0"/>
              <w:snapToGrid w:val="0"/>
              <w:spacing w:before="0" w:beforeAutospacing="0" w:after="0" w:afterAutospacing="0"/>
              <w:jc w:val="center"/>
              <w:rPr>
                <w:rFonts w:cs="宋体"/>
                <w:bCs/>
                <w:kern w:val="2"/>
                <w:sz w:val="21"/>
                <w:szCs w:val="21"/>
              </w:rPr>
            </w:pPr>
            <w:r>
              <w:rPr>
                <w:rFonts w:hint="eastAsia" w:cs="宋体"/>
                <w:kern w:val="2"/>
                <w:sz w:val="21"/>
                <w:szCs w:val="21"/>
              </w:rPr>
              <w:t>施</w:t>
            </w:r>
          </w:p>
        </w:tc>
        <w:tc>
          <w:tcPr>
            <w:tcW w:w="8162" w:type="dxa"/>
            <w:vAlign w:val="center"/>
          </w:tcPr>
          <w:p>
            <w:pPr>
              <w:pStyle w:val="79"/>
              <w:rPr>
                <w:rFonts w:ascii="宋体" w:hAnsi="宋体" w:cs="宋体"/>
                <w:bCs/>
                <w:spacing w:val="-10"/>
                <w:szCs w:val="21"/>
              </w:rPr>
            </w:pPr>
            <w:r>
              <w:rPr>
                <w:rFonts w:hint="eastAsia"/>
              </w:rPr>
              <w:t>改扩建</w:t>
            </w:r>
            <w:r>
              <w:t>工程</w:t>
            </w:r>
            <w:r>
              <w:rPr>
                <w:rFonts w:hint="eastAsia"/>
              </w:rPr>
              <w:t>利用现有车间进行，改扩建</w:t>
            </w:r>
            <w:r>
              <w:t>工程施工期仅涉及设备的调试、安装，施工期影响较小，故不再对施工期进行环境影响分析。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746" w:type="dxa"/>
            <w:tcMar>
              <w:left w:w="28" w:type="dxa"/>
              <w:right w:w="28" w:type="dxa"/>
            </w:tcMar>
            <w:vAlign w:val="center"/>
          </w:tcPr>
          <w:p>
            <w:pPr>
              <w:adjustRightInd w:val="0"/>
              <w:snapToGrid w:val="0"/>
              <w:jc w:val="center"/>
              <w:rPr>
                <w:rFonts w:ascii="宋体" w:hAnsi="宋体" w:cs="宋体"/>
                <w:bCs/>
                <w:szCs w:val="21"/>
              </w:rPr>
            </w:pPr>
            <w:r>
              <w:rPr>
                <w:rFonts w:hint="eastAsia" w:ascii="宋体" w:hAnsi="宋体" w:cs="宋体"/>
                <w:bCs/>
                <w:szCs w:val="21"/>
              </w:rPr>
              <w:t>运营</w:t>
            </w:r>
          </w:p>
          <w:p>
            <w:pPr>
              <w:adjustRightInd w:val="0"/>
              <w:snapToGrid w:val="0"/>
              <w:jc w:val="center"/>
              <w:rPr>
                <w:rFonts w:ascii="宋体" w:hAnsi="宋体" w:cs="宋体"/>
                <w:bCs/>
                <w:szCs w:val="21"/>
              </w:rPr>
            </w:pPr>
            <w:r>
              <w:rPr>
                <w:rFonts w:hint="eastAsia" w:ascii="宋体" w:hAnsi="宋体" w:cs="宋体"/>
                <w:bCs/>
                <w:szCs w:val="21"/>
              </w:rPr>
              <w:t>期环</w:t>
            </w:r>
          </w:p>
          <w:p>
            <w:pPr>
              <w:adjustRightInd w:val="0"/>
              <w:snapToGrid w:val="0"/>
              <w:jc w:val="center"/>
              <w:rPr>
                <w:rFonts w:ascii="宋体" w:hAnsi="宋体" w:cs="宋体"/>
                <w:bCs/>
                <w:szCs w:val="21"/>
              </w:rPr>
            </w:pPr>
            <w:r>
              <w:rPr>
                <w:rFonts w:hint="eastAsia" w:ascii="宋体" w:hAnsi="宋体" w:cs="宋体"/>
                <w:bCs/>
                <w:szCs w:val="21"/>
              </w:rPr>
              <w:t>境影</w:t>
            </w:r>
          </w:p>
          <w:p>
            <w:pPr>
              <w:adjustRightInd w:val="0"/>
              <w:snapToGrid w:val="0"/>
              <w:jc w:val="center"/>
              <w:rPr>
                <w:rFonts w:ascii="宋体" w:hAnsi="宋体" w:cs="宋体"/>
                <w:bCs/>
                <w:szCs w:val="21"/>
              </w:rPr>
            </w:pPr>
            <w:r>
              <w:rPr>
                <w:rFonts w:hint="eastAsia" w:ascii="宋体" w:hAnsi="宋体" w:cs="宋体"/>
                <w:bCs/>
                <w:szCs w:val="21"/>
              </w:rPr>
              <w:t>响和</w:t>
            </w:r>
          </w:p>
          <w:p>
            <w:pPr>
              <w:adjustRightInd w:val="0"/>
              <w:snapToGrid w:val="0"/>
              <w:jc w:val="center"/>
              <w:rPr>
                <w:rFonts w:ascii="宋体" w:hAnsi="宋体" w:cs="宋体"/>
                <w:bCs/>
                <w:szCs w:val="21"/>
              </w:rPr>
            </w:pPr>
            <w:r>
              <w:rPr>
                <w:rFonts w:hint="eastAsia" w:ascii="宋体" w:hAnsi="宋体" w:cs="宋体"/>
                <w:bCs/>
                <w:szCs w:val="21"/>
              </w:rPr>
              <w:t>保护</w:t>
            </w:r>
          </w:p>
          <w:p>
            <w:pPr>
              <w:adjustRightInd w:val="0"/>
              <w:snapToGrid w:val="0"/>
              <w:jc w:val="center"/>
              <w:rPr>
                <w:rFonts w:ascii="宋体" w:hAnsi="宋体" w:cs="宋体"/>
                <w:bCs/>
                <w:szCs w:val="21"/>
              </w:rPr>
            </w:pPr>
            <w:r>
              <w:rPr>
                <w:rFonts w:hint="eastAsia" w:ascii="宋体" w:hAnsi="宋体" w:cs="宋体"/>
                <w:bCs/>
                <w:szCs w:val="21"/>
              </w:rPr>
              <w:t>措施</w:t>
            </w:r>
          </w:p>
        </w:tc>
        <w:tc>
          <w:tcPr>
            <w:tcW w:w="8162" w:type="dxa"/>
            <w:vAlign w:val="center"/>
          </w:tcPr>
          <w:p>
            <w:pPr>
              <w:pStyle w:val="100"/>
            </w:pPr>
            <w:r>
              <w:t>1</w:t>
            </w:r>
            <w:r>
              <w:rPr>
                <w:rFonts w:hint="eastAsia"/>
              </w:rPr>
              <w:t>、</w:t>
            </w:r>
            <w:r>
              <w:t>废气</w:t>
            </w:r>
          </w:p>
          <w:p>
            <w:pPr>
              <w:pStyle w:val="51"/>
              <w:ind w:firstLine="0" w:firstLineChars="0"/>
            </w:pPr>
            <w:r>
              <w:rPr>
                <w:rFonts w:hint="eastAsia"/>
              </w:rPr>
              <w:t>1.1源强</w:t>
            </w:r>
          </w:p>
          <w:p>
            <w:pPr>
              <w:pStyle w:val="99"/>
              <w:ind w:firstLine="480"/>
            </w:pPr>
            <w:r>
              <w:t>本项目为塑料制品项目，无污染源源强核算专项技术指南，参考《污染源源强核算技术指南准则》（HJ884—2018）源强核算可采用实测法、物料衡算法、产污系数法、排污系数法、类比法、实验法等，根据本工程的实际情况及现有资料，本次</w:t>
            </w:r>
            <w:r>
              <w:rPr>
                <w:rFonts w:hint="eastAsia"/>
              </w:rPr>
              <w:t>评价热切工序污染源源强</w:t>
            </w:r>
            <w:r>
              <w:t>采用</w:t>
            </w:r>
            <w:r>
              <w:rPr>
                <w:rFonts w:hint="eastAsia"/>
              </w:rPr>
              <w:t>产污系数法；印刷工序污染源源强</w:t>
            </w:r>
            <w:r>
              <w:t>采用物料衡算法</w:t>
            </w:r>
            <w:r>
              <w:rPr>
                <w:rFonts w:hint="eastAsia"/>
              </w:rPr>
              <w:t>。</w:t>
            </w:r>
          </w:p>
          <w:p>
            <w:pPr>
              <w:pStyle w:val="99"/>
              <w:ind w:firstLine="482"/>
              <w:rPr>
                <w:b/>
                <w:u w:val="single"/>
              </w:rPr>
            </w:pPr>
            <w:r>
              <w:rPr>
                <w:rFonts w:hint="eastAsia"/>
                <w:b/>
                <w:u w:val="single"/>
              </w:rPr>
              <w:t>（1）印刷工序</w:t>
            </w:r>
          </w:p>
          <w:p>
            <w:pPr>
              <w:pStyle w:val="51"/>
              <w:ind w:firstLine="482"/>
              <w:rPr>
                <w:b/>
                <w:u w:val="single"/>
              </w:rPr>
            </w:pPr>
            <w:r>
              <w:rPr>
                <w:b/>
                <w:u w:val="single"/>
              </w:rPr>
              <w:t>本项目设有</w:t>
            </w:r>
            <w:r>
              <w:rPr>
                <w:rFonts w:hint="eastAsia"/>
                <w:b/>
                <w:u w:val="single"/>
              </w:rPr>
              <w:t>2</w:t>
            </w:r>
            <w:r>
              <w:rPr>
                <w:b/>
                <w:u w:val="single"/>
              </w:rPr>
              <w:t>台印刷机，自然干燥，无需烘干，</w:t>
            </w:r>
            <w:r>
              <w:rPr>
                <w:rFonts w:hint="eastAsia"/>
                <w:b/>
                <w:u w:val="single"/>
              </w:rPr>
              <w:t>本</w:t>
            </w:r>
            <w:r>
              <w:rPr>
                <w:b/>
                <w:u w:val="single"/>
              </w:rPr>
              <w:t>项目使用水性油墨，具有不含苯及苯类溶剂、无毒、无刺激性气味、无腐蚀性、不易燃易爆使用安全性好等特点。</w:t>
            </w:r>
            <w:r>
              <w:rPr>
                <w:rFonts w:hint="eastAsia"/>
                <w:b/>
                <w:u w:val="single"/>
              </w:rPr>
              <w:t>根据水性油墨成分表可知，水性油墨中易挥发的成分为乙醇、丙二醇丁醚，含量共为10%，本</w:t>
            </w:r>
            <w:r>
              <w:rPr>
                <w:b/>
                <w:u w:val="single"/>
              </w:rPr>
              <w:t>项目年使用水性油墨量为</w:t>
            </w:r>
            <w:r>
              <w:rPr>
                <w:rFonts w:hint="eastAsia"/>
                <w:b/>
                <w:u w:val="single"/>
              </w:rPr>
              <w:t>0.5</w:t>
            </w:r>
            <w:r>
              <w:rPr>
                <w:b/>
                <w:u w:val="single"/>
              </w:rPr>
              <w:t>t，</w:t>
            </w:r>
            <w:r>
              <w:rPr>
                <w:rFonts w:hint="eastAsia"/>
                <w:b/>
                <w:u w:val="single"/>
              </w:rPr>
              <w:t>本项目按全部挥发考虑，则本项目</w:t>
            </w:r>
            <w:r>
              <w:rPr>
                <w:b/>
                <w:u w:val="single"/>
              </w:rPr>
              <w:t>印刷</w:t>
            </w:r>
            <w:r>
              <w:rPr>
                <w:rFonts w:hint="eastAsia"/>
                <w:b/>
                <w:u w:val="single"/>
              </w:rPr>
              <w:t>工序</w:t>
            </w:r>
            <w:r>
              <w:rPr>
                <w:b/>
                <w:u w:val="single"/>
              </w:rPr>
              <w:t>中有机废气（非甲烷总烃）产生量为0.</w:t>
            </w:r>
            <w:r>
              <w:rPr>
                <w:rFonts w:hint="eastAsia"/>
                <w:b/>
                <w:u w:val="single"/>
              </w:rPr>
              <w:t>05</w:t>
            </w:r>
            <w:r>
              <w:rPr>
                <w:b/>
                <w:u w:val="single"/>
              </w:rPr>
              <w:t>t/a。</w:t>
            </w:r>
          </w:p>
          <w:p>
            <w:pPr>
              <w:pStyle w:val="99"/>
              <w:ind w:firstLine="482"/>
              <w:rPr>
                <w:b/>
                <w:u w:val="single"/>
              </w:rPr>
            </w:pPr>
            <w:r>
              <w:rPr>
                <w:rFonts w:hint="eastAsia"/>
                <w:b/>
                <w:u w:val="single"/>
              </w:rPr>
              <w:t>（2）热切工序</w:t>
            </w:r>
          </w:p>
          <w:p>
            <w:pPr>
              <w:pStyle w:val="51"/>
              <w:ind w:firstLine="482"/>
              <w:rPr>
                <w:b/>
                <w:u w:val="single"/>
              </w:rPr>
            </w:pPr>
            <w:r>
              <w:rPr>
                <w:b/>
                <w:u w:val="single"/>
              </w:rPr>
              <w:t>本项目设置</w:t>
            </w:r>
            <w:r>
              <w:rPr>
                <w:rFonts w:hint="eastAsia"/>
                <w:b/>
                <w:u w:val="single"/>
              </w:rPr>
              <w:t>6</w:t>
            </w:r>
            <w:r>
              <w:rPr>
                <w:b/>
                <w:u w:val="single"/>
              </w:rPr>
              <w:t>台</w:t>
            </w:r>
            <w:r>
              <w:rPr>
                <w:rFonts w:hint="eastAsia"/>
                <w:b/>
                <w:u w:val="single"/>
              </w:rPr>
              <w:t>热切机（3台基布热切机和3台吊带热切机）</w:t>
            </w:r>
            <w:r>
              <w:rPr>
                <w:b/>
                <w:u w:val="single"/>
              </w:rPr>
              <w:t>，此过程为产生挥发性有机废气。裁剪温度为</w:t>
            </w:r>
            <w:r>
              <w:rPr>
                <w:rFonts w:hint="eastAsia"/>
                <w:b/>
                <w:u w:val="single"/>
              </w:rPr>
              <w:t>20</w:t>
            </w:r>
            <w:r>
              <w:rPr>
                <w:b/>
                <w:u w:val="single"/>
              </w:rPr>
              <w:t>0</w:t>
            </w:r>
            <w:r>
              <w:rPr>
                <w:rFonts w:hint="eastAsia" w:ascii="宋体" w:hAnsi="宋体" w:cs="宋体"/>
                <w:b/>
                <w:u w:val="single"/>
              </w:rPr>
              <w:t>℃</w:t>
            </w:r>
            <w:r>
              <w:rPr>
                <w:b/>
                <w:u w:val="single"/>
              </w:rPr>
              <w:t>，小于原料的分解温度，仅会少量单体产生，以非甲烷总烃计。本项目基布</w:t>
            </w:r>
            <w:r>
              <w:rPr>
                <w:rFonts w:hint="eastAsia"/>
                <w:b/>
                <w:u w:val="single"/>
              </w:rPr>
              <w:t>和吊带共计</w:t>
            </w:r>
            <w:r>
              <w:rPr>
                <w:b/>
                <w:u w:val="single"/>
              </w:rPr>
              <w:t>有</w:t>
            </w:r>
            <w:r>
              <w:rPr>
                <w:rFonts w:hint="eastAsia"/>
                <w:b/>
                <w:u w:val="single"/>
              </w:rPr>
              <w:t>6000</w:t>
            </w:r>
            <w:r>
              <w:rPr>
                <w:b/>
                <w:u w:val="single"/>
              </w:rPr>
              <w:t>吨采用热</w:t>
            </w:r>
            <w:r>
              <w:rPr>
                <w:rFonts w:hint="eastAsia"/>
                <w:b/>
                <w:u w:val="single"/>
              </w:rPr>
              <w:t>切</w:t>
            </w:r>
            <w:r>
              <w:rPr>
                <w:b/>
                <w:u w:val="single"/>
              </w:rPr>
              <w:t>，</w:t>
            </w:r>
            <w:r>
              <w:rPr>
                <w:rFonts w:hint="eastAsia"/>
                <w:b/>
                <w:u w:val="single"/>
              </w:rPr>
              <w:t>其中热切过程中处于熔融状态的物料量约为总物料量的2%，即热裁过程中处于熔融状态的物料量约为120t/a</w:t>
            </w:r>
            <w:r>
              <w:rPr>
                <w:rFonts w:hint="eastAsia"/>
                <w:b/>
                <w:bCs/>
                <w:u w:val="single"/>
              </w:rPr>
              <w:t>。参考我国《塑料加工行业》以及《空气污染物排放和控制手册》（美国国家环保局），非甲烷总烃的排放系数为0.35kg/t塑料颗粒，</w:t>
            </w:r>
            <w:r>
              <w:rPr>
                <w:rFonts w:hint="eastAsia"/>
                <w:b/>
                <w:u w:val="single"/>
              </w:rPr>
              <w:t>则本项目热切工序</w:t>
            </w:r>
            <w:r>
              <w:rPr>
                <w:b/>
                <w:u w:val="single"/>
              </w:rPr>
              <w:t>有机废气产生量为</w:t>
            </w:r>
            <w:r>
              <w:rPr>
                <w:rFonts w:hint="eastAsia"/>
                <w:b/>
                <w:u w:val="single"/>
              </w:rPr>
              <w:t>0.042</w:t>
            </w:r>
            <w:r>
              <w:rPr>
                <w:b/>
                <w:u w:val="single"/>
              </w:rPr>
              <w:t>t/a。</w:t>
            </w:r>
          </w:p>
          <w:p>
            <w:pPr>
              <w:pStyle w:val="99"/>
              <w:ind w:firstLine="482"/>
              <w:rPr>
                <w:b/>
                <w:u w:val="single"/>
              </w:rPr>
            </w:pPr>
            <w:r>
              <w:rPr>
                <w:rFonts w:hint="eastAsia"/>
                <w:b/>
                <w:u w:val="single"/>
              </w:rPr>
              <w:t>综上，本项目热切印刷工序非甲烷总烃产生量为0.092t/a。</w:t>
            </w:r>
          </w:p>
          <w:p>
            <w:pPr>
              <w:pStyle w:val="99"/>
              <w:ind w:firstLine="480"/>
              <w:rPr>
                <w:bCs/>
              </w:rPr>
            </w:pPr>
            <w:r>
              <w:rPr>
                <w:rFonts w:hint="eastAsia"/>
              </w:rPr>
              <w:t>本项目热切、印刷废气经集气系统（集气罩+二次密闭）收集后采用UV光氧+活性炭吸附装置处理，非甲烷总烃处理效率按80%计，</w:t>
            </w:r>
            <w:r>
              <w:t>风量按</w:t>
            </w:r>
            <w:r>
              <w:rPr>
                <w:rFonts w:hint="eastAsia"/>
              </w:rPr>
              <w:t>16</w:t>
            </w:r>
            <w:r>
              <w:t>000m</w:t>
            </w:r>
            <w:r>
              <w:rPr>
                <w:vertAlign w:val="superscript"/>
              </w:rPr>
              <w:t>3</w:t>
            </w:r>
            <w:r>
              <w:t>/h计</w:t>
            </w:r>
            <w:r>
              <w:rPr>
                <w:rFonts w:hint="eastAsia"/>
              </w:rPr>
              <w:t>，</w:t>
            </w:r>
            <w:r>
              <w:rPr>
                <w:bCs/>
              </w:rPr>
              <w:t>每日工作</w:t>
            </w:r>
            <w:r>
              <w:rPr>
                <w:rFonts w:hint="eastAsia"/>
                <w:bCs/>
              </w:rPr>
              <w:t>2</w:t>
            </w:r>
            <w:r>
              <w:rPr>
                <w:bCs/>
              </w:rPr>
              <w:t>h，年工作300天。</w:t>
            </w:r>
          </w:p>
          <w:p>
            <w:pPr>
              <w:pStyle w:val="99"/>
              <w:ind w:firstLine="480"/>
              <w:rPr>
                <w:bCs/>
              </w:rPr>
            </w:pPr>
            <w:r>
              <w:rPr>
                <w:rFonts w:hint="eastAsia"/>
                <w:bCs/>
              </w:rPr>
              <w:t>本项目</w:t>
            </w:r>
            <w:r>
              <w:rPr>
                <w:rFonts w:hint="eastAsia"/>
              </w:rPr>
              <w:t>热切、印刷工序</w:t>
            </w:r>
            <w:r>
              <w:rPr>
                <w:rFonts w:hint="eastAsia"/>
                <w:bCs/>
              </w:rPr>
              <w:t>非甲烷总烃</w:t>
            </w:r>
            <w:r>
              <w:rPr>
                <w:bCs/>
              </w:rPr>
              <w:t>产排情况见下表：</w:t>
            </w:r>
          </w:p>
          <w:p>
            <w:pPr>
              <w:pStyle w:val="53"/>
              <w:ind w:firstLine="480"/>
              <w:rPr>
                <w:bCs/>
              </w:rPr>
            </w:pPr>
            <w:r>
              <w:rPr>
                <w:bCs/>
              </w:rPr>
              <w:t>表</w:t>
            </w:r>
            <w:r>
              <w:rPr>
                <w:rFonts w:hint="eastAsia"/>
                <w:bCs/>
              </w:rPr>
              <w:t>33</w:t>
            </w:r>
            <w:r>
              <w:rPr>
                <w:bCs/>
              </w:rPr>
              <w:t xml:space="preserve">         </w:t>
            </w:r>
            <w:r>
              <w:rPr>
                <w:rFonts w:hint="eastAsia"/>
                <w:bCs/>
              </w:rPr>
              <w:t>热切、印刷废气</w:t>
            </w:r>
            <w:r>
              <w:rPr>
                <w:bCs/>
              </w:rPr>
              <w:t>产排情况</w:t>
            </w:r>
          </w:p>
          <w:tbl>
            <w:tblPr>
              <w:tblStyle w:val="2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23"/>
              <w:gridCol w:w="850"/>
              <w:gridCol w:w="1694"/>
              <w:gridCol w:w="1992"/>
              <w:gridCol w:w="1705"/>
              <w:gridCol w:w="9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61" w:hRule="atLeast"/>
              </w:trPr>
              <w:tc>
                <w:tcPr>
                  <w:tcW w:w="457" w:type="pct"/>
                  <w:vAlign w:val="center"/>
                </w:tcPr>
                <w:p>
                  <w:pPr>
                    <w:pStyle w:val="62"/>
                    <w:rPr>
                      <w:sz w:val="21"/>
                      <w:szCs w:val="21"/>
                      <w:lang w:val="en-GB"/>
                    </w:rPr>
                  </w:pPr>
                  <w:r>
                    <w:rPr>
                      <w:sz w:val="21"/>
                      <w:szCs w:val="21"/>
                      <w:lang w:val="en-GB"/>
                    </w:rPr>
                    <w:t>产</w:t>
                  </w:r>
                  <w:r>
                    <w:rPr>
                      <w:rFonts w:hint="eastAsia"/>
                      <w:sz w:val="21"/>
                      <w:szCs w:val="21"/>
                      <w:lang w:val="en-GB"/>
                    </w:rPr>
                    <w:t>污</w:t>
                  </w:r>
                </w:p>
                <w:p>
                  <w:pPr>
                    <w:pStyle w:val="62"/>
                    <w:rPr>
                      <w:sz w:val="21"/>
                      <w:szCs w:val="21"/>
                      <w:lang w:val="en-GB"/>
                    </w:rPr>
                  </w:pPr>
                  <w:r>
                    <w:rPr>
                      <w:sz w:val="21"/>
                      <w:szCs w:val="21"/>
                      <w:lang w:val="en-GB"/>
                    </w:rPr>
                    <w:t>节点</w:t>
                  </w:r>
                </w:p>
              </w:tc>
              <w:tc>
                <w:tcPr>
                  <w:tcW w:w="537" w:type="pct"/>
                  <w:vAlign w:val="center"/>
                </w:tcPr>
                <w:p>
                  <w:pPr>
                    <w:pStyle w:val="62"/>
                    <w:rPr>
                      <w:sz w:val="21"/>
                      <w:szCs w:val="21"/>
                      <w:lang w:val="en-GB"/>
                    </w:rPr>
                  </w:pPr>
                  <w:r>
                    <w:rPr>
                      <w:sz w:val="21"/>
                      <w:szCs w:val="21"/>
                      <w:lang w:val="en-GB"/>
                    </w:rPr>
                    <w:t>排放</w:t>
                  </w:r>
                </w:p>
                <w:p>
                  <w:pPr>
                    <w:pStyle w:val="62"/>
                    <w:rPr>
                      <w:sz w:val="21"/>
                      <w:szCs w:val="21"/>
                      <w:lang w:val="en-GB"/>
                    </w:rPr>
                  </w:pPr>
                  <w:r>
                    <w:rPr>
                      <w:sz w:val="21"/>
                      <w:szCs w:val="21"/>
                      <w:lang w:val="en-GB"/>
                    </w:rPr>
                    <w:t>形式</w:t>
                  </w:r>
                </w:p>
              </w:tc>
              <w:tc>
                <w:tcPr>
                  <w:tcW w:w="1070" w:type="pct"/>
                  <w:vAlign w:val="center"/>
                </w:tcPr>
                <w:p>
                  <w:pPr>
                    <w:pStyle w:val="62"/>
                    <w:rPr>
                      <w:sz w:val="21"/>
                      <w:szCs w:val="21"/>
                      <w:lang w:val="en-GB"/>
                    </w:rPr>
                  </w:pPr>
                  <w:r>
                    <w:rPr>
                      <w:sz w:val="21"/>
                      <w:szCs w:val="21"/>
                      <w:lang w:val="en-GB"/>
                    </w:rPr>
                    <w:t>源强</w:t>
                  </w:r>
                </w:p>
              </w:tc>
              <w:tc>
                <w:tcPr>
                  <w:tcW w:w="1258" w:type="pct"/>
                  <w:vAlign w:val="center"/>
                </w:tcPr>
                <w:p>
                  <w:pPr>
                    <w:pStyle w:val="62"/>
                    <w:rPr>
                      <w:sz w:val="21"/>
                      <w:szCs w:val="21"/>
                      <w:lang w:val="en-GB"/>
                    </w:rPr>
                  </w:pPr>
                  <w:r>
                    <w:rPr>
                      <w:sz w:val="21"/>
                      <w:szCs w:val="21"/>
                      <w:lang w:val="en-GB"/>
                    </w:rPr>
                    <w:t>处理</w:t>
                  </w:r>
                  <w:r>
                    <w:rPr>
                      <w:rFonts w:hint="eastAsia"/>
                      <w:sz w:val="21"/>
                      <w:szCs w:val="21"/>
                      <w:lang w:val="en-GB"/>
                    </w:rPr>
                    <w:t>措施及</w:t>
                  </w:r>
                  <w:r>
                    <w:rPr>
                      <w:sz w:val="21"/>
                      <w:szCs w:val="21"/>
                      <w:lang w:val="en-GB"/>
                    </w:rPr>
                    <w:t>系统参数</w:t>
                  </w:r>
                </w:p>
              </w:tc>
              <w:tc>
                <w:tcPr>
                  <w:tcW w:w="1077" w:type="pct"/>
                  <w:vAlign w:val="center"/>
                </w:tcPr>
                <w:p>
                  <w:pPr>
                    <w:pStyle w:val="62"/>
                    <w:rPr>
                      <w:sz w:val="21"/>
                      <w:szCs w:val="21"/>
                      <w:lang w:val="en-GB"/>
                    </w:rPr>
                  </w:pPr>
                  <w:r>
                    <w:rPr>
                      <w:sz w:val="21"/>
                      <w:szCs w:val="21"/>
                      <w:lang w:val="en-GB"/>
                    </w:rPr>
                    <w:t>排放情况</w:t>
                  </w:r>
                </w:p>
              </w:tc>
              <w:tc>
                <w:tcPr>
                  <w:tcW w:w="601" w:type="pct"/>
                  <w:vAlign w:val="center"/>
                </w:tcPr>
                <w:p>
                  <w:pPr>
                    <w:pStyle w:val="62"/>
                    <w:rPr>
                      <w:sz w:val="21"/>
                      <w:szCs w:val="21"/>
                      <w:lang w:val="en-GB"/>
                    </w:rPr>
                  </w:pPr>
                  <w:r>
                    <w:rPr>
                      <w:sz w:val="21"/>
                      <w:szCs w:val="21"/>
                      <w:lang w:val="en-GB"/>
                    </w:rPr>
                    <w:t>排气筒编号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457" w:type="pct"/>
                  <w:vMerge w:val="restart"/>
                  <w:vAlign w:val="center"/>
                </w:tcPr>
                <w:p>
                  <w:pPr>
                    <w:pStyle w:val="62"/>
                    <w:rPr>
                      <w:sz w:val="21"/>
                      <w:szCs w:val="21"/>
                      <w:lang w:val="en-GB"/>
                    </w:rPr>
                  </w:pPr>
                  <w:r>
                    <w:rPr>
                      <w:rFonts w:hint="eastAsia"/>
                      <w:sz w:val="21"/>
                      <w:szCs w:val="21"/>
                    </w:rPr>
                    <w:t>热切印刷</w:t>
                  </w:r>
                  <w:r>
                    <w:rPr>
                      <w:bCs/>
                      <w:sz w:val="21"/>
                      <w:szCs w:val="21"/>
                    </w:rPr>
                    <w:t>废气</w:t>
                  </w:r>
                </w:p>
              </w:tc>
              <w:tc>
                <w:tcPr>
                  <w:tcW w:w="537" w:type="pct"/>
                  <w:vAlign w:val="center"/>
                </w:tcPr>
                <w:p>
                  <w:pPr>
                    <w:pStyle w:val="62"/>
                    <w:rPr>
                      <w:sz w:val="21"/>
                      <w:szCs w:val="21"/>
                      <w:lang w:val="en-GB"/>
                    </w:rPr>
                  </w:pPr>
                  <w:r>
                    <w:rPr>
                      <w:sz w:val="21"/>
                      <w:szCs w:val="21"/>
                      <w:lang w:val="en-GB"/>
                    </w:rPr>
                    <w:t>有组织</w:t>
                  </w:r>
                </w:p>
              </w:tc>
              <w:tc>
                <w:tcPr>
                  <w:tcW w:w="1070" w:type="pct"/>
                  <w:vAlign w:val="center"/>
                </w:tcPr>
                <w:p>
                  <w:pPr>
                    <w:pStyle w:val="62"/>
                    <w:rPr>
                      <w:sz w:val="21"/>
                      <w:szCs w:val="21"/>
                      <w:lang w:val="en-GB"/>
                    </w:rPr>
                  </w:pPr>
                  <w:r>
                    <w:rPr>
                      <w:sz w:val="21"/>
                      <w:szCs w:val="21"/>
                      <w:lang w:val="en-GB"/>
                    </w:rPr>
                    <w:t>产生量</w:t>
                  </w:r>
                  <w:r>
                    <w:rPr>
                      <w:rFonts w:hint="eastAsia"/>
                      <w:sz w:val="21"/>
                      <w:szCs w:val="21"/>
                    </w:rPr>
                    <w:t>0.0874</w:t>
                  </w:r>
                  <w:r>
                    <w:rPr>
                      <w:sz w:val="21"/>
                      <w:szCs w:val="21"/>
                      <w:lang w:val="en-GB"/>
                    </w:rPr>
                    <w:t>t/a</w:t>
                  </w:r>
                </w:p>
                <w:p>
                  <w:pPr>
                    <w:pStyle w:val="62"/>
                    <w:rPr>
                      <w:sz w:val="21"/>
                      <w:szCs w:val="21"/>
                      <w:lang w:val="en-GB"/>
                    </w:rPr>
                  </w:pPr>
                  <w:r>
                    <w:rPr>
                      <w:sz w:val="21"/>
                      <w:szCs w:val="21"/>
                      <w:lang w:val="en-GB"/>
                    </w:rPr>
                    <w:t>速率</w:t>
                  </w:r>
                  <w:r>
                    <w:rPr>
                      <w:rFonts w:hint="eastAsia"/>
                      <w:sz w:val="21"/>
                      <w:szCs w:val="21"/>
                    </w:rPr>
                    <w:t>0.1457</w:t>
                  </w:r>
                  <w:r>
                    <w:rPr>
                      <w:sz w:val="21"/>
                      <w:szCs w:val="21"/>
                    </w:rPr>
                    <w:t>kg/h</w:t>
                  </w:r>
                </w:p>
                <w:p>
                  <w:pPr>
                    <w:pStyle w:val="62"/>
                    <w:rPr>
                      <w:sz w:val="21"/>
                      <w:szCs w:val="21"/>
                    </w:rPr>
                  </w:pPr>
                  <w:r>
                    <w:rPr>
                      <w:sz w:val="21"/>
                      <w:szCs w:val="21"/>
                      <w:lang w:val="en-GB"/>
                    </w:rPr>
                    <w:t>浓度</w:t>
                  </w:r>
                  <w:r>
                    <w:rPr>
                      <w:rFonts w:hint="eastAsia"/>
                      <w:sz w:val="21"/>
                      <w:szCs w:val="21"/>
                    </w:rPr>
                    <w:t>9.10</w:t>
                  </w:r>
                  <w:r>
                    <w:rPr>
                      <w:sz w:val="21"/>
                      <w:szCs w:val="21"/>
                    </w:rPr>
                    <w:t>mg/m</w:t>
                  </w:r>
                  <w:r>
                    <w:rPr>
                      <w:sz w:val="21"/>
                      <w:szCs w:val="21"/>
                      <w:vertAlign w:val="superscript"/>
                    </w:rPr>
                    <w:t>3</w:t>
                  </w:r>
                </w:p>
              </w:tc>
              <w:tc>
                <w:tcPr>
                  <w:tcW w:w="1258" w:type="pct"/>
                  <w:vAlign w:val="center"/>
                </w:tcPr>
                <w:p>
                  <w:pPr>
                    <w:pStyle w:val="62"/>
                    <w:rPr>
                      <w:sz w:val="21"/>
                      <w:szCs w:val="21"/>
                    </w:rPr>
                  </w:pPr>
                  <w:r>
                    <w:rPr>
                      <w:rFonts w:hint="eastAsia"/>
                      <w:sz w:val="21"/>
                      <w:szCs w:val="21"/>
                    </w:rPr>
                    <w:t>集气系统+UV光氧+活性炭吸附装置+15m高排气筒</w:t>
                  </w:r>
                </w:p>
                <w:p>
                  <w:pPr>
                    <w:pStyle w:val="62"/>
                    <w:rPr>
                      <w:sz w:val="21"/>
                      <w:szCs w:val="21"/>
                    </w:rPr>
                  </w:pPr>
                  <w:r>
                    <w:rPr>
                      <w:sz w:val="21"/>
                      <w:szCs w:val="21"/>
                    </w:rPr>
                    <w:t>集气效率9</w:t>
                  </w:r>
                  <w:r>
                    <w:rPr>
                      <w:rFonts w:hint="eastAsia"/>
                      <w:sz w:val="21"/>
                      <w:szCs w:val="21"/>
                    </w:rPr>
                    <w:t>5</w:t>
                  </w:r>
                  <w:r>
                    <w:rPr>
                      <w:sz w:val="21"/>
                      <w:szCs w:val="21"/>
                    </w:rPr>
                    <w:t>%；</w:t>
                  </w:r>
                </w:p>
                <w:p>
                  <w:pPr>
                    <w:pStyle w:val="62"/>
                    <w:rPr>
                      <w:sz w:val="21"/>
                      <w:szCs w:val="21"/>
                    </w:rPr>
                  </w:pPr>
                  <w:r>
                    <w:rPr>
                      <w:sz w:val="21"/>
                      <w:szCs w:val="21"/>
                    </w:rPr>
                    <w:t>处理效率</w:t>
                  </w:r>
                  <w:r>
                    <w:rPr>
                      <w:rFonts w:hint="eastAsia"/>
                      <w:sz w:val="21"/>
                      <w:szCs w:val="21"/>
                    </w:rPr>
                    <w:t>80</w:t>
                  </w:r>
                  <w:r>
                    <w:rPr>
                      <w:sz w:val="21"/>
                      <w:szCs w:val="21"/>
                    </w:rPr>
                    <w:t>%；</w:t>
                  </w:r>
                </w:p>
                <w:p>
                  <w:pPr>
                    <w:pStyle w:val="62"/>
                    <w:rPr>
                      <w:sz w:val="21"/>
                      <w:szCs w:val="21"/>
                      <w:lang w:val="en-GB"/>
                    </w:rPr>
                  </w:pPr>
                  <w:r>
                    <w:rPr>
                      <w:sz w:val="21"/>
                      <w:szCs w:val="21"/>
                    </w:rPr>
                    <w:t>风量</w:t>
                  </w:r>
                  <w:r>
                    <w:rPr>
                      <w:rFonts w:hint="eastAsia"/>
                      <w:sz w:val="21"/>
                      <w:szCs w:val="21"/>
                    </w:rPr>
                    <w:t>16</w:t>
                  </w:r>
                  <w:r>
                    <w:rPr>
                      <w:sz w:val="21"/>
                      <w:szCs w:val="21"/>
                    </w:rPr>
                    <w:t>000m</w:t>
                  </w:r>
                  <w:r>
                    <w:rPr>
                      <w:sz w:val="21"/>
                      <w:szCs w:val="21"/>
                      <w:vertAlign w:val="superscript"/>
                    </w:rPr>
                    <w:t>3</w:t>
                  </w:r>
                  <w:r>
                    <w:rPr>
                      <w:sz w:val="21"/>
                      <w:szCs w:val="21"/>
                    </w:rPr>
                    <w:t>/h</w:t>
                  </w:r>
                </w:p>
              </w:tc>
              <w:tc>
                <w:tcPr>
                  <w:tcW w:w="1077" w:type="pct"/>
                  <w:vAlign w:val="center"/>
                </w:tcPr>
                <w:p>
                  <w:pPr>
                    <w:pStyle w:val="62"/>
                    <w:rPr>
                      <w:sz w:val="21"/>
                      <w:szCs w:val="21"/>
                      <w:lang w:val="en-GB"/>
                    </w:rPr>
                  </w:pPr>
                  <w:r>
                    <w:rPr>
                      <w:sz w:val="21"/>
                      <w:szCs w:val="21"/>
                      <w:lang w:val="en-GB"/>
                    </w:rPr>
                    <w:t>排放量0.</w:t>
                  </w:r>
                  <w:r>
                    <w:rPr>
                      <w:rFonts w:hint="eastAsia"/>
                      <w:sz w:val="21"/>
                      <w:szCs w:val="21"/>
                      <w:lang w:val="en-GB"/>
                    </w:rPr>
                    <w:t>0175</w:t>
                  </w:r>
                  <w:r>
                    <w:rPr>
                      <w:sz w:val="21"/>
                      <w:szCs w:val="21"/>
                    </w:rPr>
                    <w:t>t/a</w:t>
                  </w:r>
                </w:p>
                <w:p>
                  <w:pPr>
                    <w:pStyle w:val="62"/>
                    <w:rPr>
                      <w:sz w:val="21"/>
                      <w:szCs w:val="21"/>
                      <w:lang w:val="en-GB"/>
                    </w:rPr>
                  </w:pPr>
                  <w:r>
                    <w:rPr>
                      <w:sz w:val="21"/>
                      <w:szCs w:val="21"/>
                      <w:lang w:val="en-GB"/>
                    </w:rPr>
                    <w:t>速率</w:t>
                  </w:r>
                  <w:r>
                    <w:rPr>
                      <w:sz w:val="21"/>
                      <w:szCs w:val="21"/>
                    </w:rPr>
                    <w:t>0.</w:t>
                  </w:r>
                  <w:r>
                    <w:rPr>
                      <w:rFonts w:hint="eastAsia"/>
                      <w:sz w:val="21"/>
                      <w:szCs w:val="21"/>
                    </w:rPr>
                    <w:t>0291</w:t>
                  </w:r>
                  <w:r>
                    <w:rPr>
                      <w:sz w:val="21"/>
                      <w:szCs w:val="21"/>
                    </w:rPr>
                    <w:t>kg/h</w:t>
                  </w:r>
                </w:p>
                <w:p>
                  <w:pPr>
                    <w:pStyle w:val="62"/>
                    <w:rPr>
                      <w:sz w:val="21"/>
                      <w:szCs w:val="21"/>
                      <w:lang w:val="en-GB"/>
                    </w:rPr>
                  </w:pPr>
                  <w:r>
                    <w:rPr>
                      <w:sz w:val="21"/>
                      <w:szCs w:val="21"/>
                      <w:lang w:val="en-GB"/>
                    </w:rPr>
                    <w:t>浓度</w:t>
                  </w:r>
                  <w:r>
                    <w:rPr>
                      <w:rFonts w:hint="eastAsia"/>
                      <w:sz w:val="21"/>
                      <w:szCs w:val="21"/>
                    </w:rPr>
                    <w:t>1.82</w:t>
                  </w:r>
                  <w:r>
                    <w:rPr>
                      <w:sz w:val="21"/>
                      <w:szCs w:val="21"/>
                    </w:rPr>
                    <w:t>mg/m</w:t>
                  </w:r>
                  <w:r>
                    <w:rPr>
                      <w:sz w:val="21"/>
                      <w:szCs w:val="21"/>
                      <w:vertAlign w:val="superscript"/>
                    </w:rPr>
                    <w:t>3</w:t>
                  </w:r>
                </w:p>
              </w:tc>
              <w:tc>
                <w:tcPr>
                  <w:tcW w:w="601" w:type="pct"/>
                  <w:vAlign w:val="center"/>
                </w:tcPr>
                <w:p>
                  <w:pPr>
                    <w:pStyle w:val="62"/>
                    <w:rPr>
                      <w:sz w:val="21"/>
                      <w:szCs w:val="21"/>
                      <w:lang w:val="en-GB"/>
                    </w:rPr>
                  </w:pPr>
                  <w:r>
                    <w:rPr>
                      <w:rFonts w:hint="eastAsia"/>
                      <w:sz w:val="21"/>
                      <w:szCs w:val="21"/>
                      <w:lang w:val="en-GB"/>
                    </w:rPr>
                    <w:t>DA001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457" w:type="pct"/>
                  <w:vMerge w:val="continue"/>
                  <w:vAlign w:val="center"/>
                </w:tcPr>
                <w:p>
                  <w:pPr>
                    <w:pStyle w:val="62"/>
                    <w:rPr>
                      <w:sz w:val="21"/>
                      <w:szCs w:val="21"/>
                    </w:rPr>
                  </w:pPr>
                </w:p>
              </w:tc>
              <w:tc>
                <w:tcPr>
                  <w:tcW w:w="537" w:type="pct"/>
                  <w:vAlign w:val="center"/>
                </w:tcPr>
                <w:p>
                  <w:pPr>
                    <w:pStyle w:val="62"/>
                    <w:rPr>
                      <w:sz w:val="21"/>
                      <w:szCs w:val="21"/>
                      <w:lang w:val="en-GB"/>
                    </w:rPr>
                  </w:pPr>
                  <w:r>
                    <w:rPr>
                      <w:sz w:val="21"/>
                      <w:szCs w:val="21"/>
                      <w:lang w:val="en-GB"/>
                    </w:rPr>
                    <w:t>无组织</w:t>
                  </w:r>
                </w:p>
              </w:tc>
              <w:tc>
                <w:tcPr>
                  <w:tcW w:w="1070" w:type="pct"/>
                  <w:vAlign w:val="center"/>
                </w:tcPr>
                <w:p>
                  <w:pPr>
                    <w:pStyle w:val="62"/>
                    <w:rPr>
                      <w:sz w:val="21"/>
                      <w:szCs w:val="21"/>
                      <w:lang w:val="en-GB"/>
                    </w:rPr>
                  </w:pPr>
                  <w:r>
                    <w:rPr>
                      <w:sz w:val="21"/>
                      <w:szCs w:val="21"/>
                      <w:lang w:val="en-GB"/>
                    </w:rPr>
                    <w:t>产生量</w:t>
                  </w:r>
                  <w:r>
                    <w:rPr>
                      <w:sz w:val="21"/>
                      <w:szCs w:val="21"/>
                    </w:rPr>
                    <w:t>0.</w:t>
                  </w:r>
                  <w:r>
                    <w:rPr>
                      <w:rFonts w:hint="eastAsia"/>
                      <w:sz w:val="21"/>
                      <w:szCs w:val="21"/>
                    </w:rPr>
                    <w:t>0046</w:t>
                  </w:r>
                  <w:r>
                    <w:rPr>
                      <w:sz w:val="21"/>
                      <w:szCs w:val="21"/>
                      <w:lang w:val="en-GB"/>
                    </w:rPr>
                    <w:t>t/a</w:t>
                  </w:r>
                </w:p>
              </w:tc>
              <w:tc>
                <w:tcPr>
                  <w:tcW w:w="1258" w:type="pct"/>
                  <w:vAlign w:val="center"/>
                </w:tcPr>
                <w:p>
                  <w:pPr>
                    <w:pStyle w:val="62"/>
                    <w:rPr>
                      <w:sz w:val="21"/>
                      <w:szCs w:val="21"/>
                    </w:rPr>
                  </w:pPr>
                  <w:r>
                    <w:rPr>
                      <w:sz w:val="21"/>
                      <w:szCs w:val="21"/>
                    </w:rPr>
                    <w:t>/</w:t>
                  </w:r>
                </w:p>
              </w:tc>
              <w:tc>
                <w:tcPr>
                  <w:tcW w:w="1077" w:type="pct"/>
                  <w:vAlign w:val="center"/>
                </w:tcPr>
                <w:p>
                  <w:pPr>
                    <w:pStyle w:val="62"/>
                    <w:rPr>
                      <w:sz w:val="21"/>
                      <w:szCs w:val="21"/>
                      <w:lang w:val="en-GB"/>
                    </w:rPr>
                  </w:pPr>
                  <w:r>
                    <w:rPr>
                      <w:sz w:val="21"/>
                      <w:szCs w:val="21"/>
                      <w:lang w:val="en-GB"/>
                    </w:rPr>
                    <w:t>排放量0.</w:t>
                  </w:r>
                  <w:r>
                    <w:rPr>
                      <w:rFonts w:hint="eastAsia"/>
                      <w:sz w:val="21"/>
                      <w:szCs w:val="21"/>
                      <w:lang w:val="en-GB"/>
                    </w:rPr>
                    <w:t>0046</w:t>
                  </w:r>
                  <w:r>
                    <w:rPr>
                      <w:sz w:val="21"/>
                      <w:szCs w:val="21"/>
                      <w:lang w:val="en-GB"/>
                    </w:rPr>
                    <w:t>t/a</w:t>
                  </w:r>
                </w:p>
              </w:tc>
              <w:tc>
                <w:tcPr>
                  <w:tcW w:w="601" w:type="pct"/>
                  <w:vAlign w:val="center"/>
                </w:tcPr>
                <w:p>
                  <w:pPr>
                    <w:pStyle w:val="62"/>
                    <w:rPr>
                      <w:sz w:val="21"/>
                      <w:szCs w:val="21"/>
                      <w:lang w:val="en-GB"/>
                    </w:rPr>
                  </w:pPr>
                </w:p>
              </w:tc>
            </w:tr>
          </w:tbl>
          <w:p>
            <w:pPr>
              <w:pStyle w:val="100"/>
            </w:pPr>
            <w:r>
              <w:rPr>
                <w:rFonts w:hint="eastAsia"/>
              </w:rPr>
              <w:t>1.3污染防治设施可行性分析</w:t>
            </w:r>
          </w:p>
          <w:p>
            <w:pPr>
              <w:pStyle w:val="51"/>
              <w:ind w:firstLine="482"/>
              <w:rPr>
                <w:b/>
                <w:u w:val="single"/>
              </w:rPr>
            </w:pPr>
            <w:r>
              <w:rPr>
                <w:rFonts w:hint="eastAsia"/>
                <w:b/>
                <w:u w:val="single"/>
              </w:rPr>
              <w:t>本项目在车间西北角设置密闭区域，用于印刷和热切，密闭区域尺寸为30m×10m×3m。</w:t>
            </w:r>
          </w:p>
          <w:p>
            <w:pPr>
              <w:pStyle w:val="51"/>
              <w:ind w:firstLine="480"/>
            </w:pPr>
            <w:r>
              <w:t>A</w:t>
            </w:r>
            <w:r>
              <w:rPr>
                <w:rFonts w:hint="eastAsia"/>
              </w:rPr>
              <w:t>、印刷工序</w:t>
            </w:r>
          </w:p>
          <w:p>
            <w:pPr>
              <w:pStyle w:val="51"/>
              <w:ind w:firstLine="480"/>
            </w:pPr>
            <w:r>
              <w:rPr>
                <w:rFonts w:hint="eastAsia"/>
              </w:rPr>
              <w:t>本项目印刷机出口处上方设置集气系统（集气罩+区域二次密闭）（1套、集气罩尺寸为1.5m×0.5m），集气系统收集的有机废气经UV光氧+活性炭吸附装置（与热切工序共用）后通过15m高排气筒排放。</w:t>
            </w:r>
          </w:p>
          <w:p>
            <w:pPr>
              <w:pStyle w:val="51"/>
              <w:ind w:firstLine="480"/>
            </w:pPr>
            <w:r>
              <w:rPr>
                <w:rFonts w:hint="eastAsia"/>
              </w:rPr>
              <w:t>印刷工序所需风量</w:t>
            </w:r>
          </w:p>
          <w:p>
            <w:pPr>
              <w:pStyle w:val="51"/>
              <w:spacing w:line="480" w:lineRule="exact"/>
              <w:ind w:firstLine="480"/>
            </w:pPr>
            <w:r>
              <w:rPr>
                <w:rFonts w:hint="eastAsia"/>
              </w:rPr>
              <w:t>根据《大气污染控制工程》（第三版）中集气罩风量计算公式，计算工序所需风量：</w:t>
            </w:r>
          </w:p>
          <w:p>
            <w:pPr>
              <w:pStyle w:val="51"/>
              <w:spacing w:line="480" w:lineRule="exact"/>
              <w:ind w:firstLine="480"/>
            </w:pPr>
            <w:r>
              <w:t>Q=0.75（10X</w:t>
            </w:r>
            <w:r>
              <w:rPr>
                <w:vertAlign w:val="superscript"/>
              </w:rPr>
              <w:t>2</w:t>
            </w:r>
            <w:r>
              <w:t>+A）×V</w:t>
            </w:r>
            <w:r>
              <w:rPr>
                <w:vertAlign w:val="subscript"/>
              </w:rPr>
              <w:t>X</w:t>
            </w:r>
          </w:p>
          <w:p>
            <w:pPr>
              <w:pStyle w:val="51"/>
              <w:spacing w:line="480" w:lineRule="exact"/>
              <w:ind w:firstLine="480"/>
            </w:pPr>
            <w:r>
              <w:t>式中：Q---集气罩排风量，m</w:t>
            </w:r>
            <w:r>
              <w:rPr>
                <w:vertAlign w:val="superscript"/>
              </w:rPr>
              <w:t>3</w:t>
            </w:r>
            <w:r>
              <w:t>/s；</w:t>
            </w:r>
          </w:p>
          <w:p>
            <w:pPr>
              <w:pStyle w:val="51"/>
              <w:spacing w:line="480" w:lineRule="exact"/>
              <w:ind w:firstLine="480"/>
            </w:pPr>
            <w:r>
              <w:t>X---污染物产生点至集气罩口的距离，m</w:t>
            </w:r>
            <w:r>
              <w:rPr>
                <w:rFonts w:hint="eastAsia"/>
              </w:rPr>
              <w:t>；本项目取0.3m</w:t>
            </w:r>
            <w:r>
              <w:t>；</w:t>
            </w:r>
          </w:p>
          <w:p>
            <w:pPr>
              <w:pStyle w:val="51"/>
              <w:spacing w:line="480" w:lineRule="exact"/>
              <w:ind w:firstLine="480"/>
            </w:pPr>
            <w:r>
              <w:t>A---集气罩口面积，m</w:t>
            </w:r>
            <w:r>
              <w:rPr>
                <w:vertAlign w:val="superscript"/>
              </w:rPr>
              <w:t>2</w:t>
            </w:r>
            <w:r>
              <w:t>；</w:t>
            </w:r>
          </w:p>
          <w:p>
            <w:pPr>
              <w:pStyle w:val="51"/>
              <w:spacing w:line="480" w:lineRule="exact"/>
              <w:ind w:firstLine="480"/>
            </w:pPr>
            <w:r>
              <w:t>V</w:t>
            </w:r>
            <w:r>
              <w:rPr>
                <w:vertAlign w:val="subscript"/>
              </w:rPr>
              <w:t>X</w:t>
            </w:r>
            <w:r>
              <w:t>---最小控制风速，m/s，本项目污染物放散以很缓慢的速度放散到相当平静的空气中，一般取0.25-0.5m/s，本项目最小控制风速取0.</w:t>
            </w:r>
            <w:r>
              <w:rPr>
                <w:rFonts w:hint="eastAsia"/>
              </w:rPr>
              <w:t>5</w:t>
            </w:r>
            <w:r>
              <w:t>m/s。</w:t>
            </w:r>
          </w:p>
          <w:p>
            <w:pPr>
              <w:pStyle w:val="51"/>
              <w:spacing w:line="480" w:lineRule="exact"/>
              <w:ind w:firstLine="480"/>
            </w:pPr>
            <w:r>
              <w:rPr>
                <w:rFonts w:hint="eastAsia"/>
                <w:kern w:val="0"/>
              </w:rPr>
              <w:t>计算得出</w:t>
            </w:r>
            <w:r>
              <w:rPr>
                <w:rFonts w:hint="eastAsia"/>
              </w:rPr>
              <w:t>印刷工序</w:t>
            </w:r>
            <w:r>
              <w:rPr>
                <w:rFonts w:hint="eastAsia"/>
                <w:kern w:val="0"/>
              </w:rPr>
              <w:t>风量至少为</w:t>
            </w:r>
            <w:r>
              <w:rPr>
                <w:rFonts w:hint="eastAsia"/>
              </w:rPr>
              <w:t>4455m</w:t>
            </w:r>
            <w:r>
              <w:rPr>
                <w:rFonts w:hint="eastAsia"/>
                <w:vertAlign w:val="superscript"/>
              </w:rPr>
              <w:t>3</w:t>
            </w:r>
            <w:r>
              <w:rPr>
                <w:rFonts w:hint="eastAsia"/>
              </w:rPr>
              <w:t>/h。</w:t>
            </w:r>
          </w:p>
          <w:p>
            <w:pPr>
              <w:pStyle w:val="51"/>
              <w:spacing w:line="480" w:lineRule="exact"/>
              <w:ind w:firstLine="480"/>
            </w:pPr>
            <w:r>
              <w:t>B</w:t>
            </w:r>
            <w:r>
              <w:rPr>
                <w:rFonts w:hint="eastAsia"/>
              </w:rPr>
              <w:t>、热切工序</w:t>
            </w:r>
          </w:p>
          <w:p>
            <w:pPr>
              <w:pStyle w:val="51"/>
              <w:spacing w:line="480" w:lineRule="exact"/>
              <w:ind w:firstLine="480"/>
            </w:pPr>
            <w:r>
              <w:rPr>
                <w:rFonts w:hint="eastAsia"/>
              </w:rPr>
              <w:t>本项目热切机出口处上方设置集气系统（集气罩+区域二次密闭）（6套、其中3套集气罩尺寸为1.5m×0.5m，3套集气罩尺寸为0.4m×0.4m），集气系统收集的有机废气经UV光氧+活性炭吸附装置（与印刷工序共用）后通过15m高排气筒排放。</w:t>
            </w:r>
          </w:p>
          <w:p>
            <w:pPr>
              <w:pStyle w:val="51"/>
              <w:spacing w:line="480" w:lineRule="exact"/>
              <w:ind w:firstLine="480"/>
            </w:pPr>
            <w:r>
              <w:rPr>
                <w:rFonts w:hint="eastAsia"/>
              </w:rPr>
              <w:t>热切工序所需风量</w:t>
            </w:r>
          </w:p>
          <w:p>
            <w:pPr>
              <w:pStyle w:val="51"/>
              <w:spacing w:line="480" w:lineRule="exact"/>
              <w:ind w:firstLine="480"/>
            </w:pPr>
            <w:r>
              <w:rPr>
                <w:rFonts w:hint="eastAsia"/>
              </w:rPr>
              <w:t>根据《大气污染控制工程》（第三版）中集气罩风量计算公式，计算工序所需风量：</w:t>
            </w:r>
          </w:p>
          <w:p>
            <w:pPr>
              <w:pStyle w:val="51"/>
              <w:spacing w:line="480" w:lineRule="exact"/>
              <w:ind w:firstLine="480"/>
            </w:pPr>
            <w:r>
              <w:t>Q=0.75（10X</w:t>
            </w:r>
            <w:r>
              <w:rPr>
                <w:vertAlign w:val="superscript"/>
              </w:rPr>
              <w:t>2</w:t>
            </w:r>
            <w:r>
              <w:t>+A）×V</w:t>
            </w:r>
            <w:r>
              <w:rPr>
                <w:vertAlign w:val="subscript"/>
              </w:rPr>
              <w:t>X</w:t>
            </w:r>
          </w:p>
          <w:p>
            <w:pPr>
              <w:pStyle w:val="51"/>
              <w:spacing w:line="480" w:lineRule="exact"/>
              <w:ind w:firstLine="480"/>
            </w:pPr>
            <w:r>
              <w:t>式中：Q---集气罩排风量，m</w:t>
            </w:r>
            <w:r>
              <w:rPr>
                <w:vertAlign w:val="superscript"/>
              </w:rPr>
              <w:t>3</w:t>
            </w:r>
            <w:r>
              <w:t>/s；</w:t>
            </w:r>
          </w:p>
          <w:p>
            <w:pPr>
              <w:pStyle w:val="51"/>
              <w:spacing w:line="480" w:lineRule="exact"/>
              <w:ind w:firstLine="480"/>
            </w:pPr>
            <w:r>
              <w:t>X---污染物产生点至集气罩口的距离，m</w:t>
            </w:r>
            <w:r>
              <w:rPr>
                <w:rFonts w:hint="eastAsia"/>
              </w:rPr>
              <w:t>；本项目取0.3m</w:t>
            </w:r>
            <w:r>
              <w:t>；</w:t>
            </w:r>
          </w:p>
          <w:p>
            <w:pPr>
              <w:pStyle w:val="51"/>
              <w:spacing w:line="480" w:lineRule="exact"/>
              <w:ind w:firstLine="480"/>
            </w:pPr>
            <w:r>
              <w:t>A---集气罩口面积，m</w:t>
            </w:r>
            <w:r>
              <w:rPr>
                <w:vertAlign w:val="superscript"/>
              </w:rPr>
              <w:t>2</w:t>
            </w:r>
            <w:r>
              <w:t>；</w:t>
            </w:r>
          </w:p>
          <w:p>
            <w:pPr>
              <w:pStyle w:val="51"/>
              <w:spacing w:line="480" w:lineRule="exact"/>
              <w:ind w:firstLine="480"/>
            </w:pPr>
            <w:r>
              <w:t>V</w:t>
            </w:r>
            <w:r>
              <w:rPr>
                <w:vertAlign w:val="subscript"/>
              </w:rPr>
              <w:t>X</w:t>
            </w:r>
            <w:r>
              <w:t>---最小控制风速，m/s，本项目污染物放散以很缓慢的速度放散到相当平静的空气中，一般取0.25-0.5m/s，本项目最小控制风速取0.</w:t>
            </w:r>
            <w:r>
              <w:rPr>
                <w:rFonts w:hint="eastAsia"/>
              </w:rPr>
              <w:t>5</w:t>
            </w:r>
            <w:r>
              <w:t>m/s。</w:t>
            </w:r>
          </w:p>
          <w:p>
            <w:pPr>
              <w:pStyle w:val="51"/>
              <w:spacing w:line="480" w:lineRule="exact"/>
              <w:ind w:firstLine="480"/>
            </w:pPr>
            <w:r>
              <w:rPr>
                <w:rFonts w:hint="eastAsia"/>
                <w:kern w:val="0"/>
              </w:rPr>
              <w:t>计算得出</w:t>
            </w:r>
            <w:r>
              <w:rPr>
                <w:rFonts w:hint="eastAsia"/>
              </w:rPr>
              <w:t>热切工序</w:t>
            </w:r>
            <w:r>
              <w:rPr>
                <w:rFonts w:hint="eastAsia"/>
                <w:kern w:val="0"/>
              </w:rPr>
              <w:t>风量至少为</w:t>
            </w:r>
            <w:r>
              <w:rPr>
                <w:rFonts w:hint="eastAsia"/>
              </w:rPr>
              <w:t>10975.5m</w:t>
            </w:r>
            <w:r>
              <w:rPr>
                <w:rFonts w:hint="eastAsia"/>
                <w:vertAlign w:val="superscript"/>
              </w:rPr>
              <w:t>3</w:t>
            </w:r>
            <w:r>
              <w:rPr>
                <w:rFonts w:hint="eastAsia"/>
              </w:rPr>
              <w:t>/h。</w:t>
            </w:r>
          </w:p>
          <w:p>
            <w:pPr>
              <w:pStyle w:val="51"/>
              <w:spacing w:line="480" w:lineRule="exact"/>
              <w:ind w:firstLine="480"/>
              <w:rPr>
                <w:b/>
                <w:u w:val="single"/>
              </w:rPr>
            </w:pPr>
            <w:r>
              <w:rPr>
                <w:rFonts w:hint="eastAsia"/>
              </w:rPr>
              <w:t>由上述公式计算出热切和印刷工序风机风量为15430.5m</w:t>
            </w:r>
            <w:r>
              <w:rPr>
                <w:rFonts w:hint="eastAsia"/>
                <w:vertAlign w:val="superscript"/>
              </w:rPr>
              <w:t>3</w:t>
            </w:r>
            <w:r>
              <w:rPr>
                <w:rFonts w:hint="eastAsia"/>
              </w:rPr>
              <w:t>/h，本项目设置风机风量为16000m</w:t>
            </w:r>
            <w:r>
              <w:rPr>
                <w:rFonts w:hint="eastAsia"/>
                <w:vertAlign w:val="superscript"/>
              </w:rPr>
              <w:t>3</w:t>
            </w:r>
            <w:r>
              <w:rPr>
                <w:rFonts w:hint="eastAsia"/>
              </w:rPr>
              <w:t>/h，能够满足集气罩边风速为0.3m/s要求。</w:t>
            </w:r>
          </w:p>
          <w:p>
            <w:pPr>
              <w:pStyle w:val="51"/>
              <w:spacing w:line="480" w:lineRule="exact"/>
              <w:ind w:firstLine="480"/>
              <w:rPr>
                <w:rFonts w:ascii="宋体" w:hAnsi="宋体" w:cs="宋体"/>
                <w:bCs/>
                <w:spacing w:val="-10"/>
                <w:szCs w:val="21"/>
              </w:rPr>
            </w:pPr>
            <w:r>
              <w:rPr>
                <w:rFonts w:hint="eastAsia"/>
              </w:rPr>
              <w:t>（2）治理措施可行性</w:t>
            </w:r>
          </w:p>
        </w:tc>
      </w:tr>
    </w:tbl>
    <w:p>
      <w:pPr>
        <w:adjustRightInd w:val="0"/>
        <w:snapToGrid w:val="0"/>
        <w:jc w:val="center"/>
        <w:rPr>
          <w:rFonts w:ascii="宋体" w:hAnsi="宋体" w:cs="宋体"/>
          <w:bCs/>
          <w:szCs w:val="21"/>
        </w:rPr>
        <w:sectPr>
          <w:pgSz w:w="11907" w:h="16840"/>
          <w:pgMar w:top="1701" w:right="1531" w:bottom="2127" w:left="1531" w:header="851" w:footer="851" w:gutter="0"/>
          <w:cols w:space="720" w:num="1"/>
          <w:docGrid w:linePitch="312" w:charSpace="0"/>
        </w:sectPr>
      </w:pPr>
    </w:p>
    <w:tbl>
      <w:tblPr>
        <w:tblStyle w:val="2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23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295" w:type="pct"/>
            <w:tcMar>
              <w:left w:w="28" w:type="dxa"/>
              <w:right w:w="28" w:type="dxa"/>
            </w:tcMar>
            <w:vAlign w:val="center"/>
          </w:tcPr>
          <w:p>
            <w:pPr>
              <w:adjustRightInd w:val="0"/>
              <w:snapToGrid w:val="0"/>
              <w:jc w:val="center"/>
              <w:rPr>
                <w:rFonts w:ascii="宋体" w:hAnsi="宋体" w:cs="宋体"/>
                <w:bCs/>
                <w:szCs w:val="21"/>
              </w:rPr>
            </w:pPr>
            <w:r>
              <w:rPr>
                <w:rFonts w:hint="eastAsia" w:ascii="宋体" w:hAnsi="宋体" w:cs="宋体"/>
                <w:bCs/>
                <w:szCs w:val="21"/>
              </w:rPr>
              <w:t>运营</w:t>
            </w:r>
          </w:p>
          <w:p>
            <w:pPr>
              <w:adjustRightInd w:val="0"/>
              <w:snapToGrid w:val="0"/>
              <w:jc w:val="center"/>
              <w:rPr>
                <w:rFonts w:ascii="宋体" w:hAnsi="宋体" w:cs="宋体"/>
                <w:bCs/>
                <w:szCs w:val="21"/>
              </w:rPr>
            </w:pPr>
            <w:r>
              <w:rPr>
                <w:rFonts w:hint="eastAsia" w:ascii="宋体" w:hAnsi="宋体" w:cs="宋体"/>
                <w:bCs/>
                <w:szCs w:val="21"/>
              </w:rPr>
              <w:t>期环</w:t>
            </w:r>
          </w:p>
          <w:p>
            <w:pPr>
              <w:adjustRightInd w:val="0"/>
              <w:snapToGrid w:val="0"/>
              <w:jc w:val="center"/>
              <w:rPr>
                <w:rFonts w:ascii="宋体" w:hAnsi="宋体" w:cs="宋体"/>
                <w:bCs/>
                <w:szCs w:val="21"/>
              </w:rPr>
            </w:pPr>
            <w:r>
              <w:rPr>
                <w:rFonts w:hint="eastAsia" w:ascii="宋体" w:hAnsi="宋体" w:cs="宋体"/>
                <w:bCs/>
                <w:szCs w:val="21"/>
              </w:rPr>
              <w:t>境影</w:t>
            </w:r>
          </w:p>
          <w:p>
            <w:pPr>
              <w:adjustRightInd w:val="0"/>
              <w:snapToGrid w:val="0"/>
              <w:jc w:val="center"/>
              <w:rPr>
                <w:rFonts w:ascii="宋体" w:hAnsi="宋体" w:cs="宋体"/>
                <w:bCs/>
                <w:szCs w:val="21"/>
              </w:rPr>
            </w:pPr>
            <w:r>
              <w:rPr>
                <w:rFonts w:hint="eastAsia" w:ascii="宋体" w:hAnsi="宋体" w:cs="宋体"/>
                <w:bCs/>
                <w:szCs w:val="21"/>
              </w:rPr>
              <w:t>响和</w:t>
            </w:r>
          </w:p>
          <w:p>
            <w:pPr>
              <w:adjustRightInd w:val="0"/>
              <w:snapToGrid w:val="0"/>
              <w:jc w:val="center"/>
              <w:rPr>
                <w:rFonts w:ascii="宋体" w:hAnsi="宋体" w:cs="宋体"/>
                <w:bCs/>
                <w:szCs w:val="21"/>
              </w:rPr>
            </w:pPr>
            <w:r>
              <w:rPr>
                <w:rFonts w:hint="eastAsia" w:ascii="宋体" w:hAnsi="宋体" w:cs="宋体"/>
                <w:bCs/>
                <w:szCs w:val="21"/>
              </w:rPr>
              <w:t>保护</w:t>
            </w:r>
          </w:p>
          <w:p>
            <w:pPr>
              <w:adjustRightInd w:val="0"/>
              <w:snapToGrid w:val="0"/>
              <w:jc w:val="center"/>
              <w:rPr>
                <w:rFonts w:ascii="宋体" w:hAnsi="宋体" w:cs="宋体"/>
                <w:bCs/>
                <w:szCs w:val="21"/>
              </w:rPr>
            </w:pPr>
            <w:r>
              <w:rPr>
                <w:rFonts w:hint="eastAsia" w:ascii="宋体" w:hAnsi="宋体" w:cs="宋体"/>
                <w:bCs/>
                <w:szCs w:val="21"/>
              </w:rPr>
              <w:t>措施</w:t>
            </w:r>
          </w:p>
        </w:tc>
        <w:tc>
          <w:tcPr>
            <w:tcW w:w="4705" w:type="pct"/>
            <w:vAlign w:val="center"/>
          </w:tcPr>
          <w:p>
            <w:pPr>
              <w:pStyle w:val="100"/>
              <w:spacing w:line="500" w:lineRule="exact"/>
              <w:ind w:firstLine="480" w:firstLineChars="200"/>
            </w:pPr>
            <w:r>
              <w:rPr>
                <w:rFonts w:hint="eastAsia"/>
                <w:kern w:val="0"/>
                <w:szCs w:val="21"/>
              </w:rPr>
              <w:t>本项目</w:t>
            </w:r>
            <w:r>
              <w:rPr>
                <w:rFonts w:hint="eastAsia"/>
              </w:rPr>
              <w:t>热切和印刷废气中主要污染物质为非甲烷总烃，根据</w:t>
            </w:r>
            <w:r>
              <w:t>《排污许可证申请与核发技术规范  橡胶和塑料制品工业》（HJ1122—2020）</w:t>
            </w:r>
            <w:r>
              <w:rPr>
                <w:rFonts w:hint="eastAsia"/>
              </w:rPr>
              <w:t>表A.2 塑料制品工业排污单位废气污染防治可行技术参考表中塑料制品废气治理措施有喷淋、吸附、吸附浓缩+热力燃烧/催化燃烧，</w:t>
            </w:r>
            <w:r>
              <w:rPr>
                <w:rFonts w:hint="eastAsia"/>
                <w:kern w:val="0"/>
                <w:szCs w:val="21"/>
              </w:rPr>
              <w:t>本项目</w:t>
            </w:r>
            <w:r>
              <w:rPr>
                <w:rFonts w:hint="eastAsia"/>
              </w:rPr>
              <w:t>采用UV光氧+活性炭吸附装置处理，属于可行性技术，故</w:t>
            </w:r>
            <w:r>
              <w:rPr>
                <w:rFonts w:hint="eastAsia"/>
                <w:kern w:val="0"/>
                <w:szCs w:val="21"/>
              </w:rPr>
              <w:t>本项目</w:t>
            </w:r>
            <w:r>
              <w:rPr>
                <w:rFonts w:hint="eastAsia"/>
              </w:rPr>
              <w:t>采取UV光氧+活性炭吸附装置处理有机废气措施是可行的。</w:t>
            </w:r>
          </w:p>
          <w:p>
            <w:pPr>
              <w:pStyle w:val="100"/>
              <w:spacing w:line="500" w:lineRule="exact"/>
            </w:pPr>
            <w:r>
              <w:rPr>
                <w:rFonts w:hint="eastAsia"/>
              </w:rPr>
              <w:t>1.4废气污染物排放对环境的影响分析</w:t>
            </w:r>
          </w:p>
          <w:p>
            <w:pPr>
              <w:pStyle w:val="51"/>
              <w:spacing w:line="500" w:lineRule="exact"/>
              <w:ind w:firstLine="480"/>
              <w:rPr>
                <w:bCs/>
              </w:rPr>
            </w:pPr>
            <w:r>
              <w:t>本项目最近敏感点为</w:t>
            </w:r>
            <w:r>
              <w:rPr>
                <w:rFonts w:hint="eastAsia"/>
                <w:bCs/>
              </w:rPr>
              <w:t>北</w:t>
            </w:r>
            <w:r>
              <w:rPr>
                <w:bCs/>
              </w:rPr>
              <w:t>侧</w:t>
            </w:r>
            <w:r>
              <w:rPr>
                <w:rFonts w:hint="eastAsia"/>
                <w:bCs/>
              </w:rPr>
              <w:t>3</w:t>
            </w:r>
            <w:r>
              <w:rPr>
                <w:bCs/>
              </w:rPr>
              <w:t>0m</w:t>
            </w:r>
            <w:r>
              <w:rPr>
                <w:rFonts w:hint="eastAsia"/>
                <w:bCs/>
              </w:rPr>
              <w:t>后马郡村散户</w:t>
            </w:r>
            <w:r>
              <w:t>，</w:t>
            </w:r>
            <w:r>
              <w:rPr>
                <w:rFonts w:hint="eastAsia"/>
              </w:rPr>
              <w:t>本项目主要污染物为非甲烷总烃，本项目有机废气经</w:t>
            </w:r>
            <w:r>
              <w:rPr>
                <w:rFonts w:hint="eastAsia" w:hAnsi="宋体"/>
              </w:rPr>
              <w:t>集气系统（集气罩+区域二次密闭）</w:t>
            </w:r>
            <w:r>
              <w:rPr>
                <w:rFonts w:hint="eastAsia"/>
              </w:rPr>
              <w:t>收集后通过UV光氧+活性炭吸附装置处理后通过15高排气筒排放，非甲烷总烃排放量为0.0175t/a，排放速率为0.0291kg/h，排放浓度为1.82mg/m</w:t>
            </w:r>
            <w:r>
              <w:rPr>
                <w:rFonts w:hint="eastAsia"/>
                <w:vertAlign w:val="superscript"/>
              </w:rPr>
              <w:t>3</w:t>
            </w:r>
            <w:r>
              <w:rPr>
                <w:rFonts w:hint="eastAsia"/>
              </w:rPr>
              <w:t>，满足《合成树脂工业污染物排放标准》（GB31572-2015）表5特别排放限值同时满足河南省地方标准《印刷工业挥发性有机物排放标准》（DB41/1956-2020）表1特别排放限值，对周围环境影响较小。</w:t>
            </w:r>
          </w:p>
          <w:p>
            <w:pPr>
              <w:pStyle w:val="51"/>
              <w:spacing w:line="480" w:lineRule="exact"/>
              <w:ind w:firstLine="482"/>
              <w:jc w:val="left"/>
              <w:rPr>
                <w:b/>
                <w:bCs/>
                <w:u w:val="single"/>
              </w:rPr>
            </w:pPr>
            <w:r>
              <w:rPr>
                <w:rFonts w:hint="eastAsia"/>
                <w:b/>
                <w:bCs/>
                <w:u w:val="single"/>
              </w:rPr>
              <w:t>表34                         废气污染源排放信息表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00"/>
              <w:gridCol w:w="763"/>
              <w:gridCol w:w="709"/>
              <w:gridCol w:w="850"/>
              <w:gridCol w:w="1621"/>
              <w:gridCol w:w="2491"/>
              <w:gridCol w:w="567"/>
              <w:gridCol w:w="567"/>
              <w:gridCol w:w="992"/>
              <w:gridCol w:w="1699"/>
              <w:gridCol w:w="853"/>
              <w:gridCol w:w="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400" w:type="dxa"/>
                  <w:vMerge w:val="restart"/>
                  <w:tcBorders>
                    <w:top w:val="single" w:color="000000" w:sz="4" w:space="0"/>
                    <w:left w:val="single" w:color="000000" w:sz="4" w:space="0"/>
                    <w:right w:val="single" w:color="000000" w:sz="4" w:space="0"/>
                  </w:tcBorders>
                  <w:vAlign w:val="center"/>
                </w:tcPr>
                <w:p>
                  <w:pPr>
                    <w:spacing w:line="340" w:lineRule="exact"/>
                    <w:jc w:val="center"/>
                    <w:rPr>
                      <w:b/>
                      <w:szCs w:val="22"/>
                      <w:u w:val="single"/>
                    </w:rPr>
                  </w:pPr>
                  <w:r>
                    <w:rPr>
                      <w:rFonts w:hAnsi="宋体"/>
                      <w:b/>
                      <w:u w:val="single"/>
                    </w:rPr>
                    <w:t>序号</w:t>
                  </w:r>
                </w:p>
              </w:tc>
              <w:tc>
                <w:tcPr>
                  <w:tcW w:w="763" w:type="dxa"/>
                  <w:vMerge w:val="restart"/>
                  <w:tcBorders>
                    <w:top w:val="single" w:color="000000" w:sz="4" w:space="0"/>
                    <w:left w:val="single" w:color="000000" w:sz="4" w:space="0"/>
                    <w:right w:val="single" w:color="000000" w:sz="4" w:space="0"/>
                  </w:tcBorders>
                  <w:vAlign w:val="center"/>
                </w:tcPr>
                <w:p>
                  <w:pPr>
                    <w:spacing w:line="340" w:lineRule="exact"/>
                    <w:jc w:val="center"/>
                    <w:rPr>
                      <w:b/>
                      <w:szCs w:val="22"/>
                      <w:u w:val="single"/>
                    </w:rPr>
                  </w:pPr>
                  <w:r>
                    <w:rPr>
                      <w:rFonts w:hAnsi="宋体"/>
                      <w:b/>
                      <w:u w:val="single"/>
                    </w:rPr>
                    <w:t>产污环节</w:t>
                  </w:r>
                </w:p>
              </w:tc>
              <w:tc>
                <w:tcPr>
                  <w:tcW w:w="709" w:type="dxa"/>
                  <w:vMerge w:val="restart"/>
                  <w:tcBorders>
                    <w:top w:val="single" w:color="000000" w:sz="4" w:space="0"/>
                    <w:left w:val="single" w:color="000000" w:sz="4" w:space="0"/>
                    <w:right w:val="single" w:color="000000" w:sz="4" w:space="0"/>
                  </w:tcBorders>
                  <w:vAlign w:val="center"/>
                </w:tcPr>
                <w:p>
                  <w:pPr>
                    <w:spacing w:line="340" w:lineRule="exact"/>
                    <w:jc w:val="center"/>
                    <w:rPr>
                      <w:b/>
                      <w:szCs w:val="22"/>
                      <w:u w:val="single"/>
                    </w:rPr>
                  </w:pPr>
                  <w:r>
                    <w:rPr>
                      <w:rFonts w:hAnsi="宋体"/>
                      <w:b/>
                      <w:u w:val="single"/>
                    </w:rPr>
                    <w:t>污染物种类</w:t>
                  </w:r>
                </w:p>
              </w:tc>
              <w:tc>
                <w:tcPr>
                  <w:tcW w:w="850" w:type="dxa"/>
                  <w:vMerge w:val="restart"/>
                  <w:tcBorders>
                    <w:top w:val="single" w:color="000000" w:sz="4" w:space="0"/>
                    <w:left w:val="single" w:color="000000" w:sz="4" w:space="0"/>
                    <w:right w:val="single" w:color="000000" w:sz="4" w:space="0"/>
                  </w:tcBorders>
                  <w:vAlign w:val="center"/>
                </w:tcPr>
                <w:p>
                  <w:pPr>
                    <w:spacing w:line="340" w:lineRule="exact"/>
                    <w:jc w:val="center"/>
                    <w:rPr>
                      <w:b/>
                      <w:szCs w:val="22"/>
                      <w:u w:val="single"/>
                    </w:rPr>
                  </w:pPr>
                  <w:r>
                    <w:rPr>
                      <w:rFonts w:hAnsi="宋体"/>
                      <w:b/>
                      <w:u w:val="single"/>
                    </w:rPr>
                    <w:t>排放形式</w:t>
                  </w:r>
                </w:p>
              </w:tc>
              <w:tc>
                <w:tcPr>
                  <w:tcW w:w="1621" w:type="dxa"/>
                  <w:vMerge w:val="restart"/>
                  <w:tcBorders>
                    <w:top w:val="single" w:color="000000" w:sz="4" w:space="0"/>
                    <w:left w:val="single" w:color="000000" w:sz="4" w:space="0"/>
                    <w:right w:val="single" w:color="000000" w:sz="4" w:space="0"/>
                  </w:tcBorders>
                  <w:vAlign w:val="center"/>
                </w:tcPr>
                <w:p>
                  <w:pPr>
                    <w:spacing w:line="340" w:lineRule="exact"/>
                    <w:jc w:val="center"/>
                    <w:rPr>
                      <w:b/>
                      <w:szCs w:val="22"/>
                      <w:u w:val="single"/>
                    </w:rPr>
                  </w:pPr>
                  <w:r>
                    <w:rPr>
                      <w:rFonts w:hAnsi="宋体"/>
                      <w:b/>
                      <w:u w:val="single"/>
                    </w:rPr>
                    <w:t>产生情况</w:t>
                  </w:r>
                </w:p>
              </w:tc>
              <w:tc>
                <w:tcPr>
                  <w:tcW w:w="4616" w:type="dxa"/>
                  <w:gridSpan w:val="4"/>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b/>
                      <w:szCs w:val="22"/>
                      <w:u w:val="single"/>
                    </w:rPr>
                  </w:pPr>
                  <w:r>
                    <w:rPr>
                      <w:rFonts w:hAnsi="宋体"/>
                      <w:b/>
                      <w:u w:val="single"/>
                    </w:rPr>
                    <w:t>治理设施</w:t>
                  </w:r>
                </w:p>
              </w:tc>
              <w:tc>
                <w:tcPr>
                  <w:tcW w:w="1699" w:type="dxa"/>
                  <w:vMerge w:val="restart"/>
                  <w:tcBorders>
                    <w:top w:val="single" w:color="000000" w:sz="4" w:space="0"/>
                    <w:left w:val="single" w:color="000000" w:sz="4" w:space="0"/>
                    <w:right w:val="single" w:color="000000" w:sz="4" w:space="0"/>
                  </w:tcBorders>
                  <w:vAlign w:val="center"/>
                </w:tcPr>
                <w:p>
                  <w:pPr>
                    <w:spacing w:line="340" w:lineRule="exact"/>
                    <w:jc w:val="center"/>
                    <w:rPr>
                      <w:b/>
                      <w:szCs w:val="22"/>
                      <w:u w:val="single"/>
                    </w:rPr>
                  </w:pPr>
                  <w:r>
                    <w:rPr>
                      <w:rFonts w:hAnsi="宋体"/>
                      <w:b/>
                      <w:u w:val="single"/>
                    </w:rPr>
                    <w:t>排放情况</w:t>
                  </w:r>
                </w:p>
              </w:tc>
              <w:tc>
                <w:tcPr>
                  <w:tcW w:w="852" w:type="dxa"/>
                  <w:vMerge w:val="restart"/>
                  <w:tcBorders>
                    <w:top w:val="single" w:color="000000" w:sz="4" w:space="0"/>
                    <w:left w:val="single" w:color="000000" w:sz="4" w:space="0"/>
                    <w:right w:val="single" w:color="000000" w:sz="4" w:space="0"/>
                  </w:tcBorders>
                  <w:vAlign w:val="center"/>
                </w:tcPr>
                <w:p>
                  <w:pPr>
                    <w:spacing w:line="340" w:lineRule="exact"/>
                    <w:jc w:val="center"/>
                    <w:rPr>
                      <w:rFonts w:hAnsi="宋体"/>
                      <w:b/>
                      <w:u w:val="single"/>
                    </w:rPr>
                  </w:pPr>
                  <w:r>
                    <w:rPr>
                      <w:rFonts w:hAnsi="宋体"/>
                      <w:b/>
                      <w:u w:val="single"/>
                    </w:rPr>
                    <w:t>排放口</w:t>
                  </w:r>
                </w:p>
                <w:p>
                  <w:pPr>
                    <w:spacing w:line="340" w:lineRule="exact"/>
                    <w:jc w:val="center"/>
                    <w:rPr>
                      <w:b/>
                      <w:szCs w:val="22"/>
                      <w:u w:val="single"/>
                    </w:rPr>
                  </w:pPr>
                  <w:r>
                    <w:rPr>
                      <w:rFonts w:hAnsi="宋体"/>
                      <w:b/>
                      <w:u w:val="single"/>
                    </w:rPr>
                    <w:t>编号</w:t>
                  </w:r>
                </w:p>
              </w:tc>
              <w:tc>
                <w:tcPr>
                  <w:tcW w:w="633" w:type="dxa"/>
                  <w:vMerge w:val="restart"/>
                  <w:tcBorders>
                    <w:top w:val="single" w:color="000000" w:sz="4" w:space="0"/>
                    <w:left w:val="single" w:color="000000" w:sz="4" w:space="0"/>
                    <w:right w:val="single" w:color="000000" w:sz="6" w:space="0"/>
                  </w:tcBorders>
                  <w:vAlign w:val="center"/>
                </w:tcPr>
                <w:p>
                  <w:pPr>
                    <w:spacing w:line="340" w:lineRule="exact"/>
                    <w:jc w:val="center"/>
                    <w:rPr>
                      <w:b/>
                      <w:szCs w:val="22"/>
                      <w:u w:val="single"/>
                    </w:rPr>
                  </w:pPr>
                  <w:r>
                    <w:rPr>
                      <w:rFonts w:hAnsi="宋体"/>
                      <w:b/>
                      <w:szCs w:val="22"/>
                      <w:u w:val="single"/>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00" w:type="dxa"/>
                  <w:vMerge w:val="continue"/>
                  <w:tcBorders>
                    <w:left w:val="single" w:color="000000" w:sz="4" w:space="0"/>
                    <w:bottom w:val="single" w:color="000000" w:sz="4" w:space="0"/>
                    <w:right w:val="single" w:color="000000" w:sz="4" w:space="0"/>
                  </w:tcBorders>
                  <w:vAlign w:val="center"/>
                </w:tcPr>
                <w:p>
                  <w:pPr>
                    <w:spacing w:line="340" w:lineRule="exact"/>
                    <w:jc w:val="center"/>
                    <w:rPr>
                      <w:rFonts w:hAnsi="宋体"/>
                      <w:b/>
                      <w:u w:val="single"/>
                    </w:rPr>
                  </w:pPr>
                </w:p>
              </w:tc>
              <w:tc>
                <w:tcPr>
                  <w:tcW w:w="763" w:type="dxa"/>
                  <w:vMerge w:val="continue"/>
                  <w:tcBorders>
                    <w:left w:val="single" w:color="000000" w:sz="4" w:space="0"/>
                    <w:bottom w:val="single" w:color="000000" w:sz="4" w:space="0"/>
                    <w:right w:val="single" w:color="000000" w:sz="4" w:space="0"/>
                  </w:tcBorders>
                  <w:vAlign w:val="center"/>
                </w:tcPr>
                <w:p>
                  <w:pPr>
                    <w:spacing w:line="340" w:lineRule="exact"/>
                    <w:jc w:val="center"/>
                    <w:rPr>
                      <w:rFonts w:hAnsi="宋体"/>
                      <w:b/>
                      <w:u w:val="single"/>
                    </w:rPr>
                  </w:pPr>
                </w:p>
              </w:tc>
              <w:tc>
                <w:tcPr>
                  <w:tcW w:w="709" w:type="dxa"/>
                  <w:vMerge w:val="continue"/>
                  <w:tcBorders>
                    <w:left w:val="single" w:color="000000" w:sz="4" w:space="0"/>
                    <w:bottom w:val="single" w:color="000000" w:sz="4" w:space="0"/>
                    <w:right w:val="single" w:color="000000" w:sz="4" w:space="0"/>
                  </w:tcBorders>
                  <w:vAlign w:val="center"/>
                </w:tcPr>
                <w:p>
                  <w:pPr>
                    <w:spacing w:line="340" w:lineRule="exact"/>
                    <w:jc w:val="center"/>
                    <w:rPr>
                      <w:rFonts w:hAnsi="宋体"/>
                      <w:b/>
                      <w:u w:val="single"/>
                    </w:rPr>
                  </w:pPr>
                </w:p>
              </w:tc>
              <w:tc>
                <w:tcPr>
                  <w:tcW w:w="850" w:type="dxa"/>
                  <w:vMerge w:val="continue"/>
                  <w:tcBorders>
                    <w:left w:val="single" w:color="000000" w:sz="4" w:space="0"/>
                    <w:bottom w:val="single" w:color="000000" w:sz="4" w:space="0"/>
                    <w:right w:val="single" w:color="000000" w:sz="4" w:space="0"/>
                  </w:tcBorders>
                  <w:vAlign w:val="center"/>
                </w:tcPr>
                <w:p>
                  <w:pPr>
                    <w:spacing w:line="340" w:lineRule="exact"/>
                    <w:jc w:val="center"/>
                    <w:rPr>
                      <w:rFonts w:hAnsi="宋体"/>
                      <w:b/>
                      <w:u w:val="single"/>
                    </w:rPr>
                  </w:pPr>
                </w:p>
              </w:tc>
              <w:tc>
                <w:tcPr>
                  <w:tcW w:w="1621" w:type="dxa"/>
                  <w:vMerge w:val="continue"/>
                  <w:tcBorders>
                    <w:left w:val="single" w:color="000000" w:sz="4" w:space="0"/>
                    <w:bottom w:val="single" w:color="000000" w:sz="4" w:space="0"/>
                    <w:right w:val="single" w:color="000000" w:sz="4" w:space="0"/>
                  </w:tcBorders>
                  <w:vAlign w:val="center"/>
                </w:tcPr>
                <w:p>
                  <w:pPr>
                    <w:spacing w:line="340" w:lineRule="exact"/>
                    <w:jc w:val="center"/>
                    <w:rPr>
                      <w:rFonts w:hAnsi="宋体"/>
                      <w:b/>
                      <w:u w:val="single"/>
                    </w:rPr>
                  </w:pPr>
                </w:p>
              </w:tc>
              <w:tc>
                <w:tcPr>
                  <w:tcW w:w="24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b/>
                      <w:szCs w:val="22"/>
                      <w:u w:val="single"/>
                    </w:rPr>
                  </w:pPr>
                  <w:r>
                    <w:rPr>
                      <w:rFonts w:hAnsi="宋体"/>
                      <w:b/>
                      <w:u w:val="single"/>
                    </w:rPr>
                    <w:t>具体措施</w:t>
                  </w: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b/>
                      <w:szCs w:val="22"/>
                      <w:u w:val="single"/>
                    </w:rPr>
                  </w:pPr>
                  <w:r>
                    <w:rPr>
                      <w:rFonts w:hAnsi="宋体"/>
                      <w:b/>
                      <w:u w:val="single"/>
                    </w:rPr>
                    <w:t>收集效率</w:t>
                  </w: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b/>
                      <w:szCs w:val="22"/>
                      <w:u w:val="single"/>
                    </w:rPr>
                  </w:pPr>
                  <w:r>
                    <w:rPr>
                      <w:rFonts w:hAnsi="宋体"/>
                      <w:b/>
                      <w:u w:val="single"/>
                    </w:rPr>
                    <w:t>去除效率</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b/>
                      <w:szCs w:val="22"/>
                      <w:u w:val="single"/>
                    </w:rPr>
                  </w:pPr>
                  <w:r>
                    <w:rPr>
                      <w:rFonts w:hAnsi="宋体"/>
                      <w:b/>
                      <w:u w:val="single"/>
                    </w:rPr>
                    <w:t>是否为可行技术</w:t>
                  </w:r>
                </w:p>
              </w:tc>
              <w:tc>
                <w:tcPr>
                  <w:tcW w:w="1699" w:type="dxa"/>
                  <w:vMerge w:val="continue"/>
                  <w:tcBorders>
                    <w:left w:val="single" w:color="000000" w:sz="4" w:space="0"/>
                    <w:bottom w:val="single" w:color="000000" w:sz="4" w:space="0"/>
                    <w:right w:val="single" w:color="000000" w:sz="4" w:space="0"/>
                  </w:tcBorders>
                  <w:vAlign w:val="center"/>
                </w:tcPr>
                <w:p>
                  <w:pPr>
                    <w:spacing w:line="340" w:lineRule="exact"/>
                    <w:jc w:val="center"/>
                    <w:rPr>
                      <w:rFonts w:hAnsi="宋体"/>
                      <w:b/>
                      <w:u w:val="single"/>
                    </w:rPr>
                  </w:pPr>
                </w:p>
              </w:tc>
              <w:tc>
                <w:tcPr>
                  <w:tcW w:w="852" w:type="dxa"/>
                  <w:vMerge w:val="continue"/>
                  <w:tcBorders>
                    <w:left w:val="single" w:color="000000" w:sz="4" w:space="0"/>
                    <w:bottom w:val="single" w:color="000000" w:sz="4" w:space="0"/>
                    <w:right w:val="single" w:color="000000" w:sz="4" w:space="0"/>
                  </w:tcBorders>
                  <w:vAlign w:val="center"/>
                </w:tcPr>
                <w:p>
                  <w:pPr>
                    <w:spacing w:line="340" w:lineRule="exact"/>
                    <w:jc w:val="center"/>
                    <w:rPr>
                      <w:rFonts w:hAnsi="宋体"/>
                      <w:b/>
                      <w:u w:val="single"/>
                    </w:rPr>
                  </w:pPr>
                </w:p>
              </w:tc>
              <w:tc>
                <w:tcPr>
                  <w:tcW w:w="633" w:type="dxa"/>
                  <w:vMerge w:val="continue"/>
                  <w:tcBorders>
                    <w:left w:val="single" w:color="000000" w:sz="4" w:space="0"/>
                    <w:bottom w:val="single" w:color="000000" w:sz="4" w:space="0"/>
                    <w:right w:val="single" w:color="000000" w:sz="6" w:space="0"/>
                  </w:tcBorders>
                  <w:vAlign w:val="center"/>
                </w:tcPr>
                <w:p>
                  <w:pPr>
                    <w:spacing w:line="340" w:lineRule="exact"/>
                    <w:jc w:val="center"/>
                    <w:rPr>
                      <w:rFonts w:hAnsi="宋体"/>
                      <w:b/>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jc w:val="center"/>
              </w:trPr>
              <w:tc>
                <w:tcPr>
                  <w:tcW w:w="400" w:type="dxa"/>
                  <w:vMerge w:val="restart"/>
                  <w:tcBorders>
                    <w:left w:val="single" w:color="000000" w:sz="4" w:space="0"/>
                    <w:right w:val="single" w:color="000000" w:sz="4" w:space="0"/>
                  </w:tcBorders>
                  <w:vAlign w:val="center"/>
                </w:tcPr>
                <w:p>
                  <w:pPr>
                    <w:spacing w:line="340" w:lineRule="exact"/>
                    <w:jc w:val="center"/>
                    <w:rPr>
                      <w:b/>
                      <w:szCs w:val="22"/>
                      <w:u w:val="single"/>
                    </w:rPr>
                  </w:pPr>
                  <w:r>
                    <w:rPr>
                      <w:rFonts w:hint="eastAsia"/>
                      <w:b/>
                      <w:szCs w:val="22"/>
                      <w:u w:val="single"/>
                    </w:rPr>
                    <w:t>1</w:t>
                  </w:r>
                </w:p>
              </w:tc>
              <w:tc>
                <w:tcPr>
                  <w:tcW w:w="763" w:type="dxa"/>
                  <w:vMerge w:val="restart"/>
                  <w:tcBorders>
                    <w:left w:val="single" w:color="000000" w:sz="4" w:space="0"/>
                    <w:right w:val="single" w:color="000000" w:sz="4" w:space="0"/>
                  </w:tcBorders>
                  <w:vAlign w:val="center"/>
                </w:tcPr>
                <w:p>
                  <w:pPr>
                    <w:spacing w:line="360" w:lineRule="exact"/>
                    <w:jc w:val="center"/>
                    <w:rPr>
                      <w:b/>
                      <w:szCs w:val="22"/>
                      <w:u w:val="single"/>
                    </w:rPr>
                  </w:pPr>
                  <w:r>
                    <w:rPr>
                      <w:rFonts w:hint="eastAsia"/>
                      <w:b/>
                      <w:szCs w:val="22"/>
                      <w:u w:val="single"/>
                    </w:rPr>
                    <w:t>热切印刷废气</w:t>
                  </w:r>
                </w:p>
              </w:tc>
              <w:tc>
                <w:tcPr>
                  <w:tcW w:w="709" w:type="dxa"/>
                  <w:vMerge w:val="restart"/>
                  <w:tcBorders>
                    <w:left w:val="single" w:color="000000" w:sz="4" w:space="0"/>
                    <w:right w:val="single" w:color="000000" w:sz="4" w:space="0"/>
                  </w:tcBorders>
                  <w:vAlign w:val="center"/>
                </w:tcPr>
                <w:p>
                  <w:pPr>
                    <w:spacing w:line="360" w:lineRule="exact"/>
                    <w:jc w:val="center"/>
                    <w:rPr>
                      <w:b/>
                      <w:szCs w:val="22"/>
                      <w:u w:val="single"/>
                    </w:rPr>
                  </w:pPr>
                  <w:r>
                    <w:rPr>
                      <w:rFonts w:hint="eastAsia"/>
                      <w:b/>
                      <w:szCs w:val="22"/>
                      <w:u w:val="single"/>
                    </w:rPr>
                    <w:t>非甲烷总烃</w:t>
                  </w:r>
                </w:p>
              </w:tc>
              <w:tc>
                <w:tcPr>
                  <w:tcW w:w="850" w:type="dxa"/>
                  <w:tcBorders>
                    <w:left w:val="single" w:color="000000" w:sz="4" w:space="0"/>
                    <w:right w:val="single" w:color="000000" w:sz="4" w:space="0"/>
                  </w:tcBorders>
                  <w:vAlign w:val="center"/>
                </w:tcPr>
                <w:p>
                  <w:pPr>
                    <w:widowControl/>
                    <w:spacing w:line="360" w:lineRule="exact"/>
                    <w:jc w:val="center"/>
                    <w:rPr>
                      <w:b/>
                      <w:szCs w:val="22"/>
                      <w:u w:val="single"/>
                    </w:rPr>
                  </w:pPr>
                  <w:r>
                    <w:rPr>
                      <w:rFonts w:hAnsi="宋体"/>
                      <w:b/>
                      <w:u w:val="single"/>
                    </w:rPr>
                    <w:t>有组织</w:t>
                  </w:r>
                </w:p>
              </w:tc>
              <w:tc>
                <w:tcPr>
                  <w:tcW w:w="1621" w:type="dxa"/>
                  <w:tcBorders>
                    <w:left w:val="single" w:color="000000" w:sz="4" w:space="0"/>
                    <w:bottom w:val="single" w:color="000000" w:sz="4" w:space="0"/>
                    <w:right w:val="single" w:color="000000" w:sz="4" w:space="0"/>
                  </w:tcBorders>
                  <w:vAlign w:val="center"/>
                </w:tcPr>
                <w:p>
                  <w:pPr>
                    <w:pStyle w:val="62"/>
                    <w:rPr>
                      <w:b/>
                      <w:sz w:val="21"/>
                      <w:szCs w:val="21"/>
                      <w:u w:val="single"/>
                      <w:lang w:val="en-GB"/>
                    </w:rPr>
                  </w:pPr>
                  <w:r>
                    <w:rPr>
                      <w:b/>
                      <w:sz w:val="21"/>
                      <w:szCs w:val="21"/>
                      <w:u w:val="single"/>
                      <w:lang w:val="en-GB"/>
                    </w:rPr>
                    <w:t>产生量</w:t>
                  </w:r>
                  <w:r>
                    <w:rPr>
                      <w:rFonts w:hint="eastAsia"/>
                      <w:b/>
                      <w:sz w:val="21"/>
                      <w:szCs w:val="21"/>
                      <w:u w:val="single"/>
                    </w:rPr>
                    <w:t>0.0874</w:t>
                  </w:r>
                  <w:r>
                    <w:rPr>
                      <w:b/>
                      <w:sz w:val="21"/>
                      <w:szCs w:val="21"/>
                      <w:u w:val="single"/>
                      <w:lang w:val="en-GB"/>
                    </w:rPr>
                    <w:t>t/a</w:t>
                  </w:r>
                </w:p>
                <w:p>
                  <w:pPr>
                    <w:pStyle w:val="62"/>
                    <w:rPr>
                      <w:b/>
                      <w:sz w:val="21"/>
                      <w:szCs w:val="21"/>
                      <w:u w:val="single"/>
                      <w:lang w:val="en-GB"/>
                    </w:rPr>
                  </w:pPr>
                  <w:r>
                    <w:rPr>
                      <w:b/>
                      <w:sz w:val="21"/>
                      <w:szCs w:val="21"/>
                      <w:u w:val="single"/>
                      <w:lang w:val="en-GB"/>
                    </w:rPr>
                    <w:t>速率</w:t>
                  </w:r>
                  <w:r>
                    <w:rPr>
                      <w:rFonts w:hint="eastAsia"/>
                      <w:b/>
                      <w:sz w:val="21"/>
                      <w:szCs w:val="21"/>
                      <w:u w:val="single"/>
                    </w:rPr>
                    <w:t>0.1457</w:t>
                  </w:r>
                  <w:r>
                    <w:rPr>
                      <w:b/>
                      <w:sz w:val="21"/>
                      <w:szCs w:val="21"/>
                      <w:u w:val="single"/>
                    </w:rPr>
                    <w:t>kg/h</w:t>
                  </w:r>
                </w:p>
                <w:p>
                  <w:pPr>
                    <w:pStyle w:val="62"/>
                    <w:rPr>
                      <w:b/>
                      <w:sz w:val="21"/>
                      <w:szCs w:val="21"/>
                      <w:u w:val="single"/>
                    </w:rPr>
                  </w:pPr>
                  <w:r>
                    <w:rPr>
                      <w:b/>
                      <w:sz w:val="21"/>
                      <w:szCs w:val="21"/>
                      <w:u w:val="single"/>
                      <w:lang w:val="en-GB"/>
                    </w:rPr>
                    <w:t>浓度</w:t>
                  </w:r>
                  <w:r>
                    <w:rPr>
                      <w:rFonts w:hint="eastAsia"/>
                      <w:b/>
                      <w:sz w:val="21"/>
                      <w:szCs w:val="21"/>
                      <w:u w:val="single"/>
                    </w:rPr>
                    <w:t>9.10</w:t>
                  </w:r>
                  <w:r>
                    <w:rPr>
                      <w:b/>
                      <w:sz w:val="21"/>
                      <w:szCs w:val="21"/>
                      <w:u w:val="single"/>
                    </w:rPr>
                    <w:t>mg/m</w:t>
                  </w:r>
                  <w:r>
                    <w:rPr>
                      <w:b/>
                      <w:sz w:val="21"/>
                      <w:szCs w:val="21"/>
                      <w:u w:val="single"/>
                      <w:vertAlign w:val="superscript"/>
                    </w:rPr>
                    <w:t>3</w:t>
                  </w:r>
                </w:p>
              </w:tc>
              <w:tc>
                <w:tcPr>
                  <w:tcW w:w="2490" w:type="dxa"/>
                  <w:tcBorders>
                    <w:top w:val="single" w:color="000000" w:sz="4" w:space="0"/>
                    <w:left w:val="single" w:color="000000" w:sz="4" w:space="0"/>
                    <w:right w:val="single" w:color="000000" w:sz="4" w:space="0"/>
                  </w:tcBorders>
                  <w:vAlign w:val="center"/>
                </w:tcPr>
                <w:p>
                  <w:pPr>
                    <w:pStyle w:val="62"/>
                    <w:rPr>
                      <w:b/>
                      <w:sz w:val="21"/>
                      <w:szCs w:val="21"/>
                      <w:u w:val="single"/>
                    </w:rPr>
                  </w:pPr>
                  <w:r>
                    <w:rPr>
                      <w:rFonts w:hint="eastAsia"/>
                      <w:b/>
                      <w:sz w:val="21"/>
                      <w:szCs w:val="21"/>
                      <w:u w:val="single"/>
                    </w:rPr>
                    <w:t>集气系统+UV光氧+活性炭吸附装置+15m高排气筒</w:t>
                  </w:r>
                </w:p>
                <w:p>
                  <w:pPr>
                    <w:pStyle w:val="62"/>
                    <w:rPr>
                      <w:b/>
                      <w:sz w:val="21"/>
                      <w:szCs w:val="21"/>
                      <w:u w:val="single"/>
                    </w:rPr>
                  </w:pPr>
                  <w:r>
                    <w:rPr>
                      <w:b/>
                      <w:sz w:val="21"/>
                      <w:szCs w:val="21"/>
                      <w:u w:val="single"/>
                    </w:rPr>
                    <w:t>集气效率9</w:t>
                  </w:r>
                  <w:r>
                    <w:rPr>
                      <w:rFonts w:hint="eastAsia"/>
                      <w:b/>
                      <w:sz w:val="21"/>
                      <w:szCs w:val="21"/>
                      <w:u w:val="single"/>
                    </w:rPr>
                    <w:t>5</w:t>
                  </w:r>
                  <w:r>
                    <w:rPr>
                      <w:b/>
                      <w:sz w:val="21"/>
                      <w:szCs w:val="21"/>
                      <w:u w:val="single"/>
                    </w:rPr>
                    <w:t>%；</w:t>
                  </w:r>
                </w:p>
                <w:p>
                  <w:pPr>
                    <w:pStyle w:val="62"/>
                    <w:rPr>
                      <w:b/>
                      <w:sz w:val="21"/>
                      <w:szCs w:val="21"/>
                      <w:u w:val="single"/>
                    </w:rPr>
                  </w:pPr>
                  <w:r>
                    <w:rPr>
                      <w:b/>
                      <w:sz w:val="21"/>
                      <w:szCs w:val="21"/>
                      <w:u w:val="single"/>
                    </w:rPr>
                    <w:t>处理效率</w:t>
                  </w:r>
                  <w:r>
                    <w:rPr>
                      <w:rFonts w:hint="eastAsia"/>
                      <w:b/>
                      <w:sz w:val="21"/>
                      <w:szCs w:val="21"/>
                      <w:u w:val="single"/>
                    </w:rPr>
                    <w:t>80</w:t>
                  </w:r>
                  <w:r>
                    <w:rPr>
                      <w:b/>
                      <w:sz w:val="21"/>
                      <w:szCs w:val="21"/>
                      <w:u w:val="single"/>
                    </w:rPr>
                    <w:t>%；</w:t>
                  </w:r>
                </w:p>
                <w:p>
                  <w:pPr>
                    <w:spacing w:line="360" w:lineRule="exact"/>
                    <w:jc w:val="center"/>
                    <w:rPr>
                      <w:b/>
                      <w:szCs w:val="22"/>
                      <w:u w:val="single"/>
                    </w:rPr>
                  </w:pPr>
                  <w:r>
                    <w:rPr>
                      <w:b/>
                      <w:szCs w:val="21"/>
                      <w:u w:val="single"/>
                    </w:rPr>
                    <w:t>风量</w:t>
                  </w:r>
                  <w:r>
                    <w:rPr>
                      <w:rFonts w:hint="eastAsia"/>
                      <w:b/>
                      <w:szCs w:val="21"/>
                      <w:u w:val="single"/>
                    </w:rPr>
                    <w:t>16</w:t>
                  </w:r>
                  <w:r>
                    <w:rPr>
                      <w:b/>
                      <w:szCs w:val="21"/>
                      <w:u w:val="single"/>
                    </w:rPr>
                    <w:t>000m</w:t>
                  </w:r>
                  <w:r>
                    <w:rPr>
                      <w:b/>
                      <w:szCs w:val="21"/>
                      <w:u w:val="single"/>
                      <w:vertAlign w:val="superscript"/>
                    </w:rPr>
                    <w:t>3</w:t>
                  </w:r>
                  <w:r>
                    <w:rPr>
                      <w:b/>
                      <w:szCs w:val="21"/>
                      <w:u w:val="single"/>
                    </w:rPr>
                    <w:t>/h</w:t>
                  </w:r>
                </w:p>
              </w:tc>
              <w:tc>
                <w:tcPr>
                  <w:tcW w:w="567" w:type="dxa"/>
                  <w:tcBorders>
                    <w:top w:val="single" w:color="000000" w:sz="4" w:space="0"/>
                    <w:left w:val="single" w:color="000000" w:sz="4" w:space="0"/>
                    <w:right w:val="single" w:color="000000" w:sz="4" w:space="0"/>
                  </w:tcBorders>
                  <w:vAlign w:val="center"/>
                </w:tcPr>
                <w:p>
                  <w:pPr>
                    <w:spacing w:line="360" w:lineRule="exact"/>
                    <w:jc w:val="center"/>
                    <w:rPr>
                      <w:b/>
                      <w:szCs w:val="22"/>
                      <w:u w:val="single"/>
                    </w:rPr>
                  </w:pPr>
                  <w:r>
                    <w:rPr>
                      <w:b/>
                      <w:szCs w:val="22"/>
                      <w:u w:val="single"/>
                    </w:rPr>
                    <w:t>95%</w:t>
                  </w: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b/>
                      <w:szCs w:val="22"/>
                      <w:u w:val="single"/>
                    </w:rPr>
                  </w:pPr>
                  <w:r>
                    <w:rPr>
                      <w:rFonts w:hint="eastAsia"/>
                      <w:b/>
                      <w:u w:val="single"/>
                    </w:rPr>
                    <w:t>80</w:t>
                  </w:r>
                  <w:r>
                    <w:rPr>
                      <w:b/>
                      <w:u w:val="single"/>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b/>
                      <w:szCs w:val="22"/>
                      <w:u w:val="single"/>
                    </w:rPr>
                  </w:pPr>
                  <w:r>
                    <w:rPr>
                      <w:rFonts w:hAnsi="宋体"/>
                      <w:b/>
                      <w:szCs w:val="22"/>
                      <w:u w:val="single"/>
                    </w:rPr>
                    <w:t>是</w:t>
                  </w:r>
                </w:p>
              </w:tc>
              <w:tc>
                <w:tcPr>
                  <w:tcW w:w="1699" w:type="dxa"/>
                  <w:tcBorders>
                    <w:left w:val="single" w:color="000000" w:sz="4" w:space="0"/>
                    <w:bottom w:val="single" w:color="000000" w:sz="4" w:space="0"/>
                    <w:right w:val="single" w:color="000000" w:sz="4" w:space="0"/>
                  </w:tcBorders>
                  <w:vAlign w:val="center"/>
                </w:tcPr>
                <w:p>
                  <w:pPr>
                    <w:pStyle w:val="62"/>
                    <w:rPr>
                      <w:b/>
                      <w:sz w:val="21"/>
                      <w:szCs w:val="21"/>
                      <w:u w:val="single"/>
                      <w:lang w:val="en-GB"/>
                    </w:rPr>
                  </w:pPr>
                  <w:r>
                    <w:rPr>
                      <w:b/>
                      <w:sz w:val="21"/>
                      <w:szCs w:val="21"/>
                      <w:u w:val="single"/>
                      <w:lang w:val="en-GB"/>
                    </w:rPr>
                    <w:t>排放量0.</w:t>
                  </w:r>
                  <w:r>
                    <w:rPr>
                      <w:rFonts w:hint="eastAsia"/>
                      <w:b/>
                      <w:sz w:val="21"/>
                      <w:szCs w:val="21"/>
                      <w:u w:val="single"/>
                      <w:lang w:val="en-GB"/>
                    </w:rPr>
                    <w:t>0175</w:t>
                  </w:r>
                  <w:r>
                    <w:rPr>
                      <w:b/>
                      <w:sz w:val="21"/>
                      <w:szCs w:val="21"/>
                      <w:u w:val="single"/>
                    </w:rPr>
                    <w:t>t/a</w:t>
                  </w:r>
                </w:p>
                <w:p>
                  <w:pPr>
                    <w:pStyle w:val="62"/>
                    <w:rPr>
                      <w:b/>
                      <w:sz w:val="21"/>
                      <w:szCs w:val="21"/>
                      <w:u w:val="single"/>
                      <w:lang w:val="en-GB"/>
                    </w:rPr>
                  </w:pPr>
                  <w:r>
                    <w:rPr>
                      <w:b/>
                      <w:sz w:val="21"/>
                      <w:szCs w:val="21"/>
                      <w:u w:val="single"/>
                      <w:lang w:val="en-GB"/>
                    </w:rPr>
                    <w:t>速率</w:t>
                  </w:r>
                  <w:r>
                    <w:rPr>
                      <w:b/>
                      <w:sz w:val="21"/>
                      <w:szCs w:val="21"/>
                      <w:u w:val="single"/>
                    </w:rPr>
                    <w:t>0.</w:t>
                  </w:r>
                  <w:r>
                    <w:rPr>
                      <w:rFonts w:hint="eastAsia"/>
                      <w:b/>
                      <w:sz w:val="21"/>
                      <w:szCs w:val="21"/>
                      <w:u w:val="single"/>
                    </w:rPr>
                    <w:t>0291</w:t>
                  </w:r>
                  <w:r>
                    <w:rPr>
                      <w:b/>
                      <w:sz w:val="21"/>
                      <w:szCs w:val="21"/>
                      <w:u w:val="single"/>
                    </w:rPr>
                    <w:t>kg/h</w:t>
                  </w:r>
                </w:p>
                <w:p>
                  <w:pPr>
                    <w:pStyle w:val="62"/>
                    <w:rPr>
                      <w:b/>
                      <w:sz w:val="21"/>
                      <w:szCs w:val="21"/>
                      <w:u w:val="single"/>
                      <w:lang w:val="en-GB"/>
                    </w:rPr>
                  </w:pPr>
                  <w:r>
                    <w:rPr>
                      <w:b/>
                      <w:sz w:val="21"/>
                      <w:szCs w:val="21"/>
                      <w:u w:val="single"/>
                      <w:lang w:val="en-GB"/>
                    </w:rPr>
                    <w:t>浓度</w:t>
                  </w:r>
                  <w:r>
                    <w:rPr>
                      <w:rFonts w:hint="eastAsia"/>
                      <w:b/>
                      <w:sz w:val="21"/>
                      <w:szCs w:val="21"/>
                      <w:u w:val="single"/>
                    </w:rPr>
                    <w:t>1.82</w:t>
                  </w:r>
                  <w:r>
                    <w:rPr>
                      <w:b/>
                      <w:sz w:val="21"/>
                      <w:szCs w:val="21"/>
                      <w:u w:val="single"/>
                    </w:rPr>
                    <w:t>mg/m</w:t>
                  </w:r>
                  <w:r>
                    <w:rPr>
                      <w:b/>
                      <w:sz w:val="21"/>
                      <w:szCs w:val="21"/>
                      <w:u w:val="single"/>
                      <w:vertAlign w:val="superscript"/>
                    </w:rPr>
                    <w:t>3</w:t>
                  </w:r>
                </w:p>
              </w:tc>
              <w:tc>
                <w:tcPr>
                  <w:tcW w:w="852" w:type="dxa"/>
                  <w:tcBorders>
                    <w:left w:val="single" w:color="000000" w:sz="4" w:space="0"/>
                    <w:right w:val="single" w:color="000000" w:sz="4" w:space="0"/>
                  </w:tcBorders>
                  <w:vAlign w:val="center"/>
                </w:tcPr>
                <w:p>
                  <w:pPr>
                    <w:spacing w:line="340" w:lineRule="exact"/>
                    <w:jc w:val="center"/>
                    <w:rPr>
                      <w:b/>
                      <w:szCs w:val="22"/>
                      <w:u w:val="single"/>
                    </w:rPr>
                  </w:pPr>
                  <w:r>
                    <w:rPr>
                      <w:rFonts w:hint="eastAsia"/>
                      <w:b/>
                      <w:szCs w:val="22"/>
                      <w:u w:val="single"/>
                    </w:rPr>
                    <w:t>DA001</w:t>
                  </w:r>
                </w:p>
              </w:tc>
              <w:tc>
                <w:tcPr>
                  <w:tcW w:w="633" w:type="dxa"/>
                  <w:tcBorders>
                    <w:left w:val="single" w:color="000000" w:sz="4" w:space="0"/>
                    <w:right w:val="single" w:color="000000" w:sz="6" w:space="0"/>
                  </w:tcBorders>
                  <w:vAlign w:val="center"/>
                </w:tcPr>
                <w:p>
                  <w:pPr>
                    <w:spacing w:line="340" w:lineRule="exact"/>
                    <w:jc w:val="center"/>
                    <w:rPr>
                      <w:b/>
                      <w:szCs w:val="22"/>
                      <w:u w:val="single"/>
                    </w:rPr>
                  </w:pPr>
                  <w:r>
                    <w:rPr>
                      <w:rFonts w:hAnsi="宋体"/>
                      <w:b/>
                      <w:szCs w:val="22"/>
                      <w:u w:val="single"/>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400" w:type="dxa"/>
                  <w:vMerge w:val="continue"/>
                  <w:tcBorders>
                    <w:left w:val="single" w:color="000000" w:sz="4" w:space="0"/>
                    <w:right w:val="single" w:color="000000" w:sz="4" w:space="0"/>
                  </w:tcBorders>
                  <w:vAlign w:val="center"/>
                </w:tcPr>
                <w:p>
                  <w:pPr>
                    <w:spacing w:line="340" w:lineRule="exact"/>
                    <w:jc w:val="center"/>
                    <w:rPr>
                      <w:rFonts w:hAnsi="宋体"/>
                      <w:b/>
                      <w:u w:val="single"/>
                    </w:rPr>
                  </w:pPr>
                </w:p>
              </w:tc>
              <w:tc>
                <w:tcPr>
                  <w:tcW w:w="763" w:type="dxa"/>
                  <w:vMerge w:val="continue"/>
                  <w:tcBorders>
                    <w:left w:val="single" w:color="000000" w:sz="4" w:space="0"/>
                    <w:right w:val="single" w:color="000000" w:sz="4" w:space="0"/>
                  </w:tcBorders>
                  <w:vAlign w:val="center"/>
                </w:tcPr>
                <w:p>
                  <w:pPr>
                    <w:spacing w:line="340" w:lineRule="exact"/>
                    <w:jc w:val="center"/>
                    <w:rPr>
                      <w:rFonts w:hAnsi="宋体"/>
                      <w:b/>
                      <w:u w:val="single"/>
                    </w:rPr>
                  </w:pPr>
                </w:p>
              </w:tc>
              <w:tc>
                <w:tcPr>
                  <w:tcW w:w="709" w:type="dxa"/>
                  <w:vMerge w:val="continue"/>
                  <w:tcBorders>
                    <w:left w:val="single" w:color="000000" w:sz="4" w:space="0"/>
                    <w:right w:val="single" w:color="000000" w:sz="4" w:space="0"/>
                  </w:tcBorders>
                  <w:vAlign w:val="center"/>
                </w:tcPr>
                <w:p>
                  <w:pPr>
                    <w:pStyle w:val="68"/>
                    <w:rPr>
                      <w:b/>
                      <w:u w:val="single"/>
                    </w:rPr>
                  </w:pPr>
                </w:p>
              </w:tc>
              <w:tc>
                <w:tcPr>
                  <w:tcW w:w="850" w:type="dxa"/>
                  <w:tcBorders>
                    <w:left w:val="single" w:color="000000" w:sz="4" w:space="0"/>
                    <w:right w:val="single" w:color="000000" w:sz="4" w:space="0"/>
                  </w:tcBorders>
                  <w:vAlign w:val="center"/>
                </w:tcPr>
                <w:p>
                  <w:pPr>
                    <w:spacing w:line="340" w:lineRule="exact"/>
                    <w:jc w:val="center"/>
                    <w:rPr>
                      <w:rFonts w:hAnsi="宋体"/>
                      <w:b/>
                      <w:u w:val="single"/>
                    </w:rPr>
                  </w:pPr>
                  <w:r>
                    <w:rPr>
                      <w:rFonts w:hAnsi="宋体"/>
                      <w:b/>
                      <w:u w:val="single"/>
                    </w:rPr>
                    <w:t>无组织</w:t>
                  </w:r>
                </w:p>
              </w:tc>
              <w:tc>
                <w:tcPr>
                  <w:tcW w:w="1621" w:type="dxa"/>
                  <w:tcBorders>
                    <w:left w:val="single" w:color="000000" w:sz="4" w:space="0"/>
                    <w:right w:val="single" w:color="000000" w:sz="4" w:space="0"/>
                  </w:tcBorders>
                  <w:vAlign w:val="center"/>
                </w:tcPr>
                <w:p>
                  <w:pPr>
                    <w:pStyle w:val="62"/>
                    <w:rPr>
                      <w:b/>
                      <w:sz w:val="21"/>
                      <w:szCs w:val="21"/>
                      <w:u w:val="single"/>
                      <w:lang w:val="en-GB"/>
                    </w:rPr>
                  </w:pPr>
                  <w:r>
                    <w:rPr>
                      <w:b/>
                      <w:sz w:val="21"/>
                      <w:szCs w:val="21"/>
                      <w:u w:val="single"/>
                      <w:lang w:val="en-GB"/>
                    </w:rPr>
                    <w:t>产生量</w:t>
                  </w:r>
                  <w:r>
                    <w:rPr>
                      <w:b/>
                      <w:sz w:val="21"/>
                      <w:szCs w:val="21"/>
                      <w:u w:val="single"/>
                    </w:rPr>
                    <w:t>0.</w:t>
                  </w:r>
                  <w:r>
                    <w:rPr>
                      <w:rFonts w:hint="eastAsia"/>
                      <w:b/>
                      <w:sz w:val="21"/>
                      <w:szCs w:val="21"/>
                      <w:u w:val="single"/>
                    </w:rPr>
                    <w:t>0046</w:t>
                  </w:r>
                  <w:r>
                    <w:rPr>
                      <w:b/>
                      <w:sz w:val="21"/>
                      <w:szCs w:val="21"/>
                      <w:u w:val="single"/>
                      <w:lang w:val="en-GB"/>
                    </w:rPr>
                    <w:t>t/a</w:t>
                  </w:r>
                </w:p>
              </w:tc>
              <w:tc>
                <w:tcPr>
                  <w:tcW w:w="24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Ansi="宋体"/>
                      <w:b/>
                      <w:u w:val="single"/>
                    </w:rPr>
                  </w:pPr>
                  <w:r>
                    <w:rPr>
                      <w:rFonts w:hint="eastAsia"/>
                      <w:b/>
                      <w:szCs w:val="22"/>
                      <w:u w:val="single"/>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Ansi="宋体"/>
                      <w:b/>
                      <w:u w:val="single"/>
                    </w:rPr>
                  </w:pPr>
                  <w:r>
                    <w:rPr>
                      <w:rFonts w:hint="eastAsia"/>
                      <w:b/>
                      <w:szCs w:val="22"/>
                      <w:u w:val="single"/>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Ansi="宋体"/>
                      <w:b/>
                      <w:u w:val="single"/>
                    </w:rPr>
                  </w:pPr>
                  <w:r>
                    <w:rPr>
                      <w:rFonts w:hint="eastAsia"/>
                      <w:b/>
                      <w:szCs w:val="22"/>
                      <w:u w:val="single"/>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Ansi="宋体"/>
                      <w:b/>
                      <w:u w:val="single"/>
                    </w:rPr>
                  </w:pPr>
                  <w:r>
                    <w:rPr>
                      <w:rFonts w:hint="eastAsia"/>
                      <w:b/>
                      <w:szCs w:val="22"/>
                      <w:u w:val="single"/>
                    </w:rPr>
                    <w:t>/</w:t>
                  </w:r>
                </w:p>
              </w:tc>
              <w:tc>
                <w:tcPr>
                  <w:tcW w:w="1699" w:type="dxa"/>
                  <w:tcBorders>
                    <w:left w:val="single" w:color="000000" w:sz="4" w:space="0"/>
                    <w:right w:val="single" w:color="000000" w:sz="4" w:space="0"/>
                  </w:tcBorders>
                  <w:vAlign w:val="center"/>
                </w:tcPr>
                <w:p>
                  <w:pPr>
                    <w:pStyle w:val="62"/>
                    <w:rPr>
                      <w:b/>
                      <w:sz w:val="21"/>
                      <w:szCs w:val="21"/>
                      <w:u w:val="single"/>
                      <w:lang w:val="en-GB"/>
                    </w:rPr>
                  </w:pPr>
                  <w:r>
                    <w:rPr>
                      <w:b/>
                      <w:sz w:val="21"/>
                      <w:szCs w:val="21"/>
                      <w:u w:val="single"/>
                      <w:lang w:val="en-GB"/>
                    </w:rPr>
                    <w:t>排放量0.</w:t>
                  </w:r>
                  <w:r>
                    <w:rPr>
                      <w:rFonts w:hint="eastAsia"/>
                      <w:b/>
                      <w:sz w:val="21"/>
                      <w:szCs w:val="21"/>
                      <w:u w:val="single"/>
                      <w:lang w:val="en-GB"/>
                    </w:rPr>
                    <w:t>0046</w:t>
                  </w:r>
                  <w:r>
                    <w:rPr>
                      <w:b/>
                      <w:sz w:val="21"/>
                      <w:szCs w:val="21"/>
                      <w:u w:val="single"/>
                      <w:lang w:val="en-GB"/>
                    </w:rPr>
                    <w:t>t/a</w:t>
                  </w:r>
                </w:p>
              </w:tc>
              <w:tc>
                <w:tcPr>
                  <w:tcW w:w="1485" w:type="dxa"/>
                  <w:gridSpan w:val="2"/>
                  <w:tcBorders>
                    <w:left w:val="single" w:color="000000" w:sz="4" w:space="0"/>
                    <w:right w:val="single" w:color="000000" w:sz="6" w:space="0"/>
                  </w:tcBorders>
                  <w:vAlign w:val="center"/>
                </w:tcPr>
                <w:p>
                  <w:pPr>
                    <w:spacing w:line="340" w:lineRule="exact"/>
                    <w:jc w:val="center"/>
                    <w:rPr>
                      <w:rFonts w:hAnsi="宋体"/>
                      <w:b/>
                      <w:szCs w:val="22"/>
                      <w:u w:val="single"/>
                    </w:rPr>
                  </w:pPr>
                  <w:r>
                    <w:rPr>
                      <w:rFonts w:hint="eastAsia" w:hAnsi="宋体"/>
                      <w:b/>
                      <w:szCs w:val="22"/>
                      <w:u w:val="single"/>
                    </w:rPr>
                    <w:t>/</w:t>
                  </w:r>
                </w:p>
              </w:tc>
            </w:tr>
          </w:tbl>
          <w:p>
            <w:pPr>
              <w:pStyle w:val="51"/>
              <w:spacing w:line="480" w:lineRule="exact"/>
              <w:ind w:firstLine="482"/>
              <w:jc w:val="left"/>
              <w:rPr>
                <w:b/>
                <w:bCs/>
                <w:u w:val="single"/>
              </w:rPr>
            </w:pPr>
            <w:r>
              <w:rPr>
                <w:rFonts w:hint="eastAsia"/>
                <w:b/>
                <w:bCs/>
                <w:u w:val="single"/>
              </w:rPr>
              <w:t>表35                             排放口基本情况表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
              <w:gridCol w:w="850"/>
              <w:gridCol w:w="2835"/>
              <w:gridCol w:w="1278"/>
              <w:gridCol w:w="1521"/>
              <w:gridCol w:w="1319"/>
              <w:gridCol w:w="960"/>
              <w:gridCol w:w="1101"/>
              <w:gridCol w:w="960"/>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trPr>
              <w:tc>
                <w:tcPr>
                  <w:tcW w:w="187" w:type="pct"/>
                  <w:vMerge w:val="restart"/>
                  <w:vAlign w:val="center"/>
                </w:tcPr>
                <w:p>
                  <w:pPr>
                    <w:pStyle w:val="51"/>
                    <w:spacing w:line="340" w:lineRule="exact"/>
                    <w:ind w:firstLine="0" w:firstLineChars="0"/>
                    <w:jc w:val="center"/>
                    <w:rPr>
                      <w:b/>
                      <w:bCs/>
                      <w:sz w:val="21"/>
                      <w:szCs w:val="21"/>
                      <w:u w:val="single"/>
                    </w:rPr>
                  </w:pPr>
                  <w:r>
                    <w:rPr>
                      <w:b/>
                      <w:bCs/>
                      <w:sz w:val="21"/>
                      <w:szCs w:val="21"/>
                      <w:u w:val="single"/>
                    </w:rPr>
                    <w:t>序号</w:t>
                  </w:r>
                </w:p>
              </w:tc>
              <w:tc>
                <w:tcPr>
                  <w:tcW w:w="350" w:type="pct"/>
                  <w:vMerge w:val="restart"/>
                  <w:vAlign w:val="center"/>
                </w:tcPr>
                <w:p>
                  <w:pPr>
                    <w:pStyle w:val="51"/>
                    <w:spacing w:line="340" w:lineRule="exact"/>
                    <w:ind w:firstLine="0" w:firstLineChars="0"/>
                    <w:jc w:val="center"/>
                    <w:rPr>
                      <w:b/>
                      <w:bCs/>
                      <w:sz w:val="21"/>
                      <w:szCs w:val="21"/>
                      <w:u w:val="single"/>
                    </w:rPr>
                  </w:pPr>
                  <w:r>
                    <w:rPr>
                      <w:b/>
                      <w:bCs/>
                      <w:sz w:val="21"/>
                      <w:szCs w:val="21"/>
                      <w:u w:val="single"/>
                    </w:rPr>
                    <w:t>排放口编号</w:t>
                  </w:r>
                </w:p>
              </w:tc>
              <w:tc>
                <w:tcPr>
                  <w:tcW w:w="1167" w:type="pct"/>
                  <w:vMerge w:val="restart"/>
                  <w:vAlign w:val="center"/>
                </w:tcPr>
                <w:p>
                  <w:pPr>
                    <w:pStyle w:val="51"/>
                    <w:spacing w:line="340" w:lineRule="exact"/>
                    <w:ind w:firstLine="0" w:firstLineChars="0"/>
                    <w:jc w:val="center"/>
                    <w:rPr>
                      <w:b/>
                      <w:bCs/>
                      <w:sz w:val="21"/>
                      <w:szCs w:val="21"/>
                      <w:u w:val="single"/>
                    </w:rPr>
                  </w:pPr>
                  <w:r>
                    <w:rPr>
                      <w:b/>
                      <w:bCs/>
                      <w:sz w:val="21"/>
                      <w:szCs w:val="21"/>
                      <w:u w:val="single"/>
                    </w:rPr>
                    <w:t>名称</w:t>
                  </w:r>
                </w:p>
              </w:tc>
              <w:tc>
                <w:tcPr>
                  <w:tcW w:w="526" w:type="pct"/>
                  <w:vMerge w:val="restart"/>
                  <w:vAlign w:val="center"/>
                </w:tcPr>
                <w:p>
                  <w:pPr>
                    <w:pStyle w:val="51"/>
                    <w:spacing w:line="340" w:lineRule="exact"/>
                    <w:ind w:firstLine="0" w:firstLineChars="0"/>
                    <w:jc w:val="center"/>
                    <w:rPr>
                      <w:b/>
                      <w:bCs/>
                      <w:sz w:val="21"/>
                      <w:szCs w:val="21"/>
                      <w:u w:val="single"/>
                    </w:rPr>
                  </w:pPr>
                  <w:r>
                    <w:rPr>
                      <w:b/>
                      <w:bCs/>
                      <w:sz w:val="21"/>
                      <w:szCs w:val="21"/>
                      <w:u w:val="single"/>
                    </w:rPr>
                    <w:t>污染物</w:t>
                  </w:r>
                </w:p>
              </w:tc>
              <w:tc>
                <w:tcPr>
                  <w:tcW w:w="1169" w:type="pct"/>
                  <w:gridSpan w:val="2"/>
                  <w:vAlign w:val="center"/>
                </w:tcPr>
                <w:p>
                  <w:pPr>
                    <w:pStyle w:val="51"/>
                    <w:spacing w:line="340" w:lineRule="exact"/>
                    <w:ind w:firstLine="0" w:firstLineChars="0"/>
                    <w:jc w:val="center"/>
                    <w:rPr>
                      <w:b/>
                      <w:bCs/>
                      <w:sz w:val="21"/>
                      <w:szCs w:val="21"/>
                      <w:u w:val="single"/>
                    </w:rPr>
                  </w:pPr>
                  <w:r>
                    <w:rPr>
                      <w:b/>
                      <w:bCs/>
                      <w:sz w:val="21"/>
                      <w:szCs w:val="21"/>
                      <w:u w:val="single"/>
                    </w:rPr>
                    <w:t>坐标</w:t>
                  </w:r>
                </w:p>
              </w:tc>
              <w:tc>
                <w:tcPr>
                  <w:tcW w:w="395" w:type="pct"/>
                  <w:vMerge w:val="restart"/>
                  <w:vAlign w:val="center"/>
                </w:tcPr>
                <w:p>
                  <w:pPr>
                    <w:pStyle w:val="62"/>
                    <w:spacing w:line="340" w:lineRule="exact"/>
                    <w:rPr>
                      <w:b/>
                      <w:bCs/>
                      <w:sz w:val="21"/>
                      <w:szCs w:val="21"/>
                      <w:u w:val="single"/>
                    </w:rPr>
                  </w:pPr>
                  <w:r>
                    <w:rPr>
                      <w:b/>
                      <w:bCs/>
                      <w:sz w:val="21"/>
                      <w:szCs w:val="21"/>
                      <w:u w:val="single"/>
                    </w:rPr>
                    <w:t>排气筒高度/m</w:t>
                  </w:r>
                </w:p>
              </w:tc>
              <w:tc>
                <w:tcPr>
                  <w:tcW w:w="453" w:type="pct"/>
                  <w:vMerge w:val="restart"/>
                  <w:vAlign w:val="center"/>
                </w:tcPr>
                <w:p>
                  <w:pPr>
                    <w:pStyle w:val="62"/>
                    <w:spacing w:line="340" w:lineRule="exact"/>
                    <w:rPr>
                      <w:b/>
                      <w:bCs/>
                      <w:sz w:val="21"/>
                      <w:szCs w:val="21"/>
                      <w:u w:val="single"/>
                    </w:rPr>
                  </w:pPr>
                  <w:r>
                    <w:rPr>
                      <w:b/>
                      <w:bCs/>
                      <w:sz w:val="21"/>
                      <w:szCs w:val="21"/>
                      <w:u w:val="single"/>
                    </w:rPr>
                    <w:t>排气筒出口内径/m</w:t>
                  </w:r>
                </w:p>
              </w:tc>
              <w:tc>
                <w:tcPr>
                  <w:tcW w:w="395" w:type="pct"/>
                  <w:vMerge w:val="restart"/>
                  <w:vAlign w:val="center"/>
                </w:tcPr>
                <w:p>
                  <w:pPr>
                    <w:pStyle w:val="62"/>
                    <w:spacing w:line="340" w:lineRule="exact"/>
                    <w:rPr>
                      <w:b/>
                      <w:bCs/>
                      <w:sz w:val="21"/>
                      <w:szCs w:val="21"/>
                      <w:u w:val="single"/>
                    </w:rPr>
                  </w:pPr>
                  <w:r>
                    <w:rPr>
                      <w:b/>
                      <w:bCs/>
                      <w:sz w:val="21"/>
                      <w:szCs w:val="21"/>
                      <w:u w:val="single"/>
                    </w:rPr>
                    <w:t>烟气流速（m/s）</w:t>
                  </w:r>
                </w:p>
              </w:tc>
              <w:tc>
                <w:tcPr>
                  <w:tcW w:w="357" w:type="pct"/>
                  <w:vMerge w:val="restart"/>
                  <w:vAlign w:val="center"/>
                </w:tcPr>
                <w:p>
                  <w:pPr>
                    <w:pStyle w:val="62"/>
                    <w:spacing w:line="340" w:lineRule="exact"/>
                    <w:rPr>
                      <w:b/>
                      <w:bCs/>
                      <w:sz w:val="21"/>
                      <w:szCs w:val="21"/>
                      <w:u w:val="single"/>
                    </w:rPr>
                  </w:pPr>
                  <w:r>
                    <w:rPr>
                      <w:b/>
                      <w:bCs/>
                      <w:sz w:val="21"/>
                      <w:szCs w:val="21"/>
                      <w:u w:val="single"/>
                    </w:rPr>
                    <w:t>烟气温度/℃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7" w:type="pct"/>
                  <w:vMerge w:val="continue"/>
                  <w:vAlign w:val="center"/>
                </w:tcPr>
                <w:p>
                  <w:pPr>
                    <w:pStyle w:val="51"/>
                    <w:spacing w:line="340" w:lineRule="exact"/>
                    <w:ind w:firstLine="0" w:firstLineChars="0"/>
                    <w:jc w:val="center"/>
                    <w:rPr>
                      <w:b/>
                      <w:bCs/>
                      <w:sz w:val="21"/>
                      <w:szCs w:val="21"/>
                      <w:u w:val="single"/>
                    </w:rPr>
                  </w:pPr>
                </w:p>
              </w:tc>
              <w:tc>
                <w:tcPr>
                  <w:tcW w:w="350" w:type="pct"/>
                  <w:vMerge w:val="continue"/>
                  <w:vAlign w:val="center"/>
                </w:tcPr>
                <w:p>
                  <w:pPr>
                    <w:pStyle w:val="51"/>
                    <w:spacing w:line="340" w:lineRule="exact"/>
                    <w:ind w:firstLine="0" w:firstLineChars="0"/>
                    <w:jc w:val="center"/>
                    <w:rPr>
                      <w:b/>
                      <w:bCs/>
                      <w:sz w:val="21"/>
                      <w:szCs w:val="21"/>
                      <w:u w:val="single"/>
                    </w:rPr>
                  </w:pPr>
                </w:p>
              </w:tc>
              <w:tc>
                <w:tcPr>
                  <w:tcW w:w="1167" w:type="pct"/>
                  <w:vMerge w:val="continue"/>
                  <w:vAlign w:val="center"/>
                </w:tcPr>
                <w:p>
                  <w:pPr>
                    <w:pStyle w:val="51"/>
                    <w:spacing w:line="340" w:lineRule="exact"/>
                    <w:ind w:firstLine="0" w:firstLineChars="0"/>
                    <w:jc w:val="center"/>
                    <w:rPr>
                      <w:b/>
                      <w:bCs/>
                      <w:sz w:val="21"/>
                      <w:szCs w:val="21"/>
                      <w:u w:val="single"/>
                    </w:rPr>
                  </w:pPr>
                </w:p>
              </w:tc>
              <w:tc>
                <w:tcPr>
                  <w:tcW w:w="526" w:type="pct"/>
                  <w:vMerge w:val="continue"/>
                  <w:vAlign w:val="center"/>
                </w:tcPr>
                <w:p>
                  <w:pPr>
                    <w:pStyle w:val="51"/>
                    <w:spacing w:line="340" w:lineRule="exact"/>
                    <w:ind w:firstLine="0" w:firstLineChars="0"/>
                    <w:jc w:val="center"/>
                    <w:rPr>
                      <w:b/>
                      <w:bCs/>
                      <w:sz w:val="21"/>
                      <w:szCs w:val="21"/>
                      <w:u w:val="single"/>
                    </w:rPr>
                  </w:pPr>
                </w:p>
              </w:tc>
              <w:tc>
                <w:tcPr>
                  <w:tcW w:w="626" w:type="pct"/>
                  <w:vAlign w:val="center"/>
                </w:tcPr>
                <w:p>
                  <w:pPr>
                    <w:pStyle w:val="51"/>
                    <w:spacing w:line="340" w:lineRule="exact"/>
                    <w:ind w:firstLine="0" w:firstLineChars="0"/>
                    <w:jc w:val="center"/>
                    <w:rPr>
                      <w:b/>
                      <w:bCs/>
                      <w:sz w:val="21"/>
                      <w:szCs w:val="21"/>
                      <w:u w:val="single"/>
                    </w:rPr>
                  </w:pPr>
                  <w:r>
                    <w:rPr>
                      <w:b/>
                      <w:bCs/>
                      <w:sz w:val="21"/>
                      <w:szCs w:val="21"/>
                      <w:u w:val="single"/>
                    </w:rPr>
                    <w:t>经度</w:t>
                  </w:r>
                </w:p>
              </w:tc>
              <w:tc>
                <w:tcPr>
                  <w:tcW w:w="543" w:type="pct"/>
                  <w:vAlign w:val="center"/>
                </w:tcPr>
                <w:p>
                  <w:pPr>
                    <w:pStyle w:val="51"/>
                    <w:spacing w:line="340" w:lineRule="exact"/>
                    <w:ind w:firstLine="0" w:firstLineChars="0"/>
                    <w:jc w:val="center"/>
                    <w:rPr>
                      <w:b/>
                      <w:bCs/>
                      <w:sz w:val="21"/>
                      <w:szCs w:val="21"/>
                      <w:u w:val="single"/>
                    </w:rPr>
                  </w:pPr>
                  <w:r>
                    <w:rPr>
                      <w:b/>
                      <w:bCs/>
                      <w:sz w:val="21"/>
                      <w:szCs w:val="21"/>
                      <w:u w:val="single"/>
                    </w:rPr>
                    <w:t>纬度</w:t>
                  </w:r>
                </w:p>
              </w:tc>
              <w:tc>
                <w:tcPr>
                  <w:tcW w:w="395" w:type="pct"/>
                  <w:vMerge w:val="continue"/>
                  <w:vAlign w:val="center"/>
                </w:tcPr>
                <w:p>
                  <w:pPr>
                    <w:pStyle w:val="51"/>
                    <w:spacing w:line="340" w:lineRule="exact"/>
                    <w:ind w:firstLine="0" w:firstLineChars="0"/>
                    <w:jc w:val="center"/>
                    <w:rPr>
                      <w:b/>
                      <w:bCs/>
                      <w:sz w:val="21"/>
                      <w:szCs w:val="21"/>
                      <w:u w:val="single"/>
                    </w:rPr>
                  </w:pPr>
                </w:p>
              </w:tc>
              <w:tc>
                <w:tcPr>
                  <w:tcW w:w="453" w:type="pct"/>
                  <w:vMerge w:val="continue"/>
                  <w:vAlign w:val="center"/>
                </w:tcPr>
                <w:p>
                  <w:pPr>
                    <w:pStyle w:val="51"/>
                    <w:spacing w:line="340" w:lineRule="exact"/>
                    <w:ind w:firstLine="0" w:firstLineChars="0"/>
                    <w:jc w:val="center"/>
                    <w:rPr>
                      <w:b/>
                      <w:bCs/>
                      <w:sz w:val="21"/>
                      <w:szCs w:val="21"/>
                      <w:u w:val="single"/>
                    </w:rPr>
                  </w:pPr>
                </w:p>
              </w:tc>
              <w:tc>
                <w:tcPr>
                  <w:tcW w:w="395" w:type="pct"/>
                  <w:vMerge w:val="continue"/>
                  <w:vAlign w:val="center"/>
                </w:tcPr>
                <w:p>
                  <w:pPr>
                    <w:pStyle w:val="51"/>
                    <w:spacing w:line="340" w:lineRule="exact"/>
                    <w:ind w:firstLine="0" w:firstLineChars="0"/>
                    <w:jc w:val="center"/>
                    <w:rPr>
                      <w:b/>
                      <w:bCs/>
                      <w:sz w:val="21"/>
                      <w:szCs w:val="21"/>
                      <w:u w:val="single"/>
                    </w:rPr>
                  </w:pPr>
                </w:p>
              </w:tc>
              <w:tc>
                <w:tcPr>
                  <w:tcW w:w="357" w:type="pct"/>
                  <w:vMerge w:val="continue"/>
                  <w:vAlign w:val="center"/>
                </w:tcPr>
                <w:p>
                  <w:pPr>
                    <w:pStyle w:val="51"/>
                    <w:spacing w:line="340" w:lineRule="exact"/>
                    <w:ind w:firstLine="0" w:firstLineChars="0"/>
                    <w:jc w:val="center"/>
                    <w:rPr>
                      <w:b/>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 w:type="pct"/>
                  <w:vAlign w:val="center"/>
                </w:tcPr>
                <w:p>
                  <w:pPr>
                    <w:pStyle w:val="51"/>
                    <w:spacing w:line="340" w:lineRule="exact"/>
                    <w:ind w:firstLine="0" w:firstLineChars="0"/>
                    <w:jc w:val="center"/>
                    <w:rPr>
                      <w:b/>
                      <w:bCs/>
                      <w:sz w:val="21"/>
                      <w:szCs w:val="21"/>
                      <w:u w:val="single"/>
                    </w:rPr>
                  </w:pPr>
                  <w:r>
                    <w:rPr>
                      <w:rFonts w:hint="eastAsia"/>
                      <w:b/>
                      <w:bCs/>
                      <w:sz w:val="21"/>
                      <w:szCs w:val="21"/>
                      <w:u w:val="single"/>
                    </w:rPr>
                    <w:t>1</w:t>
                  </w:r>
                </w:p>
              </w:tc>
              <w:tc>
                <w:tcPr>
                  <w:tcW w:w="350" w:type="pct"/>
                  <w:vAlign w:val="center"/>
                </w:tcPr>
                <w:p>
                  <w:pPr>
                    <w:pStyle w:val="51"/>
                    <w:spacing w:line="340" w:lineRule="exact"/>
                    <w:ind w:firstLine="0" w:firstLineChars="0"/>
                    <w:jc w:val="center"/>
                    <w:rPr>
                      <w:b/>
                      <w:bCs/>
                      <w:sz w:val="21"/>
                      <w:szCs w:val="21"/>
                      <w:u w:val="single"/>
                    </w:rPr>
                  </w:pPr>
                  <w:r>
                    <w:rPr>
                      <w:rFonts w:hint="eastAsia"/>
                      <w:b/>
                      <w:bCs/>
                      <w:sz w:val="21"/>
                      <w:szCs w:val="21"/>
                      <w:u w:val="single"/>
                    </w:rPr>
                    <w:t>DA001</w:t>
                  </w:r>
                </w:p>
              </w:tc>
              <w:tc>
                <w:tcPr>
                  <w:tcW w:w="1167" w:type="pct"/>
                  <w:vAlign w:val="center"/>
                </w:tcPr>
                <w:p>
                  <w:pPr>
                    <w:pStyle w:val="51"/>
                    <w:spacing w:line="300" w:lineRule="exact"/>
                    <w:ind w:firstLine="0" w:firstLineChars="0"/>
                    <w:jc w:val="center"/>
                    <w:rPr>
                      <w:b/>
                      <w:sz w:val="21"/>
                      <w:szCs w:val="21"/>
                      <w:u w:val="single"/>
                    </w:rPr>
                  </w:pPr>
                  <w:r>
                    <w:rPr>
                      <w:rFonts w:hint="eastAsia"/>
                      <w:b/>
                      <w:bCs/>
                      <w:sz w:val="21"/>
                      <w:szCs w:val="21"/>
                      <w:u w:val="single"/>
                    </w:rPr>
                    <w:t>热切和印刷废气</w:t>
                  </w:r>
                </w:p>
              </w:tc>
              <w:tc>
                <w:tcPr>
                  <w:tcW w:w="526" w:type="pct"/>
                  <w:vAlign w:val="center"/>
                </w:tcPr>
                <w:p>
                  <w:pPr>
                    <w:pStyle w:val="51"/>
                    <w:spacing w:line="300" w:lineRule="exact"/>
                    <w:ind w:firstLine="0" w:firstLineChars="0"/>
                    <w:jc w:val="center"/>
                    <w:rPr>
                      <w:b/>
                      <w:sz w:val="21"/>
                      <w:szCs w:val="21"/>
                      <w:u w:val="single"/>
                    </w:rPr>
                  </w:pPr>
                  <w:r>
                    <w:rPr>
                      <w:b/>
                      <w:sz w:val="21"/>
                      <w:szCs w:val="21"/>
                      <w:u w:val="single"/>
                    </w:rPr>
                    <w:t>非甲烷总烃</w:t>
                  </w:r>
                </w:p>
              </w:tc>
              <w:tc>
                <w:tcPr>
                  <w:tcW w:w="626" w:type="pct"/>
                  <w:vAlign w:val="center"/>
                </w:tcPr>
                <w:p>
                  <w:pPr>
                    <w:pStyle w:val="51"/>
                    <w:spacing w:line="300" w:lineRule="exact"/>
                    <w:ind w:firstLine="0" w:firstLineChars="0"/>
                    <w:jc w:val="center"/>
                    <w:rPr>
                      <w:b/>
                      <w:sz w:val="21"/>
                      <w:szCs w:val="21"/>
                      <w:highlight w:val="yellow"/>
                      <w:u w:val="single"/>
                    </w:rPr>
                  </w:pPr>
                  <w:r>
                    <w:rPr>
                      <w:b/>
                      <w:sz w:val="21"/>
                      <w:szCs w:val="21"/>
                      <w:u w:val="single"/>
                    </w:rPr>
                    <w:t>112.76486133</w:t>
                  </w:r>
                </w:p>
              </w:tc>
              <w:tc>
                <w:tcPr>
                  <w:tcW w:w="543" w:type="pct"/>
                  <w:vAlign w:val="center"/>
                </w:tcPr>
                <w:p>
                  <w:pPr>
                    <w:pStyle w:val="51"/>
                    <w:spacing w:line="300" w:lineRule="exact"/>
                    <w:ind w:firstLine="0" w:firstLineChars="0"/>
                    <w:jc w:val="center"/>
                    <w:rPr>
                      <w:b/>
                      <w:sz w:val="21"/>
                      <w:szCs w:val="21"/>
                      <w:highlight w:val="yellow"/>
                      <w:u w:val="single"/>
                    </w:rPr>
                  </w:pPr>
                  <w:r>
                    <w:rPr>
                      <w:b/>
                      <w:sz w:val="21"/>
                      <w:szCs w:val="21"/>
                      <w:u w:val="single"/>
                    </w:rPr>
                    <w:t>34.69607558</w:t>
                  </w:r>
                </w:p>
              </w:tc>
              <w:tc>
                <w:tcPr>
                  <w:tcW w:w="395" w:type="pct"/>
                  <w:vAlign w:val="center"/>
                </w:tcPr>
                <w:p>
                  <w:pPr>
                    <w:pStyle w:val="62"/>
                    <w:spacing w:line="300" w:lineRule="exact"/>
                    <w:rPr>
                      <w:b/>
                      <w:sz w:val="21"/>
                      <w:szCs w:val="21"/>
                      <w:u w:val="single"/>
                    </w:rPr>
                  </w:pPr>
                  <w:r>
                    <w:rPr>
                      <w:b/>
                      <w:sz w:val="21"/>
                      <w:szCs w:val="21"/>
                      <w:u w:val="single"/>
                    </w:rPr>
                    <w:t>15</w:t>
                  </w:r>
                </w:p>
              </w:tc>
              <w:tc>
                <w:tcPr>
                  <w:tcW w:w="453" w:type="pct"/>
                  <w:vAlign w:val="center"/>
                </w:tcPr>
                <w:p>
                  <w:pPr>
                    <w:pStyle w:val="62"/>
                    <w:spacing w:line="300" w:lineRule="exact"/>
                    <w:rPr>
                      <w:b/>
                      <w:sz w:val="21"/>
                      <w:szCs w:val="21"/>
                      <w:u w:val="single"/>
                    </w:rPr>
                  </w:pPr>
                  <w:r>
                    <w:rPr>
                      <w:b/>
                      <w:sz w:val="21"/>
                      <w:szCs w:val="21"/>
                      <w:u w:val="single"/>
                    </w:rPr>
                    <w:t>0.</w:t>
                  </w:r>
                  <w:r>
                    <w:rPr>
                      <w:rFonts w:hint="eastAsia"/>
                      <w:b/>
                      <w:sz w:val="21"/>
                      <w:szCs w:val="21"/>
                      <w:u w:val="single"/>
                    </w:rPr>
                    <w:t>6</w:t>
                  </w:r>
                </w:p>
              </w:tc>
              <w:tc>
                <w:tcPr>
                  <w:tcW w:w="395" w:type="pct"/>
                  <w:vAlign w:val="center"/>
                </w:tcPr>
                <w:p>
                  <w:pPr>
                    <w:pStyle w:val="62"/>
                    <w:spacing w:line="300" w:lineRule="exact"/>
                    <w:rPr>
                      <w:b/>
                      <w:sz w:val="21"/>
                      <w:szCs w:val="21"/>
                      <w:u w:val="single"/>
                    </w:rPr>
                  </w:pPr>
                  <w:r>
                    <w:rPr>
                      <w:rFonts w:hint="eastAsia"/>
                      <w:b/>
                      <w:sz w:val="21"/>
                      <w:szCs w:val="21"/>
                      <w:u w:val="single"/>
                    </w:rPr>
                    <w:t>17.45</w:t>
                  </w:r>
                </w:p>
              </w:tc>
              <w:tc>
                <w:tcPr>
                  <w:tcW w:w="357" w:type="pct"/>
                  <w:vAlign w:val="center"/>
                </w:tcPr>
                <w:p>
                  <w:pPr>
                    <w:pStyle w:val="62"/>
                    <w:spacing w:line="340" w:lineRule="exact"/>
                    <w:rPr>
                      <w:b/>
                      <w:bCs/>
                      <w:sz w:val="21"/>
                      <w:szCs w:val="21"/>
                      <w:u w:val="single"/>
                    </w:rPr>
                  </w:pPr>
                  <w:r>
                    <w:rPr>
                      <w:rFonts w:hint="eastAsia"/>
                      <w:b/>
                      <w:bCs/>
                      <w:sz w:val="21"/>
                      <w:szCs w:val="21"/>
                      <w:u w:val="single"/>
                    </w:rPr>
                    <w:t>30</w:t>
                  </w:r>
                </w:p>
              </w:tc>
            </w:tr>
          </w:tbl>
          <w:p>
            <w:pPr>
              <w:pStyle w:val="99"/>
              <w:ind w:firstLine="0" w:firstLineChars="0"/>
              <w:rPr>
                <w:b/>
                <w:bCs/>
                <w:u w:val="single"/>
              </w:rPr>
            </w:pPr>
            <w:r>
              <w:rPr>
                <w:rFonts w:hint="eastAsia"/>
                <w:b/>
                <w:bCs/>
                <w:u w:val="single"/>
              </w:rPr>
              <w:t>1.5监测要求</w:t>
            </w:r>
          </w:p>
          <w:p>
            <w:pPr>
              <w:pStyle w:val="51"/>
              <w:spacing w:line="480" w:lineRule="exact"/>
              <w:ind w:firstLine="482"/>
              <w:rPr>
                <w:b/>
                <w:bCs/>
                <w:u w:val="single"/>
              </w:rPr>
            </w:pPr>
            <w:r>
              <w:rPr>
                <w:b/>
                <w:bCs/>
                <w:u w:val="single"/>
              </w:rPr>
              <w:t>根据</w:t>
            </w:r>
            <w:r>
              <w:rPr>
                <w:rFonts w:hint="eastAsia"/>
                <w:b/>
                <w:bCs/>
                <w:u w:val="single"/>
              </w:rPr>
              <w:t>《排污单位自行监测技术指南  橡胶和塑料制品工业》（HJ1207-2021）和《排污许可证申请与核发技术规范 印刷工业》（HJ1066-2019）</w:t>
            </w:r>
            <w:r>
              <w:rPr>
                <w:b/>
                <w:bCs/>
                <w:u w:val="single"/>
              </w:rPr>
              <w:t>，结合本项目运行期产污特征，制定出本项目运行期</w:t>
            </w:r>
            <w:r>
              <w:rPr>
                <w:rFonts w:hint="eastAsia"/>
                <w:b/>
                <w:bCs/>
                <w:u w:val="single"/>
              </w:rPr>
              <w:t>废气</w:t>
            </w:r>
            <w:r>
              <w:rPr>
                <w:b/>
                <w:bCs/>
                <w:u w:val="single"/>
              </w:rPr>
              <w:t>监测计划，详见</w:t>
            </w:r>
            <w:r>
              <w:rPr>
                <w:rFonts w:hint="eastAsia"/>
                <w:b/>
                <w:bCs/>
                <w:u w:val="single"/>
              </w:rPr>
              <w:t>下表</w:t>
            </w:r>
            <w:r>
              <w:rPr>
                <w:b/>
                <w:bCs/>
                <w:u w:val="single"/>
              </w:rPr>
              <w:t>。</w:t>
            </w:r>
          </w:p>
          <w:p>
            <w:pPr>
              <w:pStyle w:val="53"/>
              <w:spacing w:line="480" w:lineRule="exact"/>
              <w:ind w:firstLine="482"/>
              <w:rPr>
                <w:b/>
                <w:bCs/>
                <w:u w:val="single"/>
              </w:rPr>
            </w:pPr>
            <w:r>
              <w:rPr>
                <w:b/>
                <w:bCs/>
                <w:u w:val="single"/>
              </w:rPr>
              <w:t>表</w:t>
            </w:r>
            <w:r>
              <w:rPr>
                <w:rFonts w:hint="eastAsia"/>
                <w:b/>
                <w:bCs/>
                <w:u w:val="single"/>
              </w:rPr>
              <w:t>36</w:t>
            </w:r>
            <w:r>
              <w:rPr>
                <w:b/>
                <w:bCs/>
                <w:u w:val="single"/>
              </w:rPr>
              <w:t xml:space="preserve">          </w:t>
            </w:r>
            <w:r>
              <w:rPr>
                <w:rFonts w:hint="eastAsia"/>
                <w:b/>
                <w:bCs/>
                <w:u w:val="single"/>
              </w:rPr>
              <w:t xml:space="preserve">       </w:t>
            </w:r>
            <w:r>
              <w:rPr>
                <w:b/>
                <w:bCs/>
                <w:u w:val="single"/>
              </w:rPr>
              <w:t xml:space="preserve">       营运期监测计划</w:t>
            </w:r>
          </w:p>
          <w:tbl>
            <w:tblPr>
              <w:tblStyle w:val="22"/>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1438"/>
              <w:gridCol w:w="1559"/>
              <w:gridCol w:w="1133"/>
              <w:gridCol w:w="799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593" w:type="pct"/>
                  <w:vAlign w:val="center"/>
                </w:tcPr>
                <w:p>
                  <w:pPr>
                    <w:pStyle w:val="68"/>
                    <w:spacing w:line="400" w:lineRule="exact"/>
                    <w:rPr>
                      <w:b/>
                      <w:bCs/>
                      <w:u w:val="single"/>
                    </w:rPr>
                  </w:pPr>
                  <w:r>
                    <w:rPr>
                      <w:b/>
                      <w:bCs/>
                      <w:u w:val="single"/>
                    </w:rPr>
                    <w:t>监测点</w:t>
                  </w:r>
                </w:p>
              </w:tc>
              <w:tc>
                <w:tcPr>
                  <w:tcW w:w="643" w:type="pct"/>
                  <w:vAlign w:val="center"/>
                </w:tcPr>
                <w:p>
                  <w:pPr>
                    <w:pStyle w:val="68"/>
                    <w:spacing w:line="400" w:lineRule="exact"/>
                    <w:rPr>
                      <w:b/>
                      <w:bCs/>
                      <w:u w:val="single"/>
                    </w:rPr>
                  </w:pPr>
                  <w:r>
                    <w:rPr>
                      <w:b/>
                      <w:bCs/>
                      <w:u w:val="single"/>
                    </w:rPr>
                    <w:t>监测项目</w:t>
                  </w:r>
                </w:p>
              </w:tc>
              <w:tc>
                <w:tcPr>
                  <w:tcW w:w="467" w:type="pct"/>
                  <w:vAlign w:val="center"/>
                </w:tcPr>
                <w:p>
                  <w:pPr>
                    <w:pStyle w:val="68"/>
                    <w:spacing w:line="400" w:lineRule="exact"/>
                    <w:rPr>
                      <w:b/>
                      <w:bCs/>
                      <w:u w:val="single"/>
                    </w:rPr>
                  </w:pPr>
                  <w:r>
                    <w:rPr>
                      <w:b/>
                      <w:bCs/>
                      <w:u w:val="single"/>
                    </w:rPr>
                    <w:t>监测频率</w:t>
                  </w:r>
                </w:p>
              </w:tc>
              <w:tc>
                <w:tcPr>
                  <w:tcW w:w="3297" w:type="pct"/>
                  <w:vAlign w:val="center"/>
                </w:tcPr>
                <w:p>
                  <w:pPr>
                    <w:pStyle w:val="68"/>
                    <w:spacing w:line="400" w:lineRule="exact"/>
                    <w:rPr>
                      <w:b/>
                      <w:bCs/>
                      <w:u w:val="single"/>
                    </w:rPr>
                  </w:pPr>
                  <w:r>
                    <w:rPr>
                      <w:b/>
                      <w:bCs/>
                      <w:u w:val="single"/>
                    </w:rPr>
                    <w:t>执行标准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364" w:hRule="atLeast"/>
                <w:jc w:val="center"/>
              </w:trPr>
              <w:tc>
                <w:tcPr>
                  <w:tcW w:w="593" w:type="pct"/>
                  <w:vAlign w:val="center"/>
                </w:tcPr>
                <w:p>
                  <w:pPr>
                    <w:pStyle w:val="68"/>
                    <w:spacing w:line="400" w:lineRule="exact"/>
                    <w:rPr>
                      <w:b/>
                      <w:bCs/>
                      <w:u w:val="single"/>
                    </w:rPr>
                  </w:pPr>
                  <w:r>
                    <w:rPr>
                      <w:b/>
                      <w:bCs/>
                      <w:szCs w:val="21"/>
                      <w:u w:val="single"/>
                    </w:rPr>
                    <w:t>DA001排气筒</w:t>
                  </w:r>
                </w:p>
              </w:tc>
              <w:tc>
                <w:tcPr>
                  <w:tcW w:w="643" w:type="pct"/>
                  <w:vAlign w:val="center"/>
                </w:tcPr>
                <w:p>
                  <w:pPr>
                    <w:pStyle w:val="68"/>
                    <w:spacing w:line="400" w:lineRule="exact"/>
                    <w:rPr>
                      <w:b/>
                      <w:bCs/>
                      <w:u w:val="single"/>
                    </w:rPr>
                  </w:pPr>
                  <w:r>
                    <w:rPr>
                      <w:b/>
                      <w:bCs/>
                      <w:u w:val="single"/>
                    </w:rPr>
                    <w:t>非甲烷总烃</w:t>
                  </w:r>
                </w:p>
              </w:tc>
              <w:tc>
                <w:tcPr>
                  <w:tcW w:w="467" w:type="pct"/>
                  <w:vAlign w:val="center"/>
                </w:tcPr>
                <w:p>
                  <w:pPr>
                    <w:pStyle w:val="68"/>
                    <w:spacing w:line="400" w:lineRule="exact"/>
                    <w:rPr>
                      <w:b/>
                      <w:bCs/>
                      <w:u w:val="single"/>
                    </w:rPr>
                  </w:pPr>
                  <w:r>
                    <w:rPr>
                      <w:b/>
                      <w:bCs/>
                      <w:u w:val="single"/>
                    </w:rPr>
                    <w:t>每年1次</w:t>
                  </w:r>
                </w:p>
              </w:tc>
              <w:tc>
                <w:tcPr>
                  <w:tcW w:w="3297" w:type="pct"/>
                  <w:vAlign w:val="center"/>
                </w:tcPr>
                <w:p>
                  <w:pPr>
                    <w:pStyle w:val="68"/>
                    <w:spacing w:line="400" w:lineRule="exact"/>
                    <w:rPr>
                      <w:b/>
                      <w:bCs/>
                      <w:u w:val="single"/>
                    </w:rPr>
                  </w:pPr>
                  <w:r>
                    <w:rPr>
                      <w:b/>
                      <w:u w:val="single"/>
                    </w:rPr>
                    <w:t>《合成树脂工业污染物排放标准》（GB31572-2015）表5大气污染物特别排放限值要求</w:t>
                  </w:r>
                  <w:r>
                    <w:rPr>
                      <w:rFonts w:hint="eastAsia"/>
                      <w:b/>
                      <w:u w:val="single"/>
                    </w:rPr>
                    <w:t>、同时满足河南省地方标准《印刷工业挥发性有机物排放标准》（DB41/1956-2020）表1特别排放限值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364" w:hRule="atLeast"/>
                <w:jc w:val="center"/>
              </w:trPr>
              <w:tc>
                <w:tcPr>
                  <w:tcW w:w="593" w:type="pct"/>
                  <w:vAlign w:val="center"/>
                </w:tcPr>
                <w:p>
                  <w:pPr>
                    <w:pStyle w:val="68"/>
                    <w:spacing w:line="400" w:lineRule="exact"/>
                    <w:rPr>
                      <w:b/>
                      <w:bCs/>
                      <w:szCs w:val="21"/>
                      <w:u w:val="single"/>
                    </w:rPr>
                  </w:pPr>
                  <w:r>
                    <w:rPr>
                      <w:b/>
                      <w:bCs/>
                      <w:szCs w:val="21"/>
                      <w:u w:val="single"/>
                    </w:rPr>
                    <w:t>车间外</w:t>
                  </w:r>
                </w:p>
              </w:tc>
              <w:tc>
                <w:tcPr>
                  <w:tcW w:w="643" w:type="pct"/>
                  <w:vAlign w:val="center"/>
                </w:tcPr>
                <w:p>
                  <w:pPr>
                    <w:pStyle w:val="68"/>
                    <w:spacing w:line="400" w:lineRule="exact"/>
                    <w:rPr>
                      <w:b/>
                      <w:bCs/>
                      <w:u w:val="single"/>
                    </w:rPr>
                  </w:pPr>
                  <w:r>
                    <w:rPr>
                      <w:b/>
                      <w:bCs/>
                      <w:u w:val="single"/>
                    </w:rPr>
                    <w:t>非甲烷总烃</w:t>
                  </w:r>
                </w:p>
              </w:tc>
              <w:tc>
                <w:tcPr>
                  <w:tcW w:w="467" w:type="pct"/>
                  <w:vAlign w:val="center"/>
                </w:tcPr>
                <w:p>
                  <w:pPr>
                    <w:pStyle w:val="68"/>
                    <w:spacing w:line="400" w:lineRule="exact"/>
                    <w:rPr>
                      <w:b/>
                      <w:bCs/>
                      <w:u w:val="single"/>
                    </w:rPr>
                  </w:pPr>
                  <w:r>
                    <w:rPr>
                      <w:b/>
                      <w:bCs/>
                      <w:u w:val="single"/>
                    </w:rPr>
                    <w:t>每年1次</w:t>
                  </w:r>
                </w:p>
              </w:tc>
              <w:tc>
                <w:tcPr>
                  <w:tcW w:w="3297" w:type="pct"/>
                  <w:vAlign w:val="center"/>
                </w:tcPr>
                <w:p>
                  <w:pPr>
                    <w:autoSpaceDE w:val="0"/>
                    <w:autoSpaceDN w:val="0"/>
                    <w:adjustRightInd w:val="0"/>
                    <w:spacing w:line="400" w:lineRule="exact"/>
                    <w:jc w:val="left"/>
                    <w:rPr>
                      <w:b/>
                      <w:bCs/>
                      <w:szCs w:val="21"/>
                      <w:u w:val="single"/>
                    </w:rPr>
                  </w:pPr>
                  <w:r>
                    <w:rPr>
                      <w:rFonts w:hAnsi="宋体"/>
                      <w:b/>
                      <w:kern w:val="0"/>
                      <w:szCs w:val="21"/>
                      <w:u w:val="single"/>
                    </w:rPr>
                    <w:t>《挥发性有机物无组织排放控制标准》（</w:t>
                  </w:r>
                  <w:r>
                    <w:rPr>
                      <w:rFonts w:eastAsia="TimesNewRomanPSMT"/>
                      <w:b/>
                      <w:kern w:val="0"/>
                      <w:szCs w:val="21"/>
                      <w:u w:val="single"/>
                    </w:rPr>
                    <w:t>GB37822-2019</w:t>
                  </w:r>
                  <w:r>
                    <w:rPr>
                      <w:rFonts w:hAnsi="宋体"/>
                      <w:b/>
                      <w:kern w:val="0"/>
                      <w:szCs w:val="21"/>
                      <w:u w:val="single"/>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364" w:hRule="atLeast"/>
                <w:jc w:val="center"/>
              </w:trPr>
              <w:tc>
                <w:tcPr>
                  <w:tcW w:w="593" w:type="pct"/>
                  <w:vAlign w:val="center"/>
                </w:tcPr>
                <w:p>
                  <w:pPr>
                    <w:pStyle w:val="68"/>
                    <w:spacing w:line="400" w:lineRule="exact"/>
                    <w:rPr>
                      <w:b/>
                      <w:bCs/>
                      <w:szCs w:val="21"/>
                      <w:u w:val="single"/>
                    </w:rPr>
                  </w:pPr>
                  <w:r>
                    <w:rPr>
                      <w:b/>
                      <w:bCs/>
                      <w:szCs w:val="21"/>
                      <w:u w:val="single"/>
                    </w:rPr>
                    <w:t>厂界</w:t>
                  </w:r>
                </w:p>
              </w:tc>
              <w:tc>
                <w:tcPr>
                  <w:tcW w:w="643" w:type="pct"/>
                  <w:vAlign w:val="center"/>
                </w:tcPr>
                <w:p>
                  <w:pPr>
                    <w:pStyle w:val="68"/>
                    <w:spacing w:line="400" w:lineRule="exact"/>
                    <w:rPr>
                      <w:b/>
                      <w:bCs/>
                      <w:u w:val="single"/>
                    </w:rPr>
                  </w:pPr>
                  <w:r>
                    <w:rPr>
                      <w:b/>
                      <w:bCs/>
                      <w:szCs w:val="21"/>
                      <w:u w:val="single"/>
                    </w:rPr>
                    <w:t>非甲烷总烃</w:t>
                  </w:r>
                </w:p>
              </w:tc>
              <w:tc>
                <w:tcPr>
                  <w:tcW w:w="467" w:type="pct"/>
                  <w:vAlign w:val="center"/>
                </w:tcPr>
                <w:p>
                  <w:pPr>
                    <w:pStyle w:val="68"/>
                    <w:spacing w:line="400" w:lineRule="exact"/>
                    <w:rPr>
                      <w:b/>
                      <w:bCs/>
                      <w:u w:val="single"/>
                    </w:rPr>
                  </w:pPr>
                  <w:r>
                    <w:rPr>
                      <w:b/>
                      <w:bCs/>
                      <w:u w:val="single"/>
                    </w:rPr>
                    <w:t>每年1次</w:t>
                  </w:r>
                </w:p>
              </w:tc>
              <w:tc>
                <w:tcPr>
                  <w:tcW w:w="3297" w:type="pct"/>
                  <w:vAlign w:val="center"/>
                </w:tcPr>
                <w:p>
                  <w:pPr>
                    <w:autoSpaceDE w:val="0"/>
                    <w:autoSpaceDN w:val="0"/>
                    <w:adjustRightInd w:val="0"/>
                    <w:spacing w:line="400" w:lineRule="exact"/>
                    <w:jc w:val="left"/>
                    <w:rPr>
                      <w:b/>
                      <w:kern w:val="0"/>
                      <w:szCs w:val="21"/>
                      <w:u w:val="single"/>
                    </w:rPr>
                  </w:pPr>
                  <w:r>
                    <w:rPr>
                      <w:b/>
                      <w:szCs w:val="21"/>
                      <w:u w:val="single"/>
                    </w:rPr>
                    <w:t>《合成树脂工业污染物排放标准》（GB31572-2015）表5；《挥发性有机物无组织排放控制标准》（GB37822-2019）；《关于全省开展工业企业挥发性有机物专项治理工作中排放建议值的通知》（豫环攻坚办〔2017〕162 号文）</w:t>
                  </w:r>
                </w:p>
              </w:tc>
            </w:tr>
          </w:tbl>
          <w:p>
            <w:pPr>
              <w:pStyle w:val="100"/>
              <w:rPr>
                <w:bCs/>
              </w:rPr>
            </w:pPr>
          </w:p>
        </w:tc>
      </w:tr>
    </w:tbl>
    <w:p>
      <w:pPr>
        <w:adjustRightInd w:val="0"/>
        <w:snapToGrid w:val="0"/>
        <w:jc w:val="center"/>
        <w:rPr>
          <w:rFonts w:ascii="宋体" w:hAnsi="宋体" w:cs="宋体"/>
          <w:bCs/>
          <w:szCs w:val="21"/>
        </w:rPr>
        <w:sectPr>
          <w:pgSz w:w="16840" w:h="11907" w:orient="landscape"/>
          <w:pgMar w:top="1531" w:right="2127" w:bottom="1531" w:left="1701" w:header="851" w:footer="851" w:gutter="0"/>
          <w:cols w:space="720" w:num="1"/>
          <w:docGrid w:linePitch="312" w:charSpace="0"/>
        </w:sectPr>
      </w:pPr>
    </w:p>
    <w:tbl>
      <w:tblPr>
        <w:tblStyle w:val="22"/>
        <w:tblW w:w="504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5"/>
        <w:gridCol w:w="85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17" w:hRule="atLeast"/>
          <w:jc w:val="center"/>
        </w:trPr>
        <w:tc>
          <w:tcPr>
            <w:tcW w:w="295" w:type="pct"/>
            <w:tcMar>
              <w:left w:w="28" w:type="dxa"/>
              <w:right w:w="28" w:type="dxa"/>
            </w:tcMar>
            <w:vAlign w:val="center"/>
          </w:tcPr>
          <w:p>
            <w:pPr>
              <w:adjustRightInd w:val="0"/>
              <w:snapToGrid w:val="0"/>
              <w:jc w:val="center"/>
              <w:rPr>
                <w:rFonts w:ascii="宋体" w:hAnsi="宋体" w:cs="宋体"/>
                <w:bCs/>
                <w:szCs w:val="21"/>
              </w:rPr>
            </w:pPr>
            <w:r>
              <w:rPr>
                <w:rFonts w:hint="eastAsia" w:ascii="宋体" w:hAnsi="宋体" w:cs="宋体"/>
                <w:bCs/>
                <w:szCs w:val="21"/>
              </w:rPr>
              <w:t>运营</w:t>
            </w:r>
          </w:p>
          <w:p>
            <w:pPr>
              <w:adjustRightInd w:val="0"/>
              <w:snapToGrid w:val="0"/>
              <w:jc w:val="center"/>
              <w:rPr>
                <w:rFonts w:ascii="宋体" w:hAnsi="宋体" w:cs="宋体"/>
                <w:bCs/>
                <w:szCs w:val="21"/>
              </w:rPr>
            </w:pPr>
            <w:r>
              <w:rPr>
                <w:rFonts w:hint="eastAsia" w:ascii="宋体" w:hAnsi="宋体" w:cs="宋体"/>
                <w:bCs/>
                <w:szCs w:val="21"/>
              </w:rPr>
              <w:t>期环</w:t>
            </w:r>
          </w:p>
          <w:p>
            <w:pPr>
              <w:adjustRightInd w:val="0"/>
              <w:snapToGrid w:val="0"/>
              <w:jc w:val="center"/>
              <w:rPr>
                <w:rFonts w:ascii="宋体" w:hAnsi="宋体" w:cs="宋体"/>
                <w:bCs/>
                <w:szCs w:val="21"/>
              </w:rPr>
            </w:pPr>
            <w:r>
              <w:rPr>
                <w:rFonts w:hint="eastAsia" w:ascii="宋体" w:hAnsi="宋体" w:cs="宋体"/>
                <w:bCs/>
                <w:szCs w:val="21"/>
              </w:rPr>
              <w:t>境影</w:t>
            </w:r>
          </w:p>
          <w:p>
            <w:pPr>
              <w:adjustRightInd w:val="0"/>
              <w:snapToGrid w:val="0"/>
              <w:jc w:val="center"/>
              <w:rPr>
                <w:rFonts w:ascii="宋体" w:hAnsi="宋体" w:cs="宋体"/>
                <w:bCs/>
                <w:szCs w:val="21"/>
              </w:rPr>
            </w:pPr>
            <w:r>
              <w:rPr>
                <w:rFonts w:hint="eastAsia" w:ascii="宋体" w:hAnsi="宋体" w:cs="宋体"/>
                <w:bCs/>
                <w:szCs w:val="21"/>
              </w:rPr>
              <w:t>响和</w:t>
            </w:r>
          </w:p>
          <w:p>
            <w:pPr>
              <w:adjustRightInd w:val="0"/>
              <w:snapToGrid w:val="0"/>
              <w:jc w:val="center"/>
              <w:rPr>
                <w:rFonts w:ascii="宋体" w:hAnsi="宋体" w:cs="宋体"/>
                <w:bCs/>
                <w:szCs w:val="21"/>
              </w:rPr>
            </w:pPr>
            <w:r>
              <w:rPr>
                <w:rFonts w:hint="eastAsia" w:ascii="宋体" w:hAnsi="宋体" w:cs="宋体"/>
                <w:bCs/>
                <w:szCs w:val="21"/>
              </w:rPr>
              <w:t>保护</w:t>
            </w:r>
          </w:p>
          <w:p>
            <w:pPr>
              <w:adjustRightInd w:val="0"/>
              <w:snapToGrid w:val="0"/>
              <w:jc w:val="center"/>
              <w:rPr>
                <w:rFonts w:ascii="宋体" w:hAnsi="宋体" w:cs="宋体"/>
                <w:bCs/>
                <w:szCs w:val="21"/>
              </w:rPr>
            </w:pPr>
            <w:r>
              <w:rPr>
                <w:rFonts w:hint="eastAsia" w:ascii="宋体" w:hAnsi="宋体" w:cs="宋体"/>
                <w:bCs/>
                <w:szCs w:val="21"/>
              </w:rPr>
              <w:t>措施</w:t>
            </w:r>
          </w:p>
        </w:tc>
        <w:tc>
          <w:tcPr>
            <w:tcW w:w="4705" w:type="pct"/>
            <w:vAlign w:val="center"/>
          </w:tcPr>
          <w:p>
            <w:pPr>
              <w:pStyle w:val="51"/>
              <w:ind w:firstLine="0" w:firstLineChars="0"/>
              <w:rPr>
                <w:b/>
                <w:bCs/>
              </w:rPr>
            </w:pPr>
            <w:r>
              <w:rPr>
                <w:rFonts w:hint="eastAsia"/>
                <w:b/>
                <w:bCs/>
              </w:rPr>
              <w:t>2废水</w:t>
            </w:r>
          </w:p>
          <w:p>
            <w:pPr>
              <w:pStyle w:val="51"/>
              <w:ind w:firstLine="480"/>
            </w:pPr>
            <w:r>
              <w:rPr>
                <w:rFonts w:hint="eastAsia"/>
              </w:rPr>
              <w:t>改扩建工程新增劳动定员工40人，年工作300天，员工为附近居民，不在厂区食宿。</w:t>
            </w:r>
            <w:r>
              <w:t>根据河南省地方标准《工业与城镇生活用水定额》（DB41/T 385-20</w:t>
            </w:r>
            <w:r>
              <w:rPr>
                <w:rFonts w:hint="eastAsia"/>
              </w:rPr>
              <w:t>20</w:t>
            </w:r>
            <w:r>
              <w:t>），不食宿人员生活用水量取40L/(人•d)。</w:t>
            </w:r>
          </w:p>
          <w:p>
            <w:pPr>
              <w:pStyle w:val="51"/>
              <w:ind w:firstLine="480"/>
              <w:rPr>
                <w:b/>
                <w:bCs/>
                <w:u w:val="single"/>
              </w:rPr>
            </w:pPr>
            <w:r>
              <w:rPr>
                <w:rFonts w:hint="eastAsia"/>
              </w:rPr>
              <w:t>改扩建工程</w:t>
            </w:r>
            <w:r>
              <w:t>生活用量为</w:t>
            </w:r>
            <w:r>
              <w:rPr>
                <w:rFonts w:hint="eastAsia"/>
              </w:rPr>
              <w:t>1.6</w:t>
            </w:r>
            <w:r>
              <w:t>m</w:t>
            </w:r>
            <w:r>
              <w:rPr>
                <w:vertAlign w:val="superscript"/>
              </w:rPr>
              <w:t>3</w:t>
            </w:r>
            <w:r>
              <w:t>/d（</w:t>
            </w:r>
            <w:r>
              <w:rPr>
                <w:rFonts w:hint="eastAsia"/>
              </w:rPr>
              <w:t>480</w:t>
            </w:r>
            <w:r>
              <w:t>m</w:t>
            </w:r>
            <w:r>
              <w:rPr>
                <w:vertAlign w:val="superscript"/>
              </w:rPr>
              <w:t>3</w:t>
            </w:r>
            <w:r>
              <w:t>/a）</w:t>
            </w:r>
            <w:r>
              <w:rPr>
                <w:rFonts w:hint="eastAsia"/>
              </w:rPr>
              <w:t>，</w:t>
            </w:r>
            <w:r>
              <w:t>生活污水排污系数取0.8，则本项目生活污水产生量为</w:t>
            </w:r>
            <w:r>
              <w:rPr>
                <w:rFonts w:hint="eastAsia"/>
              </w:rPr>
              <w:t>1.28</w:t>
            </w:r>
            <w:r>
              <w:t>m</w:t>
            </w:r>
            <w:r>
              <w:rPr>
                <w:vertAlign w:val="superscript"/>
              </w:rPr>
              <w:t>3</w:t>
            </w:r>
            <w:r>
              <w:t>/d（</w:t>
            </w:r>
            <w:r>
              <w:rPr>
                <w:rFonts w:hint="eastAsia"/>
              </w:rPr>
              <w:t>384</w:t>
            </w:r>
            <w:r>
              <w:t>m</w:t>
            </w:r>
            <w:r>
              <w:rPr>
                <w:vertAlign w:val="superscript"/>
              </w:rPr>
              <w:t>3</w:t>
            </w:r>
            <w:r>
              <w:t>/a）。</w:t>
            </w:r>
            <w:r>
              <w:rPr>
                <w:rFonts w:hint="eastAsia"/>
              </w:rPr>
              <w:t>改扩建工程生活污水依托厂区现有化粪池预处理后近期用于施肥，远期管网敷设到位后经市政管网排入偃师市第三污水处理厂</w:t>
            </w:r>
            <w:r>
              <w:t>。</w:t>
            </w:r>
          </w:p>
          <w:p>
            <w:pPr>
              <w:pStyle w:val="53"/>
              <w:ind w:firstLine="480"/>
            </w:pPr>
            <w:r>
              <w:t>表</w:t>
            </w:r>
            <w:r>
              <w:rPr>
                <w:rFonts w:hint="eastAsia"/>
              </w:rPr>
              <w:t>37</w:t>
            </w:r>
            <w:r>
              <w:t xml:space="preserve">       </w:t>
            </w:r>
            <w:r>
              <w:rPr>
                <w:rFonts w:hint="eastAsia"/>
              </w:rPr>
              <w:t>改扩建工程</w:t>
            </w:r>
            <w:r>
              <w:t>废水污染物产生及排放情况一览表</w:t>
            </w:r>
          </w:p>
          <w:tbl>
            <w:tblPr>
              <w:tblStyle w:val="22"/>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843"/>
              <w:gridCol w:w="2017"/>
              <w:gridCol w:w="1113"/>
              <w:gridCol w:w="1113"/>
              <w:gridCol w:w="1113"/>
              <w:gridCol w:w="108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03" w:hRule="atLeast"/>
              </w:trPr>
              <w:tc>
                <w:tcPr>
                  <w:tcW w:w="2331" w:type="pct"/>
                  <w:gridSpan w:val="2"/>
                  <w:vAlign w:val="center"/>
                </w:tcPr>
                <w:p>
                  <w:pPr>
                    <w:pStyle w:val="68"/>
                  </w:pPr>
                  <w:r>
                    <w:t>类别</w:t>
                  </w:r>
                </w:p>
              </w:tc>
              <w:tc>
                <w:tcPr>
                  <w:tcW w:w="672" w:type="pct"/>
                  <w:vAlign w:val="center"/>
                </w:tcPr>
                <w:p>
                  <w:pPr>
                    <w:pStyle w:val="68"/>
                  </w:pPr>
                  <w:r>
                    <w:t>COD</w:t>
                  </w:r>
                </w:p>
              </w:tc>
              <w:tc>
                <w:tcPr>
                  <w:tcW w:w="672" w:type="pct"/>
                </w:tcPr>
                <w:p>
                  <w:pPr>
                    <w:pStyle w:val="68"/>
                  </w:pPr>
                  <w:r>
                    <w:rPr>
                      <w:rFonts w:hint="eastAsia"/>
                    </w:rPr>
                    <w:t>BOD</w:t>
                  </w:r>
                  <w:r>
                    <w:rPr>
                      <w:rFonts w:hint="eastAsia"/>
                      <w:vertAlign w:val="subscript"/>
                    </w:rPr>
                    <w:t>5</w:t>
                  </w:r>
                </w:p>
              </w:tc>
              <w:tc>
                <w:tcPr>
                  <w:tcW w:w="672" w:type="pct"/>
                  <w:vAlign w:val="center"/>
                </w:tcPr>
                <w:p>
                  <w:pPr>
                    <w:pStyle w:val="68"/>
                    <w:rPr>
                      <w:vertAlign w:val="subscript"/>
                    </w:rPr>
                  </w:pPr>
                  <w:r>
                    <w:t>NH</w:t>
                  </w:r>
                  <w:r>
                    <w:rPr>
                      <w:vertAlign w:val="subscript"/>
                    </w:rPr>
                    <w:t>3</w:t>
                  </w:r>
                  <w:r>
                    <w:t>-N</w:t>
                  </w:r>
                </w:p>
              </w:tc>
              <w:tc>
                <w:tcPr>
                  <w:tcW w:w="652" w:type="pct"/>
                  <w:vAlign w:val="center"/>
                </w:tcPr>
                <w:p>
                  <w:pPr>
                    <w:pStyle w:val="68"/>
                    <w:rPr>
                      <w:vertAlign w:val="subscript"/>
                    </w:rPr>
                  </w:pPr>
                  <w:r>
                    <w:t>SS</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4" w:hRule="atLeast"/>
              </w:trPr>
              <w:tc>
                <w:tcPr>
                  <w:tcW w:w="1113" w:type="pct"/>
                  <w:vMerge w:val="restart"/>
                  <w:vAlign w:val="center"/>
                </w:tcPr>
                <w:p>
                  <w:pPr>
                    <w:pStyle w:val="68"/>
                  </w:pPr>
                  <w:r>
                    <w:t>生活污水</w:t>
                  </w:r>
                </w:p>
                <w:p>
                  <w:pPr>
                    <w:pStyle w:val="68"/>
                  </w:pPr>
                  <w:r>
                    <w:rPr>
                      <w:rFonts w:hint="eastAsia"/>
                    </w:rPr>
                    <w:t>1.28</w:t>
                  </w:r>
                  <w:r>
                    <w:t>m</w:t>
                  </w:r>
                  <w:r>
                    <w:rPr>
                      <w:vertAlign w:val="superscript"/>
                    </w:rPr>
                    <w:t>3</w:t>
                  </w:r>
                  <w:r>
                    <w:t>/d（</w:t>
                  </w:r>
                  <w:r>
                    <w:rPr>
                      <w:rFonts w:hint="eastAsia"/>
                    </w:rPr>
                    <w:t>384</w:t>
                  </w:r>
                  <w:r>
                    <w:t>m</w:t>
                  </w:r>
                  <w:r>
                    <w:rPr>
                      <w:vertAlign w:val="superscript"/>
                    </w:rPr>
                    <w:t>3</w:t>
                  </w:r>
                  <w:r>
                    <w:t>/a）</w:t>
                  </w:r>
                </w:p>
              </w:tc>
              <w:tc>
                <w:tcPr>
                  <w:tcW w:w="1218" w:type="pct"/>
                  <w:vAlign w:val="center"/>
                </w:tcPr>
                <w:p>
                  <w:pPr>
                    <w:pStyle w:val="68"/>
                  </w:pPr>
                  <w:r>
                    <w:t>浓度（mg/L）</w:t>
                  </w:r>
                </w:p>
              </w:tc>
              <w:tc>
                <w:tcPr>
                  <w:tcW w:w="672" w:type="pct"/>
                  <w:vAlign w:val="center"/>
                </w:tcPr>
                <w:p>
                  <w:pPr>
                    <w:pStyle w:val="68"/>
                  </w:pPr>
                  <w:r>
                    <w:t>350</w:t>
                  </w:r>
                </w:p>
              </w:tc>
              <w:tc>
                <w:tcPr>
                  <w:tcW w:w="672" w:type="pct"/>
                </w:tcPr>
                <w:p>
                  <w:pPr>
                    <w:pStyle w:val="68"/>
                  </w:pPr>
                  <w:r>
                    <w:rPr>
                      <w:rFonts w:hint="eastAsia"/>
                    </w:rPr>
                    <w:t>180</w:t>
                  </w:r>
                </w:p>
              </w:tc>
              <w:tc>
                <w:tcPr>
                  <w:tcW w:w="672" w:type="pct"/>
                  <w:vAlign w:val="center"/>
                </w:tcPr>
                <w:p>
                  <w:pPr>
                    <w:pStyle w:val="68"/>
                  </w:pPr>
                  <w:r>
                    <w:t>30</w:t>
                  </w:r>
                </w:p>
              </w:tc>
              <w:tc>
                <w:tcPr>
                  <w:tcW w:w="652" w:type="pct"/>
                  <w:vAlign w:val="center"/>
                </w:tcPr>
                <w:p>
                  <w:pPr>
                    <w:pStyle w:val="68"/>
                  </w:pPr>
                  <w:r>
                    <w:t>200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143" w:hRule="atLeast"/>
              </w:trPr>
              <w:tc>
                <w:tcPr>
                  <w:tcW w:w="1113" w:type="pct"/>
                  <w:vMerge w:val="continue"/>
                  <w:vAlign w:val="center"/>
                </w:tcPr>
                <w:p>
                  <w:pPr>
                    <w:pStyle w:val="68"/>
                  </w:pPr>
                </w:p>
              </w:tc>
              <w:tc>
                <w:tcPr>
                  <w:tcW w:w="1218" w:type="pct"/>
                  <w:vAlign w:val="center"/>
                </w:tcPr>
                <w:p>
                  <w:pPr>
                    <w:pStyle w:val="68"/>
                  </w:pPr>
                  <w:r>
                    <w:t>产生量（t/a）</w:t>
                  </w:r>
                </w:p>
              </w:tc>
              <w:tc>
                <w:tcPr>
                  <w:tcW w:w="1113" w:type="dxa"/>
                  <w:vAlign w:val="center"/>
                </w:tcPr>
                <w:p>
                  <w:pPr>
                    <w:pStyle w:val="68"/>
                  </w:pPr>
                  <w:r>
                    <w:rPr>
                      <w:bCs/>
                    </w:rPr>
                    <w:t>0.</w:t>
                  </w:r>
                  <w:r>
                    <w:rPr>
                      <w:rFonts w:hint="eastAsia"/>
                      <w:bCs/>
                    </w:rPr>
                    <w:t>1344</w:t>
                  </w:r>
                </w:p>
              </w:tc>
              <w:tc>
                <w:tcPr>
                  <w:tcW w:w="1113" w:type="dxa"/>
                  <w:vAlign w:val="center"/>
                </w:tcPr>
                <w:p>
                  <w:pPr>
                    <w:pStyle w:val="68"/>
                  </w:pPr>
                  <w:r>
                    <w:rPr>
                      <w:rFonts w:hint="eastAsia"/>
                      <w:bCs/>
                    </w:rPr>
                    <w:t>0.0692</w:t>
                  </w:r>
                </w:p>
              </w:tc>
              <w:tc>
                <w:tcPr>
                  <w:tcW w:w="1113" w:type="dxa"/>
                  <w:vAlign w:val="center"/>
                </w:tcPr>
                <w:p>
                  <w:pPr>
                    <w:pStyle w:val="68"/>
                  </w:pPr>
                  <w:r>
                    <w:rPr>
                      <w:bCs/>
                    </w:rPr>
                    <w:t>0.0</w:t>
                  </w:r>
                  <w:r>
                    <w:rPr>
                      <w:rFonts w:hint="eastAsia"/>
                      <w:bCs/>
                    </w:rPr>
                    <w:t>115</w:t>
                  </w:r>
                </w:p>
              </w:tc>
              <w:tc>
                <w:tcPr>
                  <w:tcW w:w="1080" w:type="dxa"/>
                  <w:vAlign w:val="center"/>
                </w:tcPr>
                <w:p>
                  <w:pPr>
                    <w:pStyle w:val="68"/>
                  </w:pPr>
                  <w:r>
                    <w:rPr>
                      <w:bCs/>
                    </w:rPr>
                    <w:t>0.</w:t>
                  </w:r>
                  <w:r>
                    <w:rPr>
                      <w:rFonts w:hint="eastAsia"/>
                      <w:bCs/>
                    </w:rPr>
                    <w:t>0768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333" w:hRule="atLeast"/>
              </w:trPr>
              <w:tc>
                <w:tcPr>
                  <w:tcW w:w="1113" w:type="pct"/>
                  <w:vMerge w:val="continue"/>
                  <w:vAlign w:val="center"/>
                </w:tcPr>
                <w:p>
                  <w:pPr>
                    <w:pStyle w:val="68"/>
                  </w:pPr>
                </w:p>
              </w:tc>
              <w:tc>
                <w:tcPr>
                  <w:tcW w:w="1218" w:type="pct"/>
                  <w:vAlign w:val="center"/>
                </w:tcPr>
                <w:p>
                  <w:pPr>
                    <w:pStyle w:val="68"/>
                  </w:pPr>
                  <w:r>
                    <w:rPr>
                      <w:rFonts w:hint="eastAsia"/>
                    </w:rPr>
                    <w:t>处理效率（%）</w:t>
                  </w:r>
                </w:p>
              </w:tc>
              <w:tc>
                <w:tcPr>
                  <w:tcW w:w="1113" w:type="dxa"/>
                  <w:vAlign w:val="center"/>
                </w:tcPr>
                <w:p>
                  <w:pPr>
                    <w:pStyle w:val="68"/>
                  </w:pPr>
                  <w:r>
                    <w:rPr>
                      <w:rFonts w:hint="eastAsia"/>
                      <w:bCs/>
                    </w:rPr>
                    <w:t>20</w:t>
                  </w:r>
                </w:p>
              </w:tc>
              <w:tc>
                <w:tcPr>
                  <w:tcW w:w="1113" w:type="dxa"/>
                  <w:vAlign w:val="center"/>
                </w:tcPr>
                <w:p>
                  <w:pPr>
                    <w:pStyle w:val="68"/>
                  </w:pPr>
                  <w:r>
                    <w:rPr>
                      <w:rFonts w:hint="eastAsia"/>
                      <w:bCs/>
                    </w:rPr>
                    <w:t>20</w:t>
                  </w:r>
                </w:p>
              </w:tc>
              <w:tc>
                <w:tcPr>
                  <w:tcW w:w="1113" w:type="dxa"/>
                  <w:vAlign w:val="center"/>
                </w:tcPr>
                <w:p>
                  <w:pPr>
                    <w:pStyle w:val="68"/>
                  </w:pPr>
                  <w:r>
                    <w:rPr>
                      <w:rFonts w:hint="eastAsia"/>
                      <w:bCs/>
                    </w:rPr>
                    <w:t>3</w:t>
                  </w:r>
                </w:p>
              </w:tc>
              <w:tc>
                <w:tcPr>
                  <w:tcW w:w="1080" w:type="dxa"/>
                  <w:vAlign w:val="center"/>
                </w:tcPr>
                <w:p>
                  <w:pPr>
                    <w:pStyle w:val="68"/>
                  </w:pPr>
                  <w:r>
                    <w:rPr>
                      <w:rFonts w:hint="eastAsia"/>
                      <w:bCs/>
                    </w:rPr>
                    <w:t>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143" w:hRule="atLeast"/>
              </w:trPr>
              <w:tc>
                <w:tcPr>
                  <w:tcW w:w="1113" w:type="pct"/>
                  <w:vMerge w:val="continue"/>
                  <w:vAlign w:val="center"/>
                </w:tcPr>
                <w:p>
                  <w:pPr>
                    <w:pStyle w:val="68"/>
                  </w:pPr>
                </w:p>
              </w:tc>
              <w:tc>
                <w:tcPr>
                  <w:tcW w:w="1218" w:type="pct"/>
                  <w:vAlign w:val="center"/>
                </w:tcPr>
                <w:p>
                  <w:pPr>
                    <w:pStyle w:val="68"/>
                  </w:pPr>
                  <w:r>
                    <w:t>浓度（mg/L）</w:t>
                  </w:r>
                </w:p>
              </w:tc>
              <w:tc>
                <w:tcPr>
                  <w:tcW w:w="1113" w:type="dxa"/>
                  <w:vAlign w:val="center"/>
                </w:tcPr>
                <w:p>
                  <w:pPr>
                    <w:pStyle w:val="68"/>
                  </w:pPr>
                  <w:r>
                    <w:rPr>
                      <w:rFonts w:hint="eastAsia"/>
                    </w:rPr>
                    <w:t>280</w:t>
                  </w:r>
                </w:p>
              </w:tc>
              <w:tc>
                <w:tcPr>
                  <w:tcW w:w="1113" w:type="dxa"/>
                </w:tcPr>
                <w:p>
                  <w:pPr>
                    <w:pStyle w:val="68"/>
                  </w:pPr>
                  <w:r>
                    <w:rPr>
                      <w:rFonts w:hint="eastAsia"/>
                    </w:rPr>
                    <w:t>144</w:t>
                  </w:r>
                </w:p>
              </w:tc>
              <w:tc>
                <w:tcPr>
                  <w:tcW w:w="1113" w:type="dxa"/>
                  <w:vAlign w:val="center"/>
                </w:tcPr>
                <w:p>
                  <w:pPr>
                    <w:pStyle w:val="68"/>
                  </w:pPr>
                  <w:r>
                    <w:rPr>
                      <w:rFonts w:hint="eastAsia"/>
                    </w:rPr>
                    <w:t>29.1</w:t>
                  </w:r>
                </w:p>
              </w:tc>
              <w:tc>
                <w:tcPr>
                  <w:tcW w:w="1080" w:type="dxa"/>
                  <w:vAlign w:val="center"/>
                </w:tcPr>
                <w:p>
                  <w:pPr>
                    <w:pStyle w:val="68"/>
                  </w:pPr>
                  <w:r>
                    <w:rPr>
                      <w:rFonts w:hint="eastAsia"/>
                    </w:rPr>
                    <w:t>100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143" w:hRule="atLeast"/>
              </w:trPr>
              <w:tc>
                <w:tcPr>
                  <w:tcW w:w="1113" w:type="pct"/>
                  <w:vMerge w:val="continue"/>
                  <w:vAlign w:val="center"/>
                </w:tcPr>
                <w:p>
                  <w:pPr>
                    <w:pStyle w:val="68"/>
                  </w:pPr>
                </w:p>
              </w:tc>
              <w:tc>
                <w:tcPr>
                  <w:tcW w:w="1218" w:type="pct"/>
                  <w:vAlign w:val="center"/>
                </w:tcPr>
                <w:p>
                  <w:pPr>
                    <w:pStyle w:val="68"/>
                  </w:pPr>
                  <w:r>
                    <w:t>排放量（t/a）</w:t>
                  </w:r>
                </w:p>
              </w:tc>
              <w:tc>
                <w:tcPr>
                  <w:tcW w:w="1113" w:type="dxa"/>
                  <w:vAlign w:val="center"/>
                </w:tcPr>
                <w:p>
                  <w:pPr>
                    <w:pStyle w:val="68"/>
                  </w:pPr>
                  <w:r>
                    <w:rPr>
                      <w:bCs/>
                    </w:rPr>
                    <w:t>0.</w:t>
                  </w:r>
                  <w:r>
                    <w:rPr>
                      <w:rFonts w:hint="eastAsia"/>
                      <w:bCs/>
                    </w:rPr>
                    <w:t>1075</w:t>
                  </w:r>
                </w:p>
              </w:tc>
              <w:tc>
                <w:tcPr>
                  <w:tcW w:w="1113" w:type="dxa"/>
                  <w:vAlign w:val="center"/>
                </w:tcPr>
                <w:p>
                  <w:pPr>
                    <w:pStyle w:val="68"/>
                  </w:pPr>
                  <w:r>
                    <w:rPr>
                      <w:rFonts w:hint="eastAsia"/>
                      <w:bCs/>
                    </w:rPr>
                    <w:t>0.0554</w:t>
                  </w:r>
                </w:p>
              </w:tc>
              <w:tc>
                <w:tcPr>
                  <w:tcW w:w="1113" w:type="dxa"/>
                  <w:vAlign w:val="center"/>
                </w:tcPr>
                <w:p>
                  <w:pPr>
                    <w:pStyle w:val="68"/>
                  </w:pPr>
                  <w:r>
                    <w:rPr>
                      <w:bCs/>
                    </w:rPr>
                    <w:t>0.0</w:t>
                  </w:r>
                  <w:r>
                    <w:rPr>
                      <w:rFonts w:hint="eastAsia"/>
                      <w:bCs/>
                    </w:rPr>
                    <w:t>112</w:t>
                  </w:r>
                </w:p>
              </w:tc>
              <w:tc>
                <w:tcPr>
                  <w:tcW w:w="1080" w:type="dxa"/>
                  <w:vAlign w:val="center"/>
                </w:tcPr>
                <w:p>
                  <w:pPr>
                    <w:pStyle w:val="68"/>
                  </w:pPr>
                  <w:r>
                    <w:rPr>
                      <w:bCs/>
                    </w:rPr>
                    <w:t>0.</w:t>
                  </w:r>
                  <w:r>
                    <w:rPr>
                      <w:rFonts w:hint="eastAsia"/>
                      <w:bCs/>
                    </w:rPr>
                    <w:t>0384</w:t>
                  </w:r>
                </w:p>
              </w:tc>
            </w:tr>
          </w:tbl>
          <w:p>
            <w:pPr>
              <w:pStyle w:val="53"/>
              <w:ind w:firstLine="480"/>
            </w:pPr>
            <w:r>
              <w:t>表</w:t>
            </w:r>
            <w:r>
              <w:rPr>
                <w:rFonts w:hint="eastAsia"/>
              </w:rPr>
              <w:t>38</w:t>
            </w:r>
            <w:r>
              <w:t xml:space="preserve">     废水类别、污染物及污染治理设施信息表</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2"/>
              <w:gridCol w:w="980"/>
              <w:gridCol w:w="861"/>
              <w:gridCol w:w="712"/>
              <w:gridCol w:w="722"/>
              <w:gridCol w:w="977"/>
              <w:gridCol w:w="889"/>
              <w:gridCol w:w="1179"/>
              <w:gridCol w:w="15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261" w:type="pct"/>
                  <w:vAlign w:val="center"/>
                </w:tcPr>
                <w:p>
                  <w:pPr>
                    <w:pStyle w:val="68"/>
                  </w:pPr>
                  <w:r>
                    <w:t>序号</w:t>
                  </w:r>
                </w:p>
              </w:tc>
              <w:tc>
                <w:tcPr>
                  <w:tcW w:w="592" w:type="pct"/>
                  <w:vAlign w:val="center"/>
                </w:tcPr>
                <w:p>
                  <w:pPr>
                    <w:pStyle w:val="68"/>
                  </w:pPr>
                  <w:r>
                    <w:t>废水</w:t>
                  </w:r>
                </w:p>
                <w:p>
                  <w:pPr>
                    <w:pStyle w:val="68"/>
                  </w:pPr>
                  <w:r>
                    <w:t>类别</w:t>
                  </w:r>
                </w:p>
              </w:tc>
              <w:tc>
                <w:tcPr>
                  <w:tcW w:w="520" w:type="pct"/>
                  <w:vAlign w:val="center"/>
                </w:tcPr>
                <w:p>
                  <w:pPr>
                    <w:pStyle w:val="68"/>
                  </w:pPr>
                  <w:r>
                    <w:t>污染物种类</w:t>
                  </w:r>
                </w:p>
              </w:tc>
              <w:tc>
                <w:tcPr>
                  <w:tcW w:w="430" w:type="pct"/>
                  <w:vAlign w:val="center"/>
                </w:tcPr>
                <w:p>
                  <w:pPr>
                    <w:pStyle w:val="68"/>
                  </w:pPr>
                  <w:r>
                    <w:t>排放去向</w:t>
                  </w:r>
                </w:p>
              </w:tc>
              <w:tc>
                <w:tcPr>
                  <w:tcW w:w="436" w:type="pct"/>
                  <w:vAlign w:val="center"/>
                </w:tcPr>
                <w:p>
                  <w:pPr>
                    <w:pStyle w:val="68"/>
                  </w:pPr>
                  <w:r>
                    <w:t>排放规律</w:t>
                  </w:r>
                </w:p>
              </w:tc>
              <w:tc>
                <w:tcPr>
                  <w:tcW w:w="590" w:type="pct"/>
                  <w:vAlign w:val="center"/>
                </w:tcPr>
                <w:p>
                  <w:pPr>
                    <w:pStyle w:val="68"/>
                  </w:pPr>
                  <w:r>
                    <w:t>污染防治设施</w:t>
                  </w:r>
                </w:p>
              </w:tc>
              <w:tc>
                <w:tcPr>
                  <w:tcW w:w="537" w:type="pct"/>
                  <w:vAlign w:val="center"/>
                </w:tcPr>
                <w:p>
                  <w:pPr>
                    <w:pStyle w:val="68"/>
                  </w:pPr>
                  <w:r>
                    <w:t>排放口编号</w:t>
                  </w:r>
                </w:p>
              </w:tc>
              <w:tc>
                <w:tcPr>
                  <w:tcW w:w="712" w:type="pct"/>
                  <w:vAlign w:val="center"/>
                </w:tcPr>
                <w:p>
                  <w:pPr>
                    <w:pStyle w:val="68"/>
                  </w:pPr>
                  <w:r>
                    <w:t>排放口设置是否符合要求</w:t>
                  </w:r>
                </w:p>
              </w:tc>
              <w:tc>
                <w:tcPr>
                  <w:tcW w:w="922" w:type="pct"/>
                  <w:vAlign w:val="center"/>
                </w:tcPr>
                <w:p>
                  <w:pPr>
                    <w:pStyle w:val="68"/>
                  </w:pPr>
                  <w:r>
                    <w:t>排放口类型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261" w:type="pct"/>
                  <w:vMerge w:val="restart"/>
                  <w:vAlign w:val="center"/>
                </w:tcPr>
                <w:p>
                  <w:pPr>
                    <w:pStyle w:val="68"/>
                  </w:pPr>
                  <w:r>
                    <w:t>1</w:t>
                  </w:r>
                </w:p>
              </w:tc>
              <w:tc>
                <w:tcPr>
                  <w:tcW w:w="592" w:type="pct"/>
                  <w:vMerge w:val="restart"/>
                  <w:vAlign w:val="center"/>
                </w:tcPr>
                <w:p>
                  <w:pPr>
                    <w:pStyle w:val="68"/>
                  </w:pPr>
                  <w:r>
                    <w:t>生活</w:t>
                  </w:r>
                </w:p>
                <w:p>
                  <w:pPr>
                    <w:pStyle w:val="68"/>
                  </w:pPr>
                  <w:r>
                    <w:t>污水</w:t>
                  </w:r>
                </w:p>
              </w:tc>
              <w:tc>
                <w:tcPr>
                  <w:tcW w:w="520" w:type="pct"/>
                  <w:vAlign w:val="center"/>
                </w:tcPr>
                <w:p>
                  <w:pPr>
                    <w:pStyle w:val="68"/>
                  </w:pPr>
                  <w:r>
                    <w:t>COD</w:t>
                  </w:r>
                </w:p>
              </w:tc>
              <w:tc>
                <w:tcPr>
                  <w:tcW w:w="430" w:type="pct"/>
                  <w:vMerge w:val="restart"/>
                  <w:vAlign w:val="center"/>
                </w:tcPr>
                <w:p>
                  <w:pPr>
                    <w:pStyle w:val="68"/>
                  </w:pPr>
                  <w:r>
                    <w:rPr>
                      <w:rFonts w:hint="eastAsia"/>
                    </w:rPr>
                    <w:t>不排放</w:t>
                  </w:r>
                </w:p>
              </w:tc>
              <w:tc>
                <w:tcPr>
                  <w:tcW w:w="436" w:type="pct"/>
                  <w:vMerge w:val="restart"/>
                  <w:vAlign w:val="center"/>
                </w:tcPr>
                <w:p>
                  <w:pPr>
                    <w:pStyle w:val="68"/>
                  </w:pPr>
                  <w:r>
                    <w:t>间歇排放</w:t>
                  </w:r>
                </w:p>
              </w:tc>
              <w:tc>
                <w:tcPr>
                  <w:tcW w:w="590" w:type="pct"/>
                  <w:vMerge w:val="restart"/>
                  <w:vAlign w:val="center"/>
                </w:tcPr>
                <w:p>
                  <w:pPr>
                    <w:pStyle w:val="68"/>
                  </w:pPr>
                  <w:r>
                    <w:t>化粪池</w:t>
                  </w:r>
                </w:p>
              </w:tc>
              <w:tc>
                <w:tcPr>
                  <w:tcW w:w="537" w:type="pct"/>
                  <w:vMerge w:val="restart"/>
                  <w:vAlign w:val="center"/>
                </w:tcPr>
                <w:p>
                  <w:pPr>
                    <w:pStyle w:val="68"/>
                  </w:pPr>
                  <w:r>
                    <w:rPr>
                      <w:rFonts w:hint="eastAsia"/>
                    </w:rPr>
                    <w:t>/</w:t>
                  </w:r>
                </w:p>
              </w:tc>
              <w:tc>
                <w:tcPr>
                  <w:tcW w:w="712" w:type="pct"/>
                  <w:vMerge w:val="restart"/>
                  <w:vAlign w:val="center"/>
                </w:tcPr>
                <w:p>
                  <w:pPr>
                    <w:pStyle w:val="68"/>
                  </w:pPr>
                  <w:r>
                    <w:t>□是</w:t>
                  </w:r>
                </w:p>
                <w:p>
                  <w:pPr>
                    <w:pStyle w:val="68"/>
                  </w:pPr>
                  <w:r>
                    <w:t>□否</w:t>
                  </w:r>
                </w:p>
              </w:tc>
              <w:tc>
                <w:tcPr>
                  <w:tcW w:w="922" w:type="pct"/>
                  <w:vMerge w:val="restart"/>
                  <w:vAlign w:val="center"/>
                </w:tcPr>
                <w:p>
                  <w:pPr>
                    <w:pStyle w:val="68"/>
                  </w:pPr>
                  <w:r>
                    <w:t>□企业总排</w:t>
                  </w:r>
                </w:p>
                <w:p>
                  <w:pPr>
                    <w:pStyle w:val="68"/>
                  </w:pPr>
                  <w:r>
                    <w:t>□雨水排放</w:t>
                  </w:r>
                </w:p>
                <w:p>
                  <w:pPr>
                    <w:pStyle w:val="68"/>
                  </w:pPr>
                  <w:r>
                    <w:t>□温水排放</w:t>
                  </w:r>
                </w:p>
                <w:p>
                  <w:pPr>
                    <w:pStyle w:val="68"/>
                  </w:pPr>
                  <w:r>
                    <w:t>□车间或车间处理设施排放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261" w:type="pct"/>
                  <w:vMerge w:val="continue"/>
                  <w:vAlign w:val="center"/>
                </w:tcPr>
                <w:p>
                  <w:pPr>
                    <w:pStyle w:val="68"/>
                  </w:pPr>
                </w:p>
              </w:tc>
              <w:tc>
                <w:tcPr>
                  <w:tcW w:w="592" w:type="pct"/>
                  <w:vMerge w:val="continue"/>
                  <w:vAlign w:val="center"/>
                </w:tcPr>
                <w:p>
                  <w:pPr>
                    <w:pStyle w:val="68"/>
                  </w:pPr>
                </w:p>
              </w:tc>
              <w:tc>
                <w:tcPr>
                  <w:tcW w:w="520" w:type="pct"/>
                  <w:vAlign w:val="center"/>
                </w:tcPr>
                <w:p>
                  <w:pPr>
                    <w:pStyle w:val="68"/>
                  </w:pPr>
                  <w:r>
                    <w:t>BOD</w:t>
                  </w:r>
                  <w:r>
                    <w:rPr>
                      <w:vertAlign w:val="subscript"/>
                    </w:rPr>
                    <w:t>5</w:t>
                  </w:r>
                </w:p>
              </w:tc>
              <w:tc>
                <w:tcPr>
                  <w:tcW w:w="430" w:type="pct"/>
                  <w:vMerge w:val="continue"/>
                  <w:vAlign w:val="center"/>
                </w:tcPr>
                <w:p>
                  <w:pPr>
                    <w:pStyle w:val="68"/>
                  </w:pPr>
                </w:p>
              </w:tc>
              <w:tc>
                <w:tcPr>
                  <w:tcW w:w="436" w:type="pct"/>
                  <w:vMerge w:val="continue"/>
                  <w:vAlign w:val="center"/>
                </w:tcPr>
                <w:p>
                  <w:pPr>
                    <w:pStyle w:val="68"/>
                  </w:pPr>
                </w:p>
              </w:tc>
              <w:tc>
                <w:tcPr>
                  <w:tcW w:w="590" w:type="pct"/>
                  <w:vMerge w:val="continue"/>
                  <w:vAlign w:val="center"/>
                </w:tcPr>
                <w:p>
                  <w:pPr>
                    <w:pStyle w:val="68"/>
                  </w:pPr>
                </w:p>
              </w:tc>
              <w:tc>
                <w:tcPr>
                  <w:tcW w:w="537" w:type="pct"/>
                  <w:vMerge w:val="continue"/>
                  <w:vAlign w:val="center"/>
                </w:tcPr>
                <w:p>
                  <w:pPr>
                    <w:pStyle w:val="68"/>
                  </w:pPr>
                </w:p>
              </w:tc>
              <w:tc>
                <w:tcPr>
                  <w:tcW w:w="712" w:type="pct"/>
                  <w:vMerge w:val="continue"/>
                  <w:vAlign w:val="center"/>
                </w:tcPr>
                <w:p>
                  <w:pPr>
                    <w:pStyle w:val="68"/>
                  </w:pPr>
                </w:p>
              </w:tc>
              <w:tc>
                <w:tcPr>
                  <w:tcW w:w="922" w:type="pct"/>
                  <w:vMerge w:val="continue"/>
                  <w:vAlign w:val="center"/>
                </w:tcPr>
                <w:p>
                  <w:pPr>
                    <w:pStyle w:val="68"/>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261" w:type="pct"/>
                  <w:vMerge w:val="continue"/>
                  <w:vAlign w:val="center"/>
                </w:tcPr>
                <w:p>
                  <w:pPr>
                    <w:pStyle w:val="68"/>
                    <w:rPr>
                      <w:highlight w:val="yellow"/>
                    </w:rPr>
                  </w:pPr>
                </w:p>
              </w:tc>
              <w:tc>
                <w:tcPr>
                  <w:tcW w:w="592" w:type="pct"/>
                  <w:vMerge w:val="continue"/>
                  <w:vAlign w:val="center"/>
                </w:tcPr>
                <w:p>
                  <w:pPr>
                    <w:pStyle w:val="68"/>
                    <w:rPr>
                      <w:highlight w:val="yellow"/>
                    </w:rPr>
                  </w:pPr>
                </w:p>
              </w:tc>
              <w:tc>
                <w:tcPr>
                  <w:tcW w:w="520" w:type="pct"/>
                  <w:vAlign w:val="center"/>
                </w:tcPr>
                <w:p>
                  <w:pPr>
                    <w:pStyle w:val="68"/>
                  </w:pPr>
                  <w:r>
                    <w:t>NH</w:t>
                  </w:r>
                  <w:r>
                    <w:rPr>
                      <w:vertAlign w:val="subscript"/>
                    </w:rPr>
                    <w:t>3</w:t>
                  </w:r>
                  <w:r>
                    <w:t>-N</w:t>
                  </w:r>
                </w:p>
              </w:tc>
              <w:tc>
                <w:tcPr>
                  <w:tcW w:w="430" w:type="pct"/>
                  <w:vMerge w:val="continue"/>
                  <w:vAlign w:val="center"/>
                </w:tcPr>
                <w:p>
                  <w:pPr>
                    <w:pStyle w:val="68"/>
                    <w:rPr>
                      <w:highlight w:val="yellow"/>
                    </w:rPr>
                  </w:pPr>
                </w:p>
              </w:tc>
              <w:tc>
                <w:tcPr>
                  <w:tcW w:w="436" w:type="pct"/>
                  <w:vMerge w:val="continue"/>
                  <w:vAlign w:val="center"/>
                </w:tcPr>
                <w:p>
                  <w:pPr>
                    <w:pStyle w:val="68"/>
                    <w:rPr>
                      <w:highlight w:val="yellow"/>
                    </w:rPr>
                  </w:pPr>
                </w:p>
              </w:tc>
              <w:tc>
                <w:tcPr>
                  <w:tcW w:w="590" w:type="pct"/>
                  <w:vMerge w:val="continue"/>
                  <w:vAlign w:val="center"/>
                </w:tcPr>
                <w:p>
                  <w:pPr>
                    <w:pStyle w:val="68"/>
                    <w:rPr>
                      <w:highlight w:val="yellow"/>
                    </w:rPr>
                  </w:pPr>
                </w:p>
              </w:tc>
              <w:tc>
                <w:tcPr>
                  <w:tcW w:w="537" w:type="pct"/>
                  <w:vMerge w:val="continue"/>
                  <w:vAlign w:val="center"/>
                </w:tcPr>
                <w:p>
                  <w:pPr>
                    <w:pStyle w:val="68"/>
                    <w:rPr>
                      <w:highlight w:val="yellow"/>
                    </w:rPr>
                  </w:pPr>
                </w:p>
              </w:tc>
              <w:tc>
                <w:tcPr>
                  <w:tcW w:w="712" w:type="pct"/>
                  <w:vMerge w:val="continue"/>
                  <w:vAlign w:val="center"/>
                </w:tcPr>
                <w:p>
                  <w:pPr>
                    <w:pStyle w:val="68"/>
                    <w:rPr>
                      <w:highlight w:val="yellow"/>
                    </w:rPr>
                  </w:pPr>
                </w:p>
              </w:tc>
              <w:tc>
                <w:tcPr>
                  <w:tcW w:w="922" w:type="pct"/>
                  <w:vMerge w:val="continue"/>
                  <w:vAlign w:val="center"/>
                </w:tcPr>
                <w:p>
                  <w:pPr>
                    <w:pStyle w:val="68"/>
                    <w:rPr>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50" w:hRule="atLeast"/>
                <w:jc w:val="center"/>
              </w:trPr>
              <w:tc>
                <w:tcPr>
                  <w:tcW w:w="261" w:type="pct"/>
                  <w:vMerge w:val="continue"/>
                  <w:vAlign w:val="center"/>
                </w:tcPr>
                <w:p>
                  <w:pPr>
                    <w:pStyle w:val="68"/>
                    <w:rPr>
                      <w:highlight w:val="yellow"/>
                    </w:rPr>
                  </w:pPr>
                </w:p>
              </w:tc>
              <w:tc>
                <w:tcPr>
                  <w:tcW w:w="592" w:type="pct"/>
                  <w:vMerge w:val="continue"/>
                  <w:vAlign w:val="center"/>
                </w:tcPr>
                <w:p>
                  <w:pPr>
                    <w:pStyle w:val="68"/>
                    <w:rPr>
                      <w:highlight w:val="yellow"/>
                    </w:rPr>
                  </w:pPr>
                </w:p>
              </w:tc>
              <w:tc>
                <w:tcPr>
                  <w:tcW w:w="520" w:type="pct"/>
                  <w:vAlign w:val="center"/>
                </w:tcPr>
                <w:p>
                  <w:pPr>
                    <w:pStyle w:val="68"/>
                  </w:pPr>
                  <w:r>
                    <w:t>SS</w:t>
                  </w:r>
                </w:p>
              </w:tc>
              <w:tc>
                <w:tcPr>
                  <w:tcW w:w="430" w:type="pct"/>
                  <w:vMerge w:val="continue"/>
                  <w:vAlign w:val="center"/>
                </w:tcPr>
                <w:p>
                  <w:pPr>
                    <w:pStyle w:val="68"/>
                    <w:rPr>
                      <w:highlight w:val="yellow"/>
                    </w:rPr>
                  </w:pPr>
                </w:p>
              </w:tc>
              <w:tc>
                <w:tcPr>
                  <w:tcW w:w="436" w:type="pct"/>
                  <w:vMerge w:val="continue"/>
                  <w:vAlign w:val="center"/>
                </w:tcPr>
                <w:p>
                  <w:pPr>
                    <w:pStyle w:val="68"/>
                    <w:rPr>
                      <w:highlight w:val="yellow"/>
                    </w:rPr>
                  </w:pPr>
                </w:p>
              </w:tc>
              <w:tc>
                <w:tcPr>
                  <w:tcW w:w="590" w:type="pct"/>
                  <w:vMerge w:val="continue"/>
                  <w:vAlign w:val="center"/>
                </w:tcPr>
                <w:p>
                  <w:pPr>
                    <w:pStyle w:val="68"/>
                    <w:rPr>
                      <w:highlight w:val="yellow"/>
                    </w:rPr>
                  </w:pPr>
                </w:p>
              </w:tc>
              <w:tc>
                <w:tcPr>
                  <w:tcW w:w="537" w:type="pct"/>
                  <w:vMerge w:val="continue"/>
                  <w:vAlign w:val="center"/>
                </w:tcPr>
                <w:p>
                  <w:pPr>
                    <w:pStyle w:val="68"/>
                    <w:rPr>
                      <w:highlight w:val="yellow"/>
                    </w:rPr>
                  </w:pPr>
                </w:p>
              </w:tc>
              <w:tc>
                <w:tcPr>
                  <w:tcW w:w="712" w:type="pct"/>
                  <w:vMerge w:val="continue"/>
                  <w:vAlign w:val="center"/>
                </w:tcPr>
                <w:p>
                  <w:pPr>
                    <w:pStyle w:val="68"/>
                    <w:rPr>
                      <w:highlight w:val="yellow"/>
                    </w:rPr>
                  </w:pPr>
                </w:p>
              </w:tc>
              <w:tc>
                <w:tcPr>
                  <w:tcW w:w="922" w:type="pct"/>
                  <w:vMerge w:val="continue"/>
                  <w:vAlign w:val="center"/>
                </w:tcPr>
                <w:p>
                  <w:pPr>
                    <w:pStyle w:val="68"/>
                    <w:rPr>
                      <w:highlight w:val="yellow"/>
                    </w:rPr>
                  </w:pPr>
                </w:p>
              </w:tc>
            </w:tr>
          </w:tbl>
          <w:p>
            <w:pPr>
              <w:pStyle w:val="100"/>
            </w:pPr>
            <w:r>
              <w:rPr>
                <w:rFonts w:hint="eastAsia"/>
              </w:rPr>
              <w:t>2.2污染防治设施可行性分析</w:t>
            </w:r>
          </w:p>
          <w:p>
            <w:pPr>
              <w:pStyle w:val="51"/>
              <w:ind w:firstLine="480"/>
            </w:pPr>
            <w:r>
              <w:t>（1）水量</w:t>
            </w:r>
          </w:p>
          <w:p>
            <w:pPr>
              <w:pStyle w:val="51"/>
              <w:ind w:firstLine="480"/>
            </w:pPr>
            <w:r>
              <w:rPr>
                <w:rFonts w:hint="eastAsia"/>
              </w:rPr>
              <w:t>改扩建工程新增</w:t>
            </w:r>
            <w:r>
              <w:t>生活污水排放量为</w:t>
            </w:r>
            <w:r>
              <w:rPr>
                <w:rFonts w:hint="eastAsia"/>
              </w:rPr>
              <w:t>1.28</w:t>
            </w:r>
            <w:r>
              <w:t>m</w:t>
            </w:r>
            <w:r>
              <w:rPr>
                <w:vertAlign w:val="superscript"/>
              </w:rPr>
              <w:t>3</w:t>
            </w:r>
            <w:r>
              <w:t>/d，</w:t>
            </w:r>
            <w:r>
              <w:rPr>
                <w:rFonts w:hint="eastAsia"/>
              </w:rPr>
              <w:t>现有工程</w:t>
            </w:r>
            <w:r>
              <w:t>最大生活污水排放量约为</w:t>
            </w:r>
            <w:r>
              <w:rPr>
                <w:rFonts w:hint="eastAsia"/>
              </w:rPr>
              <w:t>0.48</w:t>
            </w:r>
            <w:r>
              <w:t>m</w:t>
            </w:r>
            <w:r>
              <w:rPr>
                <w:vertAlign w:val="superscript"/>
              </w:rPr>
              <w:t>3</w:t>
            </w:r>
            <w:r>
              <w:t>/d，</w:t>
            </w:r>
            <w:r>
              <w:rPr>
                <w:rFonts w:hint="eastAsia"/>
              </w:rPr>
              <w:t>本项目投产后厂区</w:t>
            </w:r>
            <w:r>
              <w:t>生活污水排放量约为</w:t>
            </w:r>
            <w:r>
              <w:rPr>
                <w:rFonts w:hint="eastAsia"/>
              </w:rPr>
              <w:t>1.76</w:t>
            </w:r>
            <w:r>
              <w:t>m</w:t>
            </w:r>
            <w:r>
              <w:rPr>
                <w:vertAlign w:val="superscript"/>
              </w:rPr>
              <w:t>3</w:t>
            </w:r>
            <w:r>
              <w:t>/d</w:t>
            </w:r>
            <w:r>
              <w:rPr>
                <w:rFonts w:hint="eastAsia"/>
              </w:rPr>
              <w:t>，</w:t>
            </w:r>
            <w:r>
              <w:t>厂区化粪池容积为10m</w:t>
            </w:r>
            <w:r>
              <w:rPr>
                <w:vertAlign w:val="superscript"/>
              </w:rPr>
              <w:t>3</w:t>
            </w:r>
            <w:r>
              <w:t>，</w:t>
            </w:r>
            <w:r>
              <w:rPr>
                <w:rFonts w:hint="eastAsia"/>
              </w:rPr>
              <w:t>可满足生活污水至少停留12h的要求，因此，本项目依托化粪池容积可行。</w:t>
            </w:r>
          </w:p>
          <w:p>
            <w:pPr>
              <w:pStyle w:val="51"/>
              <w:ind w:firstLine="480"/>
            </w:pPr>
            <w:r>
              <w:t>（2）水质</w:t>
            </w:r>
          </w:p>
          <w:p>
            <w:pPr>
              <w:pStyle w:val="51"/>
              <w:ind w:firstLine="480"/>
            </w:pPr>
            <w:r>
              <w:t>本项目产生的生活污水经化粪池预处理后，污水浓度：COD为280mg/L、氨氮为29.1mg/L、悬浮物为100mg/L，可以用于农田施肥。</w:t>
            </w:r>
          </w:p>
          <w:p>
            <w:pPr>
              <w:pStyle w:val="51"/>
              <w:ind w:firstLine="480"/>
            </w:pPr>
            <w:r>
              <w:t>综上所述，本项目污水预处理措施是可行的。</w:t>
            </w:r>
          </w:p>
          <w:p>
            <w:pPr>
              <w:pStyle w:val="100"/>
            </w:pPr>
            <w:r>
              <w:t>2.2.2污水处理厂依托可行性分析</w:t>
            </w:r>
          </w:p>
          <w:p>
            <w:pPr>
              <w:pStyle w:val="51"/>
              <w:ind w:firstLine="480"/>
            </w:pPr>
            <w:r>
              <w:t>偃师市第三污水处理厂位于偃师市岳滩镇岳滩村西南，临近伊河，占地30亩，设计处理能力11.5万m</w:t>
            </w:r>
            <w:r>
              <w:rPr>
                <w:vertAlign w:val="superscript"/>
              </w:rPr>
              <w:t>3</w:t>
            </w:r>
            <w:r>
              <w:t>/d（近期6万m</w:t>
            </w:r>
            <w:r>
              <w:rPr>
                <w:vertAlign w:val="superscript"/>
              </w:rPr>
              <w:t>3</w:t>
            </w:r>
            <w:r>
              <w:t>/d、远期11.5万m</w:t>
            </w:r>
            <w:r>
              <w:rPr>
                <w:vertAlign w:val="superscript"/>
              </w:rPr>
              <w:t>3</w:t>
            </w:r>
            <w:r>
              <w:t>/d），目前基础建成部分污水处理能力3万m</w:t>
            </w:r>
            <w:r>
              <w:rPr>
                <w:vertAlign w:val="superscript"/>
              </w:rPr>
              <w:t>3</w:t>
            </w:r>
            <w:r>
              <w:t>/d，实际处理能力1万m</w:t>
            </w:r>
            <w:r>
              <w:rPr>
                <w:vertAlign w:val="superscript"/>
              </w:rPr>
              <w:t>3</w:t>
            </w:r>
            <w:r>
              <w:t>/d，余量充足。主要收水范围为偃师市产业集聚区南园生产废水和岳滩镇的生产废水、生活污水。污水处理厂进水水质要求为：COD350mg/L，氨氮35mg/L，出水水质标准为《城镇污水处理厂污染物排放标准》（GB18918-2002）一级A标准和《河南省黄河流域水污染物排放标准》（GB/T 1.1—2020）表1-公共污水处理系统水污染物基本控制项目排放限值-二级标准。经调查，本项目厂址位于偃师市第三污水处理厂收水范围内，排水水质满足污水处理厂进水水质要求，</w:t>
            </w:r>
            <w:r>
              <w:rPr>
                <w:rFonts w:hint="eastAsia"/>
              </w:rPr>
              <w:t>目前</w:t>
            </w:r>
            <w:r>
              <w:t>厂址</w:t>
            </w:r>
            <w:r>
              <w:rPr>
                <w:rFonts w:hint="eastAsia"/>
              </w:rPr>
              <w:t>周围区域</w:t>
            </w:r>
            <w:r>
              <w:t>市政污水管网</w:t>
            </w:r>
            <w:r>
              <w:rPr>
                <w:rFonts w:hint="eastAsia"/>
              </w:rPr>
              <w:t>尚未</w:t>
            </w:r>
            <w:r>
              <w:t>铺设完成。</w:t>
            </w:r>
          </w:p>
          <w:p>
            <w:pPr>
              <w:pStyle w:val="96"/>
              <w:spacing w:line="520" w:lineRule="exact"/>
              <w:jc w:val="both"/>
              <w:rPr>
                <w:bCs/>
                <w:color w:val="auto"/>
              </w:rPr>
            </w:pPr>
            <w:r>
              <w:rPr>
                <w:color w:val="auto"/>
              </w:rPr>
              <w:t>因此，本项目废水依托偃师市第三污水处理厂处理是可行的。</w:t>
            </w:r>
          </w:p>
          <w:p>
            <w:pPr>
              <w:pStyle w:val="48"/>
              <w:ind w:firstLine="480"/>
            </w:pPr>
            <w:r>
              <w:rPr>
                <w:rFonts w:hint="eastAsia"/>
              </w:rPr>
              <w:t>表39             废水污染物排放执行标准表</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336"/>
              <w:gridCol w:w="792"/>
              <w:gridCol w:w="840"/>
              <w:gridCol w:w="1070"/>
              <w:gridCol w:w="2432"/>
              <w:gridCol w:w="2051"/>
              <w:gridCol w:w="7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337" w:type="dxa"/>
                  <w:vMerge w:val="restart"/>
                  <w:vAlign w:val="center"/>
                </w:tcPr>
                <w:p>
                  <w:pPr>
                    <w:pStyle w:val="70"/>
                    <w:spacing w:line="400" w:lineRule="exact"/>
                    <w:rPr>
                      <w:sz w:val="21"/>
                      <w:szCs w:val="21"/>
                    </w:rPr>
                  </w:pPr>
                  <w:r>
                    <w:rPr>
                      <w:rFonts w:hAnsi="宋体"/>
                      <w:sz w:val="21"/>
                      <w:szCs w:val="21"/>
                    </w:rPr>
                    <w:t>序号</w:t>
                  </w:r>
                </w:p>
              </w:tc>
              <w:tc>
                <w:tcPr>
                  <w:tcW w:w="792" w:type="dxa"/>
                  <w:vMerge w:val="restart"/>
                  <w:vAlign w:val="center"/>
                </w:tcPr>
                <w:p>
                  <w:pPr>
                    <w:pStyle w:val="70"/>
                    <w:spacing w:line="400" w:lineRule="exact"/>
                    <w:rPr>
                      <w:sz w:val="21"/>
                      <w:szCs w:val="21"/>
                    </w:rPr>
                  </w:pPr>
                  <w:r>
                    <w:rPr>
                      <w:rFonts w:hAnsi="宋体"/>
                      <w:sz w:val="21"/>
                      <w:szCs w:val="21"/>
                    </w:rPr>
                    <w:t>排放口编号</w:t>
                  </w:r>
                </w:p>
              </w:tc>
              <w:tc>
                <w:tcPr>
                  <w:tcW w:w="840" w:type="dxa"/>
                  <w:vMerge w:val="restart"/>
                  <w:vAlign w:val="center"/>
                </w:tcPr>
                <w:p>
                  <w:pPr>
                    <w:pStyle w:val="70"/>
                    <w:spacing w:line="400" w:lineRule="exact"/>
                    <w:rPr>
                      <w:sz w:val="21"/>
                      <w:szCs w:val="21"/>
                    </w:rPr>
                  </w:pPr>
                  <w:r>
                    <w:rPr>
                      <w:rFonts w:hAnsi="宋体"/>
                      <w:sz w:val="21"/>
                      <w:szCs w:val="21"/>
                    </w:rPr>
                    <w:t>污染物种类</w:t>
                  </w:r>
                </w:p>
              </w:tc>
              <w:tc>
                <w:tcPr>
                  <w:tcW w:w="1070" w:type="dxa"/>
                  <w:vMerge w:val="restart"/>
                  <w:vAlign w:val="center"/>
                </w:tcPr>
                <w:p>
                  <w:pPr>
                    <w:pStyle w:val="70"/>
                    <w:spacing w:line="400" w:lineRule="exact"/>
                    <w:rPr>
                      <w:sz w:val="21"/>
                      <w:szCs w:val="21"/>
                    </w:rPr>
                  </w:pPr>
                  <w:r>
                    <w:rPr>
                      <w:rFonts w:hAnsi="宋体"/>
                      <w:sz w:val="21"/>
                      <w:szCs w:val="21"/>
                    </w:rPr>
                    <w:t>排放情况</w:t>
                  </w:r>
                  <w:r>
                    <w:rPr>
                      <w:sz w:val="21"/>
                      <w:szCs w:val="21"/>
                    </w:rPr>
                    <w:t>(mg/L)</w:t>
                  </w:r>
                </w:p>
              </w:tc>
              <w:tc>
                <w:tcPr>
                  <w:tcW w:w="4483" w:type="dxa"/>
                  <w:gridSpan w:val="2"/>
                  <w:vAlign w:val="center"/>
                </w:tcPr>
                <w:p>
                  <w:pPr>
                    <w:pStyle w:val="70"/>
                    <w:spacing w:line="400" w:lineRule="exact"/>
                    <w:rPr>
                      <w:sz w:val="21"/>
                      <w:szCs w:val="21"/>
                    </w:rPr>
                  </w:pPr>
                  <w:r>
                    <w:rPr>
                      <w:rFonts w:hAnsi="宋体"/>
                      <w:sz w:val="21"/>
                      <w:szCs w:val="21"/>
                    </w:rPr>
                    <w:t>国家或地方污染物排放标准及其他规定商定的排放协议</w:t>
                  </w:r>
                </w:p>
              </w:tc>
              <w:tc>
                <w:tcPr>
                  <w:tcW w:w="758" w:type="dxa"/>
                  <w:vMerge w:val="restart"/>
                  <w:vAlign w:val="center"/>
                </w:tcPr>
                <w:p>
                  <w:pPr>
                    <w:pStyle w:val="70"/>
                    <w:spacing w:line="400" w:lineRule="exact"/>
                    <w:rPr>
                      <w:sz w:val="21"/>
                      <w:szCs w:val="21"/>
                    </w:rPr>
                  </w:pPr>
                  <w:r>
                    <w:rPr>
                      <w:rFonts w:hAnsi="宋体"/>
                      <w:sz w:val="21"/>
                      <w:szCs w:val="21"/>
                    </w:rPr>
                    <w:t>是否达标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337" w:type="dxa"/>
                  <w:vMerge w:val="continue"/>
                  <w:vAlign w:val="center"/>
                </w:tcPr>
                <w:p>
                  <w:pPr>
                    <w:pStyle w:val="70"/>
                    <w:spacing w:line="400" w:lineRule="exact"/>
                    <w:rPr>
                      <w:sz w:val="21"/>
                      <w:szCs w:val="21"/>
                    </w:rPr>
                  </w:pPr>
                </w:p>
              </w:tc>
              <w:tc>
                <w:tcPr>
                  <w:tcW w:w="792" w:type="dxa"/>
                  <w:vMerge w:val="continue"/>
                  <w:vAlign w:val="center"/>
                </w:tcPr>
                <w:p>
                  <w:pPr>
                    <w:pStyle w:val="70"/>
                    <w:spacing w:line="400" w:lineRule="exact"/>
                    <w:rPr>
                      <w:sz w:val="21"/>
                      <w:szCs w:val="21"/>
                    </w:rPr>
                  </w:pPr>
                </w:p>
              </w:tc>
              <w:tc>
                <w:tcPr>
                  <w:tcW w:w="840" w:type="dxa"/>
                  <w:vMerge w:val="continue"/>
                  <w:vAlign w:val="center"/>
                </w:tcPr>
                <w:p>
                  <w:pPr>
                    <w:pStyle w:val="70"/>
                    <w:spacing w:line="400" w:lineRule="exact"/>
                    <w:rPr>
                      <w:sz w:val="21"/>
                      <w:szCs w:val="21"/>
                    </w:rPr>
                  </w:pPr>
                </w:p>
              </w:tc>
              <w:tc>
                <w:tcPr>
                  <w:tcW w:w="1070" w:type="dxa"/>
                  <w:vMerge w:val="continue"/>
                  <w:vAlign w:val="center"/>
                </w:tcPr>
                <w:p>
                  <w:pPr>
                    <w:pStyle w:val="70"/>
                    <w:spacing w:line="400" w:lineRule="exact"/>
                    <w:rPr>
                      <w:sz w:val="21"/>
                      <w:szCs w:val="21"/>
                    </w:rPr>
                  </w:pPr>
                </w:p>
              </w:tc>
              <w:tc>
                <w:tcPr>
                  <w:tcW w:w="2432" w:type="dxa"/>
                  <w:vAlign w:val="center"/>
                </w:tcPr>
                <w:p>
                  <w:pPr>
                    <w:pStyle w:val="70"/>
                    <w:spacing w:line="400" w:lineRule="exact"/>
                    <w:rPr>
                      <w:sz w:val="21"/>
                      <w:szCs w:val="21"/>
                    </w:rPr>
                  </w:pPr>
                  <w:r>
                    <w:rPr>
                      <w:rFonts w:hAnsi="宋体"/>
                      <w:sz w:val="21"/>
                      <w:szCs w:val="21"/>
                    </w:rPr>
                    <w:t>名称</w:t>
                  </w:r>
                </w:p>
              </w:tc>
              <w:tc>
                <w:tcPr>
                  <w:tcW w:w="2051" w:type="dxa"/>
                  <w:vAlign w:val="center"/>
                </w:tcPr>
                <w:p>
                  <w:pPr>
                    <w:pStyle w:val="70"/>
                    <w:spacing w:line="400" w:lineRule="exact"/>
                    <w:rPr>
                      <w:sz w:val="21"/>
                      <w:szCs w:val="21"/>
                    </w:rPr>
                  </w:pPr>
                  <w:r>
                    <w:rPr>
                      <w:rFonts w:hAnsi="宋体"/>
                      <w:sz w:val="21"/>
                      <w:szCs w:val="21"/>
                    </w:rPr>
                    <w:t>浓度限值（</w:t>
                  </w:r>
                  <w:r>
                    <w:rPr>
                      <w:sz w:val="21"/>
                      <w:szCs w:val="21"/>
                    </w:rPr>
                    <w:t>mg/L</w:t>
                  </w:r>
                  <w:r>
                    <w:rPr>
                      <w:rFonts w:hAnsi="宋体"/>
                      <w:sz w:val="21"/>
                      <w:szCs w:val="21"/>
                    </w:rPr>
                    <w:t>）</w:t>
                  </w:r>
                </w:p>
              </w:tc>
              <w:tc>
                <w:tcPr>
                  <w:tcW w:w="758" w:type="dxa"/>
                  <w:vMerge w:val="continue"/>
                  <w:vAlign w:val="center"/>
                </w:tcPr>
                <w:p>
                  <w:pPr>
                    <w:pStyle w:val="70"/>
                    <w:spacing w:line="40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337" w:type="dxa"/>
                  <w:vMerge w:val="restart"/>
                  <w:vAlign w:val="center"/>
                </w:tcPr>
                <w:p>
                  <w:pPr>
                    <w:pStyle w:val="70"/>
                    <w:spacing w:line="400" w:lineRule="exact"/>
                    <w:rPr>
                      <w:sz w:val="21"/>
                      <w:szCs w:val="21"/>
                    </w:rPr>
                  </w:pPr>
                  <w:r>
                    <w:rPr>
                      <w:sz w:val="21"/>
                      <w:szCs w:val="21"/>
                    </w:rPr>
                    <w:t>1</w:t>
                  </w:r>
                </w:p>
              </w:tc>
              <w:tc>
                <w:tcPr>
                  <w:tcW w:w="792" w:type="dxa"/>
                  <w:vMerge w:val="restart"/>
                  <w:vAlign w:val="center"/>
                </w:tcPr>
                <w:p>
                  <w:pPr>
                    <w:pStyle w:val="70"/>
                    <w:spacing w:line="400" w:lineRule="exact"/>
                    <w:rPr>
                      <w:sz w:val="21"/>
                      <w:szCs w:val="21"/>
                    </w:rPr>
                  </w:pPr>
                  <w:r>
                    <w:rPr>
                      <w:sz w:val="21"/>
                      <w:szCs w:val="21"/>
                    </w:rPr>
                    <w:t>DW001</w:t>
                  </w:r>
                </w:p>
              </w:tc>
              <w:tc>
                <w:tcPr>
                  <w:tcW w:w="840" w:type="dxa"/>
                  <w:vAlign w:val="center"/>
                </w:tcPr>
                <w:p>
                  <w:pPr>
                    <w:pStyle w:val="104"/>
                    <w:spacing w:line="400" w:lineRule="exact"/>
                    <w:ind w:firstLine="0" w:firstLineChars="0"/>
                    <w:jc w:val="center"/>
                    <w:rPr>
                      <w:rFonts w:cs="Times New Roman"/>
                    </w:rPr>
                  </w:pPr>
                  <w:r>
                    <w:rPr>
                      <w:rFonts w:cs="Times New Roman"/>
                    </w:rPr>
                    <w:t>COD</w:t>
                  </w:r>
                </w:p>
              </w:tc>
              <w:tc>
                <w:tcPr>
                  <w:tcW w:w="1070" w:type="dxa"/>
                  <w:vAlign w:val="center"/>
                </w:tcPr>
                <w:p>
                  <w:pPr>
                    <w:pStyle w:val="104"/>
                    <w:spacing w:line="400" w:lineRule="exact"/>
                    <w:ind w:firstLine="0" w:firstLineChars="0"/>
                    <w:jc w:val="center"/>
                    <w:rPr>
                      <w:rFonts w:cs="Times New Roman"/>
                    </w:rPr>
                  </w:pPr>
                  <w:r>
                    <w:rPr>
                      <w:rFonts w:hint="eastAsia" w:cs="Times New Roman"/>
                    </w:rPr>
                    <w:t>280</w:t>
                  </w:r>
                </w:p>
              </w:tc>
              <w:tc>
                <w:tcPr>
                  <w:tcW w:w="2432" w:type="dxa"/>
                  <w:vMerge w:val="restart"/>
                  <w:vAlign w:val="center"/>
                </w:tcPr>
                <w:p>
                  <w:pPr>
                    <w:pStyle w:val="70"/>
                    <w:spacing w:line="400" w:lineRule="exact"/>
                    <w:rPr>
                      <w:sz w:val="21"/>
                      <w:szCs w:val="21"/>
                    </w:rPr>
                  </w:pPr>
                  <w:r>
                    <w:rPr>
                      <w:sz w:val="21"/>
                      <w:szCs w:val="21"/>
                    </w:rPr>
                    <w:t>《污水综合排放标准》</w:t>
                  </w:r>
                  <w:r>
                    <w:rPr>
                      <w:rFonts w:hint="eastAsia"/>
                      <w:sz w:val="21"/>
                      <w:szCs w:val="21"/>
                    </w:rPr>
                    <w:t>（</w:t>
                  </w:r>
                  <w:r>
                    <w:rPr>
                      <w:sz w:val="21"/>
                      <w:szCs w:val="21"/>
                    </w:rPr>
                    <w:t>GB8978-1996</w:t>
                  </w:r>
                  <w:r>
                    <w:rPr>
                      <w:rFonts w:hint="eastAsia"/>
                      <w:sz w:val="21"/>
                      <w:szCs w:val="21"/>
                    </w:rPr>
                    <w:t>）三级标准偃师区第三污水处理厂进水水质要求</w:t>
                  </w:r>
                </w:p>
              </w:tc>
              <w:tc>
                <w:tcPr>
                  <w:tcW w:w="2051" w:type="dxa"/>
                  <w:vAlign w:val="center"/>
                </w:tcPr>
                <w:p>
                  <w:pPr>
                    <w:pStyle w:val="70"/>
                    <w:spacing w:line="400" w:lineRule="exact"/>
                    <w:rPr>
                      <w:sz w:val="21"/>
                      <w:szCs w:val="21"/>
                    </w:rPr>
                  </w:pPr>
                  <w:r>
                    <w:rPr>
                      <w:rFonts w:hint="eastAsia"/>
                      <w:sz w:val="21"/>
                      <w:szCs w:val="21"/>
                    </w:rPr>
                    <w:t>350</w:t>
                  </w:r>
                </w:p>
              </w:tc>
              <w:tc>
                <w:tcPr>
                  <w:tcW w:w="758" w:type="dxa"/>
                  <w:vAlign w:val="center"/>
                </w:tcPr>
                <w:p>
                  <w:pPr>
                    <w:pStyle w:val="70"/>
                    <w:spacing w:line="400" w:lineRule="exact"/>
                    <w:rPr>
                      <w:sz w:val="21"/>
                      <w:szCs w:val="21"/>
                    </w:rPr>
                  </w:pPr>
                  <w:r>
                    <w:rPr>
                      <w:rFonts w:hAnsi="宋体"/>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337" w:type="dxa"/>
                  <w:vMerge w:val="continue"/>
                  <w:vAlign w:val="center"/>
                </w:tcPr>
                <w:p>
                  <w:pPr>
                    <w:pStyle w:val="70"/>
                    <w:spacing w:line="400" w:lineRule="exact"/>
                    <w:rPr>
                      <w:sz w:val="21"/>
                      <w:szCs w:val="21"/>
                    </w:rPr>
                  </w:pPr>
                </w:p>
              </w:tc>
              <w:tc>
                <w:tcPr>
                  <w:tcW w:w="792" w:type="dxa"/>
                  <w:vMerge w:val="continue"/>
                  <w:vAlign w:val="center"/>
                </w:tcPr>
                <w:p>
                  <w:pPr>
                    <w:pStyle w:val="70"/>
                    <w:spacing w:line="400" w:lineRule="exact"/>
                    <w:rPr>
                      <w:sz w:val="21"/>
                      <w:szCs w:val="21"/>
                    </w:rPr>
                  </w:pPr>
                </w:p>
              </w:tc>
              <w:tc>
                <w:tcPr>
                  <w:tcW w:w="840" w:type="dxa"/>
                  <w:vAlign w:val="center"/>
                </w:tcPr>
                <w:p>
                  <w:pPr>
                    <w:pStyle w:val="104"/>
                    <w:spacing w:line="400" w:lineRule="exact"/>
                    <w:ind w:firstLine="0" w:firstLineChars="0"/>
                    <w:jc w:val="center"/>
                    <w:rPr>
                      <w:rFonts w:cs="Times New Roman"/>
                    </w:rPr>
                  </w:pPr>
                  <w:r>
                    <w:rPr>
                      <w:rFonts w:hint="eastAsia" w:cs="Times New Roman"/>
                    </w:rPr>
                    <w:t>B</w:t>
                  </w:r>
                  <w:r>
                    <w:rPr>
                      <w:rFonts w:cs="Times New Roman"/>
                    </w:rPr>
                    <w:t>OD</w:t>
                  </w:r>
                  <w:r>
                    <w:rPr>
                      <w:rFonts w:cs="Times New Roman"/>
                      <w:vertAlign w:val="subscript"/>
                    </w:rPr>
                    <w:t>5</w:t>
                  </w:r>
                </w:p>
              </w:tc>
              <w:tc>
                <w:tcPr>
                  <w:tcW w:w="1070" w:type="dxa"/>
                  <w:vAlign w:val="center"/>
                </w:tcPr>
                <w:p>
                  <w:pPr>
                    <w:pStyle w:val="104"/>
                    <w:spacing w:line="400" w:lineRule="exact"/>
                    <w:ind w:firstLine="0" w:firstLineChars="0"/>
                    <w:jc w:val="center"/>
                    <w:rPr>
                      <w:rFonts w:cs="Times New Roman"/>
                    </w:rPr>
                  </w:pPr>
                  <w:r>
                    <w:rPr>
                      <w:rFonts w:hint="eastAsia" w:cs="Times New Roman"/>
                    </w:rPr>
                    <w:t>144</w:t>
                  </w:r>
                </w:p>
              </w:tc>
              <w:tc>
                <w:tcPr>
                  <w:tcW w:w="2432" w:type="dxa"/>
                  <w:vMerge w:val="continue"/>
                  <w:vAlign w:val="center"/>
                </w:tcPr>
                <w:p>
                  <w:pPr>
                    <w:pStyle w:val="70"/>
                    <w:spacing w:line="400" w:lineRule="exact"/>
                    <w:rPr>
                      <w:sz w:val="21"/>
                      <w:szCs w:val="21"/>
                    </w:rPr>
                  </w:pPr>
                </w:p>
              </w:tc>
              <w:tc>
                <w:tcPr>
                  <w:tcW w:w="2051" w:type="dxa"/>
                  <w:vAlign w:val="center"/>
                </w:tcPr>
                <w:p>
                  <w:pPr>
                    <w:pStyle w:val="70"/>
                    <w:spacing w:line="400" w:lineRule="exact"/>
                    <w:rPr>
                      <w:sz w:val="21"/>
                      <w:szCs w:val="21"/>
                    </w:rPr>
                  </w:pPr>
                  <w:r>
                    <w:rPr>
                      <w:rFonts w:hint="eastAsia"/>
                      <w:sz w:val="21"/>
                      <w:szCs w:val="21"/>
                    </w:rPr>
                    <w:t>165</w:t>
                  </w:r>
                </w:p>
              </w:tc>
              <w:tc>
                <w:tcPr>
                  <w:tcW w:w="758" w:type="dxa"/>
                  <w:vAlign w:val="center"/>
                </w:tcPr>
                <w:p>
                  <w:pPr>
                    <w:pStyle w:val="70"/>
                    <w:spacing w:line="400" w:lineRule="exact"/>
                    <w:rPr>
                      <w:sz w:val="21"/>
                      <w:szCs w:val="21"/>
                    </w:rPr>
                  </w:pPr>
                  <w:r>
                    <w:rPr>
                      <w:rFonts w:hAnsi="宋体"/>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337" w:type="dxa"/>
                  <w:vMerge w:val="continue"/>
                  <w:vAlign w:val="center"/>
                </w:tcPr>
                <w:p>
                  <w:pPr>
                    <w:pStyle w:val="70"/>
                    <w:spacing w:line="400" w:lineRule="exact"/>
                    <w:rPr>
                      <w:sz w:val="21"/>
                      <w:szCs w:val="21"/>
                    </w:rPr>
                  </w:pPr>
                </w:p>
              </w:tc>
              <w:tc>
                <w:tcPr>
                  <w:tcW w:w="792" w:type="dxa"/>
                  <w:vMerge w:val="continue"/>
                  <w:vAlign w:val="center"/>
                </w:tcPr>
                <w:p>
                  <w:pPr>
                    <w:pStyle w:val="70"/>
                    <w:spacing w:line="400" w:lineRule="exact"/>
                    <w:rPr>
                      <w:sz w:val="21"/>
                      <w:szCs w:val="21"/>
                    </w:rPr>
                  </w:pPr>
                </w:p>
              </w:tc>
              <w:tc>
                <w:tcPr>
                  <w:tcW w:w="840" w:type="dxa"/>
                  <w:vAlign w:val="center"/>
                </w:tcPr>
                <w:p>
                  <w:pPr>
                    <w:pStyle w:val="104"/>
                    <w:spacing w:line="400" w:lineRule="exact"/>
                    <w:ind w:firstLine="0" w:firstLineChars="0"/>
                    <w:jc w:val="center"/>
                    <w:rPr>
                      <w:rFonts w:cs="Times New Roman"/>
                    </w:rPr>
                  </w:pPr>
                  <w:r>
                    <w:rPr>
                      <w:rFonts w:cs="Times New Roman"/>
                    </w:rPr>
                    <w:t>SS</w:t>
                  </w:r>
                </w:p>
              </w:tc>
              <w:tc>
                <w:tcPr>
                  <w:tcW w:w="1070" w:type="dxa"/>
                  <w:vAlign w:val="center"/>
                </w:tcPr>
                <w:p>
                  <w:pPr>
                    <w:pStyle w:val="104"/>
                    <w:spacing w:line="400" w:lineRule="exact"/>
                    <w:ind w:firstLine="0" w:firstLineChars="0"/>
                    <w:jc w:val="center"/>
                    <w:rPr>
                      <w:rFonts w:cs="Times New Roman"/>
                    </w:rPr>
                  </w:pPr>
                  <w:r>
                    <w:rPr>
                      <w:rFonts w:hint="eastAsia" w:cs="Times New Roman"/>
                    </w:rPr>
                    <w:t>100</w:t>
                  </w:r>
                </w:p>
              </w:tc>
              <w:tc>
                <w:tcPr>
                  <w:tcW w:w="2432" w:type="dxa"/>
                  <w:vMerge w:val="continue"/>
                  <w:vAlign w:val="center"/>
                </w:tcPr>
                <w:p>
                  <w:pPr>
                    <w:pStyle w:val="70"/>
                    <w:spacing w:line="400" w:lineRule="exact"/>
                    <w:rPr>
                      <w:sz w:val="21"/>
                      <w:szCs w:val="21"/>
                    </w:rPr>
                  </w:pPr>
                </w:p>
              </w:tc>
              <w:tc>
                <w:tcPr>
                  <w:tcW w:w="2051" w:type="dxa"/>
                  <w:vAlign w:val="center"/>
                </w:tcPr>
                <w:p>
                  <w:pPr>
                    <w:pStyle w:val="70"/>
                    <w:spacing w:line="400" w:lineRule="exact"/>
                    <w:rPr>
                      <w:sz w:val="21"/>
                      <w:szCs w:val="21"/>
                    </w:rPr>
                  </w:pPr>
                  <w:r>
                    <w:rPr>
                      <w:rFonts w:hint="eastAsia"/>
                      <w:sz w:val="21"/>
                      <w:szCs w:val="21"/>
                    </w:rPr>
                    <w:t>180</w:t>
                  </w:r>
                </w:p>
              </w:tc>
              <w:tc>
                <w:tcPr>
                  <w:tcW w:w="758" w:type="dxa"/>
                  <w:vAlign w:val="center"/>
                </w:tcPr>
                <w:p>
                  <w:pPr>
                    <w:pStyle w:val="70"/>
                    <w:spacing w:line="400" w:lineRule="exact"/>
                    <w:rPr>
                      <w:sz w:val="21"/>
                      <w:szCs w:val="21"/>
                    </w:rPr>
                  </w:pPr>
                  <w:r>
                    <w:rPr>
                      <w:rFonts w:hAnsi="宋体"/>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337" w:type="dxa"/>
                  <w:vMerge w:val="continue"/>
                  <w:vAlign w:val="center"/>
                </w:tcPr>
                <w:p>
                  <w:pPr>
                    <w:pStyle w:val="70"/>
                    <w:spacing w:line="400" w:lineRule="exact"/>
                    <w:rPr>
                      <w:sz w:val="21"/>
                      <w:szCs w:val="21"/>
                    </w:rPr>
                  </w:pPr>
                </w:p>
              </w:tc>
              <w:tc>
                <w:tcPr>
                  <w:tcW w:w="792" w:type="dxa"/>
                  <w:vMerge w:val="continue"/>
                  <w:vAlign w:val="center"/>
                </w:tcPr>
                <w:p>
                  <w:pPr>
                    <w:pStyle w:val="70"/>
                    <w:spacing w:line="400" w:lineRule="exact"/>
                    <w:rPr>
                      <w:sz w:val="21"/>
                      <w:szCs w:val="21"/>
                    </w:rPr>
                  </w:pPr>
                </w:p>
              </w:tc>
              <w:tc>
                <w:tcPr>
                  <w:tcW w:w="840" w:type="dxa"/>
                  <w:vAlign w:val="center"/>
                </w:tcPr>
                <w:p>
                  <w:pPr>
                    <w:pStyle w:val="104"/>
                    <w:spacing w:line="400" w:lineRule="exact"/>
                    <w:ind w:firstLine="0" w:firstLineChars="0"/>
                    <w:jc w:val="center"/>
                    <w:rPr>
                      <w:rFonts w:cs="Times New Roman"/>
                    </w:rPr>
                  </w:pPr>
                  <w:r>
                    <w:rPr>
                      <w:rFonts w:hAnsi="宋体" w:cs="Times New Roman"/>
                    </w:rPr>
                    <w:t>氨氮</w:t>
                  </w:r>
                </w:p>
              </w:tc>
              <w:tc>
                <w:tcPr>
                  <w:tcW w:w="1070" w:type="dxa"/>
                  <w:vAlign w:val="center"/>
                </w:tcPr>
                <w:p>
                  <w:pPr>
                    <w:pStyle w:val="104"/>
                    <w:spacing w:line="400" w:lineRule="exact"/>
                    <w:ind w:firstLine="0" w:firstLineChars="0"/>
                    <w:jc w:val="center"/>
                    <w:rPr>
                      <w:rFonts w:cs="Times New Roman"/>
                    </w:rPr>
                  </w:pPr>
                  <w:r>
                    <w:rPr>
                      <w:rFonts w:hint="eastAsia" w:cs="Times New Roman"/>
                    </w:rPr>
                    <w:t>29.1</w:t>
                  </w:r>
                </w:p>
              </w:tc>
              <w:tc>
                <w:tcPr>
                  <w:tcW w:w="2432" w:type="dxa"/>
                  <w:vMerge w:val="continue"/>
                  <w:vAlign w:val="center"/>
                </w:tcPr>
                <w:p>
                  <w:pPr>
                    <w:pStyle w:val="70"/>
                    <w:spacing w:line="400" w:lineRule="exact"/>
                    <w:rPr>
                      <w:sz w:val="21"/>
                      <w:szCs w:val="21"/>
                    </w:rPr>
                  </w:pPr>
                </w:p>
              </w:tc>
              <w:tc>
                <w:tcPr>
                  <w:tcW w:w="2051" w:type="dxa"/>
                  <w:vAlign w:val="center"/>
                </w:tcPr>
                <w:p>
                  <w:pPr>
                    <w:pStyle w:val="70"/>
                    <w:spacing w:line="400" w:lineRule="exact"/>
                    <w:rPr>
                      <w:sz w:val="21"/>
                      <w:szCs w:val="21"/>
                    </w:rPr>
                  </w:pPr>
                  <w:r>
                    <w:rPr>
                      <w:rFonts w:hint="eastAsia"/>
                      <w:sz w:val="21"/>
                      <w:szCs w:val="21"/>
                    </w:rPr>
                    <w:t>38</w:t>
                  </w:r>
                </w:p>
              </w:tc>
              <w:tc>
                <w:tcPr>
                  <w:tcW w:w="758" w:type="dxa"/>
                  <w:vAlign w:val="center"/>
                </w:tcPr>
                <w:p>
                  <w:pPr>
                    <w:pStyle w:val="70"/>
                    <w:spacing w:line="400" w:lineRule="exact"/>
                    <w:rPr>
                      <w:sz w:val="21"/>
                      <w:szCs w:val="21"/>
                    </w:rPr>
                  </w:pPr>
                  <w:r>
                    <w:rPr>
                      <w:rFonts w:hAnsi="宋体"/>
                      <w:sz w:val="21"/>
                      <w:szCs w:val="21"/>
                    </w:rPr>
                    <w:t>达标</w:t>
                  </w:r>
                </w:p>
              </w:tc>
            </w:tr>
          </w:tbl>
          <w:p>
            <w:pPr>
              <w:spacing w:line="520" w:lineRule="exact"/>
              <w:ind w:firstLine="480"/>
              <w:rPr>
                <w:bCs/>
                <w:sz w:val="24"/>
              </w:rPr>
            </w:pPr>
            <w:r>
              <w:rPr>
                <w:rFonts w:hint="eastAsia"/>
                <w:bCs/>
                <w:sz w:val="24"/>
              </w:rPr>
              <w:t>③水量</w:t>
            </w:r>
          </w:p>
          <w:p>
            <w:pPr>
              <w:spacing w:line="520" w:lineRule="exact"/>
              <w:ind w:firstLine="480"/>
              <w:rPr>
                <w:bCs/>
                <w:sz w:val="24"/>
              </w:rPr>
            </w:pPr>
            <w:r>
              <w:rPr>
                <w:rFonts w:hint="eastAsia"/>
                <w:bCs/>
                <w:sz w:val="24"/>
              </w:rPr>
              <w:t>本项目营运后新增废水排放总量</w:t>
            </w:r>
            <w:r>
              <w:rPr>
                <w:rFonts w:hint="eastAsia"/>
                <w:sz w:val="24"/>
              </w:rPr>
              <w:t>1.28</w:t>
            </w:r>
            <w:r>
              <w:rPr>
                <w:sz w:val="24"/>
              </w:rPr>
              <w:t>m</w:t>
            </w:r>
            <w:r>
              <w:rPr>
                <w:sz w:val="24"/>
                <w:vertAlign w:val="superscript"/>
              </w:rPr>
              <w:t>3</w:t>
            </w:r>
            <w:r>
              <w:rPr>
                <w:sz w:val="24"/>
              </w:rPr>
              <w:t>/d（</w:t>
            </w:r>
            <w:r>
              <w:rPr>
                <w:rFonts w:hint="eastAsia"/>
                <w:sz w:val="24"/>
              </w:rPr>
              <w:t>384</w:t>
            </w:r>
            <w:r>
              <w:rPr>
                <w:sz w:val="24"/>
              </w:rPr>
              <w:t>m</w:t>
            </w:r>
            <w:r>
              <w:rPr>
                <w:sz w:val="24"/>
                <w:vertAlign w:val="superscript"/>
              </w:rPr>
              <w:t>3</w:t>
            </w:r>
            <w:r>
              <w:rPr>
                <w:sz w:val="24"/>
              </w:rPr>
              <w:t>/a）</w:t>
            </w:r>
            <w:r>
              <w:rPr>
                <w:rFonts w:hint="eastAsia"/>
                <w:bCs/>
                <w:sz w:val="24"/>
              </w:rPr>
              <w:t>，</w:t>
            </w:r>
            <w:r>
              <w:rPr>
                <w:rFonts w:hAnsi="宋体"/>
                <w:sz w:val="24"/>
              </w:rPr>
              <w:t>项目</w:t>
            </w:r>
            <w:r>
              <w:rPr>
                <w:rFonts w:hint="eastAsia" w:hAnsi="宋体"/>
                <w:sz w:val="24"/>
              </w:rPr>
              <w:t>所在厂区</w:t>
            </w:r>
            <w:r>
              <w:rPr>
                <w:rFonts w:hAnsi="宋体"/>
                <w:sz w:val="24"/>
              </w:rPr>
              <w:t>生活污水</w:t>
            </w:r>
            <w:r>
              <w:rPr>
                <w:rFonts w:hint="eastAsia" w:hAnsi="宋体"/>
                <w:sz w:val="24"/>
              </w:rPr>
              <w:t>总</w:t>
            </w:r>
            <w:r>
              <w:rPr>
                <w:rFonts w:hAnsi="宋体"/>
                <w:sz w:val="24"/>
              </w:rPr>
              <w:t>排放量为</w:t>
            </w:r>
            <w:r>
              <w:rPr>
                <w:rFonts w:hint="eastAsia"/>
                <w:sz w:val="24"/>
              </w:rPr>
              <w:t>1.76</w:t>
            </w:r>
            <w:r>
              <w:rPr>
                <w:sz w:val="24"/>
              </w:rPr>
              <w:t>m</w:t>
            </w:r>
            <w:r>
              <w:rPr>
                <w:sz w:val="24"/>
                <w:vertAlign w:val="superscript"/>
              </w:rPr>
              <w:t>3</w:t>
            </w:r>
            <w:r>
              <w:rPr>
                <w:sz w:val="24"/>
              </w:rPr>
              <w:t>/d（</w:t>
            </w:r>
            <w:r>
              <w:rPr>
                <w:rFonts w:hint="eastAsia"/>
                <w:sz w:val="24"/>
              </w:rPr>
              <w:t>528</w:t>
            </w:r>
            <w:r>
              <w:rPr>
                <w:sz w:val="24"/>
              </w:rPr>
              <w:t>m</w:t>
            </w:r>
            <w:r>
              <w:rPr>
                <w:sz w:val="24"/>
                <w:vertAlign w:val="superscript"/>
              </w:rPr>
              <w:t>3</w:t>
            </w:r>
            <w:r>
              <w:rPr>
                <w:sz w:val="24"/>
              </w:rPr>
              <w:t>/a）</w:t>
            </w:r>
            <w:r>
              <w:rPr>
                <w:rFonts w:hint="eastAsia"/>
                <w:bCs/>
                <w:sz w:val="24"/>
              </w:rPr>
              <w:t>，目前偃师市第三污水处理厂日处理污水量约为1万m</w:t>
            </w:r>
            <w:r>
              <w:rPr>
                <w:rFonts w:hint="eastAsia"/>
                <w:bCs/>
                <w:sz w:val="24"/>
                <w:vertAlign w:val="superscript"/>
              </w:rPr>
              <w:t>3</w:t>
            </w:r>
            <w:r>
              <w:rPr>
                <w:rFonts w:hint="eastAsia"/>
                <w:bCs/>
                <w:sz w:val="24"/>
              </w:rPr>
              <w:t>/d，剩余处理能力为2万m</w:t>
            </w:r>
            <w:r>
              <w:rPr>
                <w:rFonts w:hint="eastAsia"/>
                <w:bCs/>
                <w:sz w:val="24"/>
                <w:vertAlign w:val="superscript"/>
              </w:rPr>
              <w:t>3</w:t>
            </w:r>
            <w:r>
              <w:rPr>
                <w:rFonts w:hint="eastAsia"/>
                <w:bCs/>
                <w:sz w:val="24"/>
              </w:rPr>
              <w:t>/d，本项目废水量远小于偃师区第三污水处理厂的剩余处理能力。</w:t>
            </w:r>
          </w:p>
          <w:p>
            <w:pPr>
              <w:spacing w:line="520" w:lineRule="exact"/>
              <w:ind w:firstLine="480"/>
              <w:rPr>
                <w:bCs/>
                <w:sz w:val="24"/>
              </w:rPr>
            </w:pPr>
            <w:r>
              <w:rPr>
                <w:rFonts w:hint="eastAsia"/>
                <w:bCs/>
                <w:sz w:val="24"/>
              </w:rPr>
              <w:t>因此，本项目生活废水远期依托偃师区第三污水处理厂处理是可行的。</w:t>
            </w:r>
          </w:p>
          <w:p>
            <w:pPr>
              <w:pStyle w:val="99"/>
              <w:ind w:firstLine="0" w:firstLineChars="0"/>
            </w:pPr>
            <w:r>
              <w:rPr>
                <w:rFonts w:hint="eastAsia"/>
              </w:rPr>
              <w:t>2.3监测要求</w:t>
            </w:r>
          </w:p>
          <w:p>
            <w:pPr>
              <w:pStyle w:val="51"/>
              <w:spacing w:line="480" w:lineRule="exact"/>
              <w:ind w:firstLine="480"/>
            </w:pPr>
            <w:r>
              <w:t>根据</w:t>
            </w:r>
            <w:r>
              <w:rPr>
                <w:rFonts w:hint="eastAsia"/>
                <w:bCs/>
              </w:rPr>
              <w:t>《排污单位自行监测技术指南  橡胶和塑料制品工业》（HJ1207-2021）和《排污许可证申请与核发技术规范 印刷工业》（HJ1066-2019）</w:t>
            </w:r>
            <w:r>
              <w:t>，结合本项目运行期产污特征、项目工程周围环境实际情况，制定出本项目运行期</w:t>
            </w:r>
            <w:r>
              <w:rPr>
                <w:rFonts w:hint="eastAsia"/>
              </w:rPr>
              <w:t>废水</w:t>
            </w:r>
            <w:r>
              <w:t>监测计划，详见</w:t>
            </w:r>
            <w:r>
              <w:rPr>
                <w:rFonts w:hint="eastAsia"/>
              </w:rPr>
              <w:t>下表</w:t>
            </w:r>
            <w:r>
              <w:t>。</w:t>
            </w:r>
          </w:p>
          <w:p>
            <w:pPr>
              <w:pStyle w:val="53"/>
              <w:spacing w:line="480" w:lineRule="exact"/>
              <w:ind w:firstLine="480"/>
            </w:pPr>
            <w:r>
              <w:t>表</w:t>
            </w:r>
            <w:r>
              <w:rPr>
                <w:rFonts w:hint="eastAsia"/>
              </w:rPr>
              <w:t>40</w:t>
            </w:r>
            <w:r>
              <w:t xml:space="preserve">         </w:t>
            </w:r>
            <w:r>
              <w:rPr>
                <w:rFonts w:hint="eastAsia"/>
              </w:rPr>
              <w:t xml:space="preserve">       </w:t>
            </w:r>
            <w:r>
              <w:t xml:space="preserve">       营运期监测计划</w:t>
            </w:r>
          </w:p>
          <w:tbl>
            <w:tblPr>
              <w:tblStyle w:val="22"/>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714"/>
              <w:gridCol w:w="726"/>
              <w:gridCol w:w="1296"/>
              <w:gridCol w:w="2243"/>
              <w:gridCol w:w="992"/>
              <w:gridCol w:w="230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40" w:type="dxa"/>
                  <w:gridSpan w:val="2"/>
                  <w:vAlign w:val="center"/>
                </w:tcPr>
                <w:p>
                  <w:pPr>
                    <w:pStyle w:val="68"/>
                    <w:spacing w:line="340" w:lineRule="exact"/>
                  </w:pPr>
                  <w:r>
                    <w:t>类别</w:t>
                  </w:r>
                </w:p>
              </w:tc>
              <w:tc>
                <w:tcPr>
                  <w:tcW w:w="1296" w:type="dxa"/>
                  <w:vAlign w:val="center"/>
                </w:tcPr>
                <w:p>
                  <w:pPr>
                    <w:pStyle w:val="68"/>
                    <w:spacing w:line="340" w:lineRule="exact"/>
                  </w:pPr>
                  <w:r>
                    <w:t>监测点</w:t>
                  </w:r>
                </w:p>
              </w:tc>
              <w:tc>
                <w:tcPr>
                  <w:tcW w:w="2243" w:type="dxa"/>
                  <w:vAlign w:val="center"/>
                </w:tcPr>
                <w:p>
                  <w:pPr>
                    <w:pStyle w:val="68"/>
                    <w:spacing w:line="340" w:lineRule="exact"/>
                  </w:pPr>
                  <w:r>
                    <w:t>监测项目</w:t>
                  </w:r>
                </w:p>
              </w:tc>
              <w:tc>
                <w:tcPr>
                  <w:tcW w:w="992" w:type="dxa"/>
                  <w:vAlign w:val="center"/>
                </w:tcPr>
                <w:p>
                  <w:pPr>
                    <w:pStyle w:val="68"/>
                    <w:spacing w:line="340" w:lineRule="exact"/>
                  </w:pPr>
                  <w:r>
                    <w:t>监测频率</w:t>
                  </w:r>
                </w:p>
              </w:tc>
              <w:tc>
                <w:tcPr>
                  <w:tcW w:w="2308" w:type="dxa"/>
                  <w:vAlign w:val="center"/>
                </w:tcPr>
                <w:p>
                  <w:pPr>
                    <w:pStyle w:val="68"/>
                    <w:spacing w:line="340" w:lineRule="exact"/>
                  </w:pPr>
                  <w:r>
                    <w:rPr>
                      <w:rFonts w:hint="eastAsia"/>
                    </w:rPr>
                    <w:t>执行标准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364" w:hRule="atLeast"/>
                <w:jc w:val="center"/>
              </w:trPr>
              <w:tc>
                <w:tcPr>
                  <w:tcW w:w="714" w:type="dxa"/>
                  <w:tcBorders>
                    <w:right w:val="single" w:color="auto" w:sz="6" w:space="0"/>
                  </w:tcBorders>
                  <w:vAlign w:val="center"/>
                </w:tcPr>
                <w:p>
                  <w:pPr>
                    <w:pStyle w:val="68"/>
                    <w:spacing w:line="340" w:lineRule="exact"/>
                  </w:pPr>
                  <w:r>
                    <w:t>污染源</w:t>
                  </w:r>
                </w:p>
              </w:tc>
              <w:tc>
                <w:tcPr>
                  <w:tcW w:w="726" w:type="dxa"/>
                  <w:tcBorders>
                    <w:left w:val="single" w:color="auto" w:sz="6" w:space="0"/>
                  </w:tcBorders>
                  <w:vAlign w:val="center"/>
                </w:tcPr>
                <w:p>
                  <w:pPr>
                    <w:pStyle w:val="68"/>
                    <w:spacing w:line="340" w:lineRule="exact"/>
                  </w:pPr>
                  <w:r>
                    <w:t>废</w:t>
                  </w:r>
                  <w:r>
                    <w:rPr>
                      <w:rFonts w:hint="eastAsia"/>
                    </w:rPr>
                    <w:t>水</w:t>
                  </w:r>
                </w:p>
              </w:tc>
              <w:tc>
                <w:tcPr>
                  <w:tcW w:w="1296" w:type="dxa"/>
                  <w:vAlign w:val="center"/>
                </w:tcPr>
                <w:p>
                  <w:pPr>
                    <w:pStyle w:val="68"/>
                    <w:spacing w:line="340" w:lineRule="exact"/>
                  </w:pPr>
                  <w:r>
                    <w:rPr>
                      <w:rFonts w:hint="eastAsia"/>
                      <w:szCs w:val="21"/>
                    </w:rPr>
                    <w:t>DW00</w:t>
                  </w:r>
                  <w:r>
                    <w:rPr>
                      <w:szCs w:val="21"/>
                    </w:rPr>
                    <w:t>1</w:t>
                  </w:r>
                  <w:r>
                    <w:t>（</w:t>
                  </w:r>
                  <w:r>
                    <w:rPr>
                      <w:rFonts w:hint="eastAsia"/>
                    </w:rPr>
                    <w:t>化粪池排口</w:t>
                  </w:r>
                  <w:r>
                    <w:t>）</w:t>
                  </w:r>
                </w:p>
              </w:tc>
              <w:tc>
                <w:tcPr>
                  <w:tcW w:w="2243" w:type="dxa"/>
                  <w:vAlign w:val="center"/>
                </w:tcPr>
                <w:p>
                  <w:pPr>
                    <w:pStyle w:val="68"/>
                    <w:spacing w:line="340" w:lineRule="exact"/>
                  </w:pPr>
                  <w:r>
                    <w:rPr>
                      <w:rFonts w:hint="eastAsia"/>
                    </w:rPr>
                    <w:t>pH值、悬浮物、五日生化需氧量、化学需氧量、氨氮</w:t>
                  </w:r>
                </w:p>
              </w:tc>
              <w:tc>
                <w:tcPr>
                  <w:tcW w:w="992" w:type="dxa"/>
                  <w:vAlign w:val="center"/>
                </w:tcPr>
                <w:p>
                  <w:pPr>
                    <w:pStyle w:val="68"/>
                    <w:spacing w:line="340" w:lineRule="exact"/>
                  </w:pPr>
                  <w:r>
                    <w:t>每年1次</w:t>
                  </w:r>
                </w:p>
              </w:tc>
              <w:tc>
                <w:tcPr>
                  <w:tcW w:w="2308" w:type="dxa"/>
                  <w:vAlign w:val="center"/>
                </w:tcPr>
                <w:p>
                  <w:pPr>
                    <w:pStyle w:val="68"/>
                    <w:spacing w:line="340" w:lineRule="exact"/>
                  </w:pPr>
                  <w:r>
                    <w:rPr>
                      <w:rFonts w:hint="eastAsia"/>
                    </w:rPr>
                    <w:t>《污水综合排放标准》（GB8978-1996）三级标准及偃师区第三污水处理厂进水水质要求</w:t>
                  </w:r>
                </w:p>
              </w:tc>
            </w:tr>
          </w:tbl>
          <w:p>
            <w:pPr>
              <w:pStyle w:val="51"/>
              <w:ind w:firstLine="0" w:firstLineChars="0"/>
            </w:pPr>
          </w:p>
        </w:tc>
      </w:tr>
    </w:tbl>
    <w:p>
      <w:pPr>
        <w:pStyle w:val="51"/>
        <w:ind w:firstLine="0" w:firstLineChars="0"/>
        <w:rPr>
          <w:b/>
          <w:bCs/>
        </w:rPr>
        <w:sectPr>
          <w:pgSz w:w="11907" w:h="16840"/>
          <w:pgMar w:top="1701" w:right="1531" w:bottom="2127" w:left="1531" w:header="851" w:footer="851" w:gutter="0"/>
          <w:cols w:space="720" w:num="1"/>
          <w:docGrid w:linePitch="312" w:charSpace="0"/>
        </w:sectPr>
      </w:pPr>
    </w:p>
    <w:tbl>
      <w:tblPr>
        <w:tblStyle w:val="22"/>
        <w:tblW w:w="508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3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17" w:hRule="atLeast"/>
          <w:jc w:val="center"/>
        </w:trPr>
        <w:tc>
          <w:tcPr>
            <w:tcW w:w="5000" w:type="pct"/>
            <w:tcMar>
              <w:left w:w="28" w:type="dxa"/>
              <w:right w:w="28" w:type="dxa"/>
            </w:tcMar>
            <w:vAlign w:val="center"/>
          </w:tcPr>
          <w:p>
            <w:pPr>
              <w:pStyle w:val="99"/>
              <w:spacing w:line="440" w:lineRule="exact"/>
              <w:ind w:firstLine="0" w:firstLineChars="0"/>
            </w:pPr>
            <w:r>
              <w:t>3、噪声</w:t>
            </w:r>
          </w:p>
          <w:p>
            <w:pPr>
              <w:pStyle w:val="51"/>
              <w:spacing w:line="440" w:lineRule="exact"/>
              <w:ind w:firstLine="0" w:firstLineChars="0"/>
            </w:pPr>
            <w:r>
              <w:t>3.1源强</w:t>
            </w:r>
          </w:p>
          <w:p>
            <w:pPr>
              <w:pStyle w:val="51"/>
              <w:spacing w:line="440" w:lineRule="exact"/>
              <w:ind w:firstLine="480"/>
            </w:pPr>
            <w:r>
              <w:t>项目运营期高噪声设备</w:t>
            </w:r>
            <w:r>
              <w:rPr>
                <w:rFonts w:hint="eastAsia"/>
              </w:rPr>
              <w:t>打包机、织吊带机、缝纫机</w:t>
            </w:r>
            <w:r>
              <w:t>和风机等机械设备，具体噪声产排情况见表</w:t>
            </w:r>
            <w:r>
              <w:rPr>
                <w:rFonts w:hint="eastAsia"/>
              </w:rPr>
              <w:t>41</w:t>
            </w:r>
            <w:r>
              <w:t>。</w:t>
            </w:r>
          </w:p>
          <w:p>
            <w:pPr>
              <w:pStyle w:val="53"/>
              <w:spacing w:line="440" w:lineRule="exact"/>
              <w:ind w:firstLine="480"/>
              <w:rPr>
                <w:szCs w:val="21"/>
              </w:rPr>
            </w:pPr>
            <w:r>
              <w:rPr>
                <w:szCs w:val="21"/>
              </w:rPr>
              <w:t>表</w:t>
            </w:r>
            <w:r>
              <w:rPr>
                <w:rFonts w:hint="eastAsia"/>
              </w:rPr>
              <w:t>41</w:t>
            </w:r>
            <w:r>
              <w:t xml:space="preserve">                               </w:t>
            </w:r>
            <w:r>
              <w:rPr>
                <w:szCs w:val="21"/>
              </w:rPr>
              <w:tab/>
            </w:r>
            <w:r>
              <w:rPr>
                <w:szCs w:val="21"/>
              </w:rPr>
              <w:t>工业企业噪声源强调查清单（室外声源）</w:t>
            </w:r>
          </w:p>
          <w:tbl>
            <w:tblPr>
              <w:tblStyle w:val="22"/>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71"/>
              <w:gridCol w:w="1263"/>
              <w:gridCol w:w="1671"/>
              <w:gridCol w:w="646"/>
              <w:gridCol w:w="532"/>
              <w:gridCol w:w="511"/>
              <w:gridCol w:w="3922"/>
              <w:gridCol w:w="1650"/>
              <w:gridCol w:w="1448"/>
              <w:gridCol w:w="11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178" w:type="pct"/>
                  <w:vMerge w:val="restart"/>
                  <w:vAlign w:val="center"/>
                </w:tcPr>
                <w:p>
                  <w:pPr>
                    <w:pStyle w:val="62"/>
                    <w:spacing w:line="320" w:lineRule="exact"/>
                    <w:rPr>
                      <w:sz w:val="21"/>
                      <w:szCs w:val="21"/>
                    </w:rPr>
                  </w:pPr>
                  <w:r>
                    <w:rPr>
                      <w:sz w:val="21"/>
                      <w:szCs w:val="21"/>
                    </w:rPr>
                    <w:t>序号</w:t>
                  </w:r>
                </w:p>
              </w:tc>
              <w:tc>
                <w:tcPr>
                  <w:tcW w:w="477" w:type="pct"/>
                  <w:vMerge w:val="restart"/>
                  <w:vAlign w:val="center"/>
                </w:tcPr>
                <w:p>
                  <w:pPr>
                    <w:pStyle w:val="62"/>
                    <w:spacing w:line="320" w:lineRule="exact"/>
                    <w:rPr>
                      <w:sz w:val="21"/>
                      <w:szCs w:val="21"/>
                    </w:rPr>
                  </w:pPr>
                  <w:r>
                    <w:rPr>
                      <w:sz w:val="21"/>
                      <w:szCs w:val="21"/>
                    </w:rPr>
                    <w:t>声源名称</w:t>
                  </w:r>
                </w:p>
              </w:tc>
              <w:tc>
                <w:tcPr>
                  <w:tcW w:w="631" w:type="pct"/>
                  <w:vMerge w:val="restart"/>
                  <w:vAlign w:val="center"/>
                </w:tcPr>
                <w:p>
                  <w:pPr>
                    <w:pStyle w:val="62"/>
                    <w:spacing w:line="320" w:lineRule="exact"/>
                    <w:rPr>
                      <w:sz w:val="21"/>
                      <w:szCs w:val="21"/>
                    </w:rPr>
                  </w:pPr>
                  <w:r>
                    <w:rPr>
                      <w:sz w:val="21"/>
                      <w:szCs w:val="21"/>
                    </w:rPr>
                    <w:t>型号</w:t>
                  </w:r>
                </w:p>
              </w:tc>
              <w:tc>
                <w:tcPr>
                  <w:tcW w:w="638" w:type="pct"/>
                  <w:gridSpan w:val="3"/>
                  <w:vAlign w:val="center"/>
                </w:tcPr>
                <w:p>
                  <w:pPr>
                    <w:pStyle w:val="62"/>
                    <w:spacing w:line="320" w:lineRule="exact"/>
                    <w:rPr>
                      <w:sz w:val="21"/>
                      <w:szCs w:val="21"/>
                    </w:rPr>
                  </w:pPr>
                  <w:r>
                    <w:rPr>
                      <w:sz w:val="21"/>
                      <w:szCs w:val="21"/>
                    </w:rPr>
                    <w:t>空间相对位置/m</w:t>
                  </w:r>
                </w:p>
              </w:tc>
              <w:tc>
                <w:tcPr>
                  <w:tcW w:w="2104" w:type="pct"/>
                  <w:gridSpan w:val="2"/>
                  <w:vAlign w:val="center"/>
                </w:tcPr>
                <w:p>
                  <w:pPr>
                    <w:pStyle w:val="62"/>
                    <w:spacing w:line="320" w:lineRule="exact"/>
                    <w:rPr>
                      <w:sz w:val="21"/>
                      <w:szCs w:val="21"/>
                    </w:rPr>
                  </w:pPr>
                  <w:r>
                    <w:rPr>
                      <w:sz w:val="21"/>
                      <w:szCs w:val="21"/>
                    </w:rPr>
                    <w:t>声源源强（任选一种）</w:t>
                  </w:r>
                </w:p>
              </w:tc>
              <w:tc>
                <w:tcPr>
                  <w:tcW w:w="547" w:type="pct"/>
                  <w:vMerge w:val="restart"/>
                  <w:vAlign w:val="center"/>
                </w:tcPr>
                <w:p>
                  <w:pPr>
                    <w:pStyle w:val="62"/>
                    <w:spacing w:line="320" w:lineRule="exact"/>
                    <w:rPr>
                      <w:sz w:val="21"/>
                      <w:szCs w:val="21"/>
                    </w:rPr>
                  </w:pPr>
                  <w:r>
                    <w:rPr>
                      <w:sz w:val="21"/>
                      <w:szCs w:val="21"/>
                    </w:rPr>
                    <w:t>声源控制措施</w:t>
                  </w:r>
                </w:p>
              </w:tc>
              <w:tc>
                <w:tcPr>
                  <w:tcW w:w="425" w:type="pct"/>
                  <w:vMerge w:val="restart"/>
                  <w:vAlign w:val="center"/>
                </w:tcPr>
                <w:p>
                  <w:pPr>
                    <w:pStyle w:val="62"/>
                    <w:spacing w:line="320" w:lineRule="exact"/>
                    <w:rPr>
                      <w:sz w:val="21"/>
                      <w:szCs w:val="21"/>
                    </w:rPr>
                  </w:pPr>
                  <w:r>
                    <w:rPr>
                      <w:sz w:val="21"/>
                      <w:szCs w:val="21"/>
                    </w:rPr>
                    <w:t>运行时段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178" w:type="pct"/>
                  <w:vMerge w:val="continue"/>
                  <w:vAlign w:val="center"/>
                </w:tcPr>
                <w:p>
                  <w:pPr>
                    <w:pStyle w:val="62"/>
                    <w:spacing w:line="320" w:lineRule="exact"/>
                    <w:rPr>
                      <w:sz w:val="21"/>
                      <w:szCs w:val="21"/>
                    </w:rPr>
                  </w:pPr>
                </w:p>
              </w:tc>
              <w:tc>
                <w:tcPr>
                  <w:tcW w:w="477" w:type="pct"/>
                  <w:vMerge w:val="continue"/>
                  <w:vAlign w:val="center"/>
                </w:tcPr>
                <w:p>
                  <w:pPr>
                    <w:pStyle w:val="62"/>
                    <w:spacing w:line="320" w:lineRule="exact"/>
                    <w:rPr>
                      <w:sz w:val="21"/>
                      <w:szCs w:val="21"/>
                    </w:rPr>
                  </w:pPr>
                </w:p>
              </w:tc>
              <w:tc>
                <w:tcPr>
                  <w:tcW w:w="631" w:type="pct"/>
                  <w:vMerge w:val="continue"/>
                  <w:vAlign w:val="center"/>
                </w:tcPr>
                <w:p>
                  <w:pPr>
                    <w:pStyle w:val="62"/>
                    <w:spacing w:line="320" w:lineRule="exact"/>
                    <w:rPr>
                      <w:sz w:val="21"/>
                      <w:szCs w:val="21"/>
                    </w:rPr>
                  </w:pPr>
                </w:p>
              </w:tc>
              <w:tc>
                <w:tcPr>
                  <w:tcW w:w="244" w:type="pct"/>
                  <w:vAlign w:val="center"/>
                </w:tcPr>
                <w:p>
                  <w:pPr>
                    <w:pStyle w:val="62"/>
                    <w:spacing w:line="320" w:lineRule="exact"/>
                    <w:rPr>
                      <w:i/>
                      <w:sz w:val="21"/>
                      <w:szCs w:val="21"/>
                    </w:rPr>
                  </w:pPr>
                  <w:r>
                    <w:rPr>
                      <w:i/>
                      <w:sz w:val="21"/>
                      <w:szCs w:val="21"/>
                    </w:rPr>
                    <w:t>X</w:t>
                  </w:r>
                </w:p>
              </w:tc>
              <w:tc>
                <w:tcPr>
                  <w:tcW w:w="201" w:type="pct"/>
                  <w:vAlign w:val="center"/>
                </w:tcPr>
                <w:p>
                  <w:pPr>
                    <w:pStyle w:val="62"/>
                    <w:spacing w:line="320" w:lineRule="exact"/>
                    <w:rPr>
                      <w:i/>
                      <w:sz w:val="21"/>
                      <w:szCs w:val="21"/>
                    </w:rPr>
                  </w:pPr>
                  <w:r>
                    <w:rPr>
                      <w:i/>
                      <w:sz w:val="21"/>
                      <w:szCs w:val="21"/>
                    </w:rPr>
                    <w:t>Y</w:t>
                  </w:r>
                </w:p>
              </w:tc>
              <w:tc>
                <w:tcPr>
                  <w:tcW w:w="193" w:type="pct"/>
                  <w:vAlign w:val="center"/>
                </w:tcPr>
                <w:p>
                  <w:pPr>
                    <w:pStyle w:val="62"/>
                    <w:spacing w:line="320" w:lineRule="exact"/>
                    <w:rPr>
                      <w:i/>
                      <w:sz w:val="21"/>
                      <w:szCs w:val="21"/>
                    </w:rPr>
                  </w:pPr>
                  <w:r>
                    <w:rPr>
                      <w:i/>
                      <w:sz w:val="21"/>
                      <w:szCs w:val="21"/>
                    </w:rPr>
                    <w:t>Z</w:t>
                  </w:r>
                </w:p>
              </w:tc>
              <w:tc>
                <w:tcPr>
                  <w:tcW w:w="1481" w:type="pct"/>
                  <w:vAlign w:val="center"/>
                </w:tcPr>
                <w:p>
                  <w:pPr>
                    <w:pStyle w:val="62"/>
                    <w:spacing w:line="320" w:lineRule="exact"/>
                    <w:rPr>
                      <w:sz w:val="21"/>
                      <w:szCs w:val="21"/>
                    </w:rPr>
                  </w:pPr>
                  <w:r>
                    <w:rPr>
                      <w:sz w:val="21"/>
                      <w:szCs w:val="21"/>
                    </w:rPr>
                    <w:t>（声压级/距声源距离）/（dB(A)/m）</w:t>
                  </w:r>
                </w:p>
              </w:tc>
              <w:tc>
                <w:tcPr>
                  <w:tcW w:w="623" w:type="pct"/>
                  <w:vAlign w:val="center"/>
                </w:tcPr>
                <w:p>
                  <w:pPr>
                    <w:pStyle w:val="62"/>
                    <w:spacing w:line="320" w:lineRule="exact"/>
                    <w:rPr>
                      <w:sz w:val="21"/>
                      <w:szCs w:val="21"/>
                    </w:rPr>
                  </w:pPr>
                  <w:r>
                    <w:rPr>
                      <w:sz w:val="21"/>
                      <w:szCs w:val="21"/>
                    </w:rPr>
                    <w:t>声功率级/dB(A)</w:t>
                  </w:r>
                </w:p>
              </w:tc>
              <w:tc>
                <w:tcPr>
                  <w:tcW w:w="547" w:type="pct"/>
                  <w:vMerge w:val="continue"/>
                  <w:vAlign w:val="center"/>
                </w:tcPr>
                <w:p>
                  <w:pPr>
                    <w:pStyle w:val="62"/>
                    <w:spacing w:line="320" w:lineRule="exact"/>
                    <w:rPr>
                      <w:sz w:val="21"/>
                      <w:szCs w:val="21"/>
                    </w:rPr>
                  </w:pPr>
                </w:p>
              </w:tc>
              <w:tc>
                <w:tcPr>
                  <w:tcW w:w="425" w:type="pct"/>
                  <w:vMerge w:val="continue"/>
                  <w:vAlign w:val="center"/>
                </w:tcPr>
                <w:p>
                  <w:pPr>
                    <w:pStyle w:val="62"/>
                    <w:spacing w:line="320" w:lineRule="exact"/>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178" w:type="pct"/>
                  <w:vAlign w:val="center"/>
                </w:tcPr>
                <w:p>
                  <w:pPr>
                    <w:pStyle w:val="62"/>
                    <w:spacing w:line="320" w:lineRule="exact"/>
                    <w:rPr>
                      <w:sz w:val="21"/>
                      <w:szCs w:val="21"/>
                    </w:rPr>
                  </w:pPr>
                  <w:r>
                    <w:rPr>
                      <w:rFonts w:hint="eastAsia"/>
                      <w:sz w:val="21"/>
                      <w:szCs w:val="21"/>
                    </w:rPr>
                    <w:t>1</w:t>
                  </w:r>
                </w:p>
              </w:tc>
              <w:tc>
                <w:tcPr>
                  <w:tcW w:w="477" w:type="pct"/>
                  <w:vAlign w:val="center"/>
                </w:tcPr>
                <w:p>
                  <w:pPr>
                    <w:pStyle w:val="62"/>
                    <w:spacing w:line="320" w:lineRule="exact"/>
                    <w:rPr>
                      <w:sz w:val="21"/>
                      <w:szCs w:val="21"/>
                    </w:rPr>
                  </w:pPr>
                  <w:r>
                    <w:rPr>
                      <w:rFonts w:hint="eastAsia"/>
                      <w:sz w:val="21"/>
                      <w:szCs w:val="21"/>
                    </w:rPr>
                    <w:t>风机</w:t>
                  </w:r>
                </w:p>
              </w:tc>
              <w:tc>
                <w:tcPr>
                  <w:tcW w:w="631" w:type="pct"/>
                  <w:vAlign w:val="center"/>
                </w:tcPr>
                <w:p>
                  <w:pPr>
                    <w:pStyle w:val="62"/>
                    <w:spacing w:line="320" w:lineRule="exact"/>
                    <w:rPr>
                      <w:sz w:val="21"/>
                      <w:szCs w:val="21"/>
                    </w:rPr>
                  </w:pPr>
                  <w:r>
                    <w:rPr>
                      <w:rFonts w:hint="eastAsia"/>
                      <w:sz w:val="21"/>
                      <w:szCs w:val="21"/>
                    </w:rPr>
                    <w:t>16000m</w:t>
                  </w:r>
                  <w:r>
                    <w:rPr>
                      <w:rFonts w:hint="eastAsia"/>
                      <w:sz w:val="21"/>
                      <w:szCs w:val="21"/>
                      <w:vertAlign w:val="superscript"/>
                    </w:rPr>
                    <w:t>3</w:t>
                  </w:r>
                  <w:r>
                    <w:rPr>
                      <w:rFonts w:hint="eastAsia"/>
                      <w:sz w:val="21"/>
                      <w:szCs w:val="21"/>
                    </w:rPr>
                    <w:t>/h</w:t>
                  </w:r>
                </w:p>
              </w:tc>
              <w:tc>
                <w:tcPr>
                  <w:tcW w:w="244" w:type="pct"/>
                  <w:vAlign w:val="center"/>
                </w:tcPr>
                <w:p>
                  <w:pPr>
                    <w:pStyle w:val="62"/>
                    <w:spacing w:line="320" w:lineRule="exact"/>
                    <w:rPr>
                      <w:sz w:val="21"/>
                      <w:szCs w:val="21"/>
                    </w:rPr>
                  </w:pPr>
                  <w:r>
                    <w:rPr>
                      <w:rFonts w:hint="eastAsia"/>
                      <w:sz w:val="21"/>
                      <w:szCs w:val="21"/>
                    </w:rPr>
                    <w:t>20</w:t>
                  </w:r>
                </w:p>
              </w:tc>
              <w:tc>
                <w:tcPr>
                  <w:tcW w:w="201" w:type="pct"/>
                  <w:vAlign w:val="center"/>
                </w:tcPr>
                <w:p>
                  <w:pPr>
                    <w:pStyle w:val="62"/>
                    <w:spacing w:line="320" w:lineRule="exact"/>
                    <w:rPr>
                      <w:sz w:val="21"/>
                      <w:szCs w:val="21"/>
                    </w:rPr>
                  </w:pPr>
                  <w:r>
                    <w:rPr>
                      <w:rFonts w:hint="eastAsia"/>
                      <w:sz w:val="21"/>
                      <w:szCs w:val="21"/>
                    </w:rPr>
                    <w:t>80</w:t>
                  </w:r>
                </w:p>
              </w:tc>
              <w:tc>
                <w:tcPr>
                  <w:tcW w:w="193" w:type="pct"/>
                  <w:vAlign w:val="center"/>
                </w:tcPr>
                <w:p>
                  <w:pPr>
                    <w:pStyle w:val="62"/>
                    <w:spacing w:line="320" w:lineRule="exact"/>
                    <w:rPr>
                      <w:sz w:val="21"/>
                      <w:szCs w:val="21"/>
                    </w:rPr>
                  </w:pPr>
                  <w:r>
                    <w:rPr>
                      <w:rFonts w:hint="eastAsia"/>
                      <w:sz w:val="21"/>
                      <w:szCs w:val="21"/>
                    </w:rPr>
                    <w:t>1</w:t>
                  </w:r>
                </w:p>
              </w:tc>
              <w:tc>
                <w:tcPr>
                  <w:tcW w:w="1481" w:type="pct"/>
                  <w:vAlign w:val="center"/>
                </w:tcPr>
                <w:p>
                  <w:pPr>
                    <w:pStyle w:val="62"/>
                    <w:spacing w:line="320" w:lineRule="exact"/>
                    <w:rPr>
                      <w:sz w:val="21"/>
                      <w:szCs w:val="21"/>
                    </w:rPr>
                  </w:pPr>
                  <w:r>
                    <w:rPr>
                      <w:rFonts w:hint="eastAsia"/>
                      <w:sz w:val="21"/>
                      <w:szCs w:val="21"/>
                    </w:rPr>
                    <w:t>/</w:t>
                  </w:r>
                </w:p>
              </w:tc>
              <w:tc>
                <w:tcPr>
                  <w:tcW w:w="623" w:type="pct"/>
                  <w:vAlign w:val="center"/>
                </w:tcPr>
                <w:p>
                  <w:pPr>
                    <w:pStyle w:val="62"/>
                    <w:spacing w:line="320" w:lineRule="exact"/>
                    <w:rPr>
                      <w:sz w:val="21"/>
                      <w:szCs w:val="21"/>
                    </w:rPr>
                  </w:pPr>
                  <w:r>
                    <w:rPr>
                      <w:sz w:val="21"/>
                      <w:szCs w:val="21"/>
                    </w:rPr>
                    <w:t>85</w:t>
                  </w:r>
                </w:p>
              </w:tc>
              <w:tc>
                <w:tcPr>
                  <w:tcW w:w="547" w:type="pct"/>
                  <w:vAlign w:val="center"/>
                </w:tcPr>
                <w:p>
                  <w:pPr>
                    <w:pStyle w:val="62"/>
                    <w:spacing w:line="320" w:lineRule="exact"/>
                    <w:rPr>
                      <w:sz w:val="21"/>
                      <w:szCs w:val="21"/>
                    </w:rPr>
                  </w:pPr>
                  <w:r>
                    <w:rPr>
                      <w:sz w:val="21"/>
                      <w:szCs w:val="21"/>
                    </w:rPr>
                    <w:t>基础减震、距离衰减</w:t>
                  </w:r>
                </w:p>
              </w:tc>
              <w:tc>
                <w:tcPr>
                  <w:tcW w:w="425" w:type="pct"/>
                  <w:vAlign w:val="center"/>
                </w:tcPr>
                <w:p>
                  <w:pPr>
                    <w:pStyle w:val="62"/>
                    <w:spacing w:line="320" w:lineRule="exact"/>
                    <w:rPr>
                      <w:sz w:val="21"/>
                      <w:szCs w:val="21"/>
                    </w:rPr>
                  </w:pPr>
                  <w:r>
                    <w:rPr>
                      <w:sz w:val="21"/>
                      <w:szCs w:val="21"/>
                    </w:rPr>
                    <w:t>8:00~12:00</w:t>
                  </w:r>
                </w:p>
                <w:p>
                  <w:pPr>
                    <w:pStyle w:val="62"/>
                    <w:spacing w:line="320" w:lineRule="exact"/>
                    <w:rPr>
                      <w:sz w:val="21"/>
                      <w:szCs w:val="21"/>
                    </w:rPr>
                  </w:pPr>
                  <w:r>
                    <w:rPr>
                      <w:sz w:val="21"/>
                      <w:szCs w:val="21"/>
                    </w:rPr>
                    <w:t>14:00~18:00</w:t>
                  </w:r>
                </w:p>
              </w:tc>
            </w:tr>
          </w:tbl>
          <w:p>
            <w:pPr>
              <w:pStyle w:val="53"/>
              <w:spacing w:line="440" w:lineRule="exact"/>
              <w:ind w:firstLine="480"/>
            </w:pPr>
            <w:r>
              <w:t>表</w:t>
            </w:r>
            <w:r>
              <w:rPr>
                <w:rFonts w:hint="eastAsia"/>
              </w:rPr>
              <w:t>42</w:t>
            </w:r>
            <w:r>
              <w:t xml:space="preserve">                           </w:t>
            </w:r>
            <w:r>
              <w:tab/>
            </w:r>
            <w:r>
              <w:t>工业企业噪声源强调查清单（室内声源）</w:t>
            </w:r>
          </w:p>
          <w:tbl>
            <w:tblPr>
              <w:tblStyle w:val="22"/>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25"/>
              <w:gridCol w:w="749"/>
              <w:gridCol w:w="993"/>
              <w:gridCol w:w="1170"/>
              <w:gridCol w:w="1263"/>
              <w:gridCol w:w="898"/>
              <w:gridCol w:w="898"/>
              <w:gridCol w:w="429"/>
              <w:gridCol w:w="418"/>
              <w:gridCol w:w="469"/>
              <w:gridCol w:w="530"/>
              <w:gridCol w:w="479"/>
              <w:gridCol w:w="988"/>
              <w:gridCol w:w="1120"/>
              <w:gridCol w:w="882"/>
              <w:gridCol w:w="757"/>
              <w:gridCol w:w="442"/>
              <w:gridCol w:w="5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5" w:type="pct"/>
                  <w:vMerge w:val="restart"/>
                  <w:vAlign w:val="center"/>
                </w:tcPr>
                <w:p>
                  <w:pPr>
                    <w:pStyle w:val="62"/>
                    <w:spacing w:line="320" w:lineRule="exact"/>
                    <w:rPr>
                      <w:b/>
                      <w:sz w:val="21"/>
                      <w:szCs w:val="21"/>
                      <w:u w:val="single"/>
                    </w:rPr>
                  </w:pPr>
                  <w:r>
                    <w:rPr>
                      <w:b/>
                      <w:sz w:val="21"/>
                      <w:szCs w:val="21"/>
                      <w:u w:val="single"/>
                    </w:rPr>
                    <w:t>序号</w:t>
                  </w:r>
                </w:p>
              </w:tc>
              <w:tc>
                <w:tcPr>
                  <w:tcW w:w="283" w:type="pct"/>
                  <w:vMerge w:val="restart"/>
                  <w:vAlign w:val="center"/>
                </w:tcPr>
                <w:p>
                  <w:pPr>
                    <w:pStyle w:val="62"/>
                    <w:spacing w:line="320" w:lineRule="exact"/>
                    <w:rPr>
                      <w:b/>
                      <w:sz w:val="21"/>
                      <w:szCs w:val="21"/>
                      <w:u w:val="single"/>
                    </w:rPr>
                  </w:pPr>
                  <w:r>
                    <w:rPr>
                      <w:b/>
                      <w:sz w:val="21"/>
                      <w:szCs w:val="21"/>
                      <w:u w:val="single"/>
                    </w:rPr>
                    <w:t>建筑物名称</w:t>
                  </w:r>
                </w:p>
              </w:tc>
              <w:tc>
                <w:tcPr>
                  <w:tcW w:w="375" w:type="pct"/>
                  <w:vMerge w:val="restart"/>
                  <w:vAlign w:val="center"/>
                </w:tcPr>
                <w:p>
                  <w:pPr>
                    <w:pStyle w:val="62"/>
                    <w:spacing w:line="320" w:lineRule="exact"/>
                    <w:rPr>
                      <w:b/>
                      <w:sz w:val="21"/>
                      <w:szCs w:val="21"/>
                      <w:u w:val="single"/>
                    </w:rPr>
                  </w:pPr>
                  <w:r>
                    <w:rPr>
                      <w:b/>
                      <w:sz w:val="21"/>
                      <w:szCs w:val="21"/>
                      <w:u w:val="single"/>
                    </w:rPr>
                    <w:t>声源名称</w:t>
                  </w:r>
                </w:p>
              </w:tc>
              <w:tc>
                <w:tcPr>
                  <w:tcW w:w="442" w:type="pct"/>
                  <w:vMerge w:val="restart"/>
                  <w:vAlign w:val="center"/>
                </w:tcPr>
                <w:p>
                  <w:pPr>
                    <w:pStyle w:val="62"/>
                    <w:spacing w:line="320" w:lineRule="exact"/>
                    <w:rPr>
                      <w:b/>
                      <w:sz w:val="21"/>
                      <w:szCs w:val="21"/>
                      <w:u w:val="single"/>
                    </w:rPr>
                  </w:pPr>
                  <w:r>
                    <w:rPr>
                      <w:rFonts w:hint="eastAsia"/>
                      <w:b/>
                      <w:sz w:val="21"/>
                      <w:szCs w:val="21"/>
                      <w:u w:val="single"/>
                    </w:rPr>
                    <w:t>数量（台）</w:t>
                  </w:r>
                </w:p>
              </w:tc>
              <w:tc>
                <w:tcPr>
                  <w:tcW w:w="816" w:type="pct"/>
                  <w:gridSpan w:val="2"/>
                  <w:vAlign w:val="center"/>
                </w:tcPr>
                <w:p>
                  <w:pPr>
                    <w:pStyle w:val="62"/>
                    <w:spacing w:line="320" w:lineRule="exact"/>
                    <w:rPr>
                      <w:b/>
                      <w:sz w:val="21"/>
                      <w:szCs w:val="21"/>
                      <w:u w:val="single"/>
                    </w:rPr>
                  </w:pPr>
                  <w:r>
                    <w:rPr>
                      <w:b/>
                      <w:sz w:val="21"/>
                      <w:szCs w:val="21"/>
                      <w:u w:val="single"/>
                    </w:rPr>
                    <w:t>声源源强（任选一种）</w:t>
                  </w:r>
                </w:p>
              </w:tc>
              <w:tc>
                <w:tcPr>
                  <w:tcW w:w="339" w:type="pct"/>
                  <w:vMerge w:val="restart"/>
                  <w:vAlign w:val="center"/>
                </w:tcPr>
                <w:p>
                  <w:pPr>
                    <w:pStyle w:val="62"/>
                    <w:spacing w:line="320" w:lineRule="exact"/>
                    <w:rPr>
                      <w:b/>
                      <w:sz w:val="21"/>
                      <w:szCs w:val="21"/>
                      <w:u w:val="single"/>
                    </w:rPr>
                  </w:pPr>
                  <w:r>
                    <w:rPr>
                      <w:b/>
                      <w:sz w:val="21"/>
                      <w:szCs w:val="21"/>
                      <w:u w:val="single"/>
                    </w:rPr>
                    <w:t>声源控制措施</w:t>
                  </w:r>
                </w:p>
              </w:tc>
              <w:tc>
                <w:tcPr>
                  <w:tcW w:w="497" w:type="pct"/>
                  <w:gridSpan w:val="3"/>
                  <w:vMerge w:val="restart"/>
                  <w:vAlign w:val="center"/>
                </w:tcPr>
                <w:p>
                  <w:pPr>
                    <w:pStyle w:val="62"/>
                    <w:spacing w:line="320" w:lineRule="exact"/>
                    <w:rPr>
                      <w:b/>
                      <w:sz w:val="21"/>
                      <w:szCs w:val="21"/>
                      <w:u w:val="single"/>
                    </w:rPr>
                  </w:pPr>
                  <w:r>
                    <w:rPr>
                      <w:b/>
                      <w:sz w:val="21"/>
                      <w:szCs w:val="21"/>
                      <w:u w:val="single"/>
                    </w:rPr>
                    <w:t>空间相对位置/m</w:t>
                  </w:r>
                </w:p>
              </w:tc>
              <w:tc>
                <w:tcPr>
                  <w:tcW w:w="381" w:type="pct"/>
                  <w:gridSpan w:val="2"/>
                  <w:vMerge w:val="restart"/>
                  <w:vAlign w:val="center"/>
                </w:tcPr>
                <w:p>
                  <w:pPr>
                    <w:pStyle w:val="62"/>
                    <w:spacing w:line="320" w:lineRule="exact"/>
                    <w:rPr>
                      <w:b/>
                      <w:sz w:val="21"/>
                      <w:szCs w:val="21"/>
                      <w:u w:val="single"/>
                    </w:rPr>
                  </w:pPr>
                  <w:r>
                    <w:rPr>
                      <w:b/>
                      <w:sz w:val="21"/>
                      <w:szCs w:val="21"/>
                      <w:u w:val="single"/>
                    </w:rPr>
                    <w:t>距室内边界距离/m</w:t>
                  </w:r>
                </w:p>
              </w:tc>
              <w:tc>
                <w:tcPr>
                  <w:tcW w:w="373" w:type="pct"/>
                  <w:vMerge w:val="restart"/>
                  <w:vAlign w:val="center"/>
                </w:tcPr>
                <w:p>
                  <w:pPr>
                    <w:pStyle w:val="62"/>
                    <w:spacing w:line="320" w:lineRule="exact"/>
                    <w:rPr>
                      <w:b/>
                      <w:sz w:val="21"/>
                      <w:szCs w:val="21"/>
                      <w:u w:val="single"/>
                    </w:rPr>
                  </w:pPr>
                  <w:r>
                    <w:rPr>
                      <w:b/>
                      <w:spacing w:val="-5"/>
                      <w:sz w:val="21"/>
                      <w:szCs w:val="21"/>
                      <w:u w:val="single"/>
                    </w:rPr>
                    <w:t>室内边界</w:t>
                  </w:r>
                  <w:r>
                    <w:rPr>
                      <w:b/>
                      <w:sz w:val="21"/>
                      <w:szCs w:val="21"/>
                      <w:u w:val="single"/>
                    </w:rPr>
                    <w:t>声级</w:t>
                  </w:r>
                </w:p>
                <w:p>
                  <w:pPr>
                    <w:pStyle w:val="62"/>
                    <w:spacing w:line="320" w:lineRule="exact"/>
                    <w:rPr>
                      <w:b/>
                      <w:sz w:val="21"/>
                      <w:szCs w:val="21"/>
                      <w:u w:val="single"/>
                    </w:rPr>
                  </w:pPr>
                  <w:r>
                    <w:rPr>
                      <w:b/>
                      <w:sz w:val="21"/>
                      <w:szCs w:val="21"/>
                      <w:u w:val="single"/>
                    </w:rPr>
                    <w:t>/dB(A)</w:t>
                  </w:r>
                </w:p>
              </w:tc>
              <w:tc>
                <w:tcPr>
                  <w:tcW w:w="423" w:type="pct"/>
                  <w:vMerge w:val="restart"/>
                  <w:vAlign w:val="center"/>
                </w:tcPr>
                <w:p>
                  <w:pPr>
                    <w:pStyle w:val="62"/>
                    <w:spacing w:line="320" w:lineRule="exact"/>
                    <w:rPr>
                      <w:b/>
                      <w:sz w:val="21"/>
                      <w:szCs w:val="21"/>
                      <w:u w:val="single"/>
                    </w:rPr>
                  </w:pPr>
                  <w:r>
                    <w:rPr>
                      <w:b/>
                      <w:sz w:val="21"/>
                      <w:szCs w:val="21"/>
                      <w:u w:val="single"/>
                    </w:rPr>
                    <w:t>运行时段</w:t>
                  </w:r>
                </w:p>
              </w:tc>
              <w:tc>
                <w:tcPr>
                  <w:tcW w:w="333" w:type="pct"/>
                  <w:vMerge w:val="restart"/>
                  <w:vAlign w:val="center"/>
                </w:tcPr>
                <w:p>
                  <w:pPr>
                    <w:pStyle w:val="62"/>
                    <w:spacing w:line="320" w:lineRule="exact"/>
                    <w:rPr>
                      <w:b/>
                      <w:sz w:val="21"/>
                      <w:szCs w:val="21"/>
                      <w:u w:val="single"/>
                    </w:rPr>
                  </w:pPr>
                  <w:r>
                    <w:rPr>
                      <w:b/>
                      <w:sz w:val="21"/>
                      <w:szCs w:val="21"/>
                      <w:u w:val="single"/>
                    </w:rPr>
                    <w:t>建筑物插入损失 / dB(A)</w:t>
                  </w:r>
                </w:p>
              </w:tc>
              <w:tc>
                <w:tcPr>
                  <w:tcW w:w="653" w:type="pct"/>
                  <w:gridSpan w:val="3"/>
                  <w:vAlign w:val="center"/>
                </w:tcPr>
                <w:p>
                  <w:pPr>
                    <w:pStyle w:val="62"/>
                    <w:spacing w:line="320" w:lineRule="exact"/>
                    <w:rPr>
                      <w:b/>
                      <w:sz w:val="21"/>
                      <w:szCs w:val="21"/>
                      <w:u w:val="single"/>
                    </w:rPr>
                  </w:pPr>
                  <w:r>
                    <w:rPr>
                      <w:b/>
                      <w:sz w:val="21"/>
                      <w:szCs w:val="21"/>
                      <w:u w:val="single"/>
                    </w:rPr>
                    <w:t>建筑物外噪声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5" w:type="pct"/>
                  <w:vMerge w:val="continue"/>
                  <w:vAlign w:val="center"/>
                </w:tcPr>
                <w:p>
                  <w:pPr>
                    <w:pStyle w:val="62"/>
                    <w:spacing w:line="320" w:lineRule="exact"/>
                    <w:rPr>
                      <w:b/>
                      <w:sz w:val="21"/>
                      <w:szCs w:val="21"/>
                      <w:u w:val="single"/>
                    </w:rPr>
                  </w:pPr>
                </w:p>
              </w:tc>
              <w:tc>
                <w:tcPr>
                  <w:tcW w:w="283" w:type="pct"/>
                  <w:vMerge w:val="continue"/>
                  <w:vAlign w:val="center"/>
                </w:tcPr>
                <w:p>
                  <w:pPr>
                    <w:pStyle w:val="62"/>
                    <w:spacing w:line="320" w:lineRule="exact"/>
                    <w:rPr>
                      <w:b/>
                      <w:sz w:val="21"/>
                      <w:szCs w:val="21"/>
                      <w:u w:val="single"/>
                    </w:rPr>
                  </w:pPr>
                </w:p>
              </w:tc>
              <w:tc>
                <w:tcPr>
                  <w:tcW w:w="375" w:type="pct"/>
                  <w:vMerge w:val="continue"/>
                  <w:vAlign w:val="center"/>
                </w:tcPr>
                <w:p>
                  <w:pPr>
                    <w:pStyle w:val="62"/>
                    <w:spacing w:line="320" w:lineRule="exact"/>
                    <w:rPr>
                      <w:b/>
                      <w:sz w:val="21"/>
                      <w:szCs w:val="21"/>
                      <w:u w:val="single"/>
                    </w:rPr>
                  </w:pPr>
                </w:p>
              </w:tc>
              <w:tc>
                <w:tcPr>
                  <w:tcW w:w="442" w:type="pct"/>
                  <w:vMerge w:val="continue"/>
                  <w:vAlign w:val="center"/>
                </w:tcPr>
                <w:p>
                  <w:pPr>
                    <w:pStyle w:val="62"/>
                    <w:spacing w:line="320" w:lineRule="exact"/>
                    <w:rPr>
                      <w:b/>
                      <w:sz w:val="21"/>
                      <w:szCs w:val="21"/>
                      <w:u w:val="single"/>
                    </w:rPr>
                  </w:pPr>
                </w:p>
              </w:tc>
              <w:tc>
                <w:tcPr>
                  <w:tcW w:w="477" w:type="pct"/>
                  <w:vMerge w:val="restart"/>
                  <w:vAlign w:val="center"/>
                </w:tcPr>
                <w:p>
                  <w:pPr>
                    <w:pStyle w:val="62"/>
                    <w:spacing w:line="320" w:lineRule="exact"/>
                    <w:rPr>
                      <w:b/>
                      <w:sz w:val="21"/>
                      <w:szCs w:val="21"/>
                      <w:u w:val="single"/>
                    </w:rPr>
                  </w:pPr>
                  <w:r>
                    <w:rPr>
                      <w:b/>
                      <w:sz w:val="21"/>
                      <w:szCs w:val="21"/>
                      <w:u w:val="single"/>
                    </w:rPr>
                    <w:t>（声压级/距声源距离</w:t>
                  </w:r>
                  <w:r>
                    <w:rPr>
                      <w:b/>
                      <w:spacing w:val="-10"/>
                      <w:sz w:val="21"/>
                      <w:szCs w:val="21"/>
                      <w:u w:val="single"/>
                    </w:rPr>
                    <w:t>）/（dB(A)/m）</w:t>
                  </w:r>
                </w:p>
              </w:tc>
              <w:tc>
                <w:tcPr>
                  <w:tcW w:w="339" w:type="pct"/>
                  <w:vMerge w:val="restart"/>
                  <w:vAlign w:val="center"/>
                </w:tcPr>
                <w:p>
                  <w:pPr>
                    <w:pStyle w:val="62"/>
                    <w:spacing w:line="320" w:lineRule="exact"/>
                    <w:rPr>
                      <w:b/>
                      <w:sz w:val="21"/>
                      <w:szCs w:val="21"/>
                      <w:u w:val="single"/>
                    </w:rPr>
                  </w:pPr>
                  <w:r>
                    <w:rPr>
                      <w:b/>
                      <w:sz w:val="21"/>
                      <w:szCs w:val="21"/>
                      <w:u w:val="single"/>
                    </w:rPr>
                    <w:t>声功率级</w:t>
                  </w:r>
                </w:p>
                <w:p>
                  <w:pPr>
                    <w:pStyle w:val="62"/>
                    <w:spacing w:line="320" w:lineRule="exact"/>
                    <w:rPr>
                      <w:b/>
                      <w:sz w:val="21"/>
                      <w:szCs w:val="21"/>
                      <w:u w:val="single"/>
                    </w:rPr>
                  </w:pPr>
                  <w:r>
                    <w:rPr>
                      <w:b/>
                      <w:sz w:val="21"/>
                      <w:szCs w:val="21"/>
                      <w:u w:val="single"/>
                    </w:rPr>
                    <w:t>/dB(A)</w:t>
                  </w:r>
                </w:p>
              </w:tc>
              <w:tc>
                <w:tcPr>
                  <w:tcW w:w="339" w:type="pct"/>
                  <w:vMerge w:val="continue"/>
                  <w:vAlign w:val="center"/>
                </w:tcPr>
                <w:p>
                  <w:pPr>
                    <w:pStyle w:val="62"/>
                    <w:spacing w:line="320" w:lineRule="exact"/>
                    <w:rPr>
                      <w:b/>
                      <w:sz w:val="21"/>
                      <w:szCs w:val="21"/>
                      <w:u w:val="single"/>
                    </w:rPr>
                  </w:pPr>
                </w:p>
              </w:tc>
              <w:tc>
                <w:tcPr>
                  <w:tcW w:w="497" w:type="pct"/>
                  <w:gridSpan w:val="3"/>
                  <w:vMerge w:val="continue"/>
                  <w:vAlign w:val="center"/>
                </w:tcPr>
                <w:p>
                  <w:pPr>
                    <w:pStyle w:val="62"/>
                    <w:spacing w:line="320" w:lineRule="exact"/>
                    <w:rPr>
                      <w:b/>
                      <w:sz w:val="21"/>
                      <w:szCs w:val="21"/>
                      <w:u w:val="single"/>
                    </w:rPr>
                  </w:pPr>
                </w:p>
              </w:tc>
              <w:tc>
                <w:tcPr>
                  <w:tcW w:w="381" w:type="pct"/>
                  <w:gridSpan w:val="2"/>
                  <w:vMerge w:val="continue"/>
                  <w:vAlign w:val="center"/>
                </w:tcPr>
                <w:p>
                  <w:pPr>
                    <w:pStyle w:val="62"/>
                    <w:spacing w:line="320" w:lineRule="exact"/>
                    <w:rPr>
                      <w:b/>
                      <w:sz w:val="21"/>
                      <w:szCs w:val="21"/>
                      <w:u w:val="single"/>
                    </w:rPr>
                  </w:pPr>
                </w:p>
              </w:tc>
              <w:tc>
                <w:tcPr>
                  <w:tcW w:w="373" w:type="pct"/>
                  <w:vMerge w:val="continue"/>
                  <w:vAlign w:val="center"/>
                </w:tcPr>
                <w:p>
                  <w:pPr>
                    <w:pStyle w:val="62"/>
                    <w:spacing w:line="320" w:lineRule="exact"/>
                    <w:rPr>
                      <w:b/>
                      <w:spacing w:val="-5"/>
                      <w:sz w:val="21"/>
                      <w:szCs w:val="21"/>
                      <w:u w:val="single"/>
                    </w:rPr>
                  </w:pPr>
                </w:p>
              </w:tc>
              <w:tc>
                <w:tcPr>
                  <w:tcW w:w="423" w:type="pct"/>
                  <w:vMerge w:val="continue"/>
                  <w:vAlign w:val="center"/>
                </w:tcPr>
                <w:p>
                  <w:pPr>
                    <w:pStyle w:val="62"/>
                    <w:spacing w:line="320" w:lineRule="exact"/>
                    <w:rPr>
                      <w:b/>
                      <w:sz w:val="21"/>
                      <w:szCs w:val="21"/>
                      <w:u w:val="single"/>
                    </w:rPr>
                  </w:pPr>
                </w:p>
              </w:tc>
              <w:tc>
                <w:tcPr>
                  <w:tcW w:w="333" w:type="pct"/>
                  <w:vMerge w:val="continue"/>
                  <w:vAlign w:val="center"/>
                </w:tcPr>
                <w:p>
                  <w:pPr>
                    <w:pStyle w:val="62"/>
                    <w:spacing w:line="320" w:lineRule="exact"/>
                    <w:rPr>
                      <w:b/>
                      <w:sz w:val="21"/>
                      <w:szCs w:val="21"/>
                      <w:u w:val="single"/>
                    </w:rPr>
                  </w:pPr>
                </w:p>
              </w:tc>
              <w:tc>
                <w:tcPr>
                  <w:tcW w:w="286" w:type="pct"/>
                  <w:vMerge w:val="restart"/>
                  <w:vAlign w:val="center"/>
                </w:tcPr>
                <w:p>
                  <w:pPr>
                    <w:pStyle w:val="62"/>
                    <w:spacing w:line="320" w:lineRule="exact"/>
                    <w:rPr>
                      <w:b/>
                      <w:sz w:val="21"/>
                      <w:szCs w:val="21"/>
                      <w:u w:val="single"/>
                    </w:rPr>
                  </w:pPr>
                  <w:r>
                    <w:rPr>
                      <w:b/>
                      <w:sz w:val="21"/>
                      <w:szCs w:val="21"/>
                      <w:u w:val="single"/>
                    </w:rPr>
                    <w:t>声压级</w:t>
                  </w:r>
                </w:p>
                <w:p>
                  <w:pPr>
                    <w:pStyle w:val="62"/>
                    <w:spacing w:line="320" w:lineRule="exact"/>
                    <w:rPr>
                      <w:b/>
                      <w:sz w:val="21"/>
                      <w:szCs w:val="21"/>
                      <w:u w:val="single"/>
                    </w:rPr>
                  </w:pPr>
                  <w:r>
                    <w:rPr>
                      <w:b/>
                      <w:sz w:val="21"/>
                      <w:szCs w:val="21"/>
                      <w:u w:val="single"/>
                    </w:rPr>
                    <w:t>/dB(A)</w:t>
                  </w:r>
                </w:p>
              </w:tc>
              <w:tc>
                <w:tcPr>
                  <w:tcW w:w="367" w:type="pct"/>
                  <w:gridSpan w:val="2"/>
                  <w:vMerge w:val="restart"/>
                  <w:vAlign w:val="center"/>
                </w:tcPr>
                <w:p>
                  <w:pPr>
                    <w:pStyle w:val="62"/>
                    <w:spacing w:line="320" w:lineRule="exact"/>
                    <w:rPr>
                      <w:b/>
                      <w:sz w:val="21"/>
                      <w:szCs w:val="21"/>
                      <w:u w:val="single"/>
                    </w:rPr>
                  </w:pPr>
                  <w:r>
                    <w:rPr>
                      <w:b/>
                      <w:sz w:val="21"/>
                      <w:szCs w:val="21"/>
                      <w:u w:val="single"/>
                    </w:rPr>
                    <w:t>建筑物外距离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85" w:type="pct"/>
                  <w:vMerge w:val="continue"/>
                  <w:vAlign w:val="center"/>
                </w:tcPr>
                <w:p>
                  <w:pPr>
                    <w:pStyle w:val="62"/>
                    <w:spacing w:line="320" w:lineRule="exact"/>
                    <w:rPr>
                      <w:b/>
                      <w:sz w:val="21"/>
                      <w:szCs w:val="21"/>
                      <w:u w:val="single"/>
                    </w:rPr>
                  </w:pPr>
                </w:p>
              </w:tc>
              <w:tc>
                <w:tcPr>
                  <w:tcW w:w="283" w:type="pct"/>
                  <w:vMerge w:val="continue"/>
                  <w:vAlign w:val="center"/>
                </w:tcPr>
                <w:p>
                  <w:pPr>
                    <w:pStyle w:val="62"/>
                    <w:spacing w:line="320" w:lineRule="exact"/>
                    <w:rPr>
                      <w:b/>
                      <w:sz w:val="21"/>
                      <w:szCs w:val="21"/>
                      <w:u w:val="single"/>
                    </w:rPr>
                  </w:pPr>
                </w:p>
              </w:tc>
              <w:tc>
                <w:tcPr>
                  <w:tcW w:w="375" w:type="pct"/>
                  <w:vMerge w:val="continue"/>
                  <w:vAlign w:val="center"/>
                </w:tcPr>
                <w:p>
                  <w:pPr>
                    <w:pStyle w:val="62"/>
                    <w:spacing w:line="320" w:lineRule="exact"/>
                    <w:rPr>
                      <w:b/>
                      <w:sz w:val="21"/>
                      <w:szCs w:val="21"/>
                      <w:u w:val="single"/>
                    </w:rPr>
                  </w:pPr>
                </w:p>
              </w:tc>
              <w:tc>
                <w:tcPr>
                  <w:tcW w:w="442" w:type="pct"/>
                  <w:vMerge w:val="continue"/>
                  <w:vAlign w:val="center"/>
                </w:tcPr>
                <w:p>
                  <w:pPr>
                    <w:pStyle w:val="62"/>
                    <w:spacing w:line="320" w:lineRule="exact"/>
                    <w:rPr>
                      <w:b/>
                      <w:sz w:val="21"/>
                      <w:szCs w:val="21"/>
                      <w:u w:val="single"/>
                    </w:rPr>
                  </w:pPr>
                </w:p>
              </w:tc>
              <w:tc>
                <w:tcPr>
                  <w:tcW w:w="477" w:type="pct"/>
                  <w:vMerge w:val="continue"/>
                  <w:vAlign w:val="center"/>
                </w:tcPr>
                <w:p>
                  <w:pPr>
                    <w:pStyle w:val="62"/>
                    <w:spacing w:line="320" w:lineRule="exact"/>
                    <w:rPr>
                      <w:b/>
                      <w:sz w:val="21"/>
                      <w:szCs w:val="21"/>
                      <w:u w:val="single"/>
                    </w:rPr>
                  </w:pPr>
                </w:p>
              </w:tc>
              <w:tc>
                <w:tcPr>
                  <w:tcW w:w="339" w:type="pct"/>
                  <w:vMerge w:val="continue"/>
                  <w:vAlign w:val="center"/>
                </w:tcPr>
                <w:p>
                  <w:pPr>
                    <w:pStyle w:val="62"/>
                    <w:spacing w:line="320" w:lineRule="exact"/>
                    <w:rPr>
                      <w:b/>
                      <w:sz w:val="21"/>
                      <w:szCs w:val="21"/>
                      <w:u w:val="single"/>
                    </w:rPr>
                  </w:pPr>
                </w:p>
              </w:tc>
              <w:tc>
                <w:tcPr>
                  <w:tcW w:w="339" w:type="pct"/>
                  <w:vMerge w:val="continue"/>
                  <w:vAlign w:val="center"/>
                </w:tcPr>
                <w:p>
                  <w:pPr>
                    <w:pStyle w:val="62"/>
                    <w:spacing w:line="320" w:lineRule="exact"/>
                    <w:rPr>
                      <w:b/>
                      <w:sz w:val="21"/>
                      <w:szCs w:val="21"/>
                      <w:u w:val="single"/>
                    </w:rPr>
                  </w:pPr>
                </w:p>
              </w:tc>
              <w:tc>
                <w:tcPr>
                  <w:tcW w:w="162" w:type="pct"/>
                  <w:vAlign w:val="center"/>
                </w:tcPr>
                <w:p>
                  <w:pPr>
                    <w:pStyle w:val="62"/>
                    <w:spacing w:line="320" w:lineRule="exact"/>
                    <w:rPr>
                      <w:b/>
                      <w:sz w:val="21"/>
                      <w:szCs w:val="21"/>
                      <w:u w:val="single"/>
                    </w:rPr>
                  </w:pPr>
                  <w:r>
                    <w:rPr>
                      <w:b/>
                      <w:sz w:val="21"/>
                      <w:szCs w:val="21"/>
                      <w:u w:val="single"/>
                    </w:rPr>
                    <w:t>X</w:t>
                  </w:r>
                </w:p>
              </w:tc>
              <w:tc>
                <w:tcPr>
                  <w:tcW w:w="158" w:type="pct"/>
                  <w:vAlign w:val="center"/>
                </w:tcPr>
                <w:p>
                  <w:pPr>
                    <w:pStyle w:val="62"/>
                    <w:spacing w:line="320" w:lineRule="exact"/>
                    <w:rPr>
                      <w:b/>
                      <w:sz w:val="21"/>
                      <w:szCs w:val="21"/>
                      <w:u w:val="single"/>
                    </w:rPr>
                  </w:pPr>
                  <w:r>
                    <w:rPr>
                      <w:b/>
                      <w:sz w:val="21"/>
                      <w:szCs w:val="21"/>
                      <w:u w:val="single"/>
                    </w:rPr>
                    <w:t>Y</w:t>
                  </w:r>
                </w:p>
              </w:tc>
              <w:tc>
                <w:tcPr>
                  <w:tcW w:w="177" w:type="pct"/>
                  <w:vAlign w:val="center"/>
                </w:tcPr>
                <w:p>
                  <w:pPr>
                    <w:pStyle w:val="62"/>
                    <w:spacing w:line="320" w:lineRule="exact"/>
                    <w:rPr>
                      <w:b/>
                      <w:sz w:val="21"/>
                      <w:szCs w:val="21"/>
                      <w:u w:val="single"/>
                    </w:rPr>
                  </w:pPr>
                  <w:r>
                    <w:rPr>
                      <w:b/>
                      <w:sz w:val="21"/>
                      <w:szCs w:val="21"/>
                      <w:u w:val="single"/>
                    </w:rPr>
                    <w:t>Z</w:t>
                  </w:r>
                </w:p>
              </w:tc>
              <w:tc>
                <w:tcPr>
                  <w:tcW w:w="381" w:type="pct"/>
                  <w:gridSpan w:val="2"/>
                  <w:vMerge w:val="continue"/>
                  <w:vAlign w:val="center"/>
                </w:tcPr>
                <w:p>
                  <w:pPr>
                    <w:pStyle w:val="62"/>
                    <w:spacing w:line="320" w:lineRule="exact"/>
                    <w:rPr>
                      <w:b/>
                      <w:sz w:val="21"/>
                      <w:szCs w:val="21"/>
                      <w:u w:val="single"/>
                    </w:rPr>
                  </w:pPr>
                </w:p>
              </w:tc>
              <w:tc>
                <w:tcPr>
                  <w:tcW w:w="373" w:type="pct"/>
                  <w:vMerge w:val="continue"/>
                  <w:vAlign w:val="center"/>
                </w:tcPr>
                <w:p>
                  <w:pPr>
                    <w:pStyle w:val="62"/>
                    <w:spacing w:line="320" w:lineRule="exact"/>
                    <w:rPr>
                      <w:b/>
                      <w:sz w:val="21"/>
                      <w:szCs w:val="21"/>
                      <w:u w:val="single"/>
                    </w:rPr>
                  </w:pPr>
                </w:p>
              </w:tc>
              <w:tc>
                <w:tcPr>
                  <w:tcW w:w="423" w:type="pct"/>
                  <w:vMerge w:val="continue"/>
                  <w:vAlign w:val="center"/>
                </w:tcPr>
                <w:p>
                  <w:pPr>
                    <w:pStyle w:val="62"/>
                    <w:spacing w:line="320" w:lineRule="exact"/>
                    <w:rPr>
                      <w:b/>
                      <w:sz w:val="21"/>
                      <w:szCs w:val="21"/>
                      <w:u w:val="single"/>
                    </w:rPr>
                  </w:pPr>
                </w:p>
              </w:tc>
              <w:tc>
                <w:tcPr>
                  <w:tcW w:w="333" w:type="pct"/>
                  <w:vMerge w:val="continue"/>
                  <w:vAlign w:val="center"/>
                </w:tcPr>
                <w:p>
                  <w:pPr>
                    <w:pStyle w:val="62"/>
                    <w:spacing w:line="320" w:lineRule="exact"/>
                    <w:rPr>
                      <w:b/>
                      <w:sz w:val="21"/>
                      <w:szCs w:val="21"/>
                      <w:u w:val="single"/>
                    </w:rPr>
                  </w:pPr>
                </w:p>
              </w:tc>
              <w:tc>
                <w:tcPr>
                  <w:tcW w:w="286" w:type="pct"/>
                  <w:vMerge w:val="continue"/>
                  <w:vAlign w:val="center"/>
                </w:tcPr>
                <w:p>
                  <w:pPr>
                    <w:pStyle w:val="62"/>
                    <w:spacing w:line="320" w:lineRule="exact"/>
                    <w:rPr>
                      <w:b/>
                      <w:sz w:val="21"/>
                      <w:szCs w:val="21"/>
                      <w:u w:val="single"/>
                    </w:rPr>
                  </w:pPr>
                </w:p>
              </w:tc>
              <w:tc>
                <w:tcPr>
                  <w:tcW w:w="367" w:type="pct"/>
                  <w:gridSpan w:val="2"/>
                  <w:vMerge w:val="continue"/>
                  <w:vAlign w:val="center"/>
                </w:tcPr>
                <w:p>
                  <w:pPr>
                    <w:pStyle w:val="62"/>
                    <w:spacing w:line="320" w:lineRule="exact"/>
                    <w:rPr>
                      <w:b/>
                      <w:sz w:val="21"/>
                      <w:szCs w:val="21"/>
                      <w:u w:val="singl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85" w:type="pct"/>
                  <w:vMerge w:val="restart"/>
                  <w:vAlign w:val="center"/>
                </w:tcPr>
                <w:p>
                  <w:pPr>
                    <w:pStyle w:val="62"/>
                    <w:spacing w:line="320" w:lineRule="exact"/>
                    <w:rPr>
                      <w:b/>
                      <w:sz w:val="21"/>
                      <w:szCs w:val="21"/>
                      <w:u w:val="single"/>
                    </w:rPr>
                  </w:pPr>
                  <w:r>
                    <w:rPr>
                      <w:b/>
                      <w:sz w:val="21"/>
                      <w:szCs w:val="21"/>
                      <w:u w:val="single"/>
                    </w:rPr>
                    <w:t>1</w:t>
                  </w:r>
                </w:p>
              </w:tc>
              <w:tc>
                <w:tcPr>
                  <w:tcW w:w="283" w:type="pct"/>
                  <w:vMerge w:val="restart"/>
                  <w:vAlign w:val="center"/>
                </w:tcPr>
                <w:p>
                  <w:pPr>
                    <w:pStyle w:val="62"/>
                    <w:spacing w:line="320" w:lineRule="exact"/>
                    <w:rPr>
                      <w:b/>
                      <w:sz w:val="21"/>
                      <w:szCs w:val="21"/>
                      <w:u w:val="single"/>
                    </w:rPr>
                  </w:pPr>
                  <w:r>
                    <w:rPr>
                      <w:rFonts w:hint="eastAsia"/>
                      <w:b/>
                      <w:sz w:val="21"/>
                      <w:szCs w:val="21"/>
                      <w:u w:val="single"/>
                    </w:rPr>
                    <w:t>生产</w:t>
                  </w:r>
                </w:p>
                <w:p>
                  <w:pPr>
                    <w:pStyle w:val="62"/>
                    <w:spacing w:line="320" w:lineRule="exact"/>
                    <w:rPr>
                      <w:b/>
                      <w:sz w:val="21"/>
                      <w:szCs w:val="21"/>
                      <w:u w:val="single"/>
                    </w:rPr>
                  </w:pPr>
                  <w:r>
                    <w:rPr>
                      <w:b/>
                      <w:sz w:val="21"/>
                      <w:szCs w:val="21"/>
                      <w:u w:val="single"/>
                    </w:rPr>
                    <w:t>车间</w:t>
                  </w:r>
                </w:p>
              </w:tc>
              <w:tc>
                <w:tcPr>
                  <w:tcW w:w="375" w:type="pct"/>
                  <w:vMerge w:val="restart"/>
                  <w:vAlign w:val="center"/>
                </w:tcPr>
                <w:p>
                  <w:pPr>
                    <w:pStyle w:val="62"/>
                    <w:spacing w:line="320" w:lineRule="exact"/>
                    <w:rPr>
                      <w:b/>
                      <w:sz w:val="21"/>
                      <w:szCs w:val="21"/>
                      <w:u w:val="single"/>
                    </w:rPr>
                  </w:pPr>
                  <w:r>
                    <w:rPr>
                      <w:rFonts w:hint="eastAsia"/>
                      <w:b/>
                      <w:szCs w:val="21"/>
                      <w:u w:val="single"/>
                    </w:rPr>
                    <w:t>打包机</w:t>
                  </w:r>
                </w:p>
              </w:tc>
              <w:tc>
                <w:tcPr>
                  <w:tcW w:w="442" w:type="pct"/>
                  <w:vMerge w:val="restart"/>
                  <w:vAlign w:val="center"/>
                </w:tcPr>
                <w:p>
                  <w:pPr>
                    <w:pStyle w:val="62"/>
                    <w:spacing w:line="320" w:lineRule="exact"/>
                    <w:rPr>
                      <w:b/>
                      <w:sz w:val="21"/>
                      <w:szCs w:val="21"/>
                      <w:u w:val="single"/>
                    </w:rPr>
                  </w:pPr>
                  <w:r>
                    <w:rPr>
                      <w:rFonts w:hint="eastAsia"/>
                      <w:b/>
                      <w:sz w:val="21"/>
                      <w:szCs w:val="21"/>
                      <w:u w:val="single"/>
                    </w:rPr>
                    <w:t>5</w:t>
                  </w:r>
                </w:p>
              </w:tc>
              <w:tc>
                <w:tcPr>
                  <w:tcW w:w="477" w:type="pct"/>
                  <w:vMerge w:val="restart"/>
                  <w:vAlign w:val="center"/>
                </w:tcPr>
                <w:p>
                  <w:pPr>
                    <w:pStyle w:val="62"/>
                    <w:spacing w:line="320" w:lineRule="exact"/>
                    <w:rPr>
                      <w:b/>
                      <w:sz w:val="21"/>
                      <w:szCs w:val="21"/>
                      <w:u w:val="single"/>
                    </w:rPr>
                  </w:pPr>
                  <w:r>
                    <w:rPr>
                      <w:b/>
                      <w:sz w:val="21"/>
                      <w:szCs w:val="21"/>
                      <w:u w:val="single"/>
                    </w:rPr>
                    <w:t>/</w:t>
                  </w:r>
                </w:p>
              </w:tc>
              <w:tc>
                <w:tcPr>
                  <w:tcW w:w="339" w:type="pct"/>
                  <w:vMerge w:val="restart"/>
                  <w:vAlign w:val="center"/>
                </w:tcPr>
                <w:p>
                  <w:pPr>
                    <w:pStyle w:val="62"/>
                    <w:spacing w:line="320" w:lineRule="exact"/>
                    <w:rPr>
                      <w:b/>
                      <w:sz w:val="21"/>
                      <w:szCs w:val="21"/>
                      <w:u w:val="single"/>
                    </w:rPr>
                  </w:pPr>
                  <w:r>
                    <w:rPr>
                      <w:rFonts w:hint="eastAsia"/>
                      <w:b/>
                      <w:sz w:val="21"/>
                      <w:szCs w:val="21"/>
                      <w:u w:val="single"/>
                    </w:rPr>
                    <w:t>70</w:t>
                  </w:r>
                </w:p>
              </w:tc>
              <w:tc>
                <w:tcPr>
                  <w:tcW w:w="339" w:type="pct"/>
                  <w:vMerge w:val="restart"/>
                  <w:vAlign w:val="center"/>
                </w:tcPr>
                <w:p>
                  <w:pPr>
                    <w:pStyle w:val="62"/>
                    <w:spacing w:line="320" w:lineRule="exact"/>
                    <w:rPr>
                      <w:b/>
                      <w:sz w:val="21"/>
                      <w:szCs w:val="21"/>
                      <w:u w:val="single"/>
                    </w:rPr>
                  </w:pPr>
                  <w:r>
                    <w:rPr>
                      <w:b/>
                      <w:sz w:val="21"/>
                      <w:szCs w:val="21"/>
                      <w:u w:val="single"/>
                    </w:rPr>
                    <w:t>基础</w:t>
                  </w:r>
                </w:p>
                <w:p>
                  <w:pPr>
                    <w:pStyle w:val="62"/>
                    <w:spacing w:line="320" w:lineRule="exact"/>
                    <w:rPr>
                      <w:b/>
                      <w:sz w:val="21"/>
                      <w:szCs w:val="21"/>
                      <w:u w:val="single"/>
                    </w:rPr>
                  </w:pPr>
                  <w:r>
                    <w:rPr>
                      <w:b/>
                      <w:sz w:val="21"/>
                      <w:szCs w:val="21"/>
                      <w:u w:val="single"/>
                    </w:rPr>
                    <w:t>减震、</w:t>
                  </w:r>
                </w:p>
                <w:p>
                  <w:pPr>
                    <w:pStyle w:val="62"/>
                    <w:spacing w:line="320" w:lineRule="exact"/>
                    <w:rPr>
                      <w:b/>
                      <w:sz w:val="21"/>
                      <w:szCs w:val="21"/>
                      <w:u w:val="single"/>
                    </w:rPr>
                  </w:pPr>
                  <w:r>
                    <w:rPr>
                      <w:b/>
                      <w:sz w:val="21"/>
                      <w:szCs w:val="21"/>
                      <w:u w:val="single"/>
                    </w:rPr>
                    <w:t>厂房</w:t>
                  </w:r>
                </w:p>
                <w:p>
                  <w:pPr>
                    <w:pStyle w:val="62"/>
                    <w:spacing w:line="320" w:lineRule="exact"/>
                    <w:rPr>
                      <w:b/>
                      <w:sz w:val="21"/>
                      <w:szCs w:val="21"/>
                      <w:u w:val="single"/>
                    </w:rPr>
                  </w:pPr>
                  <w:r>
                    <w:rPr>
                      <w:b/>
                      <w:sz w:val="21"/>
                      <w:szCs w:val="21"/>
                      <w:u w:val="single"/>
                    </w:rPr>
                    <w:t>隔声、</w:t>
                  </w:r>
                </w:p>
                <w:p>
                  <w:pPr>
                    <w:pStyle w:val="62"/>
                    <w:spacing w:line="320" w:lineRule="exact"/>
                    <w:rPr>
                      <w:b/>
                      <w:sz w:val="21"/>
                      <w:szCs w:val="21"/>
                      <w:u w:val="single"/>
                    </w:rPr>
                  </w:pPr>
                  <w:r>
                    <w:rPr>
                      <w:b/>
                      <w:sz w:val="21"/>
                      <w:szCs w:val="21"/>
                      <w:u w:val="single"/>
                    </w:rPr>
                    <w:t>距离</w:t>
                  </w:r>
                </w:p>
                <w:p>
                  <w:pPr>
                    <w:pStyle w:val="62"/>
                    <w:spacing w:line="320" w:lineRule="exact"/>
                    <w:rPr>
                      <w:b/>
                      <w:sz w:val="21"/>
                      <w:szCs w:val="21"/>
                      <w:u w:val="single"/>
                    </w:rPr>
                  </w:pPr>
                  <w:r>
                    <w:rPr>
                      <w:b/>
                      <w:sz w:val="21"/>
                      <w:szCs w:val="21"/>
                      <w:u w:val="single"/>
                    </w:rPr>
                    <w:t>衰减</w:t>
                  </w:r>
                </w:p>
              </w:tc>
              <w:tc>
                <w:tcPr>
                  <w:tcW w:w="162" w:type="pct"/>
                  <w:vMerge w:val="restart"/>
                  <w:vAlign w:val="center"/>
                </w:tcPr>
                <w:p>
                  <w:pPr>
                    <w:pStyle w:val="62"/>
                    <w:spacing w:line="320" w:lineRule="exact"/>
                    <w:rPr>
                      <w:b/>
                      <w:sz w:val="21"/>
                      <w:szCs w:val="21"/>
                      <w:u w:val="single"/>
                    </w:rPr>
                  </w:pPr>
                  <w:r>
                    <w:rPr>
                      <w:rFonts w:hint="eastAsia"/>
                      <w:b/>
                      <w:sz w:val="21"/>
                      <w:szCs w:val="21"/>
                      <w:u w:val="single"/>
                    </w:rPr>
                    <w:t>10</w:t>
                  </w:r>
                </w:p>
              </w:tc>
              <w:tc>
                <w:tcPr>
                  <w:tcW w:w="158" w:type="pct"/>
                  <w:vMerge w:val="restart"/>
                  <w:vAlign w:val="center"/>
                </w:tcPr>
                <w:p>
                  <w:pPr>
                    <w:pStyle w:val="62"/>
                    <w:spacing w:line="320" w:lineRule="exact"/>
                    <w:rPr>
                      <w:b/>
                      <w:sz w:val="21"/>
                      <w:szCs w:val="21"/>
                      <w:u w:val="single"/>
                    </w:rPr>
                  </w:pPr>
                  <w:r>
                    <w:rPr>
                      <w:rFonts w:hint="eastAsia"/>
                      <w:b/>
                      <w:sz w:val="21"/>
                      <w:szCs w:val="21"/>
                      <w:u w:val="single"/>
                    </w:rPr>
                    <w:t>45</w:t>
                  </w:r>
                </w:p>
              </w:tc>
              <w:tc>
                <w:tcPr>
                  <w:tcW w:w="177" w:type="pct"/>
                  <w:vMerge w:val="restart"/>
                  <w:vAlign w:val="center"/>
                </w:tcPr>
                <w:p>
                  <w:pPr>
                    <w:pStyle w:val="62"/>
                    <w:spacing w:line="320" w:lineRule="exact"/>
                    <w:rPr>
                      <w:b/>
                      <w:sz w:val="21"/>
                      <w:szCs w:val="21"/>
                      <w:u w:val="single"/>
                    </w:rPr>
                  </w:pPr>
                  <w:r>
                    <w:rPr>
                      <w:rFonts w:hint="eastAsia"/>
                      <w:b/>
                      <w:sz w:val="21"/>
                      <w:szCs w:val="21"/>
                      <w:u w:val="single"/>
                    </w:rPr>
                    <w:t>1</w:t>
                  </w:r>
                </w:p>
              </w:tc>
              <w:tc>
                <w:tcPr>
                  <w:tcW w:w="200" w:type="pct"/>
                  <w:vAlign w:val="center"/>
                </w:tcPr>
                <w:p>
                  <w:pPr>
                    <w:pStyle w:val="62"/>
                    <w:spacing w:line="320" w:lineRule="exact"/>
                    <w:rPr>
                      <w:b/>
                      <w:sz w:val="21"/>
                      <w:szCs w:val="21"/>
                      <w:u w:val="single"/>
                    </w:rPr>
                  </w:pPr>
                  <w:r>
                    <w:rPr>
                      <w:b/>
                      <w:sz w:val="21"/>
                      <w:szCs w:val="21"/>
                      <w:u w:val="single"/>
                    </w:rPr>
                    <w:t>东</w:t>
                  </w:r>
                </w:p>
              </w:tc>
              <w:tc>
                <w:tcPr>
                  <w:tcW w:w="181" w:type="pct"/>
                  <w:vAlign w:val="center"/>
                </w:tcPr>
                <w:p>
                  <w:pPr>
                    <w:pStyle w:val="62"/>
                    <w:spacing w:line="320" w:lineRule="exact"/>
                    <w:rPr>
                      <w:b/>
                      <w:sz w:val="21"/>
                      <w:szCs w:val="21"/>
                      <w:u w:val="single"/>
                    </w:rPr>
                  </w:pPr>
                  <w:r>
                    <w:rPr>
                      <w:rFonts w:hint="eastAsia"/>
                      <w:b/>
                      <w:sz w:val="21"/>
                      <w:szCs w:val="21"/>
                      <w:u w:val="single"/>
                    </w:rPr>
                    <w:t>30</w:t>
                  </w:r>
                </w:p>
              </w:tc>
              <w:tc>
                <w:tcPr>
                  <w:tcW w:w="373" w:type="pct"/>
                </w:tcPr>
                <w:p>
                  <w:pPr>
                    <w:pStyle w:val="62"/>
                    <w:spacing w:line="320" w:lineRule="exact"/>
                    <w:rPr>
                      <w:b/>
                      <w:sz w:val="21"/>
                      <w:szCs w:val="21"/>
                      <w:u w:val="single"/>
                    </w:rPr>
                  </w:pPr>
                  <w:r>
                    <w:rPr>
                      <w:b/>
                      <w:sz w:val="21"/>
                      <w:szCs w:val="21"/>
                      <w:u w:val="single"/>
                    </w:rPr>
                    <w:t>47.45</w:t>
                  </w:r>
                </w:p>
              </w:tc>
              <w:tc>
                <w:tcPr>
                  <w:tcW w:w="423" w:type="pct"/>
                  <w:vMerge w:val="restart"/>
                  <w:vAlign w:val="center"/>
                </w:tcPr>
                <w:p>
                  <w:pPr>
                    <w:pStyle w:val="62"/>
                    <w:spacing w:line="320" w:lineRule="exact"/>
                    <w:rPr>
                      <w:b/>
                      <w:sz w:val="21"/>
                      <w:szCs w:val="21"/>
                      <w:u w:val="single"/>
                    </w:rPr>
                  </w:pPr>
                  <w:r>
                    <w:rPr>
                      <w:b/>
                      <w:sz w:val="21"/>
                      <w:szCs w:val="21"/>
                      <w:u w:val="single"/>
                    </w:rPr>
                    <w:t>8:00-12:00</w:t>
                  </w:r>
                </w:p>
                <w:p>
                  <w:pPr>
                    <w:pStyle w:val="62"/>
                    <w:spacing w:line="320" w:lineRule="exact"/>
                    <w:rPr>
                      <w:b/>
                      <w:sz w:val="21"/>
                      <w:szCs w:val="21"/>
                      <w:u w:val="single"/>
                    </w:rPr>
                  </w:pPr>
                  <w:r>
                    <w:rPr>
                      <w:b/>
                      <w:sz w:val="21"/>
                      <w:szCs w:val="21"/>
                      <w:u w:val="single"/>
                    </w:rPr>
                    <w:t>14:00-18:00</w:t>
                  </w:r>
                </w:p>
              </w:tc>
              <w:tc>
                <w:tcPr>
                  <w:tcW w:w="333" w:type="pct"/>
                  <w:vMerge w:val="restart"/>
                  <w:vAlign w:val="center"/>
                </w:tcPr>
                <w:p>
                  <w:pPr>
                    <w:pStyle w:val="62"/>
                    <w:spacing w:line="320" w:lineRule="exact"/>
                    <w:rPr>
                      <w:b/>
                      <w:sz w:val="21"/>
                      <w:szCs w:val="21"/>
                      <w:u w:val="single"/>
                    </w:rPr>
                  </w:pPr>
                  <w:r>
                    <w:rPr>
                      <w:rFonts w:hint="eastAsia"/>
                      <w:b/>
                      <w:sz w:val="21"/>
                      <w:szCs w:val="21"/>
                      <w:u w:val="single"/>
                    </w:rPr>
                    <w:t>20</w:t>
                  </w:r>
                </w:p>
              </w:tc>
              <w:tc>
                <w:tcPr>
                  <w:tcW w:w="286" w:type="pct"/>
                  <w:vAlign w:val="center"/>
                </w:tcPr>
                <w:p>
                  <w:pPr>
                    <w:pStyle w:val="62"/>
                    <w:spacing w:line="320" w:lineRule="exact"/>
                    <w:rPr>
                      <w:b/>
                      <w:sz w:val="21"/>
                      <w:szCs w:val="21"/>
                      <w:u w:val="single"/>
                    </w:rPr>
                  </w:pPr>
                  <w:r>
                    <w:rPr>
                      <w:rFonts w:hint="eastAsia"/>
                      <w:b/>
                      <w:sz w:val="21"/>
                      <w:szCs w:val="21"/>
                      <w:u w:val="single"/>
                    </w:rPr>
                    <w:t xml:space="preserve">27.45 </w:t>
                  </w:r>
                </w:p>
              </w:tc>
              <w:tc>
                <w:tcPr>
                  <w:tcW w:w="167" w:type="pct"/>
                  <w:vAlign w:val="center"/>
                </w:tcPr>
                <w:p>
                  <w:pPr>
                    <w:pStyle w:val="62"/>
                    <w:spacing w:line="320" w:lineRule="exact"/>
                    <w:rPr>
                      <w:b/>
                      <w:sz w:val="21"/>
                      <w:szCs w:val="21"/>
                      <w:u w:val="single"/>
                    </w:rPr>
                  </w:pPr>
                  <w:r>
                    <w:rPr>
                      <w:b/>
                      <w:sz w:val="21"/>
                      <w:szCs w:val="21"/>
                      <w:u w:val="single"/>
                    </w:rPr>
                    <w:t>东</w:t>
                  </w:r>
                </w:p>
              </w:tc>
              <w:tc>
                <w:tcPr>
                  <w:tcW w:w="200" w:type="pct"/>
                  <w:vAlign w:val="center"/>
                </w:tcPr>
                <w:p>
                  <w:pPr>
                    <w:pStyle w:val="62"/>
                    <w:spacing w:line="320" w:lineRule="exact"/>
                    <w:rPr>
                      <w:b/>
                      <w:sz w:val="21"/>
                      <w:szCs w:val="21"/>
                      <w:u w:val="single"/>
                    </w:rPr>
                  </w:pPr>
                  <w:r>
                    <w:rPr>
                      <w:rFonts w:hint="eastAsia"/>
                      <w:b/>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85" w:type="pct"/>
                  <w:vMerge w:val="continue"/>
                  <w:vAlign w:val="center"/>
                </w:tcPr>
                <w:p>
                  <w:pPr>
                    <w:pStyle w:val="62"/>
                    <w:spacing w:line="320" w:lineRule="exact"/>
                    <w:rPr>
                      <w:b/>
                      <w:sz w:val="21"/>
                      <w:szCs w:val="21"/>
                      <w:u w:val="single"/>
                    </w:rPr>
                  </w:pPr>
                </w:p>
              </w:tc>
              <w:tc>
                <w:tcPr>
                  <w:tcW w:w="283" w:type="pct"/>
                  <w:vMerge w:val="continue"/>
                  <w:vAlign w:val="center"/>
                </w:tcPr>
                <w:p>
                  <w:pPr>
                    <w:pStyle w:val="62"/>
                    <w:spacing w:line="320" w:lineRule="exact"/>
                    <w:rPr>
                      <w:b/>
                      <w:sz w:val="21"/>
                      <w:szCs w:val="21"/>
                      <w:u w:val="single"/>
                    </w:rPr>
                  </w:pPr>
                </w:p>
              </w:tc>
              <w:tc>
                <w:tcPr>
                  <w:tcW w:w="375" w:type="pct"/>
                  <w:vMerge w:val="continue"/>
                  <w:vAlign w:val="center"/>
                </w:tcPr>
                <w:p>
                  <w:pPr>
                    <w:pStyle w:val="62"/>
                    <w:spacing w:line="320" w:lineRule="exact"/>
                    <w:rPr>
                      <w:b/>
                      <w:sz w:val="21"/>
                      <w:szCs w:val="21"/>
                      <w:u w:val="single"/>
                    </w:rPr>
                  </w:pPr>
                </w:p>
              </w:tc>
              <w:tc>
                <w:tcPr>
                  <w:tcW w:w="442" w:type="pct"/>
                  <w:vMerge w:val="continue"/>
                  <w:vAlign w:val="center"/>
                </w:tcPr>
                <w:p>
                  <w:pPr>
                    <w:pStyle w:val="62"/>
                    <w:spacing w:line="320" w:lineRule="exact"/>
                    <w:rPr>
                      <w:b/>
                      <w:sz w:val="21"/>
                      <w:szCs w:val="21"/>
                      <w:u w:val="single"/>
                    </w:rPr>
                  </w:pPr>
                </w:p>
              </w:tc>
              <w:tc>
                <w:tcPr>
                  <w:tcW w:w="477" w:type="pct"/>
                  <w:vMerge w:val="continue"/>
                  <w:vAlign w:val="center"/>
                </w:tcPr>
                <w:p>
                  <w:pPr>
                    <w:pStyle w:val="62"/>
                    <w:spacing w:line="320" w:lineRule="exact"/>
                    <w:rPr>
                      <w:b/>
                      <w:sz w:val="21"/>
                      <w:szCs w:val="21"/>
                      <w:u w:val="single"/>
                    </w:rPr>
                  </w:pPr>
                </w:p>
              </w:tc>
              <w:tc>
                <w:tcPr>
                  <w:tcW w:w="339" w:type="pct"/>
                  <w:vMerge w:val="continue"/>
                  <w:vAlign w:val="center"/>
                </w:tcPr>
                <w:p>
                  <w:pPr>
                    <w:pStyle w:val="62"/>
                    <w:spacing w:line="320" w:lineRule="exact"/>
                    <w:rPr>
                      <w:b/>
                      <w:sz w:val="21"/>
                      <w:szCs w:val="21"/>
                      <w:u w:val="single"/>
                    </w:rPr>
                  </w:pPr>
                </w:p>
              </w:tc>
              <w:tc>
                <w:tcPr>
                  <w:tcW w:w="339" w:type="pct"/>
                  <w:vMerge w:val="continue"/>
                  <w:vAlign w:val="center"/>
                </w:tcPr>
                <w:p>
                  <w:pPr>
                    <w:pStyle w:val="62"/>
                    <w:spacing w:line="320" w:lineRule="exact"/>
                    <w:rPr>
                      <w:b/>
                      <w:sz w:val="21"/>
                      <w:szCs w:val="21"/>
                      <w:u w:val="single"/>
                    </w:rPr>
                  </w:pPr>
                </w:p>
              </w:tc>
              <w:tc>
                <w:tcPr>
                  <w:tcW w:w="162" w:type="pct"/>
                  <w:vMerge w:val="continue"/>
                  <w:vAlign w:val="center"/>
                </w:tcPr>
                <w:p>
                  <w:pPr>
                    <w:pStyle w:val="62"/>
                    <w:spacing w:line="320" w:lineRule="exact"/>
                    <w:rPr>
                      <w:b/>
                      <w:sz w:val="21"/>
                      <w:szCs w:val="21"/>
                      <w:u w:val="single"/>
                    </w:rPr>
                  </w:pPr>
                </w:p>
              </w:tc>
              <w:tc>
                <w:tcPr>
                  <w:tcW w:w="158" w:type="pct"/>
                  <w:vMerge w:val="continue"/>
                  <w:vAlign w:val="center"/>
                </w:tcPr>
                <w:p>
                  <w:pPr>
                    <w:pStyle w:val="62"/>
                    <w:spacing w:line="320" w:lineRule="exact"/>
                    <w:rPr>
                      <w:b/>
                      <w:sz w:val="21"/>
                      <w:szCs w:val="21"/>
                      <w:u w:val="single"/>
                    </w:rPr>
                  </w:pPr>
                </w:p>
              </w:tc>
              <w:tc>
                <w:tcPr>
                  <w:tcW w:w="177" w:type="pct"/>
                  <w:vMerge w:val="continue"/>
                  <w:vAlign w:val="center"/>
                </w:tcPr>
                <w:p>
                  <w:pPr>
                    <w:pStyle w:val="62"/>
                    <w:spacing w:line="320" w:lineRule="exact"/>
                    <w:rPr>
                      <w:b/>
                      <w:sz w:val="21"/>
                      <w:szCs w:val="21"/>
                      <w:u w:val="single"/>
                    </w:rPr>
                  </w:pPr>
                </w:p>
              </w:tc>
              <w:tc>
                <w:tcPr>
                  <w:tcW w:w="200" w:type="pct"/>
                  <w:vAlign w:val="center"/>
                </w:tcPr>
                <w:p>
                  <w:pPr>
                    <w:pStyle w:val="62"/>
                    <w:spacing w:line="320" w:lineRule="exact"/>
                    <w:rPr>
                      <w:b/>
                      <w:sz w:val="21"/>
                      <w:szCs w:val="21"/>
                      <w:u w:val="single"/>
                    </w:rPr>
                  </w:pPr>
                  <w:r>
                    <w:rPr>
                      <w:b/>
                      <w:sz w:val="21"/>
                      <w:szCs w:val="21"/>
                      <w:u w:val="single"/>
                    </w:rPr>
                    <w:t>西</w:t>
                  </w:r>
                </w:p>
              </w:tc>
              <w:tc>
                <w:tcPr>
                  <w:tcW w:w="181" w:type="pct"/>
                  <w:vAlign w:val="center"/>
                </w:tcPr>
                <w:p>
                  <w:pPr>
                    <w:pStyle w:val="62"/>
                    <w:spacing w:line="320" w:lineRule="exact"/>
                    <w:rPr>
                      <w:b/>
                      <w:sz w:val="21"/>
                      <w:szCs w:val="21"/>
                      <w:u w:val="single"/>
                    </w:rPr>
                  </w:pPr>
                  <w:r>
                    <w:rPr>
                      <w:rFonts w:hint="eastAsia"/>
                      <w:b/>
                      <w:sz w:val="21"/>
                      <w:szCs w:val="21"/>
                      <w:u w:val="single"/>
                    </w:rPr>
                    <w:t>10</w:t>
                  </w:r>
                </w:p>
              </w:tc>
              <w:tc>
                <w:tcPr>
                  <w:tcW w:w="373" w:type="pct"/>
                </w:tcPr>
                <w:p>
                  <w:pPr>
                    <w:pStyle w:val="62"/>
                    <w:spacing w:line="320" w:lineRule="exact"/>
                    <w:rPr>
                      <w:b/>
                      <w:sz w:val="21"/>
                      <w:szCs w:val="21"/>
                      <w:u w:val="single"/>
                    </w:rPr>
                  </w:pPr>
                  <w:r>
                    <w:rPr>
                      <w:b/>
                      <w:sz w:val="21"/>
                      <w:szCs w:val="21"/>
                      <w:u w:val="single"/>
                    </w:rPr>
                    <w:t>56.99</w:t>
                  </w:r>
                </w:p>
              </w:tc>
              <w:tc>
                <w:tcPr>
                  <w:tcW w:w="423" w:type="pct"/>
                  <w:vMerge w:val="continue"/>
                  <w:vAlign w:val="center"/>
                </w:tcPr>
                <w:p>
                  <w:pPr>
                    <w:pStyle w:val="62"/>
                    <w:spacing w:line="320" w:lineRule="exact"/>
                    <w:rPr>
                      <w:b/>
                      <w:sz w:val="21"/>
                      <w:szCs w:val="21"/>
                      <w:u w:val="single"/>
                    </w:rPr>
                  </w:pPr>
                </w:p>
              </w:tc>
              <w:tc>
                <w:tcPr>
                  <w:tcW w:w="333" w:type="pct"/>
                  <w:vMerge w:val="continue"/>
                  <w:vAlign w:val="center"/>
                </w:tcPr>
                <w:p>
                  <w:pPr>
                    <w:pStyle w:val="62"/>
                    <w:spacing w:line="320" w:lineRule="exact"/>
                    <w:rPr>
                      <w:b/>
                      <w:sz w:val="21"/>
                      <w:szCs w:val="21"/>
                      <w:u w:val="single"/>
                    </w:rPr>
                  </w:pPr>
                </w:p>
              </w:tc>
              <w:tc>
                <w:tcPr>
                  <w:tcW w:w="286" w:type="pct"/>
                  <w:vAlign w:val="center"/>
                </w:tcPr>
                <w:p>
                  <w:pPr>
                    <w:pStyle w:val="62"/>
                    <w:spacing w:line="320" w:lineRule="exact"/>
                    <w:rPr>
                      <w:b/>
                      <w:sz w:val="21"/>
                      <w:szCs w:val="21"/>
                      <w:u w:val="single"/>
                    </w:rPr>
                  </w:pPr>
                  <w:r>
                    <w:rPr>
                      <w:rFonts w:hint="eastAsia"/>
                      <w:b/>
                      <w:sz w:val="21"/>
                      <w:szCs w:val="21"/>
                      <w:u w:val="single"/>
                    </w:rPr>
                    <w:t xml:space="preserve">36.99 </w:t>
                  </w:r>
                </w:p>
              </w:tc>
              <w:tc>
                <w:tcPr>
                  <w:tcW w:w="167" w:type="pct"/>
                  <w:vAlign w:val="center"/>
                </w:tcPr>
                <w:p>
                  <w:pPr>
                    <w:pStyle w:val="62"/>
                    <w:spacing w:line="320" w:lineRule="exact"/>
                    <w:rPr>
                      <w:b/>
                      <w:sz w:val="21"/>
                      <w:szCs w:val="21"/>
                      <w:u w:val="single"/>
                    </w:rPr>
                  </w:pPr>
                  <w:r>
                    <w:rPr>
                      <w:b/>
                      <w:sz w:val="21"/>
                      <w:szCs w:val="21"/>
                      <w:u w:val="single"/>
                    </w:rPr>
                    <w:t>西</w:t>
                  </w:r>
                </w:p>
              </w:tc>
              <w:tc>
                <w:tcPr>
                  <w:tcW w:w="200" w:type="pct"/>
                  <w:vAlign w:val="center"/>
                </w:tcPr>
                <w:p>
                  <w:pPr>
                    <w:pStyle w:val="62"/>
                    <w:spacing w:line="320" w:lineRule="exact"/>
                    <w:rPr>
                      <w:b/>
                      <w:sz w:val="21"/>
                      <w:szCs w:val="21"/>
                      <w:u w:val="single"/>
                    </w:rPr>
                  </w:pPr>
                  <w:r>
                    <w:rPr>
                      <w:rFonts w:hint="eastAsia"/>
                      <w:b/>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85" w:type="pct"/>
                  <w:vMerge w:val="continue"/>
                  <w:vAlign w:val="center"/>
                </w:tcPr>
                <w:p>
                  <w:pPr>
                    <w:pStyle w:val="62"/>
                    <w:spacing w:line="320" w:lineRule="exact"/>
                    <w:rPr>
                      <w:b/>
                      <w:sz w:val="21"/>
                      <w:szCs w:val="21"/>
                      <w:u w:val="single"/>
                    </w:rPr>
                  </w:pPr>
                </w:p>
              </w:tc>
              <w:tc>
                <w:tcPr>
                  <w:tcW w:w="283" w:type="pct"/>
                  <w:vMerge w:val="continue"/>
                  <w:vAlign w:val="center"/>
                </w:tcPr>
                <w:p>
                  <w:pPr>
                    <w:pStyle w:val="62"/>
                    <w:spacing w:line="320" w:lineRule="exact"/>
                    <w:rPr>
                      <w:b/>
                      <w:sz w:val="21"/>
                      <w:szCs w:val="21"/>
                      <w:u w:val="single"/>
                    </w:rPr>
                  </w:pPr>
                </w:p>
              </w:tc>
              <w:tc>
                <w:tcPr>
                  <w:tcW w:w="375" w:type="pct"/>
                  <w:vMerge w:val="continue"/>
                  <w:vAlign w:val="center"/>
                </w:tcPr>
                <w:p>
                  <w:pPr>
                    <w:pStyle w:val="62"/>
                    <w:spacing w:line="320" w:lineRule="exact"/>
                    <w:rPr>
                      <w:b/>
                      <w:sz w:val="21"/>
                      <w:szCs w:val="21"/>
                      <w:u w:val="single"/>
                    </w:rPr>
                  </w:pPr>
                </w:p>
              </w:tc>
              <w:tc>
                <w:tcPr>
                  <w:tcW w:w="442" w:type="pct"/>
                  <w:vMerge w:val="continue"/>
                  <w:vAlign w:val="center"/>
                </w:tcPr>
                <w:p>
                  <w:pPr>
                    <w:pStyle w:val="62"/>
                    <w:spacing w:line="320" w:lineRule="exact"/>
                    <w:rPr>
                      <w:b/>
                      <w:sz w:val="21"/>
                      <w:szCs w:val="21"/>
                      <w:u w:val="single"/>
                    </w:rPr>
                  </w:pPr>
                </w:p>
              </w:tc>
              <w:tc>
                <w:tcPr>
                  <w:tcW w:w="477" w:type="pct"/>
                  <w:vMerge w:val="continue"/>
                  <w:vAlign w:val="center"/>
                </w:tcPr>
                <w:p>
                  <w:pPr>
                    <w:pStyle w:val="62"/>
                    <w:spacing w:line="320" w:lineRule="exact"/>
                    <w:rPr>
                      <w:b/>
                      <w:sz w:val="21"/>
                      <w:szCs w:val="21"/>
                      <w:u w:val="single"/>
                    </w:rPr>
                  </w:pPr>
                </w:p>
              </w:tc>
              <w:tc>
                <w:tcPr>
                  <w:tcW w:w="339" w:type="pct"/>
                  <w:vMerge w:val="continue"/>
                  <w:vAlign w:val="center"/>
                </w:tcPr>
                <w:p>
                  <w:pPr>
                    <w:pStyle w:val="62"/>
                    <w:spacing w:line="320" w:lineRule="exact"/>
                    <w:rPr>
                      <w:b/>
                      <w:sz w:val="21"/>
                      <w:szCs w:val="21"/>
                      <w:u w:val="single"/>
                    </w:rPr>
                  </w:pPr>
                </w:p>
              </w:tc>
              <w:tc>
                <w:tcPr>
                  <w:tcW w:w="339" w:type="pct"/>
                  <w:vMerge w:val="continue"/>
                  <w:vAlign w:val="center"/>
                </w:tcPr>
                <w:p>
                  <w:pPr>
                    <w:pStyle w:val="62"/>
                    <w:spacing w:line="320" w:lineRule="exact"/>
                    <w:rPr>
                      <w:b/>
                      <w:sz w:val="21"/>
                      <w:szCs w:val="21"/>
                      <w:u w:val="single"/>
                    </w:rPr>
                  </w:pPr>
                </w:p>
              </w:tc>
              <w:tc>
                <w:tcPr>
                  <w:tcW w:w="162" w:type="pct"/>
                  <w:vMerge w:val="continue"/>
                  <w:vAlign w:val="center"/>
                </w:tcPr>
                <w:p>
                  <w:pPr>
                    <w:pStyle w:val="62"/>
                    <w:spacing w:line="320" w:lineRule="exact"/>
                    <w:rPr>
                      <w:b/>
                      <w:sz w:val="21"/>
                      <w:szCs w:val="21"/>
                      <w:u w:val="single"/>
                    </w:rPr>
                  </w:pPr>
                </w:p>
              </w:tc>
              <w:tc>
                <w:tcPr>
                  <w:tcW w:w="158" w:type="pct"/>
                  <w:vMerge w:val="continue"/>
                  <w:vAlign w:val="center"/>
                </w:tcPr>
                <w:p>
                  <w:pPr>
                    <w:pStyle w:val="62"/>
                    <w:spacing w:line="320" w:lineRule="exact"/>
                    <w:rPr>
                      <w:b/>
                      <w:sz w:val="21"/>
                      <w:szCs w:val="21"/>
                      <w:u w:val="single"/>
                    </w:rPr>
                  </w:pPr>
                </w:p>
              </w:tc>
              <w:tc>
                <w:tcPr>
                  <w:tcW w:w="177" w:type="pct"/>
                  <w:vMerge w:val="continue"/>
                  <w:vAlign w:val="center"/>
                </w:tcPr>
                <w:p>
                  <w:pPr>
                    <w:pStyle w:val="62"/>
                    <w:spacing w:line="320" w:lineRule="exact"/>
                    <w:rPr>
                      <w:b/>
                      <w:sz w:val="21"/>
                      <w:szCs w:val="21"/>
                      <w:u w:val="single"/>
                    </w:rPr>
                  </w:pPr>
                </w:p>
              </w:tc>
              <w:tc>
                <w:tcPr>
                  <w:tcW w:w="200" w:type="pct"/>
                  <w:vAlign w:val="center"/>
                </w:tcPr>
                <w:p>
                  <w:pPr>
                    <w:pStyle w:val="62"/>
                    <w:spacing w:line="320" w:lineRule="exact"/>
                    <w:rPr>
                      <w:b/>
                      <w:sz w:val="21"/>
                      <w:szCs w:val="21"/>
                      <w:u w:val="single"/>
                    </w:rPr>
                  </w:pPr>
                  <w:r>
                    <w:rPr>
                      <w:b/>
                      <w:sz w:val="21"/>
                      <w:szCs w:val="21"/>
                      <w:u w:val="single"/>
                    </w:rPr>
                    <w:t>南</w:t>
                  </w:r>
                </w:p>
              </w:tc>
              <w:tc>
                <w:tcPr>
                  <w:tcW w:w="181" w:type="pct"/>
                  <w:vAlign w:val="center"/>
                </w:tcPr>
                <w:p>
                  <w:pPr>
                    <w:pStyle w:val="62"/>
                    <w:spacing w:line="320" w:lineRule="exact"/>
                    <w:rPr>
                      <w:b/>
                      <w:sz w:val="21"/>
                      <w:szCs w:val="21"/>
                      <w:u w:val="single"/>
                    </w:rPr>
                  </w:pPr>
                  <w:r>
                    <w:rPr>
                      <w:rFonts w:hint="eastAsia"/>
                      <w:b/>
                      <w:sz w:val="21"/>
                      <w:szCs w:val="21"/>
                      <w:u w:val="single"/>
                    </w:rPr>
                    <w:t>45</w:t>
                  </w:r>
                </w:p>
              </w:tc>
              <w:tc>
                <w:tcPr>
                  <w:tcW w:w="373" w:type="pct"/>
                </w:tcPr>
                <w:p>
                  <w:pPr>
                    <w:pStyle w:val="62"/>
                    <w:spacing w:line="320" w:lineRule="exact"/>
                    <w:rPr>
                      <w:b/>
                      <w:sz w:val="21"/>
                      <w:szCs w:val="21"/>
                      <w:u w:val="single"/>
                    </w:rPr>
                  </w:pPr>
                  <w:r>
                    <w:rPr>
                      <w:b/>
                      <w:sz w:val="21"/>
                      <w:szCs w:val="21"/>
                      <w:u w:val="single"/>
                    </w:rPr>
                    <w:t>43.93</w:t>
                  </w:r>
                </w:p>
              </w:tc>
              <w:tc>
                <w:tcPr>
                  <w:tcW w:w="423" w:type="pct"/>
                  <w:vMerge w:val="continue"/>
                  <w:vAlign w:val="center"/>
                </w:tcPr>
                <w:p>
                  <w:pPr>
                    <w:pStyle w:val="62"/>
                    <w:spacing w:line="320" w:lineRule="exact"/>
                    <w:rPr>
                      <w:b/>
                      <w:sz w:val="21"/>
                      <w:szCs w:val="21"/>
                      <w:u w:val="single"/>
                    </w:rPr>
                  </w:pPr>
                </w:p>
              </w:tc>
              <w:tc>
                <w:tcPr>
                  <w:tcW w:w="333" w:type="pct"/>
                  <w:vMerge w:val="continue"/>
                  <w:vAlign w:val="center"/>
                </w:tcPr>
                <w:p>
                  <w:pPr>
                    <w:pStyle w:val="62"/>
                    <w:spacing w:line="320" w:lineRule="exact"/>
                    <w:rPr>
                      <w:b/>
                      <w:sz w:val="21"/>
                      <w:szCs w:val="21"/>
                      <w:u w:val="single"/>
                    </w:rPr>
                  </w:pPr>
                </w:p>
              </w:tc>
              <w:tc>
                <w:tcPr>
                  <w:tcW w:w="286" w:type="pct"/>
                  <w:vAlign w:val="center"/>
                </w:tcPr>
                <w:p>
                  <w:pPr>
                    <w:pStyle w:val="62"/>
                    <w:spacing w:line="320" w:lineRule="exact"/>
                    <w:rPr>
                      <w:b/>
                      <w:sz w:val="21"/>
                      <w:szCs w:val="21"/>
                      <w:u w:val="single"/>
                    </w:rPr>
                  </w:pPr>
                  <w:r>
                    <w:rPr>
                      <w:rFonts w:hint="eastAsia"/>
                      <w:b/>
                      <w:sz w:val="21"/>
                      <w:szCs w:val="21"/>
                      <w:u w:val="single"/>
                    </w:rPr>
                    <w:t xml:space="preserve">23.93 </w:t>
                  </w:r>
                </w:p>
              </w:tc>
              <w:tc>
                <w:tcPr>
                  <w:tcW w:w="167" w:type="pct"/>
                  <w:vAlign w:val="center"/>
                </w:tcPr>
                <w:p>
                  <w:pPr>
                    <w:pStyle w:val="62"/>
                    <w:spacing w:line="320" w:lineRule="exact"/>
                    <w:rPr>
                      <w:b/>
                      <w:sz w:val="21"/>
                      <w:szCs w:val="21"/>
                      <w:u w:val="single"/>
                    </w:rPr>
                  </w:pPr>
                  <w:r>
                    <w:rPr>
                      <w:b/>
                      <w:sz w:val="21"/>
                      <w:szCs w:val="21"/>
                      <w:u w:val="single"/>
                    </w:rPr>
                    <w:t>南</w:t>
                  </w:r>
                </w:p>
              </w:tc>
              <w:tc>
                <w:tcPr>
                  <w:tcW w:w="200" w:type="pct"/>
                  <w:vAlign w:val="center"/>
                </w:tcPr>
                <w:p>
                  <w:pPr>
                    <w:pStyle w:val="62"/>
                    <w:spacing w:line="320" w:lineRule="exact"/>
                    <w:rPr>
                      <w:b/>
                      <w:sz w:val="21"/>
                      <w:szCs w:val="21"/>
                      <w:u w:val="single"/>
                    </w:rPr>
                  </w:pPr>
                  <w:r>
                    <w:rPr>
                      <w:rFonts w:hint="eastAsia"/>
                      <w:b/>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85" w:type="pct"/>
                  <w:vMerge w:val="continue"/>
                  <w:vAlign w:val="center"/>
                </w:tcPr>
                <w:p>
                  <w:pPr>
                    <w:pStyle w:val="62"/>
                    <w:spacing w:line="320" w:lineRule="exact"/>
                    <w:rPr>
                      <w:b/>
                      <w:sz w:val="21"/>
                      <w:szCs w:val="21"/>
                      <w:u w:val="single"/>
                    </w:rPr>
                  </w:pPr>
                </w:p>
              </w:tc>
              <w:tc>
                <w:tcPr>
                  <w:tcW w:w="283" w:type="pct"/>
                  <w:vMerge w:val="continue"/>
                  <w:vAlign w:val="center"/>
                </w:tcPr>
                <w:p>
                  <w:pPr>
                    <w:pStyle w:val="62"/>
                    <w:spacing w:line="320" w:lineRule="exact"/>
                    <w:rPr>
                      <w:b/>
                      <w:sz w:val="21"/>
                      <w:szCs w:val="21"/>
                      <w:u w:val="single"/>
                    </w:rPr>
                  </w:pPr>
                </w:p>
              </w:tc>
              <w:tc>
                <w:tcPr>
                  <w:tcW w:w="375" w:type="pct"/>
                  <w:vMerge w:val="continue"/>
                  <w:vAlign w:val="center"/>
                </w:tcPr>
                <w:p>
                  <w:pPr>
                    <w:pStyle w:val="62"/>
                    <w:spacing w:line="320" w:lineRule="exact"/>
                    <w:rPr>
                      <w:b/>
                      <w:sz w:val="21"/>
                      <w:szCs w:val="21"/>
                      <w:u w:val="single"/>
                    </w:rPr>
                  </w:pPr>
                </w:p>
              </w:tc>
              <w:tc>
                <w:tcPr>
                  <w:tcW w:w="442" w:type="pct"/>
                  <w:vMerge w:val="continue"/>
                  <w:vAlign w:val="center"/>
                </w:tcPr>
                <w:p>
                  <w:pPr>
                    <w:pStyle w:val="62"/>
                    <w:spacing w:line="320" w:lineRule="exact"/>
                    <w:rPr>
                      <w:b/>
                      <w:sz w:val="21"/>
                      <w:szCs w:val="21"/>
                      <w:u w:val="single"/>
                    </w:rPr>
                  </w:pPr>
                </w:p>
              </w:tc>
              <w:tc>
                <w:tcPr>
                  <w:tcW w:w="477" w:type="pct"/>
                  <w:vMerge w:val="continue"/>
                  <w:vAlign w:val="center"/>
                </w:tcPr>
                <w:p>
                  <w:pPr>
                    <w:pStyle w:val="62"/>
                    <w:spacing w:line="320" w:lineRule="exact"/>
                    <w:rPr>
                      <w:b/>
                      <w:sz w:val="21"/>
                      <w:szCs w:val="21"/>
                      <w:u w:val="single"/>
                    </w:rPr>
                  </w:pPr>
                </w:p>
              </w:tc>
              <w:tc>
                <w:tcPr>
                  <w:tcW w:w="339" w:type="pct"/>
                  <w:vMerge w:val="continue"/>
                  <w:vAlign w:val="center"/>
                </w:tcPr>
                <w:p>
                  <w:pPr>
                    <w:pStyle w:val="62"/>
                    <w:spacing w:line="320" w:lineRule="exact"/>
                    <w:rPr>
                      <w:b/>
                      <w:sz w:val="21"/>
                      <w:szCs w:val="21"/>
                      <w:u w:val="single"/>
                    </w:rPr>
                  </w:pPr>
                </w:p>
              </w:tc>
              <w:tc>
                <w:tcPr>
                  <w:tcW w:w="339" w:type="pct"/>
                  <w:vMerge w:val="continue"/>
                  <w:vAlign w:val="center"/>
                </w:tcPr>
                <w:p>
                  <w:pPr>
                    <w:pStyle w:val="62"/>
                    <w:spacing w:line="320" w:lineRule="exact"/>
                    <w:rPr>
                      <w:b/>
                      <w:sz w:val="21"/>
                      <w:szCs w:val="21"/>
                      <w:u w:val="single"/>
                    </w:rPr>
                  </w:pPr>
                </w:p>
              </w:tc>
              <w:tc>
                <w:tcPr>
                  <w:tcW w:w="162" w:type="pct"/>
                  <w:vMerge w:val="continue"/>
                  <w:vAlign w:val="center"/>
                </w:tcPr>
                <w:p>
                  <w:pPr>
                    <w:pStyle w:val="62"/>
                    <w:spacing w:line="320" w:lineRule="exact"/>
                    <w:rPr>
                      <w:b/>
                      <w:sz w:val="21"/>
                      <w:szCs w:val="21"/>
                      <w:u w:val="single"/>
                    </w:rPr>
                  </w:pPr>
                </w:p>
              </w:tc>
              <w:tc>
                <w:tcPr>
                  <w:tcW w:w="158" w:type="pct"/>
                  <w:vMerge w:val="continue"/>
                  <w:vAlign w:val="center"/>
                </w:tcPr>
                <w:p>
                  <w:pPr>
                    <w:pStyle w:val="62"/>
                    <w:spacing w:line="320" w:lineRule="exact"/>
                    <w:rPr>
                      <w:b/>
                      <w:sz w:val="21"/>
                      <w:szCs w:val="21"/>
                      <w:u w:val="single"/>
                    </w:rPr>
                  </w:pPr>
                </w:p>
              </w:tc>
              <w:tc>
                <w:tcPr>
                  <w:tcW w:w="177" w:type="pct"/>
                  <w:vMerge w:val="continue"/>
                  <w:vAlign w:val="center"/>
                </w:tcPr>
                <w:p>
                  <w:pPr>
                    <w:pStyle w:val="62"/>
                    <w:spacing w:line="320" w:lineRule="exact"/>
                    <w:rPr>
                      <w:b/>
                      <w:sz w:val="21"/>
                      <w:szCs w:val="21"/>
                      <w:u w:val="single"/>
                    </w:rPr>
                  </w:pPr>
                </w:p>
              </w:tc>
              <w:tc>
                <w:tcPr>
                  <w:tcW w:w="200" w:type="pct"/>
                  <w:vAlign w:val="center"/>
                </w:tcPr>
                <w:p>
                  <w:pPr>
                    <w:pStyle w:val="62"/>
                    <w:spacing w:line="320" w:lineRule="exact"/>
                    <w:rPr>
                      <w:b/>
                      <w:sz w:val="21"/>
                      <w:szCs w:val="21"/>
                      <w:u w:val="single"/>
                    </w:rPr>
                  </w:pPr>
                  <w:r>
                    <w:rPr>
                      <w:b/>
                      <w:sz w:val="21"/>
                      <w:szCs w:val="21"/>
                      <w:u w:val="single"/>
                    </w:rPr>
                    <w:t>北</w:t>
                  </w:r>
                </w:p>
              </w:tc>
              <w:tc>
                <w:tcPr>
                  <w:tcW w:w="181" w:type="pct"/>
                  <w:vAlign w:val="center"/>
                </w:tcPr>
                <w:p>
                  <w:pPr>
                    <w:pStyle w:val="62"/>
                    <w:spacing w:line="320" w:lineRule="exact"/>
                    <w:rPr>
                      <w:b/>
                      <w:sz w:val="21"/>
                      <w:szCs w:val="21"/>
                      <w:u w:val="single"/>
                    </w:rPr>
                  </w:pPr>
                  <w:r>
                    <w:rPr>
                      <w:rFonts w:hint="eastAsia"/>
                      <w:b/>
                      <w:sz w:val="21"/>
                      <w:szCs w:val="21"/>
                      <w:u w:val="single"/>
                    </w:rPr>
                    <w:t>35</w:t>
                  </w:r>
                </w:p>
              </w:tc>
              <w:tc>
                <w:tcPr>
                  <w:tcW w:w="373" w:type="pct"/>
                </w:tcPr>
                <w:p>
                  <w:pPr>
                    <w:pStyle w:val="62"/>
                    <w:spacing w:line="320" w:lineRule="exact"/>
                    <w:rPr>
                      <w:b/>
                      <w:sz w:val="21"/>
                      <w:szCs w:val="21"/>
                      <w:u w:val="single"/>
                    </w:rPr>
                  </w:pPr>
                  <w:r>
                    <w:rPr>
                      <w:b/>
                      <w:sz w:val="21"/>
                      <w:szCs w:val="21"/>
                      <w:u w:val="single"/>
                    </w:rPr>
                    <w:t>46.11</w:t>
                  </w:r>
                </w:p>
              </w:tc>
              <w:tc>
                <w:tcPr>
                  <w:tcW w:w="423" w:type="pct"/>
                  <w:vMerge w:val="continue"/>
                  <w:vAlign w:val="center"/>
                </w:tcPr>
                <w:p>
                  <w:pPr>
                    <w:pStyle w:val="62"/>
                    <w:spacing w:line="320" w:lineRule="exact"/>
                    <w:rPr>
                      <w:b/>
                      <w:sz w:val="21"/>
                      <w:szCs w:val="21"/>
                      <w:u w:val="single"/>
                    </w:rPr>
                  </w:pPr>
                </w:p>
              </w:tc>
              <w:tc>
                <w:tcPr>
                  <w:tcW w:w="333" w:type="pct"/>
                  <w:vMerge w:val="continue"/>
                  <w:vAlign w:val="center"/>
                </w:tcPr>
                <w:p>
                  <w:pPr>
                    <w:pStyle w:val="62"/>
                    <w:spacing w:line="320" w:lineRule="exact"/>
                    <w:rPr>
                      <w:b/>
                      <w:sz w:val="21"/>
                      <w:szCs w:val="21"/>
                      <w:u w:val="single"/>
                    </w:rPr>
                  </w:pPr>
                </w:p>
              </w:tc>
              <w:tc>
                <w:tcPr>
                  <w:tcW w:w="286" w:type="pct"/>
                  <w:vAlign w:val="center"/>
                </w:tcPr>
                <w:p>
                  <w:pPr>
                    <w:pStyle w:val="62"/>
                    <w:spacing w:line="320" w:lineRule="exact"/>
                    <w:rPr>
                      <w:b/>
                      <w:sz w:val="21"/>
                      <w:szCs w:val="21"/>
                      <w:u w:val="single"/>
                    </w:rPr>
                  </w:pPr>
                  <w:r>
                    <w:rPr>
                      <w:rFonts w:hint="eastAsia"/>
                      <w:b/>
                      <w:sz w:val="21"/>
                      <w:szCs w:val="21"/>
                      <w:u w:val="single"/>
                    </w:rPr>
                    <w:t xml:space="preserve">26.11 </w:t>
                  </w:r>
                </w:p>
              </w:tc>
              <w:tc>
                <w:tcPr>
                  <w:tcW w:w="167" w:type="pct"/>
                  <w:vAlign w:val="center"/>
                </w:tcPr>
                <w:p>
                  <w:pPr>
                    <w:pStyle w:val="62"/>
                    <w:spacing w:line="320" w:lineRule="exact"/>
                    <w:rPr>
                      <w:b/>
                      <w:sz w:val="21"/>
                      <w:szCs w:val="21"/>
                      <w:u w:val="single"/>
                    </w:rPr>
                  </w:pPr>
                  <w:r>
                    <w:rPr>
                      <w:b/>
                      <w:sz w:val="21"/>
                      <w:szCs w:val="21"/>
                      <w:u w:val="single"/>
                    </w:rPr>
                    <w:t>北</w:t>
                  </w:r>
                </w:p>
              </w:tc>
              <w:tc>
                <w:tcPr>
                  <w:tcW w:w="200" w:type="pct"/>
                  <w:vAlign w:val="center"/>
                </w:tcPr>
                <w:p>
                  <w:pPr>
                    <w:pStyle w:val="62"/>
                    <w:spacing w:line="320" w:lineRule="exact"/>
                    <w:rPr>
                      <w:b/>
                      <w:sz w:val="21"/>
                      <w:szCs w:val="21"/>
                      <w:u w:val="single"/>
                    </w:rPr>
                  </w:pPr>
                  <w:r>
                    <w:rPr>
                      <w:rFonts w:hint="eastAsia"/>
                      <w:b/>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85" w:type="pct"/>
                  <w:vMerge w:val="restart"/>
                  <w:vAlign w:val="center"/>
                </w:tcPr>
                <w:p>
                  <w:pPr>
                    <w:pStyle w:val="62"/>
                    <w:spacing w:line="320" w:lineRule="exact"/>
                    <w:rPr>
                      <w:b/>
                      <w:sz w:val="21"/>
                      <w:szCs w:val="21"/>
                      <w:u w:val="single"/>
                    </w:rPr>
                  </w:pPr>
                  <w:r>
                    <w:rPr>
                      <w:b/>
                      <w:sz w:val="21"/>
                      <w:szCs w:val="21"/>
                      <w:u w:val="single"/>
                    </w:rPr>
                    <w:t>2</w:t>
                  </w:r>
                </w:p>
              </w:tc>
              <w:tc>
                <w:tcPr>
                  <w:tcW w:w="283" w:type="pct"/>
                  <w:vMerge w:val="continue"/>
                  <w:vAlign w:val="center"/>
                </w:tcPr>
                <w:p>
                  <w:pPr>
                    <w:pStyle w:val="62"/>
                    <w:spacing w:line="320" w:lineRule="exact"/>
                    <w:rPr>
                      <w:b/>
                      <w:sz w:val="21"/>
                      <w:szCs w:val="21"/>
                      <w:u w:val="single"/>
                    </w:rPr>
                  </w:pPr>
                </w:p>
              </w:tc>
              <w:tc>
                <w:tcPr>
                  <w:tcW w:w="375" w:type="pct"/>
                  <w:vMerge w:val="restart"/>
                  <w:vAlign w:val="center"/>
                </w:tcPr>
                <w:p>
                  <w:pPr>
                    <w:pStyle w:val="62"/>
                    <w:spacing w:line="320" w:lineRule="exact"/>
                    <w:rPr>
                      <w:b/>
                      <w:sz w:val="21"/>
                      <w:szCs w:val="21"/>
                      <w:u w:val="single"/>
                    </w:rPr>
                  </w:pPr>
                  <w:r>
                    <w:rPr>
                      <w:rFonts w:hint="eastAsia"/>
                      <w:b/>
                      <w:szCs w:val="21"/>
                      <w:u w:val="single"/>
                    </w:rPr>
                    <w:t>缝纫机</w:t>
                  </w:r>
                </w:p>
              </w:tc>
              <w:tc>
                <w:tcPr>
                  <w:tcW w:w="442" w:type="pct"/>
                  <w:vMerge w:val="restart"/>
                  <w:vAlign w:val="center"/>
                </w:tcPr>
                <w:p>
                  <w:pPr>
                    <w:pStyle w:val="62"/>
                    <w:spacing w:line="320" w:lineRule="exact"/>
                    <w:rPr>
                      <w:b/>
                      <w:sz w:val="21"/>
                      <w:szCs w:val="21"/>
                      <w:u w:val="single"/>
                    </w:rPr>
                  </w:pPr>
                  <w:r>
                    <w:rPr>
                      <w:rFonts w:hint="eastAsia"/>
                      <w:b/>
                      <w:sz w:val="21"/>
                      <w:szCs w:val="21"/>
                      <w:u w:val="single"/>
                    </w:rPr>
                    <w:t>50</w:t>
                  </w:r>
                </w:p>
              </w:tc>
              <w:tc>
                <w:tcPr>
                  <w:tcW w:w="477" w:type="pct"/>
                  <w:vMerge w:val="restart"/>
                  <w:vAlign w:val="center"/>
                </w:tcPr>
                <w:p>
                  <w:pPr>
                    <w:pStyle w:val="62"/>
                    <w:spacing w:line="320" w:lineRule="exact"/>
                    <w:rPr>
                      <w:b/>
                      <w:sz w:val="21"/>
                      <w:szCs w:val="21"/>
                      <w:u w:val="single"/>
                    </w:rPr>
                  </w:pPr>
                  <w:r>
                    <w:rPr>
                      <w:b/>
                      <w:sz w:val="21"/>
                      <w:szCs w:val="21"/>
                      <w:u w:val="single"/>
                    </w:rPr>
                    <w:t>/</w:t>
                  </w:r>
                </w:p>
              </w:tc>
              <w:tc>
                <w:tcPr>
                  <w:tcW w:w="339" w:type="pct"/>
                  <w:vMerge w:val="restart"/>
                  <w:vAlign w:val="center"/>
                </w:tcPr>
                <w:p>
                  <w:pPr>
                    <w:pStyle w:val="62"/>
                    <w:spacing w:line="320" w:lineRule="exact"/>
                    <w:rPr>
                      <w:b/>
                      <w:sz w:val="21"/>
                      <w:szCs w:val="21"/>
                      <w:u w:val="single"/>
                    </w:rPr>
                  </w:pPr>
                  <w:r>
                    <w:rPr>
                      <w:rFonts w:hint="eastAsia"/>
                      <w:b/>
                      <w:sz w:val="21"/>
                      <w:szCs w:val="21"/>
                      <w:u w:val="single"/>
                    </w:rPr>
                    <w:t>60</w:t>
                  </w:r>
                </w:p>
              </w:tc>
              <w:tc>
                <w:tcPr>
                  <w:tcW w:w="339" w:type="pct"/>
                  <w:vMerge w:val="continue"/>
                  <w:vAlign w:val="center"/>
                </w:tcPr>
                <w:p>
                  <w:pPr>
                    <w:pStyle w:val="62"/>
                    <w:spacing w:line="320" w:lineRule="exact"/>
                    <w:rPr>
                      <w:b/>
                      <w:sz w:val="21"/>
                      <w:szCs w:val="21"/>
                      <w:u w:val="single"/>
                    </w:rPr>
                  </w:pPr>
                </w:p>
              </w:tc>
              <w:tc>
                <w:tcPr>
                  <w:tcW w:w="162" w:type="pct"/>
                  <w:vMerge w:val="restart"/>
                  <w:vAlign w:val="center"/>
                </w:tcPr>
                <w:p>
                  <w:pPr>
                    <w:pStyle w:val="62"/>
                    <w:spacing w:line="320" w:lineRule="exact"/>
                    <w:rPr>
                      <w:b/>
                      <w:sz w:val="21"/>
                      <w:szCs w:val="21"/>
                      <w:u w:val="single"/>
                    </w:rPr>
                  </w:pPr>
                  <w:r>
                    <w:rPr>
                      <w:rFonts w:hint="eastAsia"/>
                      <w:b/>
                      <w:sz w:val="21"/>
                      <w:szCs w:val="21"/>
                      <w:u w:val="single"/>
                    </w:rPr>
                    <w:t>20</w:t>
                  </w:r>
                </w:p>
              </w:tc>
              <w:tc>
                <w:tcPr>
                  <w:tcW w:w="158" w:type="pct"/>
                  <w:vMerge w:val="restart"/>
                  <w:vAlign w:val="center"/>
                </w:tcPr>
                <w:p>
                  <w:pPr>
                    <w:pStyle w:val="62"/>
                    <w:spacing w:line="320" w:lineRule="exact"/>
                    <w:rPr>
                      <w:b/>
                      <w:sz w:val="21"/>
                      <w:szCs w:val="21"/>
                      <w:u w:val="single"/>
                    </w:rPr>
                  </w:pPr>
                  <w:r>
                    <w:rPr>
                      <w:rFonts w:hint="eastAsia"/>
                      <w:b/>
                      <w:sz w:val="21"/>
                      <w:szCs w:val="21"/>
                      <w:u w:val="single"/>
                    </w:rPr>
                    <w:t>20</w:t>
                  </w:r>
                </w:p>
              </w:tc>
              <w:tc>
                <w:tcPr>
                  <w:tcW w:w="177" w:type="pct"/>
                  <w:vMerge w:val="restart"/>
                  <w:vAlign w:val="center"/>
                </w:tcPr>
                <w:p>
                  <w:pPr>
                    <w:pStyle w:val="62"/>
                    <w:spacing w:line="320" w:lineRule="exact"/>
                    <w:rPr>
                      <w:b/>
                      <w:sz w:val="21"/>
                      <w:szCs w:val="21"/>
                      <w:u w:val="single"/>
                    </w:rPr>
                  </w:pPr>
                  <w:r>
                    <w:rPr>
                      <w:rFonts w:hint="eastAsia"/>
                      <w:b/>
                      <w:sz w:val="21"/>
                      <w:szCs w:val="21"/>
                      <w:u w:val="single"/>
                    </w:rPr>
                    <w:t>1</w:t>
                  </w:r>
                </w:p>
              </w:tc>
              <w:tc>
                <w:tcPr>
                  <w:tcW w:w="200" w:type="pct"/>
                  <w:vAlign w:val="center"/>
                </w:tcPr>
                <w:p>
                  <w:pPr>
                    <w:pStyle w:val="62"/>
                    <w:spacing w:line="320" w:lineRule="exact"/>
                    <w:rPr>
                      <w:b/>
                      <w:sz w:val="21"/>
                      <w:szCs w:val="21"/>
                      <w:u w:val="single"/>
                    </w:rPr>
                  </w:pPr>
                  <w:r>
                    <w:rPr>
                      <w:b/>
                      <w:sz w:val="21"/>
                      <w:szCs w:val="21"/>
                      <w:u w:val="single"/>
                    </w:rPr>
                    <w:t>东</w:t>
                  </w:r>
                </w:p>
              </w:tc>
              <w:tc>
                <w:tcPr>
                  <w:tcW w:w="181" w:type="pct"/>
                  <w:vAlign w:val="center"/>
                </w:tcPr>
                <w:p>
                  <w:pPr>
                    <w:pStyle w:val="62"/>
                    <w:spacing w:line="320" w:lineRule="exact"/>
                    <w:rPr>
                      <w:b/>
                      <w:sz w:val="21"/>
                      <w:szCs w:val="21"/>
                      <w:u w:val="single"/>
                    </w:rPr>
                  </w:pPr>
                  <w:r>
                    <w:rPr>
                      <w:rFonts w:hint="eastAsia"/>
                      <w:b/>
                      <w:sz w:val="21"/>
                      <w:szCs w:val="21"/>
                      <w:u w:val="single"/>
                    </w:rPr>
                    <w:t>20</w:t>
                  </w:r>
                </w:p>
              </w:tc>
              <w:tc>
                <w:tcPr>
                  <w:tcW w:w="373" w:type="pct"/>
                  <w:vAlign w:val="center"/>
                </w:tcPr>
                <w:p>
                  <w:pPr>
                    <w:pStyle w:val="62"/>
                    <w:spacing w:line="320" w:lineRule="exact"/>
                    <w:rPr>
                      <w:b/>
                      <w:sz w:val="21"/>
                      <w:szCs w:val="21"/>
                      <w:u w:val="single"/>
                    </w:rPr>
                  </w:pPr>
                  <w:r>
                    <w:rPr>
                      <w:rFonts w:hint="eastAsia"/>
                      <w:b/>
                      <w:sz w:val="21"/>
                      <w:szCs w:val="21"/>
                      <w:u w:val="single"/>
                    </w:rPr>
                    <w:t xml:space="preserve">50.97 </w:t>
                  </w:r>
                </w:p>
              </w:tc>
              <w:tc>
                <w:tcPr>
                  <w:tcW w:w="423" w:type="pct"/>
                  <w:vMerge w:val="continue"/>
                  <w:vAlign w:val="center"/>
                </w:tcPr>
                <w:p>
                  <w:pPr>
                    <w:pStyle w:val="62"/>
                    <w:spacing w:line="320" w:lineRule="exact"/>
                    <w:rPr>
                      <w:b/>
                      <w:sz w:val="21"/>
                      <w:szCs w:val="21"/>
                      <w:u w:val="single"/>
                    </w:rPr>
                  </w:pPr>
                </w:p>
              </w:tc>
              <w:tc>
                <w:tcPr>
                  <w:tcW w:w="333" w:type="pct"/>
                  <w:vMerge w:val="continue"/>
                  <w:vAlign w:val="center"/>
                </w:tcPr>
                <w:p>
                  <w:pPr>
                    <w:pStyle w:val="62"/>
                    <w:spacing w:line="320" w:lineRule="exact"/>
                    <w:rPr>
                      <w:b/>
                      <w:sz w:val="21"/>
                      <w:szCs w:val="21"/>
                      <w:u w:val="single"/>
                    </w:rPr>
                  </w:pPr>
                </w:p>
              </w:tc>
              <w:tc>
                <w:tcPr>
                  <w:tcW w:w="286" w:type="pct"/>
                  <w:vAlign w:val="center"/>
                </w:tcPr>
                <w:p>
                  <w:pPr>
                    <w:pStyle w:val="62"/>
                    <w:spacing w:line="320" w:lineRule="exact"/>
                    <w:rPr>
                      <w:b/>
                      <w:sz w:val="21"/>
                      <w:szCs w:val="21"/>
                      <w:u w:val="single"/>
                    </w:rPr>
                  </w:pPr>
                  <w:r>
                    <w:rPr>
                      <w:rFonts w:hint="eastAsia"/>
                      <w:b/>
                      <w:sz w:val="21"/>
                      <w:szCs w:val="21"/>
                      <w:u w:val="single"/>
                    </w:rPr>
                    <w:t xml:space="preserve">30.97 </w:t>
                  </w:r>
                </w:p>
              </w:tc>
              <w:tc>
                <w:tcPr>
                  <w:tcW w:w="167" w:type="pct"/>
                  <w:vAlign w:val="center"/>
                </w:tcPr>
                <w:p>
                  <w:pPr>
                    <w:pStyle w:val="62"/>
                    <w:spacing w:line="320" w:lineRule="exact"/>
                    <w:rPr>
                      <w:b/>
                      <w:sz w:val="21"/>
                      <w:szCs w:val="21"/>
                      <w:u w:val="single"/>
                    </w:rPr>
                  </w:pPr>
                  <w:r>
                    <w:rPr>
                      <w:b/>
                      <w:sz w:val="21"/>
                      <w:szCs w:val="21"/>
                      <w:u w:val="single"/>
                    </w:rPr>
                    <w:t>东</w:t>
                  </w:r>
                </w:p>
              </w:tc>
              <w:tc>
                <w:tcPr>
                  <w:tcW w:w="200" w:type="pct"/>
                  <w:vAlign w:val="center"/>
                </w:tcPr>
                <w:p>
                  <w:pPr>
                    <w:pStyle w:val="62"/>
                    <w:spacing w:line="320" w:lineRule="exact"/>
                    <w:rPr>
                      <w:b/>
                      <w:sz w:val="21"/>
                      <w:szCs w:val="21"/>
                      <w:u w:val="single"/>
                    </w:rPr>
                  </w:pPr>
                  <w:r>
                    <w:rPr>
                      <w:rFonts w:hint="eastAsia"/>
                      <w:b/>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85" w:type="pct"/>
                  <w:vMerge w:val="continue"/>
                  <w:vAlign w:val="center"/>
                </w:tcPr>
                <w:p>
                  <w:pPr>
                    <w:pStyle w:val="62"/>
                    <w:spacing w:line="320" w:lineRule="exact"/>
                    <w:rPr>
                      <w:b/>
                      <w:sz w:val="21"/>
                      <w:szCs w:val="21"/>
                      <w:u w:val="single"/>
                    </w:rPr>
                  </w:pPr>
                </w:p>
              </w:tc>
              <w:tc>
                <w:tcPr>
                  <w:tcW w:w="283" w:type="pct"/>
                  <w:vMerge w:val="continue"/>
                  <w:vAlign w:val="center"/>
                </w:tcPr>
                <w:p>
                  <w:pPr>
                    <w:pStyle w:val="62"/>
                    <w:spacing w:line="320" w:lineRule="exact"/>
                    <w:rPr>
                      <w:b/>
                      <w:sz w:val="21"/>
                      <w:szCs w:val="21"/>
                      <w:u w:val="single"/>
                    </w:rPr>
                  </w:pPr>
                </w:p>
              </w:tc>
              <w:tc>
                <w:tcPr>
                  <w:tcW w:w="375" w:type="pct"/>
                  <w:vMerge w:val="continue"/>
                  <w:vAlign w:val="center"/>
                </w:tcPr>
                <w:p>
                  <w:pPr>
                    <w:pStyle w:val="62"/>
                    <w:spacing w:line="320" w:lineRule="exact"/>
                    <w:rPr>
                      <w:b/>
                      <w:sz w:val="21"/>
                      <w:szCs w:val="21"/>
                      <w:u w:val="single"/>
                    </w:rPr>
                  </w:pPr>
                </w:p>
              </w:tc>
              <w:tc>
                <w:tcPr>
                  <w:tcW w:w="442" w:type="pct"/>
                  <w:vMerge w:val="continue"/>
                  <w:vAlign w:val="center"/>
                </w:tcPr>
                <w:p>
                  <w:pPr>
                    <w:pStyle w:val="62"/>
                    <w:spacing w:line="320" w:lineRule="exact"/>
                    <w:rPr>
                      <w:b/>
                      <w:sz w:val="21"/>
                      <w:szCs w:val="21"/>
                      <w:u w:val="single"/>
                    </w:rPr>
                  </w:pPr>
                </w:p>
              </w:tc>
              <w:tc>
                <w:tcPr>
                  <w:tcW w:w="477" w:type="pct"/>
                  <w:vMerge w:val="continue"/>
                  <w:vAlign w:val="center"/>
                </w:tcPr>
                <w:p>
                  <w:pPr>
                    <w:pStyle w:val="62"/>
                    <w:spacing w:line="320" w:lineRule="exact"/>
                    <w:rPr>
                      <w:b/>
                      <w:sz w:val="21"/>
                      <w:szCs w:val="21"/>
                      <w:u w:val="single"/>
                    </w:rPr>
                  </w:pPr>
                </w:p>
              </w:tc>
              <w:tc>
                <w:tcPr>
                  <w:tcW w:w="339" w:type="pct"/>
                  <w:vMerge w:val="continue"/>
                  <w:vAlign w:val="center"/>
                </w:tcPr>
                <w:p>
                  <w:pPr>
                    <w:pStyle w:val="62"/>
                    <w:spacing w:line="320" w:lineRule="exact"/>
                    <w:rPr>
                      <w:b/>
                      <w:sz w:val="21"/>
                      <w:szCs w:val="21"/>
                      <w:u w:val="single"/>
                    </w:rPr>
                  </w:pPr>
                </w:p>
              </w:tc>
              <w:tc>
                <w:tcPr>
                  <w:tcW w:w="339" w:type="pct"/>
                  <w:vMerge w:val="continue"/>
                  <w:vAlign w:val="center"/>
                </w:tcPr>
                <w:p>
                  <w:pPr>
                    <w:pStyle w:val="62"/>
                    <w:spacing w:line="320" w:lineRule="exact"/>
                    <w:rPr>
                      <w:b/>
                      <w:sz w:val="21"/>
                      <w:szCs w:val="21"/>
                      <w:u w:val="single"/>
                    </w:rPr>
                  </w:pPr>
                </w:p>
              </w:tc>
              <w:tc>
                <w:tcPr>
                  <w:tcW w:w="162" w:type="pct"/>
                  <w:vMerge w:val="continue"/>
                  <w:vAlign w:val="center"/>
                </w:tcPr>
                <w:p>
                  <w:pPr>
                    <w:pStyle w:val="62"/>
                    <w:spacing w:line="320" w:lineRule="exact"/>
                    <w:rPr>
                      <w:b/>
                      <w:sz w:val="21"/>
                      <w:szCs w:val="21"/>
                      <w:u w:val="single"/>
                    </w:rPr>
                  </w:pPr>
                </w:p>
              </w:tc>
              <w:tc>
                <w:tcPr>
                  <w:tcW w:w="158" w:type="pct"/>
                  <w:vMerge w:val="continue"/>
                  <w:vAlign w:val="center"/>
                </w:tcPr>
                <w:p>
                  <w:pPr>
                    <w:pStyle w:val="62"/>
                    <w:spacing w:line="320" w:lineRule="exact"/>
                    <w:rPr>
                      <w:b/>
                      <w:sz w:val="21"/>
                      <w:szCs w:val="21"/>
                      <w:u w:val="single"/>
                    </w:rPr>
                  </w:pPr>
                </w:p>
              </w:tc>
              <w:tc>
                <w:tcPr>
                  <w:tcW w:w="177" w:type="pct"/>
                  <w:vMerge w:val="continue"/>
                  <w:vAlign w:val="center"/>
                </w:tcPr>
                <w:p>
                  <w:pPr>
                    <w:pStyle w:val="62"/>
                    <w:spacing w:line="320" w:lineRule="exact"/>
                    <w:rPr>
                      <w:b/>
                      <w:sz w:val="21"/>
                      <w:szCs w:val="21"/>
                      <w:u w:val="single"/>
                    </w:rPr>
                  </w:pPr>
                </w:p>
              </w:tc>
              <w:tc>
                <w:tcPr>
                  <w:tcW w:w="200" w:type="pct"/>
                  <w:vAlign w:val="center"/>
                </w:tcPr>
                <w:p>
                  <w:pPr>
                    <w:pStyle w:val="62"/>
                    <w:spacing w:line="320" w:lineRule="exact"/>
                    <w:rPr>
                      <w:b/>
                      <w:sz w:val="21"/>
                      <w:szCs w:val="21"/>
                      <w:u w:val="single"/>
                    </w:rPr>
                  </w:pPr>
                  <w:r>
                    <w:rPr>
                      <w:b/>
                      <w:sz w:val="21"/>
                      <w:szCs w:val="21"/>
                      <w:u w:val="single"/>
                    </w:rPr>
                    <w:t>西</w:t>
                  </w:r>
                </w:p>
              </w:tc>
              <w:tc>
                <w:tcPr>
                  <w:tcW w:w="181" w:type="pct"/>
                  <w:vAlign w:val="center"/>
                </w:tcPr>
                <w:p>
                  <w:pPr>
                    <w:pStyle w:val="62"/>
                    <w:spacing w:line="320" w:lineRule="exact"/>
                    <w:rPr>
                      <w:b/>
                      <w:sz w:val="21"/>
                      <w:szCs w:val="21"/>
                      <w:u w:val="single"/>
                    </w:rPr>
                  </w:pPr>
                  <w:r>
                    <w:rPr>
                      <w:rFonts w:hint="eastAsia"/>
                      <w:b/>
                      <w:sz w:val="21"/>
                      <w:szCs w:val="21"/>
                      <w:u w:val="single"/>
                    </w:rPr>
                    <w:t>20</w:t>
                  </w:r>
                </w:p>
              </w:tc>
              <w:tc>
                <w:tcPr>
                  <w:tcW w:w="373" w:type="pct"/>
                  <w:vAlign w:val="center"/>
                </w:tcPr>
                <w:p>
                  <w:pPr>
                    <w:pStyle w:val="62"/>
                    <w:spacing w:line="320" w:lineRule="exact"/>
                    <w:rPr>
                      <w:b/>
                      <w:sz w:val="21"/>
                      <w:szCs w:val="21"/>
                      <w:u w:val="single"/>
                    </w:rPr>
                  </w:pPr>
                  <w:r>
                    <w:rPr>
                      <w:rFonts w:hint="eastAsia"/>
                      <w:b/>
                      <w:sz w:val="21"/>
                      <w:szCs w:val="21"/>
                      <w:u w:val="single"/>
                    </w:rPr>
                    <w:t xml:space="preserve">50.97 </w:t>
                  </w:r>
                </w:p>
              </w:tc>
              <w:tc>
                <w:tcPr>
                  <w:tcW w:w="423" w:type="pct"/>
                  <w:vMerge w:val="continue"/>
                  <w:vAlign w:val="center"/>
                </w:tcPr>
                <w:p>
                  <w:pPr>
                    <w:pStyle w:val="62"/>
                    <w:spacing w:line="320" w:lineRule="exact"/>
                    <w:rPr>
                      <w:b/>
                      <w:sz w:val="21"/>
                      <w:szCs w:val="21"/>
                      <w:u w:val="single"/>
                    </w:rPr>
                  </w:pPr>
                </w:p>
              </w:tc>
              <w:tc>
                <w:tcPr>
                  <w:tcW w:w="333" w:type="pct"/>
                  <w:vMerge w:val="continue"/>
                  <w:vAlign w:val="center"/>
                </w:tcPr>
                <w:p>
                  <w:pPr>
                    <w:pStyle w:val="62"/>
                    <w:spacing w:line="320" w:lineRule="exact"/>
                    <w:rPr>
                      <w:b/>
                      <w:sz w:val="21"/>
                      <w:szCs w:val="21"/>
                      <w:u w:val="single"/>
                    </w:rPr>
                  </w:pPr>
                </w:p>
              </w:tc>
              <w:tc>
                <w:tcPr>
                  <w:tcW w:w="286" w:type="pct"/>
                  <w:vAlign w:val="center"/>
                </w:tcPr>
                <w:p>
                  <w:pPr>
                    <w:pStyle w:val="62"/>
                    <w:spacing w:line="320" w:lineRule="exact"/>
                    <w:rPr>
                      <w:b/>
                      <w:sz w:val="21"/>
                      <w:szCs w:val="21"/>
                      <w:u w:val="single"/>
                    </w:rPr>
                  </w:pPr>
                  <w:r>
                    <w:rPr>
                      <w:rFonts w:hint="eastAsia"/>
                      <w:b/>
                      <w:sz w:val="21"/>
                      <w:szCs w:val="21"/>
                      <w:u w:val="single"/>
                    </w:rPr>
                    <w:t xml:space="preserve">30.97 </w:t>
                  </w:r>
                </w:p>
              </w:tc>
              <w:tc>
                <w:tcPr>
                  <w:tcW w:w="167" w:type="pct"/>
                  <w:vAlign w:val="center"/>
                </w:tcPr>
                <w:p>
                  <w:pPr>
                    <w:pStyle w:val="62"/>
                    <w:spacing w:line="320" w:lineRule="exact"/>
                    <w:rPr>
                      <w:b/>
                      <w:sz w:val="21"/>
                      <w:szCs w:val="21"/>
                      <w:u w:val="single"/>
                    </w:rPr>
                  </w:pPr>
                  <w:r>
                    <w:rPr>
                      <w:b/>
                      <w:sz w:val="21"/>
                      <w:szCs w:val="21"/>
                      <w:u w:val="single"/>
                    </w:rPr>
                    <w:t>西</w:t>
                  </w:r>
                </w:p>
              </w:tc>
              <w:tc>
                <w:tcPr>
                  <w:tcW w:w="200" w:type="pct"/>
                  <w:vAlign w:val="center"/>
                </w:tcPr>
                <w:p>
                  <w:pPr>
                    <w:pStyle w:val="62"/>
                    <w:spacing w:line="320" w:lineRule="exact"/>
                    <w:rPr>
                      <w:b/>
                      <w:sz w:val="21"/>
                      <w:szCs w:val="21"/>
                      <w:u w:val="single"/>
                    </w:rPr>
                  </w:pPr>
                  <w:r>
                    <w:rPr>
                      <w:rFonts w:hint="eastAsia"/>
                      <w:b/>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85" w:type="pct"/>
                  <w:vMerge w:val="continue"/>
                  <w:vAlign w:val="center"/>
                </w:tcPr>
                <w:p>
                  <w:pPr>
                    <w:pStyle w:val="62"/>
                    <w:spacing w:line="320" w:lineRule="exact"/>
                    <w:rPr>
                      <w:b/>
                      <w:sz w:val="21"/>
                      <w:szCs w:val="21"/>
                      <w:u w:val="single"/>
                    </w:rPr>
                  </w:pPr>
                </w:p>
              </w:tc>
              <w:tc>
                <w:tcPr>
                  <w:tcW w:w="283" w:type="pct"/>
                  <w:vMerge w:val="continue"/>
                  <w:vAlign w:val="center"/>
                </w:tcPr>
                <w:p>
                  <w:pPr>
                    <w:pStyle w:val="62"/>
                    <w:spacing w:line="320" w:lineRule="exact"/>
                    <w:rPr>
                      <w:b/>
                      <w:sz w:val="21"/>
                      <w:szCs w:val="21"/>
                      <w:u w:val="single"/>
                    </w:rPr>
                  </w:pPr>
                </w:p>
              </w:tc>
              <w:tc>
                <w:tcPr>
                  <w:tcW w:w="375" w:type="pct"/>
                  <w:vMerge w:val="continue"/>
                  <w:vAlign w:val="center"/>
                </w:tcPr>
                <w:p>
                  <w:pPr>
                    <w:pStyle w:val="62"/>
                    <w:spacing w:line="320" w:lineRule="exact"/>
                    <w:rPr>
                      <w:b/>
                      <w:sz w:val="21"/>
                      <w:szCs w:val="21"/>
                      <w:u w:val="single"/>
                    </w:rPr>
                  </w:pPr>
                </w:p>
              </w:tc>
              <w:tc>
                <w:tcPr>
                  <w:tcW w:w="442" w:type="pct"/>
                  <w:vMerge w:val="continue"/>
                  <w:vAlign w:val="center"/>
                </w:tcPr>
                <w:p>
                  <w:pPr>
                    <w:pStyle w:val="62"/>
                    <w:spacing w:line="320" w:lineRule="exact"/>
                    <w:rPr>
                      <w:b/>
                      <w:sz w:val="21"/>
                      <w:szCs w:val="21"/>
                      <w:u w:val="single"/>
                    </w:rPr>
                  </w:pPr>
                </w:p>
              </w:tc>
              <w:tc>
                <w:tcPr>
                  <w:tcW w:w="477" w:type="pct"/>
                  <w:vMerge w:val="continue"/>
                  <w:vAlign w:val="center"/>
                </w:tcPr>
                <w:p>
                  <w:pPr>
                    <w:pStyle w:val="62"/>
                    <w:spacing w:line="320" w:lineRule="exact"/>
                    <w:rPr>
                      <w:b/>
                      <w:sz w:val="21"/>
                      <w:szCs w:val="21"/>
                      <w:u w:val="single"/>
                    </w:rPr>
                  </w:pPr>
                </w:p>
              </w:tc>
              <w:tc>
                <w:tcPr>
                  <w:tcW w:w="339" w:type="pct"/>
                  <w:vMerge w:val="continue"/>
                  <w:vAlign w:val="center"/>
                </w:tcPr>
                <w:p>
                  <w:pPr>
                    <w:pStyle w:val="62"/>
                    <w:spacing w:line="320" w:lineRule="exact"/>
                    <w:rPr>
                      <w:b/>
                      <w:sz w:val="21"/>
                      <w:szCs w:val="21"/>
                      <w:u w:val="single"/>
                    </w:rPr>
                  </w:pPr>
                </w:p>
              </w:tc>
              <w:tc>
                <w:tcPr>
                  <w:tcW w:w="339" w:type="pct"/>
                  <w:vMerge w:val="continue"/>
                  <w:vAlign w:val="center"/>
                </w:tcPr>
                <w:p>
                  <w:pPr>
                    <w:pStyle w:val="62"/>
                    <w:spacing w:line="320" w:lineRule="exact"/>
                    <w:rPr>
                      <w:b/>
                      <w:sz w:val="21"/>
                      <w:szCs w:val="21"/>
                      <w:u w:val="single"/>
                    </w:rPr>
                  </w:pPr>
                </w:p>
              </w:tc>
              <w:tc>
                <w:tcPr>
                  <w:tcW w:w="162" w:type="pct"/>
                  <w:vMerge w:val="continue"/>
                  <w:vAlign w:val="center"/>
                </w:tcPr>
                <w:p>
                  <w:pPr>
                    <w:pStyle w:val="62"/>
                    <w:spacing w:line="320" w:lineRule="exact"/>
                    <w:rPr>
                      <w:b/>
                      <w:sz w:val="21"/>
                      <w:szCs w:val="21"/>
                      <w:u w:val="single"/>
                    </w:rPr>
                  </w:pPr>
                </w:p>
              </w:tc>
              <w:tc>
                <w:tcPr>
                  <w:tcW w:w="158" w:type="pct"/>
                  <w:vMerge w:val="continue"/>
                  <w:vAlign w:val="center"/>
                </w:tcPr>
                <w:p>
                  <w:pPr>
                    <w:pStyle w:val="62"/>
                    <w:spacing w:line="320" w:lineRule="exact"/>
                    <w:rPr>
                      <w:b/>
                      <w:sz w:val="21"/>
                      <w:szCs w:val="21"/>
                      <w:u w:val="single"/>
                    </w:rPr>
                  </w:pPr>
                </w:p>
              </w:tc>
              <w:tc>
                <w:tcPr>
                  <w:tcW w:w="177" w:type="pct"/>
                  <w:vMerge w:val="continue"/>
                  <w:vAlign w:val="center"/>
                </w:tcPr>
                <w:p>
                  <w:pPr>
                    <w:pStyle w:val="62"/>
                    <w:spacing w:line="320" w:lineRule="exact"/>
                    <w:rPr>
                      <w:b/>
                      <w:sz w:val="21"/>
                      <w:szCs w:val="21"/>
                      <w:u w:val="single"/>
                    </w:rPr>
                  </w:pPr>
                </w:p>
              </w:tc>
              <w:tc>
                <w:tcPr>
                  <w:tcW w:w="200" w:type="pct"/>
                  <w:vAlign w:val="center"/>
                </w:tcPr>
                <w:p>
                  <w:pPr>
                    <w:pStyle w:val="62"/>
                    <w:spacing w:line="320" w:lineRule="exact"/>
                    <w:rPr>
                      <w:b/>
                      <w:sz w:val="21"/>
                      <w:szCs w:val="21"/>
                      <w:u w:val="single"/>
                    </w:rPr>
                  </w:pPr>
                  <w:r>
                    <w:rPr>
                      <w:b/>
                      <w:sz w:val="21"/>
                      <w:szCs w:val="21"/>
                      <w:u w:val="single"/>
                    </w:rPr>
                    <w:t>南</w:t>
                  </w:r>
                </w:p>
              </w:tc>
              <w:tc>
                <w:tcPr>
                  <w:tcW w:w="181" w:type="pct"/>
                  <w:vAlign w:val="center"/>
                </w:tcPr>
                <w:p>
                  <w:pPr>
                    <w:pStyle w:val="62"/>
                    <w:spacing w:line="320" w:lineRule="exact"/>
                    <w:rPr>
                      <w:b/>
                      <w:sz w:val="21"/>
                      <w:szCs w:val="21"/>
                      <w:u w:val="single"/>
                    </w:rPr>
                  </w:pPr>
                  <w:r>
                    <w:rPr>
                      <w:rFonts w:hint="eastAsia"/>
                      <w:b/>
                      <w:sz w:val="21"/>
                      <w:szCs w:val="21"/>
                      <w:u w:val="single"/>
                    </w:rPr>
                    <w:t>20</w:t>
                  </w:r>
                </w:p>
              </w:tc>
              <w:tc>
                <w:tcPr>
                  <w:tcW w:w="373" w:type="pct"/>
                  <w:vAlign w:val="center"/>
                </w:tcPr>
                <w:p>
                  <w:pPr>
                    <w:pStyle w:val="62"/>
                    <w:spacing w:line="320" w:lineRule="exact"/>
                    <w:rPr>
                      <w:b/>
                      <w:sz w:val="21"/>
                      <w:szCs w:val="21"/>
                      <w:u w:val="single"/>
                    </w:rPr>
                  </w:pPr>
                  <w:r>
                    <w:rPr>
                      <w:rFonts w:hint="eastAsia"/>
                      <w:b/>
                      <w:sz w:val="21"/>
                      <w:szCs w:val="21"/>
                      <w:u w:val="single"/>
                    </w:rPr>
                    <w:t xml:space="preserve">50.97 </w:t>
                  </w:r>
                </w:p>
              </w:tc>
              <w:tc>
                <w:tcPr>
                  <w:tcW w:w="423" w:type="pct"/>
                  <w:vMerge w:val="continue"/>
                  <w:vAlign w:val="center"/>
                </w:tcPr>
                <w:p>
                  <w:pPr>
                    <w:pStyle w:val="62"/>
                    <w:spacing w:line="320" w:lineRule="exact"/>
                    <w:rPr>
                      <w:b/>
                      <w:sz w:val="21"/>
                      <w:szCs w:val="21"/>
                      <w:u w:val="single"/>
                    </w:rPr>
                  </w:pPr>
                </w:p>
              </w:tc>
              <w:tc>
                <w:tcPr>
                  <w:tcW w:w="333" w:type="pct"/>
                  <w:vMerge w:val="continue"/>
                  <w:vAlign w:val="center"/>
                </w:tcPr>
                <w:p>
                  <w:pPr>
                    <w:pStyle w:val="62"/>
                    <w:spacing w:line="320" w:lineRule="exact"/>
                    <w:rPr>
                      <w:b/>
                      <w:sz w:val="21"/>
                      <w:szCs w:val="21"/>
                      <w:u w:val="single"/>
                    </w:rPr>
                  </w:pPr>
                </w:p>
              </w:tc>
              <w:tc>
                <w:tcPr>
                  <w:tcW w:w="286" w:type="pct"/>
                  <w:vAlign w:val="center"/>
                </w:tcPr>
                <w:p>
                  <w:pPr>
                    <w:pStyle w:val="62"/>
                    <w:spacing w:line="320" w:lineRule="exact"/>
                    <w:rPr>
                      <w:b/>
                      <w:sz w:val="21"/>
                      <w:szCs w:val="21"/>
                      <w:u w:val="single"/>
                    </w:rPr>
                  </w:pPr>
                  <w:r>
                    <w:rPr>
                      <w:rFonts w:hint="eastAsia"/>
                      <w:b/>
                      <w:sz w:val="21"/>
                      <w:szCs w:val="21"/>
                      <w:u w:val="single"/>
                    </w:rPr>
                    <w:t xml:space="preserve">30.97 </w:t>
                  </w:r>
                </w:p>
              </w:tc>
              <w:tc>
                <w:tcPr>
                  <w:tcW w:w="167" w:type="pct"/>
                  <w:vAlign w:val="center"/>
                </w:tcPr>
                <w:p>
                  <w:pPr>
                    <w:pStyle w:val="62"/>
                    <w:spacing w:line="320" w:lineRule="exact"/>
                    <w:rPr>
                      <w:b/>
                      <w:sz w:val="21"/>
                      <w:szCs w:val="21"/>
                      <w:u w:val="single"/>
                    </w:rPr>
                  </w:pPr>
                  <w:r>
                    <w:rPr>
                      <w:b/>
                      <w:sz w:val="21"/>
                      <w:szCs w:val="21"/>
                      <w:u w:val="single"/>
                    </w:rPr>
                    <w:t>南</w:t>
                  </w:r>
                </w:p>
              </w:tc>
              <w:tc>
                <w:tcPr>
                  <w:tcW w:w="200" w:type="pct"/>
                  <w:vAlign w:val="center"/>
                </w:tcPr>
                <w:p>
                  <w:pPr>
                    <w:pStyle w:val="62"/>
                    <w:spacing w:line="320" w:lineRule="exact"/>
                    <w:rPr>
                      <w:b/>
                      <w:sz w:val="21"/>
                      <w:szCs w:val="21"/>
                      <w:u w:val="single"/>
                    </w:rPr>
                  </w:pPr>
                  <w:r>
                    <w:rPr>
                      <w:rFonts w:hint="eastAsia"/>
                      <w:b/>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85" w:type="pct"/>
                  <w:vMerge w:val="continue"/>
                  <w:vAlign w:val="center"/>
                </w:tcPr>
                <w:p>
                  <w:pPr>
                    <w:pStyle w:val="62"/>
                    <w:spacing w:line="320" w:lineRule="exact"/>
                    <w:rPr>
                      <w:b/>
                      <w:sz w:val="21"/>
                      <w:szCs w:val="21"/>
                      <w:u w:val="single"/>
                    </w:rPr>
                  </w:pPr>
                </w:p>
              </w:tc>
              <w:tc>
                <w:tcPr>
                  <w:tcW w:w="283" w:type="pct"/>
                  <w:vMerge w:val="continue"/>
                  <w:vAlign w:val="center"/>
                </w:tcPr>
                <w:p>
                  <w:pPr>
                    <w:pStyle w:val="62"/>
                    <w:spacing w:line="320" w:lineRule="exact"/>
                    <w:rPr>
                      <w:b/>
                      <w:sz w:val="21"/>
                      <w:szCs w:val="21"/>
                      <w:u w:val="single"/>
                    </w:rPr>
                  </w:pPr>
                </w:p>
              </w:tc>
              <w:tc>
                <w:tcPr>
                  <w:tcW w:w="375" w:type="pct"/>
                  <w:vMerge w:val="continue"/>
                  <w:vAlign w:val="center"/>
                </w:tcPr>
                <w:p>
                  <w:pPr>
                    <w:pStyle w:val="62"/>
                    <w:spacing w:line="320" w:lineRule="exact"/>
                    <w:rPr>
                      <w:b/>
                      <w:sz w:val="21"/>
                      <w:szCs w:val="21"/>
                      <w:u w:val="single"/>
                    </w:rPr>
                  </w:pPr>
                </w:p>
              </w:tc>
              <w:tc>
                <w:tcPr>
                  <w:tcW w:w="442" w:type="pct"/>
                  <w:vMerge w:val="continue"/>
                  <w:vAlign w:val="center"/>
                </w:tcPr>
                <w:p>
                  <w:pPr>
                    <w:pStyle w:val="62"/>
                    <w:spacing w:line="320" w:lineRule="exact"/>
                    <w:rPr>
                      <w:b/>
                      <w:sz w:val="21"/>
                      <w:szCs w:val="21"/>
                      <w:u w:val="single"/>
                    </w:rPr>
                  </w:pPr>
                </w:p>
              </w:tc>
              <w:tc>
                <w:tcPr>
                  <w:tcW w:w="477" w:type="pct"/>
                  <w:vMerge w:val="continue"/>
                  <w:vAlign w:val="center"/>
                </w:tcPr>
                <w:p>
                  <w:pPr>
                    <w:pStyle w:val="62"/>
                    <w:spacing w:line="320" w:lineRule="exact"/>
                    <w:rPr>
                      <w:b/>
                      <w:sz w:val="21"/>
                      <w:szCs w:val="21"/>
                      <w:u w:val="single"/>
                    </w:rPr>
                  </w:pPr>
                </w:p>
              </w:tc>
              <w:tc>
                <w:tcPr>
                  <w:tcW w:w="339" w:type="pct"/>
                  <w:vMerge w:val="continue"/>
                  <w:vAlign w:val="center"/>
                </w:tcPr>
                <w:p>
                  <w:pPr>
                    <w:pStyle w:val="62"/>
                    <w:spacing w:line="320" w:lineRule="exact"/>
                    <w:rPr>
                      <w:b/>
                      <w:sz w:val="21"/>
                      <w:szCs w:val="21"/>
                      <w:u w:val="single"/>
                    </w:rPr>
                  </w:pPr>
                </w:p>
              </w:tc>
              <w:tc>
                <w:tcPr>
                  <w:tcW w:w="339" w:type="pct"/>
                  <w:vMerge w:val="continue"/>
                  <w:vAlign w:val="center"/>
                </w:tcPr>
                <w:p>
                  <w:pPr>
                    <w:pStyle w:val="62"/>
                    <w:spacing w:line="320" w:lineRule="exact"/>
                    <w:rPr>
                      <w:b/>
                      <w:sz w:val="21"/>
                      <w:szCs w:val="21"/>
                      <w:u w:val="single"/>
                    </w:rPr>
                  </w:pPr>
                </w:p>
              </w:tc>
              <w:tc>
                <w:tcPr>
                  <w:tcW w:w="162" w:type="pct"/>
                  <w:vMerge w:val="continue"/>
                  <w:vAlign w:val="center"/>
                </w:tcPr>
                <w:p>
                  <w:pPr>
                    <w:pStyle w:val="62"/>
                    <w:spacing w:line="320" w:lineRule="exact"/>
                    <w:rPr>
                      <w:b/>
                      <w:sz w:val="21"/>
                      <w:szCs w:val="21"/>
                      <w:u w:val="single"/>
                    </w:rPr>
                  </w:pPr>
                </w:p>
              </w:tc>
              <w:tc>
                <w:tcPr>
                  <w:tcW w:w="158" w:type="pct"/>
                  <w:vMerge w:val="continue"/>
                  <w:vAlign w:val="center"/>
                </w:tcPr>
                <w:p>
                  <w:pPr>
                    <w:pStyle w:val="62"/>
                    <w:spacing w:line="320" w:lineRule="exact"/>
                    <w:rPr>
                      <w:b/>
                      <w:sz w:val="21"/>
                      <w:szCs w:val="21"/>
                      <w:u w:val="single"/>
                    </w:rPr>
                  </w:pPr>
                </w:p>
              </w:tc>
              <w:tc>
                <w:tcPr>
                  <w:tcW w:w="177" w:type="pct"/>
                  <w:vMerge w:val="continue"/>
                  <w:vAlign w:val="center"/>
                </w:tcPr>
                <w:p>
                  <w:pPr>
                    <w:pStyle w:val="62"/>
                    <w:spacing w:line="320" w:lineRule="exact"/>
                    <w:rPr>
                      <w:b/>
                      <w:sz w:val="21"/>
                      <w:szCs w:val="21"/>
                      <w:u w:val="single"/>
                    </w:rPr>
                  </w:pPr>
                </w:p>
              </w:tc>
              <w:tc>
                <w:tcPr>
                  <w:tcW w:w="200" w:type="pct"/>
                  <w:vAlign w:val="center"/>
                </w:tcPr>
                <w:p>
                  <w:pPr>
                    <w:pStyle w:val="62"/>
                    <w:spacing w:line="320" w:lineRule="exact"/>
                    <w:rPr>
                      <w:b/>
                      <w:sz w:val="21"/>
                      <w:szCs w:val="21"/>
                      <w:u w:val="single"/>
                    </w:rPr>
                  </w:pPr>
                  <w:r>
                    <w:rPr>
                      <w:b/>
                      <w:sz w:val="21"/>
                      <w:szCs w:val="21"/>
                      <w:u w:val="single"/>
                    </w:rPr>
                    <w:t>北</w:t>
                  </w:r>
                </w:p>
              </w:tc>
              <w:tc>
                <w:tcPr>
                  <w:tcW w:w="181" w:type="pct"/>
                  <w:vAlign w:val="center"/>
                </w:tcPr>
                <w:p>
                  <w:pPr>
                    <w:pStyle w:val="62"/>
                    <w:spacing w:line="320" w:lineRule="exact"/>
                    <w:rPr>
                      <w:b/>
                      <w:sz w:val="21"/>
                      <w:szCs w:val="21"/>
                      <w:u w:val="single"/>
                    </w:rPr>
                  </w:pPr>
                  <w:r>
                    <w:rPr>
                      <w:rFonts w:hint="eastAsia"/>
                      <w:b/>
                      <w:sz w:val="21"/>
                      <w:szCs w:val="21"/>
                      <w:u w:val="single"/>
                    </w:rPr>
                    <w:t>60</w:t>
                  </w:r>
                </w:p>
              </w:tc>
              <w:tc>
                <w:tcPr>
                  <w:tcW w:w="373" w:type="pct"/>
                  <w:vAlign w:val="center"/>
                </w:tcPr>
                <w:p>
                  <w:pPr>
                    <w:pStyle w:val="62"/>
                    <w:spacing w:line="320" w:lineRule="exact"/>
                    <w:rPr>
                      <w:b/>
                      <w:sz w:val="21"/>
                      <w:szCs w:val="21"/>
                      <w:u w:val="single"/>
                    </w:rPr>
                  </w:pPr>
                  <w:r>
                    <w:rPr>
                      <w:rFonts w:hint="eastAsia"/>
                      <w:b/>
                      <w:sz w:val="21"/>
                      <w:szCs w:val="21"/>
                      <w:u w:val="single"/>
                    </w:rPr>
                    <w:t xml:space="preserve">41.43 </w:t>
                  </w:r>
                </w:p>
              </w:tc>
              <w:tc>
                <w:tcPr>
                  <w:tcW w:w="423" w:type="pct"/>
                  <w:vMerge w:val="continue"/>
                  <w:vAlign w:val="center"/>
                </w:tcPr>
                <w:p>
                  <w:pPr>
                    <w:pStyle w:val="62"/>
                    <w:spacing w:line="320" w:lineRule="exact"/>
                    <w:rPr>
                      <w:b/>
                      <w:sz w:val="21"/>
                      <w:szCs w:val="21"/>
                      <w:u w:val="single"/>
                    </w:rPr>
                  </w:pPr>
                </w:p>
              </w:tc>
              <w:tc>
                <w:tcPr>
                  <w:tcW w:w="333" w:type="pct"/>
                  <w:vMerge w:val="continue"/>
                  <w:vAlign w:val="center"/>
                </w:tcPr>
                <w:p>
                  <w:pPr>
                    <w:pStyle w:val="62"/>
                    <w:spacing w:line="320" w:lineRule="exact"/>
                    <w:rPr>
                      <w:b/>
                      <w:sz w:val="21"/>
                      <w:szCs w:val="21"/>
                      <w:u w:val="single"/>
                    </w:rPr>
                  </w:pPr>
                </w:p>
              </w:tc>
              <w:tc>
                <w:tcPr>
                  <w:tcW w:w="286" w:type="pct"/>
                  <w:vAlign w:val="center"/>
                </w:tcPr>
                <w:p>
                  <w:pPr>
                    <w:pStyle w:val="62"/>
                    <w:spacing w:line="320" w:lineRule="exact"/>
                    <w:rPr>
                      <w:b/>
                      <w:sz w:val="21"/>
                      <w:szCs w:val="21"/>
                      <w:u w:val="single"/>
                    </w:rPr>
                  </w:pPr>
                  <w:r>
                    <w:rPr>
                      <w:rFonts w:hint="eastAsia"/>
                      <w:b/>
                      <w:sz w:val="21"/>
                      <w:szCs w:val="21"/>
                      <w:u w:val="single"/>
                    </w:rPr>
                    <w:t xml:space="preserve">21.43 </w:t>
                  </w:r>
                </w:p>
              </w:tc>
              <w:tc>
                <w:tcPr>
                  <w:tcW w:w="167" w:type="pct"/>
                  <w:vAlign w:val="center"/>
                </w:tcPr>
                <w:p>
                  <w:pPr>
                    <w:pStyle w:val="62"/>
                    <w:spacing w:line="320" w:lineRule="exact"/>
                    <w:rPr>
                      <w:b/>
                      <w:sz w:val="21"/>
                      <w:szCs w:val="21"/>
                      <w:u w:val="single"/>
                    </w:rPr>
                  </w:pPr>
                  <w:r>
                    <w:rPr>
                      <w:b/>
                      <w:sz w:val="21"/>
                      <w:szCs w:val="21"/>
                      <w:u w:val="single"/>
                    </w:rPr>
                    <w:t>北</w:t>
                  </w:r>
                </w:p>
              </w:tc>
              <w:tc>
                <w:tcPr>
                  <w:tcW w:w="200" w:type="pct"/>
                  <w:vAlign w:val="center"/>
                </w:tcPr>
                <w:p>
                  <w:pPr>
                    <w:pStyle w:val="62"/>
                    <w:spacing w:line="320" w:lineRule="exact"/>
                    <w:rPr>
                      <w:b/>
                      <w:sz w:val="21"/>
                      <w:szCs w:val="21"/>
                      <w:u w:val="single"/>
                    </w:rPr>
                  </w:pPr>
                  <w:r>
                    <w:rPr>
                      <w:rFonts w:hint="eastAsia"/>
                      <w:b/>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85" w:type="pct"/>
                  <w:vMerge w:val="restart"/>
                  <w:vAlign w:val="center"/>
                </w:tcPr>
                <w:p>
                  <w:pPr>
                    <w:pStyle w:val="62"/>
                    <w:spacing w:line="320" w:lineRule="exact"/>
                    <w:rPr>
                      <w:b/>
                      <w:sz w:val="21"/>
                      <w:szCs w:val="21"/>
                      <w:u w:val="single"/>
                    </w:rPr>
                  </w:pPr>
                  <w:r>
                    <w:rPr>
                      <w:b/>
                      <w:sz w:val="21"/>
                      <w:szCs w:val="21"/>
                      <w:u w:val="single"/>
                    </w:rPr>
                    <w:t>3</w:t>
                  </w:r>
                </w:p>
              </w:tc>
              <w:tc>
                <w:tcPr>
                  <w:tcW w:w="283" w:type="pct"/>
                  <w:vMerge w:val="continue"/>
                  <w:vAlign w:val="center"/>
                </w:tcPr>
                <w:p>
                  <w:pPr>
                    <w:pStyle w:val="62"/>
                    <w:spacing w:line="320" w:lineRule="exact"/>
                    <w:rPr>
                      <w:b/>
                      <w:sz w:val="21"/>
                      <w:szCs w:val="21"/>
                      <w:u w:val="single"/>
                    </w:rPr>
                  </w:pPr>
                </w:p>
              </w:tc>
              <w:tc>
                <w:tcPr>
                  <w:tcW w:w="375" w:type="pct"/>
                  <w:vMerge w:val="restart"/>
                  <w:vAlign w:val="center"/>
                </w:tcPr>
                <w:p>
                  <w:pPr>
                    <w:pStyle w:val="62"/>
                    <w:spacing w:line="320" w:lineRule="exact"/>
                    <w:rPr>
                      <w:b/>
                      <w:sz w:val="21"/>
                      <w:szCs w:val="21"/>
                      <w:u w:val="single"/>
                    </w:rPr>
                  </w:pPr>
                  <w:r>
                    <w:rPr>
                      <w:rFonts w:hint="eastAsia"/>
                      <w:b/>
                      <w:szCs w:val="21"/>
                      <w:u w:val="single"/>
                    </w:rPr>
                    <w:t>织吊带机</w:t>
                  </w:r>
                </w:p>
              </w:tc>
              <w:tc>
                <w:tcPr>
                  <w:tcW w:w="442" w:type="pct"/>
                  <w:vMerge w:val="restart"/>
                  <w:vAlign w:val="center"/>
                </w:tcPr>
                <w:p>
                  <w:pPr>
                    <w:pStyle w:val="62"/>
                    <w:spacing w:line="320" w:lineRule="exact"/>
                    <w:rPr>
                      <w:b/>
                      <w:sz w:val="21"/>
                      <w:szCs w:val="21"/>
                      <w:u w:val="single"/>
                    </w:rPr>
                  </w:pPr>
                  <w:r>
                    <w:rPr>
                      <w:rFonts w:hint="eastAsia"/>
                      <w:b/>
                      <w:sz w:val="21"/>
                      <w:szCs w:val="21"/>
                      <w:u w:val="single"/>
                    </w:rPr>
                    <w:t>30</w:t>
                  </w:r>
                </w:p>
              </w:tc>
              <w:tc>
                <w:tcPr>
                  <w:tcW w:w="477" w:type="pct"/>
                  <w:vMerge w:val="restart"/>
                  <w:vAlign w:val="center"/>
                </w:tcPr>
                <w:p>
                  <w:pPr>
                    <w:pStyle w:val="62"/>
                    <w:spacing w:line="320" w:lineRule="exact"/>
                    <w:rPr>
                      <w:b/>
                      <w:sz w:val="21"/>
                      <w:szCs w:val="21"/>
                      <w:u w:val="single"/>
                    </w:rPr>
                  </w:pPr>
                  <w:r>
                    <w:rPr>
                      <w:rFonts w:hint="eastAsia"/>
                      <w:b/>
                      <w:sz w:val="21"/>
                      <w:szCs w:val="21"/>
                      <w:u w:val="single"/>
                    </w:rPr>
                    <w:t>/</w:t>
                  </w:r>
                </w:p>
              </w:tc>
              <w:tc>
                <w:tcPr>
                  <w:tcW w:w="339" w:type="pct"/>
                  <w:vMerge w:val="restart"/>
                  <w:vAlign w:val="center"/>
                </w:tcPr>
                <w:p>
                  <w:pPr>
                    <w:pStyle w:val="62"/>
                    <w:spacing w:line="320" w:lineRule="exact"/>
                    <w:rPr>
                      <w:b/>
                      <w:sz w:val="21"/>
                      <w:szCs w:val="21"/>
                      <w:u w:val="single"/>
                    </w:rPr>
                  </w:pPr>
                  <w:r>
                    <w:rPr>
                      <w:rFonts w:hint="eastAsia"/>
                      <w:b/>
                      <w:sz w:val="21"/>
                      <w:szCs w:val="21"/>
                      <w:u w:val="single"/>
                    </w:rPr>
                    <w:t>60</w:t>
                  </w:r>
                </w:p>
              </w:tc>
              <w:tc>
                <w:tcPr>
                  <w:tcW w:w="339" w:type="pct"/>
                  <w:vMerge w:val="continue"/>
                  <w:vAlign w:val="center"/>
                </w:tcPr>
                <w:p>
                  <w:pPr>
                    <w:pStyle w:val="62"/>
                    <w:spacing w:line="320" w:lineRule="exact"/>
                    <w:rPr>
                      <w:b/>
                      <w:sz w:val="21"/>
                      <w:szCs w:val="21"/>
                      <w:u w:val="single"/>
                    </w:rPr>
                  </w:pPr>
                </w:p>
              </w:tc>
              <w:tc>
                <w:tcPr>
                  <w:tcW w:w="162" w:type="pct"/>
                  <w:vMerge w:val="restart"/>
                  <w:vAlign w:val="center"/>
                </w:tcPr>
                <w:p>
                  <w:pPr>
                    <w:pStyle w:val="62"/>
                    <w:spacing w:line="320" w:lineRule="exact"/>
                    <w:rPr>
                      <w:b/>
                      <w:sz w:val="21"/>
                      <w:szCs w:val="21"/>
                      <w:u w:val="single"/>
                    </w:rPr>
                  </w:pPr>
                  <w:r>
                    <w:rPr>
                      <w:rFonts w:hint="eastAsia"/>
                      <w:b/>
                      <w:sz w:val="21"/>
                      <w:szCs w:val="21"/>
                      <w:u w:val="single"/>
                    </w:rPr>
                    <w:t>20</w:t>
                  </w:r>
                </w:p>
              </w:tc>
              <w:tc>
                <w:tcPr>
                  <w:tcW w:w="158" w:type="pct"/>
                  <w:vMerge w:val="restart"/>
                  <w:vAlign w:val="center"/>
                </w:tcPr>
                <w:p>
                  <w:pPr>
                    <w:pStyle w:val="62"/>
                    <w:spacing w:line="320" w:lineRule="exact"/>
                    <w:rPr>
                      <w:b/>
                      <w:sz w:val="21"/>
                      <w:szCs w:val="21"/>
                      <w:u w:val="single"/>
                    </w:rPr>
                  </w:pPr>
                  <w:r>
                    <w:rPr>
                      <w:rFonts w:hint="eastAsia"/>
                      <w:b/>
                      <w:sz w:val="21"/>
                      <w:szCs w:val="21"/>
                      <w:u w:val="single"/>
                    </w:rPr>
                    <w:t>30</w:t>
                  </w:r>
                </w:p>
              </w:tc>
              <w:tc>
                <w:tcPr>
                  <w:tcW w:w="177" w:type="pct"/>
                  <w:vMerge w:val="restart"/>
                  <w:vAlign w:val="center"/>
                </w:tcPr>
                <w:p>
                  <w:pPr>
                    <w:pStyle w:val="62"/>
                    <w:spacing w:line="320" w:lineRule="exact"/>
                    <w:rPr>
                      <w:b/>
                      <w:sz w:val="21"/>
                      <w:szCs w:val="21"/>
                      <w:u w:val="single"/>
                    </w:rPr>
                  </w:pPr>
                  <w:r>
                    <w:rPr>
                      <w:rFonts w:hint="eastAsia"/>
                      <w:b/>
                      <w:sz w:val="21"/>
                      <w:szCs w:val="21"/>
                      <w:u w:val="single"/>
                    </w:rPr>
                    <w:t>5</w:t>
                  </w:r>
                </w:p>
              </w:tc>
              <w:tc>
                <w:tcPr>
                  <w:tcW w:w="200" w:type="pct"/>
                  <w:vAlign w:val="center"/>
                </w:tcPr>
                <w:p>
                  <w:pPr>
                    <w:pStyle w:val="62"/>
                    <w:spacing w:line="320" w:lineRule="exact"/>
                    <w:rPr>
                      <w:b/>
                      <w:sz w:val="21"/>
                      <w:szCs w:val="21"/>
                      <w:u w:val="single"/>
                    </w:rPr>
                  </w:pPr>
                  <w:r>
                    <w:rPr>
                      <w:b/>
                      <w:sz w:val="21"/>
                      <w:szCs w:val="21"/>
                      <w:u w:val="single"/>
                    </w:rPr>
                    <w:t>东</w:t>
                  </w:r>
                </w:p>
              </w:tc>
              <w:tc>
                <w:tcPr>
                  <w:tcW w:w="181" w:type="pct"/>
                  <w:vAlign w:val="center"/>
                </w:tcPr>
                <w:p>
                  <w:pPr>
                    <w:pStyle w:val="62"/>
                    <w:spacing w:line="320" w:lineRule="exact"/>
                    <w:rPr>
                      <w:b/>
                      <w:sz w:val="21"/>
                      <w:szCs w:val="21"/>
                      <w:u w:val="single"/>
                    </w:rPr>
                  </w:pPr>
                  <w:r>
                    <w:rPr>
                      <w:rFonts w:hint="eastAsia"/>
                      <w:b/>
                      <w:sz w:val="21"/>
                      <w:szCs w:val="21"/>
                      <w:u w:val="single"/>
                    </w:rPr>
                    <w:t>20</w:t>
                  </w:r>
                </w:p>
              </w:tc>
              <w:tc>
                <w:tcPr>
                  <w:tcW w:w="373" w:type="pct"/>
                  <w:vAlign w:val="center"/>
                </w:tcPr>
                <w:p>
                  <w:pPr>
                    <w:pStyle w:val="62"/>
                    <w:spacing w:line="320" w:lineRule="exact"/>
                    <w:rPr>
                      <w:b/>
                      <w:sz w:val="21"/>
                      <w:szCs w:val="21"/>
                      <w:u w:val="single"/>
                    </w:rPr>
                  </w:pPr>
                  <w:r>
                    <w:rPr>
                      <w:rFonts w:hint="eastAsia"/>
                      <w:b/>
                      <w:sz w:val="21"/>
                      <w:szCs w:val="21"/>
                      <w:u w:val="single"/>
                    </w:rPr>
                    <w:t xml:space="preserve">48.75 </w:t>
                  </w:r>
                </w:p>
              </w:tc>
              <w:tc>
                <w:tcPr>
                  <w:tcW w:w="423" w:type="pct"/>
                  <w:vMerge w:val="continue"/>
                  <w:vAlign w:val="center"/>
                </w:tcPr>
                <w:p>
                  <w:pPr>
                    <w:pStyle w:val="62"/>
                    <w:spacing w:line="320" w:lineRule="exact"/>
                    <w:rPr>
                      <w:b/>
                      <w:sz w:val="21"/>
                      <w:szCs w:val="21"/>
                      <w:u w:val="single"/>
                    </w:rPr>
                  </w:pPr>
                </w:p>
              </w:tc>
              <w:tc>
                <w:tcPr>
                  <w:tcW w:w="333" w:type="pct"/>
                  <w:vMerge w:val="continue"/>
                  <w:vAlign w:val="center"/>
                </w:tcPr>
                <w:p>
                  <w:pPr>
                    <w:pStyle w:val="62"/>
                    <w:spacing w:line="320" w:lineRule="exact"/>
                    <w:rPr>
                      <w:b/>
                      <w:sz w:val="21"/>
                      <w:szCs w:val="21"/>
                      <w:u w:val="single"/>
                    </w:rPr>
                  </w:pPr>
                </w:p>
              </w:tc>
              <w:tc>
                <w:tcPr>
                  <w:tcW w:w="286" w:type="pct"/>
                  <w:vAlign w:val="center"/>
                </w:tcPr>
                <w:p>
                  <w:pPr>
                    <w:pStyle w:val="62"/>
                    <w:spacing w:line="320" w:lineRule="exact"/>
                    <w:rPr>
                      <w:b/>
                      <w:sz w:val="21"/>
                      <w:szCs w:val="21"/>
                      <w:u w:val="single"/>
                    </w:rPr>
                  </w:pPr>
                  <w:r>
                    <w:rPr>
                      <w:rFonts w:hint="eastAsia"/>
                      <w:b/>
                      <w:sz w:val="21"/>
                      <w:szCs w:val="21"/>
                      <w:u w:val="single"/>
                    </w:rPr>
                    <w:t xml:space="preserve">28.75 </w:t>
                  </w:r>
                </w:p>
              </w:tc>
              <w:tc>
                <w:tcPr>
                  <w:tcW w:w="167" w:type="pct"/>
                  <w:vAlign w:val="center"/>
                </w:tcPr>
                <w:p>
                  <w:pPr>
                    <w:pStyle w:val="62"/>
                    <w:spacing w:line="320" w:lineRule="exact"/>
                    <w:rPr>
                      <w:b/>
                      <w:sz w:val="21"/>
                      <w:szCs w:val="21"/>
                      <w:u w:val="single"/>
                    </w:rPr>
                  </w:pPr>
                  <w:r>
                    <w:rPr>
                      <w:b/>
                      <w:sz w:val="21"/>
                      <w:szCs w:val="21"/>
                      <w:u w:val="single"/>
                    </w:rPr>
                    <w:t>东</w:t>
                  </w:r>
                </w:p>
              </w:tc>
              <w:tc>
                <w:tcPr>
                  <w:tcW w:w="200" w:type="pct"/>
                  <w:vAlign w:val="center"/>
                </w:tcPr>
                <w:p>
                  <w:pPr>
                    <w:pStyle w:val="62"/>
                    <w:spacing w:line="320" w:lineRule="exact"/>
                    <w:rPr>
                      <w:b/>
                      <w:sz w:val="21"/>
                      <w:szCs w:val="21"/>
                      <w:u w:val="single"/>
                    </w:rPr>
                  </w:pPr>
                  <w:r>
                    <w:rPr>
                      <w:rFonts w:hint="eastAsia"/>
                      <w:b/>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85" w:type="pct"/>
                  <w:vMerge w:val="continue"/>
                  <w:vAlign w:val="center"/>
                </w:tcPr>
                <w:p>
                  <w:pPr>
                    <w:pStyle w:val="62"/>
                    <w:spacing w:line="320" w:lineRule="exact"/>
                    <w:rPr>
                      <w:b/>
                      <w:sz w:val="21"/>
                      <w:szCs w:val="21"/>
                      <w:u w:val="single"/>
                    </w:rPr>
                  </w:pPr>
                </w:p>
              </w:tc>
              <w:tc>
                <w:tcPr>
                  <w:tcW w:w="283" w:type="pct"/>
                  <w:vMerge w:val="continue"/>
                  <w:vAlign w:val="center"/>
                </w:tcPr>
                <w:p>
                  <w:pPr>
                    <w:pStyle w:val="62"/>
                    <w:spacing w:line="320" w:lineRule="exact"/>
                    <w:rPr>
                      <w:b/>
                      <w:sz w:val="21"/>
                      <w:szCs w:val="21"/>
                      <w:u w:val="single"/>
                    </w:rPr>
                  </w:pPr>
                </w:p>
              </w:tc>
              <w:tc>
                <w:tcPr>
                  <w:tcW w:w="375" w:type="pct"/>
                  <w:vMerge w:val="continue"/>
                  <w:vAlign w:val="center"/>
                </w:tcPr>
                <w:p>
                  <w:pPr>
                    <w:pStyle w:val="62"/>
                    <w:spacing w:line="320" w:lineRule="exact"/>
                    <w:rPr>
                      <w:b/>
                      <w:sz w:val="21"/>
                      <w:szCs w:val="21"/>
                      <w:u w:val="single"/>
                    </w:rPr>
                  </w:pPr>
                </w:p>
              </w:tc>
              <w:tc>
                <w:tcPr>
                  <w:tcW w:w="442" w:type="pct"/>
                  <w:vMerge w:val="continue"/>
                  <w:vAlign w:val="center"/>
                </w:tcPr>
                <w:p>
                  <w:pPr>
                    <w:pStyle w:val="62"/>
                    <w:spacing w:line="320" w:lineRule="exact"/>
                    <w:rPr>
                      <w:b/>
                      <w:sz w:val="21"/>
                      <w:szCs w:val="21"/>
                      <w:u w:val="single"/>
                    </w:rPr>
                  </w:pPr>
                </w:p>
              </w:tc>
              <w:tc>
                <w:tcPr>
                  <w:tcW w:w="477" w:type="pct"/>
                  <w:vMerge w:val="continue"/>
                  <w:vAlign w:val="center"/>
                </w:tcPr>
                <w:p>
                  <w:pPr>
                    <w:pStyle w:val="62"/>
                    <w:spacing w:line="320" w:lineRule="exact"/>
                    <w:rPr>
                      <w:b/>
                      <w:sz w:val="21"/>
                      <w:szCs w:val="21"/>
                      <w:u w:val="single"/>
                    </w:rPr>
                  </w:pPr>
                </w:p>
              </w:tc>
              <w:tc>
                <w:tcPr>
                  <w:tcW w:w="339" w:type="pct"/>
                  <w:vMerge w:val="continue"/>
                  <w:vAlign w:val="center"/>
                </w:tcPr>
                <w:p>
                  <w:pPr>
                    <w:pStyle w:val="62"/>
                    <w:spacing w:line="320" w:lineRule="exact"/>
                    <w:rPr>
                      <w:b/>
                      <w:sz w:val="21"/>
                      <w:szCs w:val="21"/>
                      <w:u w:val="single"/>
                    </w:rPr>
                  </w:pPr>
                </w:p>
              </w:tc>
              <w:tc>
                <w:tcPr>
                  <w:tcW w:w="339" w:type="pct"/>
                  <w:vMerge w:val="continue"/>
                  <w:vAlign w:val="center"/>
                </w:tcPr>
                <w:p>
                  <w:pPr>
                    <w:pStyle w:val="62"/>
                    <w:spacing w:line="320" w:lineRule="exact"/>
                    <w:rPr>
                      <w:b/>
                      <w:sz w:val="21"/>
                      <w:szCs w:val="21"/>
                      <w:u w:val="single"/>
                    </w:rPr>
                  </w:pPr>
                </w:p>
              </w:tc>
              <w:tc>
                <w:tcPr>
                  <w:tcW w:w="162" w:type="pct"/>
                  <w:vMerge w:val="continue"/>
                  <w:vAlign w:val="center"/>
                </w:tcPr>
                <w:p>
                  <w:pPr>
                    <w:pStyle w:val="62"/>
                    <w:spacing w:line="320" w:lineRule="exact"/>
                    <w:rPr>
                      <w:b/>
                      <w:sz w:val="21"/>
                      <w:szCs w:val="21"/>
                      <w:u w:val="single"/>
                    </w:rPr>
                  </w:pPr>
                </w:p>
              </w:tc>
              <w:tc>
                <w:tcPr>
                  <w:tcW w:w="158" w:type="pct"/>
                  <w:vMerge w:val="continue"/>
                  <w:vAlign w:val="center"/>
                </w:tcPr>
                <w:p>
                  <w:pPr>
                    <w:pStyle w:val="62"/>
                    <w:spacing w:line="320" w:lineRule="exact"/>
                    <w:rPr>
                      <w:b/>
                      <w:sz w:val="21"/>
                      <w:szCs w:val="21"/>
                      <w:u w:val="single"/>
                    </w:rPr>
                  </w:pPr>
                </w:p>
              </w:tc>
              <w:tc>
                <w:tcPr>
                  <w:tcW w:w="177" w:type="pct"/>
                  <w:vMerge w:val="continue"/>
                  <w:vAlign w:val="center"/>
                </w:tcPr>
                <w:p>
                  <w:pPr>
                    <w:pStyle w:val="62"/>
                    <w:spacing w:line="320" w:lineRule="exact"/>
                    <w:rPr>
                      <w:b/>
                      <w:sz w:val="21"/>
                      <w:szCs w:val="21"/>
                      <w:u w:val="single"/>
                    </w:rPr>
                  </w:pPr>
                </w:p>
              </w:tc>
              <w:tc>
                <w:tcPr>
                  <w:tcW w:w="200" w:type="pct"/>
                  <w:vAlign w:val="center"/>
                </w:tcPr>
                <w:p>
                  <w:pPr>
                    <w:pStyle w:val="62"/>
                    <w:spacing w:line="320" w:lineRule="exact"/>
                    <w:rPr>
                      <w:b/>
                      <w:sz w:val="21"/>
                      <w:szCs w:val="21"/>
                      <w:u w:val="single"/>
                    </w:rPr>
                  </w:pPr>
                  <w:r>
                    <w:rPr>
                      <w:b/>
                      <w:sz w:val="21"/>
                      <w:szCs w:val="21"/>
                      <w:u w:val="single"/>
                    </w:rPr>
                    <w:t>西</w:t>
                  </w:r>
                </w:p>
              </w:tc>
              <w:tc>
                <w:tcPr>
                  <w:tcW w:w="181" w:type="pct"/>
                  <w:vAlign w:val="center"/>
                </w:tcPr>
                <w:p>
                  <w:pPr>
                    <w:pStyle w:val="62"/>
                    <w:spacing w:line="320" w:lineRule="exact"/>
                    <w:rPr>
                      <w:b/>
                      <w:sz w:val="21"/>
                      <w:szCs w:val="21"/>
                      <w:u w:val="single"/>
                    </w:rPr>
                  </w:pPr>
                  <w:r>
                    <w:rPr>
                      <w:rFonts w:hint="eastAsia"/>
                      <w:b/>
                      <w:sz w:val="21"/>
                      <w:szCs w:val="21"/>
                      <w:u w:val="single"/>
                    </w:rPr>
                    <w:t>20</w:t>
                  </w:r>
                </w:p>
              </w:tc>
              <w:tc>
                <w:tcPr>
                  <w:tcW w:w="373" w:type="pct"/>
                  <w:vAlign w:val="center"/>
                </w:tcPr>
                <w:p>
                  <w:pPr>
                    <w:pStyle w:val="62"/>
                    <w:spacing w:line="320" w:lineRule="exact"/>
                    <w:rPr>
                      <w:b/>
                      <w:sz w:val="21"/>
                      <w:szCs w:val="21"/>
                      <w:u w:val="single"/>
                    </w:rPr>
                  </w:pPr>
                  <w:r>
                    <w:rPr>
                      <w:rFonts w:hint="eastAsia"/>
                      <w:b/>
                      <w:sz w:val="21"/>
                      <w:szCs w:val="21"/>
                      <w:u w:val="single"/>
                    </w:rPr>
                    <w:t xml:space="preserve">48.75 </w:t>
                  </w:r>
                </w:p>
              </w:tc>
              <w:tc>
                <w:tcPr>
                  <w:tcW w:w="423" w:type="pct"/>
                  <w:vMerge w:val="continue"/>
                  <w:vAlign w:val="center"/>
                </w:tcPr>
                <w:p>
                  <w:pPr>
                    <w:pStyle w:val="62"/>
                    <w:spacing w:line="320" w:lineRule="exact"/>
                    <w:rPr>
                      <w:b/>
                      <w:sz w:val="21"/>
                      <w:szCs w:val="21"/>
                      <w:u w:val="single"/>
                    </w:rPr>
                  </w:pPr>
                </w:p>
              </w:tc>
              <w:tc>
                <w:tcPr>
                  <w:tcW w:w="333" w:type="pct"/>
                  <w:vMerge w:val="continue"/>
                  <w:vAlign w:val="center"/>
                </w:tcPr>
                <w:p>
                  <w:pPr>
                    <w:pStyle w:val="62"/>
                    <w:spacing w:line="320" w:lineRule="exact"/>
                    <w:rPr>
                      <w:b/>
                      <w:sz w:val="21"/>
                      <w:szCs w:val="21"/>
                      <w:u w:val="single"/>
                    </w:rPr>
                  </w:pPr>
                </w:p>
              </w:tc>
              <w:tc>
                <w:tcPr>
                  <w:tcW w:w="286" w:type="pct"/>
                  <w:vAlign w:val="center"/>
                </w:tcPr>
                <w:p>
                  <w:pPr>
                    <w:pStyle w:val="62"/>
                    <w:spacing w:line="320" w:lineRule="exact"/>
                    <w:rPr>
                      <w:b/>
                      <w:sz w:val="21"/>
                      <w:szCs w:val="21"/>
                      <w:u w:val="single"/>
                    </w:rPr>
                  </w:pPr>
                  <w:r>
                    <w:rPr>
                      <w:rFonts w:hint="eastAsia"/>
                      <w:b/>
                      <w:sz w:val="21"/>
                      <w:szCs w:val="21"/>
                      <w:u w:val="single"/>
                    </w:rPr>
                    <w:t xml:space="preserve">28.75 </w:t>
                  </w:r>
                </w:p>
              </w:tc>
              <w:tc>
                <w:tcPr>
                  <w:tcW w:w="167" w:type="pct"/>
                  <w:vAlign w:val="center"/>
                </w:tcPr>
                <w:p>
                  <w:pPr>
                    <w:pStyle w:val="62"/>
                    <w:spacing w:line="320" w:lineRule="exact"/>
                    <w:rPr>
                      <w:b/>
                      <w:sz w:val="21"/>
                      <w:szCs w:val="21"/>
                      <w:u w:val="single"/>
                    </w:rPr>
                  </w:pPr>
                  <w:r>
                    <w:rPr>
                      <w:b/>
                      <w:sz w:val="21"/>
                      <w:szCs w:val="21"/>
                      <w:u w:val="single"/>
                    </w:rPr>
                    <w:t>西</w:t>
                  </w:r>
                </w:p>
              </w:tc>
              <w:tc>
                <w:tcPr>
                  <w:tcW w:w="200" w:type="pct"/>
                  <w:vAlign w:val="center"/>
                </w:tcPr>
                <w:p>
                  <w:pPr>
                    <w:pStyle w:val="62"/>
                    <w:spacing w:line="320" w:lineRule="exact"/>
                    <w:rPr>
                      <w:b/>
                      <w:sz w:val="21"/>
                      <w:szCs w:val="21"/>
                      <w:u w:val="single"/>
                    </w:rPr>
                  </w:pPr>
                  <w:r>
                    <w:rPr>
                      <w:rFonts w:hint="eastAsia"/>
                      <w:b/>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85" w:type="pct"/>
                  <w:vMerge w:val="continue"/>
                  <w:vAlign w:val="center"/>
                </w:tcPr>
                <w:p>
                  <w:pPr>
                    <w:pStyle w:val="62"/>
                    <w:spacing w:line="320" w:lineRule="exact"/>
                    <w:rPr>
                      <w:b/>
                      <w:sz w:val="21"/>
                      <w:szCs w:val="21"/>
                      <w:u w:val="single"/>
                    </w:rPr>
                  </w:pPr>
                </w:p>
              </w:tc>
              <w:tc>
                <w:tcPr>
                  <w:tcW w:w="283" w:type="pct"/>
                  <w:vMerge w:val="continue"/>
                  <w:vAlign w:val="center"/>
                </w:tcPr>
                <w:p>
                  <w:pPr>
                    <w:pStyle w:val="62"/>
                    <w:spacing w:line="320" w:lineRule="exact"/>
                    <w:rPr>
                      <w:b/>
                      <w:sz w:val="21"/>
                      <w:szCs w:val="21"/>
                      <w:u w:val="single"/>
                    </w:rPr>
                  </w:pPr>
                </w:p>
              </w:tc>
              <w:tc>
                <w:tcPr>
                  <w:tcW w:w="375" w:type="pct"/>
                  <w:vMerge w:val="continue"/>
                  <w:vAlign w:val="center"/>
                </w:tcPr>
                <w:p>
                  <w:pPr>
                    <w:pStyle w:val="62"/>
                    <w:spacing w:line="320" w:lineRule="exact"/>
                    <w:rPr>
                      <w:b/>
                      <w:sz w:val="21"/>
                      <w:szCs w:val="21"/>
                      <w:u w:val="single"/>
                    </w:rPr>
                  </w:pPr>
                </w:p>
              </w:tc>
              <w:tc>
                <w:tcPr>
                  <w:tcW w:w="442" w:type="pct"/>
                  <w:vMerge w:val="continue"/>
                  <w:vAlign w:val="center"/>
                </w:tcPr>
                <w:p>
                  <w:pPr>
                    <w:pStyle w:val="62"/>
                    <w:spacing w:line="320" w:lineRule="exact"/>
                    <w:rPr>
                      <w:b/>
                      <w:sz w:val="21"/>
                      <w:szCs w:val="21"/>
                      <w:u w:val="single"/>
                    </w:rPr>
                  </w:pPr>
                </w:p>
              </w:tc>
              <w:tc>
                <w:tcPr>
                  <w:tcW w:w="477" w:type="pct"/>
                  <w:vMerge w:val="continue"/>
                  <w:vAlign w:val="center"/>
                </w:tcPr>
                <w:p>
                  <w:pPr>
                    <w:pStyle w:val="62"/>
                    <w:spacing w:line="320" w:lineRule="exact"/>
                    <w:rPr>
                      <w:b/>
                      <w:sz w:val="21"/>
                      <w:szCs w:val="21"/>
                      <w:u w:val="single"/>
                    </w:rPr>
                  </w:pPr>
                </w:p>
              </w:tc>
              <w:tc>
                <w:tcPr>
                  <w:tcW w:w="339" w:type="pct"/>
                  <w:vMerge w:val="continue"/>
                  <w:vAlign w:val="center"/>
                </w:tcPr>
                <w:p>
                  <w:pPr>
                    <w:pStyle w:val="62"/>
                    <w:spacing w:line="320" w:lineRule="exact"/>
                    <w:rPr>
                      <w:b/>
                      <w:sz w:val="21"/>
                      <w:szCs w:val="21"/>
                      <w:u w:val="single"/>
                    </w:rPr>
                  </w:pPr>
                </w:p>
              </w:tc>
              <w:tc>
                <w:tcPr>
                  <w:tcW w:w="339" w:type="pct"/>
                  <w:vMerge w:val="continue"/>
                  <w:vAlign w:val="center"/>
                </w:tcPr>
                <w:p>
                  <w:pPr>
                    <w:pStyle w:val="62"/>
                    <w:spacing w:line="320" w:lineRule="exact"/>
                    <w:rPr>
                      <w:b/>
                      <w:sz w:val="21"/>
                      <w:szCs w:val="21"/>
                      <w:u w:val="single"/>
                    </w:rPr>
                  </w:pPr>
                </w:p>
              </w:tc>
              <w:tc>
                <w:tcPr>
                  <w:tcW w:w="162" w:type="pct"/>
                  <w:vMerge w:val="continue"/>
                  <w:vAlign w:val="center"/>
                </w:tcPr>
                <w:p>
                  <w:pPr>
                    <w:pStyle w:val="62"/>
                    <w:spacing w:line="320" w:lineRule="exact"/>
                    <w:rPr>
                      <w:b/>
                      <w:sz w:val="21"/>
                      <w:szCs w:val="21"/>
                      <w:u w:val="single"/>
                    </w:rPr>
                  </w:pPr>
                </w:p>
              </w:tc>
              <w:tc>
                <w:tcPr>
                  <w:tcW w:w="158" w:type="pct"/>
                  <w:vMerge w:val="continue"/>
                  <w:vAlign w:val="center"/>
                </w:tcPr>
                <w:p>
                  <w:pPr>
                    <w:pStyle w:val="62"/>
                    <w:spacing w:line="320" w:lineRule="exact"/>
                    <w:rPr>
                      <w:b/>
                      <w:sz w:val="21"/>
                      <w:szCs w:val="21"/>
                      <w:u w:val="single"/>
                    </w:rPr>
                  </w:pPr>
                </w:p>
              </w:tc>
              <w:tc>
                <w:tcPr>
                  <w:tcW w:w="177" w:type="pct"/>
                  <w:vMerge w:val="continue"/>
                  <w:vAlign w:val="center"/>
                </w:tcPr>
                <w:p>
                  <w:pPr>
                    <w:pStyle w:val="62"/>
                    <w:spacing w:line="320" w:lineRule="exact"/>
                    <w:rPr>
                      <w:b/>
                      <w:sz w:val="21"/>
                      <w:szCs w:val="21"/>
                      <w:u w:val="single"/>
                    </w:rPr>
                  </w:pPr>
                </w:p>
              </w:tc>
              <w:tc>
                <w:tcPr>
                  <w:tcW w:w="200" w:type="pct"/>
                  <w:vAlign w:val="center"/>
                </w:tcPr>
                <w:p>
                  <w:pPr>
                    <w:pStyle w:val="62"/>
                    <w:spacing w:line="320" w:lineRule="exact"/>
                    <w:rPr>
                      <w:b/>
                      <w:sz w:val="21"/>
                      <w:szCs w:val="21"/>
                      <w:u w:val="single"/>
                    </w:rPr>
                  </w:pPr>
                  <w:r>
                    <w:rPr>
                      <w:b/>
                      <w:sz w:val="21"/>
                      <w:szCs w:val="21"/>
                      <w:u w:val="single"/>
                    </w:rPr>
                    <w:t>南</w:t>
                  </w:r>
                </w:p>
              </w:tc>
              <w:tc>
                <w:tcPr>
                  <w:tcW w:w="181" w:type="pct"/>
                  <w:vAlign w:val="center"/>
                </w:tcPr>
                <w:p>
                  <w:pPr>
                    <w:pStyle w:val="62"/>
                    <w:spacing w:line="320" w:lineRule="exact"/>
                    <w:rPr>
                      <w:b/>
                      <w:sz w:val="21"/>
                      <w:szCs w:val="21"/>
                      <w:u w:val="single"/>
                    </w:rPr>
                  </w:pPr>
                  <w:r>
                    <w:rPr>
                      <w:rFonts w:hint="eastAsia"/>
                      <w:b/>
                      <w:sz w:val="21"/>
                      <w:szCs w:val="21"/>
                      <w:u w:val="single"/>
                    </w:rPr>
                    <w:t>30</w:t>
                  </w:r>
                </w:p>
              </w:tc>
              <w:tc>
                <w:tcPr>
                  <w:tcW w:w="373" w:type="pct"/>
                  <w:vAlign w:val="center"/>
                </w:tcPr>
                <w:p>
                  <w:pPr>
                    <w:pStyle w:val="62"/>
                    <w:spacing w:line="320" w:lineRule="exact"/>
                    <w:rPr>
                      <w:b/>
                      <w:sz w:val="21"/>
                      <w:szCs w:val="21"/>
                      <w:u w:val="single"/>
                    </w:rPr>
                  </w:pPr>
                  <w:r>
                    <w:rPr>
                      <w:rFonts w:hint="eastAsia"/>
                      <w:b/>
                      <w:sz w:val="21"/>
                      <w:szCs w:val="21"/>
                      <w:u w:val="single"/>
                    </w:rPr>
                    <w:t xml:space="preserve">45.23 </w:t>
                  </w:r>
                </w:p>
              </w:tc>
              <w:tc>
                <w:tcPr>
                  <w:tcW w:w="423" w:type="pct"/>
                  <w:vMerge w:val="continue"/>
                  <w:vAlign w:val="center"/>
                </w:tcPr>
                <w:p>
                  <w:pPr>
                    <w:pStyle w:val="62"/>
                    <w:spacing w:line="320" w:lineRule="exact"/>
                    <w:rPr>
                      <w:b/>
                      <w:sz w:val="21"/>
                      <w:szCs w:val="21"/>
                      <w:u w:val="single"/>
                    </w:rPr>
                  </w:pPr>
                </w:p>
              </w:tc>
              <w:tc>
                <w:tcPr>
                  <w:tcW w:w="333" w:type="pct"/>
                  <w:vMerge w:val="continue"/>
                  <w:vAlign w:val="center"/>
                </w:tcPr>
                <w:p>
                  <w:pPr>
                    <w:pStyle w:val="62"/>
                    <w:spacing w:line="320" w:lineRule="exact"/>
                    <w:rPr>
                      <w:b/>
                      <w:sz w:val="21"/>
                      <w:szCs w:val="21"/>
                      <w:u w:val="single"/>
                    </w:rPr>
                  </w:pPr>
                </w:p>
              </w:tc>
              <w:tc>
                <w:tcPr>
                  <w:tcW w:w="286" w:type="pct"/>
                  <w:vAlign w:val="center"/>
                </w:tcPr>
                <w:p>
                  <w:pPr>
                    <w:pStyle w:val="62"/>
                    <w:spacing w:line="320" w:lineRule="exact"/>
                    <w:rPr>
                      <w:b/>
                      <w:sz w:val="21"/>
                      <w:szCs w:val="21"/>
                      <w:u w:val="single"/>
                    </w:rPr>
                  </w:pPr>
                  <w:r>
                    <w:rPr>
                      <w:rFonts w:hint="eastAsia"/>
                      <w:b/>
                      <w:sz w:val="21"/>
                      <w:szCs w:val="21"/>
                      <w:u w:val="single"/>
                    </w:rPr>
                    <w:t xml:space="preserve">25.23 </w:t>
                  </w:r>
                </w:p>
              </w:tc>
              <w:tc>
                <w:tcPr>
                  <w:tcW w:w="167" w:type="pct"/>
                  <w:vAlign w:val="center"/>
                </w:tcPr>
                <w:p>
                  <w:pPr>
                    <w:pStyle w:val="62"/>
                    <w:spacing w:line="320" w:lineRule="exact"/>
                    <w:rPr>
                      <w:b/>
                      <w:sz w:val="21"/>
                      <w:szCs w:val="21"/>
                      <w:u w:val="single"/>
                    </w:rPr>
                  </w:pPr>
                  <w:r>
                    <w:rPr>
                      <w:b/>
                      <w:sz w:val="21"/>
                      <w:szCs w:val="21"/>
                      <w:u w:val="single"/>
                    </w:rPr>
                    <w:t>南</w:t>
                  </w:r>
                </w:p>
              </w:tc>
              <w:tc>
                <w:tcPr>
                  <w:tcW w:w="200" w:type="pct"/>
                  <w:vAlign w:val="center"/>
                </w:tcPr>
                <w:p>
                  <w:pPr>
                    <w:pStyle w:val="62"/>
                    <w:spacing w:line="320" w:lineRule="exact"/>
                    <w:rPr>
                      <w:b/>
                      <w:sz w:val="21"/>
                      <w:szCs w:val="21"/>
                      <w:u w:val="single"/>
                    </w:rPr>
                  </w:pPr>
                  <w:r>
                    <w:rPr>
                      <w:rFonts w:hint="eastAsia"/>
                      <w:b/>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85" w:type="pct"/>
                  <w:vMerge w:val="continue"/>
                  <w:vAlign w:val="center"/>
                </w:tcPr>
                <w:p>
                  <w:pPr>
                    <w:pStyle w:val="62"/>
                    <w:spacing w:line="320" w:lineRule="exact"/>
                    <w:rPr>
                      <w:b/>
                      <w:sz w:val="21"/>
                      <w:szCs w:val="21"/>
                      <w:u w:val="single"/>
                    </w:rPr>
                  </w:pPr>
                </w:p>
              </w:tc>
              <w:tc>
                <w:tcPr>
                  <w:tcW w:w="283" w:type="pct"/>
                  <w:vMerge w:val="continue"/>
                  <w:vAlign w:val="center"/>
                </w:tcPr>
                <w:p>
                  <w:pPr>
                    <w:pStyle w:val="62"/>
                    <w:spacing w:line="320" w:lineRule="exact"/>
                    <w:rPr>
                      <w:b/>
                      <w:sz w:val="21"/>
                      <w:szCs w:val="21"/>
                      <w:u w:val="single"/>
                    </w:rPr>
                  </w:pPr>
                </w:p>
              </w:tc>
              <w:tc>
                <w:tcPr>
                  <w:tcW w:w="375" w:type="pct"/>
                  <w:vMerge w:val="continue"/>
                  <w:vAlign w:val="center"/>
                </w:tcPr>
                <w:p>
                  <w:pPr>
                    <w:pStyle w:val="62"/>
                    <w:spacing w:line="320" w:lineRule="exact"/>
                    <w:rPr>
                      <w:b/>
                      <w:sz w:val="21"/>
                      <w:szCs w:val="21"/>
                      <w:u w:val="single"/>
                    </w:rPr>
                  </w:pPr>
                </w:p>
              </w:tc>
              <w:tc>
                <w:tcPr>
                  <w:tcW w:w="442" w:type="pct"/>
                  <w:vMerge w:val="continue"/>
                  <w:vAlign w:val="center"/>
                </w:tcPr>
                <w:p>
                  <w:pPr>
                    <w:pStyle w:val="62"/>
                    <w:spacing w:line="320" w:lineRule="exact"/>
                    <w:rPr>
                      <w:b/>
                      <w:sz w:val="21"/>
                      <w:szCs w:val="21"/>
                      <w:u w:val="single"/>
                    </w:rPr>
                  </w:pPr>
                </w:p>
              </w:tc>
              <w:tc>
                <w:tcPr>
                  <w:tcW w:w="477" w:type="pct"/>
                  <w:vMerge w:val="continue"/>
                  <w:vAlign w:val="center"/>
                </w:tcPr>
                <w:p>
                  <w:pPr>
                    <w:pStyle w:val="62"/>
                    <w:spacing w:line="320" w:lineRule="exact"/>
                    <w:rPr>
                      <w:b/>
                      <w:sz w:val="21"/>
                      <w:szCs w:val="21"/>
                      <w:u w:val="single"/>
                    </w:rPr>
                  </w:pPr>
                </w:p>
              </w:tc>
              <w:tc>
                <w:tcPr>
                  <w:tcW w:w="339" w:type="pct"/>
                  <w:vMerge w:val="continue"/>
                  <w:vAlign w:val="center"/>
                </w:tcPr>
                <w:p>
                  <w:pPr>
                    <w:pStyle w:val="62"/>
                    <w:spacing w:line="320" w:lineRule="exact"/>
                    <w:rPr>
                      <w:b/>
                      <w:sz w:val="21"/>
                      <w:szCs w:val="21"/>
                      <w:u w:val="single"/>
                    </w:rPr>
                  </w:pPr>
                </w:p>
              </w:tc>
              <w:tc>
                <w:tcPr>
                  <w:tcW w:w="339" w:type="pct"/>
                  <w:vMerge w:val="continue"/>
                  <w:vAlign w:val="center"/>
                </w:tcPr>
                <w:p>
                  <w:pPr>
                    <w:pStyle w:val="62"/>
                    <w:spacing w:line="320" w:lineRule="exact"/>
                    <w:rPr>
                      <w:b/>
                      <w:sz w:val="21"/>
                      <w:szCs w:val="21"/>
                      <w:u w:val="single"/>
                    </w:rPr>
                  </w:pPr>
                </w:p>
              </w:tc>
              <w:tc>
                <w:tcPr>
                  <w:tcW w:w="162" w:type="pct"/>
                  <w:vMerge w:val="continue"/>
                  <w:vAlign w:val="center"/>
                </w:tcPr>
                <w:p>
                  <w:pPr>
                    <w:pStyle w:val="62"/>
                    <w:spacing w:line="320" w:lineRule="exact"/>
                    <w:rPr>
                      <w:b/>
                      <w:sz w:val="21"/>
                      <w:szCs w:val="21"/>
                      <w:u w:val="single"/>
                    </w:rPr>
                  </w:pPr>
                </w:p>
              </w:tc>
              <w:tc>
                <w:tcPr>
                  <w:tcW w:w="158" w:type="pct"/>
                  <w:vMerge w:val="continue"/>
                  <w:vAlign w:val="center"/>
                </w:tcPr>
                <w:p>
                  <w:pPr>
                    <w:pStyle w:val="62"/>
                    <w:spacing w:line="320" w:lineRule="exact"/>
                    <w:rPr>
                      <w:b/>
                      <w:sz w:val="21"/>
                      <w:szCs w:val="21"/>
                      <w:u w:val="single"/>
                    </w:rPr>
                  </w:pPr>
                </w:p>
              </w:tc>
              <w:tc>
                <w:tcPr>
                  <w:tcW w:w="177" w:type="pct"/>
                  <w:vMerge w:val="continue"/>
                  <w:vAlign w:val="center"/>
                </w:tcPr>
                <w:p>
                  <w:pPr>
                    <w:pStyle w:val="62"/>
                    <w:spacing w:line="320" w:lineRule="exact"/>
                    <w:rPr>
                      <w:b/>
                      <w:sz w:val="21"/>
                      <w:szCs w:val="21"/>
                      <w:u w:val="single"/>
                    </w:rPr>
                  </w:pPr>
                </w:p>
              </w:tc>
              <w:tc>
                <w:tcPr>
                  <w:tcW w:w="200" w:type="pct"/>
                  <w:vAlign w:val="center"/>
                </w:tcPr>
                <w:p>
                  <w:pPr>
                    <w:pStyle w:val="62"/>
                    <w:spacing w:line="320" w:lineRule="exact"/>
                    <w:rPr>
                      <w:b/>
                      <w:sz w:val="21"/>
                      <w:szCs w:val="21"/>
                      <w:u w:val="single"/>
                    </w:rPr>
                  </w:pPr>
                  <w:r>
                    <w:rPr>
                      <w:b/>
                      <w:sz w:val="21"/>
                      <w:szCs w:val="21"/>
                      <w:u w:val="single"/>
                    </w:rPr>
                    <w:t>北</w:t>
                  </w:r>
                </w:p>
              </w:tc>
              <w:tc>
                <w:tcPr>
                  <w:tcW w:w="181" w:type="pct"/>
                  <w:vAlign w:val="center"/>
                </w:tcPr>
                <w:p>
                  <w:pPr>
                    <w:pStyle w:val="62"/>
                    <w:spacing w:line="320" w:lineRule="exact"/>
                    <w:rPr>
                      <w:b/>
                      <w:sz w:val="21"/>
                      <w:szCs w:val="21"/>
                      <w:u w:val="single"/>
                    </w:rPr>
                  </w:pPr>
                  <w:r>
                    <w:rPr>
                      <w:rFonts w:hint="eastAsia"/>
                      <w:b/>
                      <w:sz w:val="21"/>
                      <w:szCs w:val="21"/>
                      <w:u w:val="single"/>
                    </w:rPr>
                    <w:t>50</w:t>
                  </w:r>
                </w:p>
              </w:tc>
              <w:tc>
                <w:tcPr>
                  <w:tcW w:w="373" w:type="pct"/>
                  <w:vAlign w:val="center"/>
                </w:tcPr>
                <w:p>
                  <w:pPr>
                    <w:pStyle w:val="62"/>
                    <w:spacing w:line="320" w:lineRule="exact"/>
                    <w:rPr>
                      <w:b/>
                      <w:sz w:val="21"/>
                      <w:szCs w:val="21"/>
                      <w:u w:val="single"/>
                    </w:rPr>
                  </w:pPr>
                  <w:r>
                    <w:rPr>
                      <w:rFonts w:hint="eastAsia"/>
                      <w:b/>
                      <w:sz w:val="21"/>
                      <w:szCs w:val="21"/>
                      <w:u w:val="single"/>
                    </w:rPr>
                    <w:t xml:space="preserve">40.79 </w:t>
                  </w:r>
                </w:p>
              </w:tc>
              <w:tc>
                <w:tcPr>
                  <w:tcW w:w="423" w:type="pct"/>
                  <w:vMerge w:val="continue"/>
                  <w:vAlign w:val="center"/>
                </w:tcPr>
                <w:p>
                  <w:pPr>
                    <w:pStyle w:val="62"/>
                    <w:spacing w:line="320" w:lineRule="exact"/>
                    <w:rPr>
                      <w:b/>
                      <w:sz w:val="21"/>
                      <w:szCs w:val="21"/>
                      <w:u w:val="single"/>
                    </w:rPr>
                  </w:pPr>
                </w:p>
              </w:tc>
              <w:tc>
                <w:tcPr>
                  <w:tcW w:w="333" w:type="pct"/>
                  <w:vMerge w:val="continue"/>
                  <w:vAlign w:val="center"/>
                </w:tcPr>
                <w:p>
                  <w:pPr>
                    <w:pStyle w:val="62"/>
                    <w:spacing w:line="320" w:lineRule="exact"/>
                    <w:rPr>
                      <w:b/>
                      <w:sz w:val="21"/>
                      <w:szCs w:val="21"/>
                      <w:u w:val="single"/>
                    </w:rPr>
                  </w:pPr>
                </w:p>
              </w:tc>
              <w:tc>
                <w:tcPr>
                  <w:tcW w:w="286" w:type="pct"/>
                  <w:vAlign w:val="center"/>
                </w:tcPr>
                <w:p>
                  <w:pPr>
                    <w:pStyle w:val="62"/>
                    <w:spacing w:line="320" w:lineRule="exact"/>
                    <w:rPr>
                      <w:b/>
                      <w:sz w:val="21"/>
                      <w:szCs w:val="21"/>
                      <w:u w:val="single"/>
                    </w:rPr>
                  </w:pPr>
                  <w:r>
                    <w:rPr>
                      <w:rFonts w:hint="eastAsia"/>
                      <w:b/>
                      <w:sz w:val="21"/>
                      <w:szCs w:val="21"/>
                      <w:u w:val="single"/>
                    </w:rPr>
                    <w:t xml:space="preserve">20.79 </w:t>
                  </w:r>
                </w:p>
              </w:tc>
              <w:tc>
                <w:tcPr>
                  <w:tcW w:w="167" w:type="pct"/>
                  <w:vAlign w:val="center"/>
                </w:tcPr>
                <w:p>
                  <w:pPr>
                    <w:pStyle w:val="62"/>
                    <w:spacing w:line="320" w:lineRule="exact"/>
                    <w:rPr>
                      <w:b/>
                      <w:sz w:val="21"/>
                      <w:szCs w:val="21"/>
                      <w:u w:val="single"/>
                    </w:rPr>
                  </w:pPr>
                  <w:r>
                    <w:rPr>
                      <w:b/>
                      <w:sz w:val="21"/>
                      <w:szCs w:val="21"/>
                      <w:u w:val="single"/>
                    </w:rPr>
                    <w:t>北</w:t>
                  </w:r>
                </w:p>
              </w:tc>
              <w:tc>
                <w:tcPr>
                  <w:tcW w:w="200" w:type="pct"/>
                  <w:vAlign w:val="center"/>
                </w:tcPr>
                <w:p>
                  <w:pPr>
                    <w:pStyle w:val="62"/>
                    <w:spacing w:line="320" w:lineRule="exact"/>
                    <w:rPr>
                      <w:b/>
                      <w:sz w:val="21"/>
                      <w:szCs w:val="21"/>
                      <w:u w:val="single"/>
                    </w:rPr>
                  </w:pPr>
                  <w:r>
                    <w:rPr>
                      <w:rFonts w:hint="eastAsia"/>
                      <w:b/>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85" w:type="pct"/>
                  <w:vMerge w:val="restart"/>
                  <w:vAlign w:val="center"/>
                </w:tcPr>
                <w:p>
                  <w:pPr>
                    <w:pStyle w:val="62"/>
                    <w:spacing w:line="320" w:lineRule="exact"/>
                    <w:rPr>
                      <w:b/>
                      <w:sz w:val="21"/>
                      <w:szCs w:val="21"/>
                      <w:u w:val="single"/>
                    </w:rPr>
                  </w:pPr>
                  <w:r>
                    <w:rPr>
                      <w:rFonts w:hint="eastAsia"/>
                      <w:b/>
                      <w:sz w:val="21"/>
                      <w:szCs w:val="21"/>
                      <w:u w:val="single"/>
                    </w:rPr>
                    <w:t>4</w:t>
                  </w:r>
                </w:p>
              </w:tc>
              <w:tc>
                <w:tcPr>
                  <w:tcW w:w="283" w:type="pct"/>
                  <w:vMerge w:val="continue"/>
                  <w:vAlign w:val="center"/>
                </w:tcPr>
                <w:p>
                  <w:pPr>
                    <w:pStyle w:val="62"/>
                    <w:spacing w:line="320" w:lineRule="exact"/>
                    <w:rPr>
                      <w:b/>
                      <w:sz w:val="21"/>
                      <w:szCs w:val="21"/>
                      <w:u w:val="single"/>
                    </w:rPr>
                  </w:pPr>
                </w:p>
              </w:tc>
              <w:tc>
                <w:tcPr>
                  <w:tcW w:w="375" w:type="pct"/>
                  <w:vMerge w:val="restart"/>
                  <w:vAlign w:val="center"/>
                </w:tcPr>
                <w:p>
                  <w:pPr>
                    <w:pStyle w:val="62"/>
                    <w:spacing w:line="320" w:lineRule="exact"/>
                    <w:rPr>
                      <w:b/>
                      <w:sz w:val="21"/>
                      <w:szCs w:val="21"/>
                      <w:u w:val="single"/>
                    </w:rPr>
                  </w:pPr>
                  <w:r>
                    <w:rPr>
                      <w:rFonts w:hint="eastAsia"/>
                      <w:b/>
                      <w:sz w:val="21"/>
                      <w:szCs w:val="21"/>
                      <w:u w:val="single"/>
                    </w:rPr>
                    <w:t>空压机</w:t>
                  </w:r>
                </w:p>
              </w:tc>
              <w:tc>
                <w:tcPr>
                  <w:tcW w:w="442" w:type="pct"/>
                  <w:vMerge w:val="restart"/>
                  <w:vAlign w:val="center"/>
                </w:tcPr>
                <w:p>
                  <w:pPr>
                    <w:pStyle w:val="62"/>
                    <w:spacing w:line="320" w:lineRule="exact"/>
                    <w:rPr>
                      <w:b/>
                      <w:sz w:val="21"/>
                      <w:szCs w:val="21"/>
                      <w:u w:val="single"/>
                    </w:rPr>
                  </w:pPr>
                  <w:r>
                    <w:rPr>
                      <w:rFonts w:hint="eastAsia"/>
                      <w:b/>
                      <w:sz w:val="21"/>
                      <w:szCs w:val="21"/>
                      <w:u w:val="single"/>
                    </w:rPr>
                    <w:t>1台</w:t>
                  </w:r>
                </w:p>
              </w:tc>
              <w:tc>
                <w:tcPr>
                  <w:tcW w:w="477" w:type="pct"/>
                  <w:vMerge w:val="restart"/>
                  <w:vAlign w:val="center"/>
                </w:tcPr>
                <w:p>
                  <w:pPr>
                    <w:pStyle w:val="62"/>
                    <w:spacing w:line="320" w:lineRule="exact"/>
                    <w:rPr>
                      <w:b/>
                      <w:sz w:val="21"/>
                      <w:szCs w:val="21"/>
                      <w:u w:val="single"/>
                    </w:rPr>
                  </w:pPr>
                </w:p>
              </w:tc>
              <w:tc>
                <w:tcPr>
                  <w:tcW w:w="339" w:type="pct"/>
                  <w:vMerge w:val="restart"/>
                  <w:vAlign w:val="center"/>
                </w:tcPr>
                <w:p>
                  <w:pPr>
                    <w:pStyle w:val="62"/>
                    <w:spacing w:line="320" w:lineRule="exact"/>
                    <w:rPr>
                      <w:b/>
                      <w:sz w:val="21"/>
                      <w:szCs w:val="21"/>
                      <w:u w:val="single"/>
                    </w:rPr>
                  </w:pPr>
                  <w:r>
                    <w:rPr>
                      <w:rFonts w:hint="eastAsia"/>
                      <w:b/>
                      <w:sz w:val="21"/>
                      <w:szCs w:val="21"/>
                      <w:u w:val="single"/>
                    </w:rPr>
                    <w:t>80</w:t>
                  </w:r>
                </w:p>
              </w:tc>
              <w:tc>
                <w:tcPr>
                  <w:tcW w:w="339" w:type="pct"/>
                  <w:vMerge w:val="continue"/>
                  <w:vAlign w:val="center"/>
                </w:tcPr>
                <w:p>
                  <w:pPr>
                    <w:pStyle w:val="62"/>
                    <w:spacing w:line="320" w:lineRule="exact"/>
                    <w:rPr>
                      <w:b/>
                      <w:sz w:val="21"/>
                      <w:szCs w:val="21"/>
                      <w:u w:val="single"/>
                    </w:rPr>
                  </w:pPr>
                </w:p>
              </w:tc>
              <w:tc>
                <w:tcPr>
                  <w:tcW w:w="162" w:type="pct"/>
                  <w:vMerge w:val="restart"/>
                  <w:vAlign w:val="center"/>
                </w:tcPr>
                <w:p>
                  <w:pPr>
                    <w:pStyle w:val="62"/>
                    <w:spacing w:line="320" w:lineRule="exact"/>
                    <w:rPr>
                      <w:b/>
                      <w:sz w:val="21"/>
                      <w:szCs w:val="21"/>
                      <w:u w:val="single"/>
                    </w:rPr>
                  </w:pPr>
                  <w:r>
                    <w:rPr>
                      <w:rFonts w:hint="eastAsia"/>
                      <w:b/>
                      <w:sz w:val="21"/>
                      <w:szCs w:val="21"/>
                      <w:u w:val="single"/>
                    </w:rPr>
                    <w:t>2</w:t>
                  </w:r>
                </w:p>
              </w:tc>
              <w:tc>
                <w:tcPr>
                  <w:tcW w:w="158" w:type="pct"/>
                  <w:vMerge w:val="restart"/>
                  <w:vAlign w:val="center"/>
                </w:tcPr>
                <w:p>
                  <w:pPr>
                    <w:pStyle w:val="62"/>
                    <w:spacing w:line="320" w:lineRule="exact"/>
                    <w:rPr>
                      <w:b/>
                      <w:sz w:val="21"/>
                      <w:szCs w:val="21"/>
                      <w:u w:val="single"/>
                    </w:rPr>
                  </w:pPr>
                  <w:r>
                    <w:rPr>
                      <w:rFonts w:hint="eastAsia"/>
                      <w:b/>
                      <w:sz w:val="21"/>
                      <w:szCs w:val="21"/>
                      <w:u w:val="single"/>
                    </w:rPr>
                    <w:t>2</w:t>
                  </w:r>
                </w:p>
              </w:tc>
              <w:tc>
                <w:tcPr>
                  <w:tcW w:w="177" w:type="pct"/>
                  <w:vMerge w:val="restart"/>
                  <w:vAlign w:val="center"/>
                </w:tcPr>
                <w:p>
                  <w:pPr>
                    <w:pStyle w:val="62"/>
                    <w:spacing w:line="320" w:lineRule="exact"/>
                    <w:rPr>
                      <w:b/>
                      <w:sz w:val="21"/>
                      <w:szCs w:val="21"/>
                      <w:u w:val="single"/>
                    </w:rPr>
                  </w:pPr>
                  <w:r>
                    <w:rPr>
                      <w:rFonts w:hint="eastAsia"/>
                      <w:b/>
                      <w:sz w:val="21"/>
                      <w:szCs w:val="21"/>
                      <w:u w:val="single"/>
                    </w:rPr>
                    <w:t>1</w:t>
                  </w:r>
                </w:p>
              </w:tc>
              <w:tc>
                <w:tcPr>
                  <w:tcW w:w="200" w:type="pct"/>
                  <w:vAlign w:val="center"/>
                </w:tcPr>
                <w:p>
                  <w:pPr>
                    <w:pStyle w:val="62"/>
                    <w:spacing w:line="320" w:lineRule="exact"/>
                    <w:rPr>
                      <w:b/>
                      <w:sz w:val="21"/>
                      <w:szCs w:val="21"/>
                      <w:u w:val="single"/>
                    </w:rPr>
                  </w:pPr>
                  <w:r>
                    <w:rPr>
                      <w:b/>
                      <w:sz w:val="21"/>
                      <w:szCs w:val="21"/>
                      <w:u w:val="single"/>
                    </w:rPr>
                    <w:t>东</w:t>
                  </w:r>
                </w:p>
              </w:tc>
              <w:tc>
                <w:tcPr>
                  <w:tcW w:w="181" w:type="pct"/>
                  <w:vAlign w:val="center"/>
                </w:tcPr>
                <w:p>
                  <w:pPr>
                    <w:pStyle w:val="62"/>
                    <w:spacing w:line="320" w:lineRule="exact"/>
                    <w:rPr>
                      <w:b/>
                      <w:sz w:val="21"/>
                      <w:szCs w:val="21"/>
                      <w:u w:val="single"/>
                    </w:rPr>
                  </w:pPr>
                  <w:r>
                    <w:rPr>
                      <w:rFonts w:hint="eastAsia"/>
                      <w:b/>
                      <w:sz w:val="21"/>
                      <w:szCs w:val="21"/>
                      <w:u w:val="single"/>
                    </w:rPr>
                    <w:t>38</w:t>
                  </w:r>
                </w:p>
              </w:tc>
              <w:tc>
                <w:tcPr>
                  <w:tcW w:w="373" w:type="pct"/>
                  <w:vAlign w:val="center"/>
                </w:tcPr>
                <w:p>
                  <w:pPr>
                    <w:pStyle w:val="62"/>
                    <w:spacing w:line="320" w:lineRule="exact"/>
                    <w:rPr>
                      <w:b/>
                      <w:sz w:val="21"/>
                      <w:szCs w:val="21"/>
                      <w:u w:val="single"/>
                    </w:rPr>
                  </w:pPr>
                  <w:r>
                    <w:rPr>
                      <w:rFonts w:hint="eastAsia"/>
                      <w:b/>
                      <w:sz w:val="21"/>
                      <w:szCs w:val="21"/>
                      <w:u w:val="single"/>
                    </w:rPr>
                    <w:t xml:space="preserve">48.40 </w:t>
                  </w:r>
                </w:p>
              </w:tc>
              <w:tc>
                <w:tcPr>
                  <w:tcW w:w="423" w:type="pct"/>
                  <w:vMerge w:val="continue"/>
                  <w:vAlign w:val="center"/>
                </w:tcPr>
                <w:p>
                  <w:pPr>
                    <w:pStyle w:val="62"/>
                    <w:spacing w:line="320" w:lineRule="exact"/>
                    <w:rPr>
                      <w:b/>
                      <w:sz w:val="21"/>
                      <w:szCs w:val="21"/>
                      <w:u w:val="single"/>
                    </w:rPr>
                  </w:pPr>
                </w:p>
              </w:tc>
              <w:tc>
                <w:tcPr>
                  <w:tcW w:w="333" w:type="pct"/>
                  <w:vMerge w:val="continue"/>
                  <w:vAlign w:val="center"/>
                </w:tcPr>
                <w:p>
                  <w:pPr>
                    <w:pStyle w:val="62"/>
                    <w:spacing w:line="320" w:lineRule="exact"/>
                    <w:rPr>
                      <w:b/>
                      <w:sz w:val="21"/>
                      <w:szCs w:val="21"/>
                      <w:u w:val="single"/>
                    </w:rPr>
                  </w:pPr>
                </w:p>
              </w:tc>
              <w:tc>
                <w:tcPr>
                  <w:tcW w:w="286" w:type="pct"/>
                  <w:vAlign w:val="center"/>
                </w:tcPr>
                <w:p>
                  <w:pPr>
                    <w:pStyle w:val="62"/>
                    <w:spacing w:line="320" w:lineRule="exact"/>
                    <w:rPr>
                      <w:b/>
                      <w:sz w:val="21"/>
                      <w:szCs w:val="21"/>
                      <w:u w:val="single"/>
                    </w:rPr>
                  </w:pPr>
                  <w:r>
                    <w:rPr>
                      <w:rFonts w:hint="eastAsia"/>
                      <w:b/>
                      <w:sz w:val="21"/>
                      <w:szCs w:val="21"/>
                      <w:u w:val="single"/>
                    </w:rPr>
                    <w:t xml:space="preserve">28.40 </w:t>
                  </w:r>
                </w:p>
              </w:tc>
              <w:tc>
                <w:tcPr>
                  <w:tcW w:w="167" w:type="pct"/>
                  <w:vAlign w:val="center"/>
                </w:tcPr>
                <w:p>
                  <w:pPr>
                    <w:pStyle w:val="62"/>
                    <w:spacing w:line="320" w:lineRule="exact"/>
                    <w:rPr>
                      <w:b/>
                      <w:sz w:val="21"/>
                      <w:szCs w:val="21"/>
                      <w:u w:val="single"/>
                    </w:rPr>
                  </w:pPr>
                  <w:r>
                    <w:rPr>
                      <w:b/>
                      <w:sz w:val="21"/>
                      <w:szCs w:val="21"/>
                      <w:u w:val="single"/>
                    </w:rPr>
                    <w:t>东</w:t>
                  </w:r>
                </w:p>
              </w:tc>
              <w:tc>
                <w:tcPr>
                  <w:tcW w:w="200" w:type="pct"/>
                  <w:vAlign w:val="center"/>
                </w:tcPr>
                <w:p>
                  <w:pPr>
                    <w:pStyle w:val="62"/>
                    <w:spacing w:line="320" w:lineRule="exact"/>
                    <w:rPr>
                      <w:b/>
                      <w:sz w:val="21"/>
                      <w:szCs w:val="21"/>
                      <w:u w:val="single"/>
                    </w:rPr>
                  </w:pPr>
                  <w:r>
                    <w:rPr>
                      <w:rFonts w:hint="eastAsia"/>
                      <w:b/>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85" w:type="pct"/>
                  <w:vMerge w:val="continue"/>
                  <w:vAlign w:val="center"/>
                </w:tcPr>
                <w:p>
                  <w:pPr>
                    <w:pStyle w:val="62"/>
                    <w:spacing w:line="320" w:lineRule="exact"/>
                    <w:rPr>
                      <w:b/>
                      <w:sz w:val="21"/>
                      <w:szCs w:val="21"/>
                      <w:u w:val="single"/>
                    </w:rPr>
                  </w:pPr>
                </w:p>
              </w:tc>
              <w:tc>
                <w:tcPr>
                  <w:tcW w:w="283" w:type="pct"/>
                  <w:vMerge w:val="continue"/>
                  <w:vAlign w:val="center"/>
                </w:tcPr>
                <w:p>
                  <w:pPr>
                    <w:pStyle w:val="62"/>
                    <w:spacing w:line="320" w:lineRule="exact"/>
                    <w:rPr>
                      <w:b/>
                      <w:sz w:val="21"/>
                      <w:szCs w:val="21"/>
                      <w:u w:val="single"/>
                    </w:rPr>
                  </w:pPr>
                </w:p>
              </w:tc>
              <w:tc>
                <w:tcPr>
                  <w:tcW w:w="375" w:type="pct"/>
                  <w:vMerge w:val="continue"/>
                  <w:vAlign w:val="center"/>
                </w:tcPr>
                <w:p>
                  <w:pPr>
                    <w:pStyle w:val="62"/>
                    <w:spacing w:line="320" w:lineRule="exact"/>
                    <w:rPr>
                      <w:b/>
                      <w:sz w:val="21"/>
                      <w:szCs w:val="21"/>
                      <w:u w:val="single"/>
                    </w:rPr>
                  </w:pPr>
                </w:p>
              </w:tc>
              <w:tc>
                <w:tcPr>
                  <w:tcW w:w="442" w:type="pct"/>
                  <w:vMerge w:val="continue"/>
                  <w:vAlign w:val="center"/>
                </w:tcPr>
                <w:p>
                  <w:pPr>
                    <w:pStyle w:val="62"/>
                    <w:spacing w:line="320" w:lineRule="exact"/>
                    <w:rPr>
                      <w:b/>
                      <w:sz w:val="21"/>
                      <w:szCs w:val="21"/>
                      <w:u w:val="single"/>
                    </w:rPr>
                  </w:pPr>
                </w:p>
              </w:tc>
              <w:tc>
                <w:tcPr>
                  <w:tcW w:w="477" w:type="pct"/>
                  <w:vMerge w:val="continue"/>
                  <w:vAlign w:val="center"/>
                </w:tcPr>
                <w:p>
                  <w:pPr>
                    <w:pStyle w:val="62"/>
                    <w:spacing w:line="320" w:lineRule="exact"/>
                    <w:rPr>
                      <w:b/>
                      <w:sz w:val="21"/>
                      <w:szCs w:val="21"/>
                      <w:u w:val="single"/>
                    </w:rPr>
                  </w:pPr>
                </w:p>
              </w:tc>
              <w:tc>
                <w:tcPr>
                  <w:tcW w:w="339" w:type="pct"/>
                  <w:vMerge w:val="continue"/>
                  <w:vAlign w:val="center"/>
                </w:tcPr>
                <w:p>
                  <w:pPr>
                    <w:pStyle w:val="62"/>
                    <w:spacing w:line="320" w:lineRule="exact"/>
                    <w:rPr>
                      <w:b/>
                      <w:sz w:val="21"/>
                      <w:szCs w:val="21"/>
                      <w:u w:val="single"/>
                    </w:rPr>
                  </w:pPr>
                </w:p>
              </w:tc>
              <w:tc>
                <w:tcPr>
                  <w:tcW w:w="339" w:type="pct"/>
                  <w:vMerge w:val="continue"/>
                  <w:vAlign w:val="center"/>
                </w:tcPr>
                <w:p>
                  <w:pPr>
                    <w:pStyle w:val="62"/>
                    <w:spacing w:line="320" w:lineRule="exact"/>
                    <w:rPr>
                      <w:b/>
                      <w:sz w:val="21"/>
                      <w:szCs w:val="21"/>
                      <w:u w:val="single"/>
                    </w:rPr>
                  </w:pPr>
                </w:p>
              </w:tc>
              <w:tc>
                <w:tcPr>
                  <w:tcW w:w="162" w:type="pct"/>
                  <w:vMerge w:val="continue"/>
                  <w:vAlign w:val="center"/>
                </w:tcPr>
                <w:p>
                  <w:pPr>
                    <w:pStyle w:val="62"/>
                    <w:spacing w:line="320" w:lineRule="exact"/>
                    <w:rPr>
                      <w:b/>
                      <w:sz w:val="21"/>
                      <w:szCs w:val="21"/>
                      <w:u w:val="single"/>
                    </w:rPr>
                  </w:pPr>
                </w:p>
              </w:tc>
              <w:tc>
                <w:tcPr>
                  <w:tcW w:w="158" w:type="pct"/>
                  <w:vMerge w:val="continue"/>
                  <w:vAlign w:val="center"/>
                </w:tcPr>
                <w:p>
                  <w:pPr>
                    <w:pStyle w:val="62"/>
                    <w:spacing w:line="320" w:lineRule="exact"/>
                    <w:rPr>
                      <w:b/>
                      <w:sz w:val="21"/>
                      <w:szCs w:val="21"/>
                      <w:u w:val="single"/>
                    </w:rPr>
                  </w:pPr>
                </w:p>
              </w:tc>
              <w:tc>
                <w:tcPr>
                  <w:tcW w:w="177" w:type="pct"/>
                  <w:vMerge w:val="continue"/>
                  <w:vAlign w:val="center"/>
                </w:tcPr>
                <w:p>
                  <w:pPr>
                    <w:pStyle w:val="62"/>
                    <w:spacing w:line="320" w:lineRule="exact"/>
                    <w:rPr>
                      <w:b/>
                      <w:sz w:val="21"/>
                      <w:szCs w:val="21"/>
                      <w:u w:val="single"/>
                    </w:rPr>
                  </w:pPr>
                </w:p>
              </w:tc>
              <w:tc>
                <w:tcPr>
                  <w:tcW w:w="200" w:type="pct"/>
                  <w:vAlign w:val="center"/>
                </w:tcPr>
                <w:p>
                  <w:pPr>
                    <w:pStyle w:val="62"/>
                    <w:spacing w:line="320" w:lineRule="exact"/>
                    <w:rPr>
                      <w:b/>
                      <w:sz w:val="21"/>
                      <w:szCs w:val="21"/>
                      <w:u w:val="single"/>
                    </w:rPr>
                  </w:pPr>
                  <w:r>
                    <w:rPr>
                      <w:b/>
                      <w:sz w:val="21"/>
                      <w:szCs w:val="21"/>
                      <w:u w:val="single"/>
                    </w:rPr>
                    <w:t>西</w:t>
                  </w:r>
                </w:p>
              </w:tc>
              <w:tc>
                <w:tcPr>
                  <w:tcW w:w="181" w:type="pct"/>
                  <w:vAlign w:val="center"/>
                </w:tcPr>
                <w:p>
                  <w:pPr>
                    <w:pStyle w:val="62"/>
                    <w:spacing w:line="320" w:lineRule="exact"/>
                    <w:rPr>
                      <w:b/>
                      <w:sz w:val="21"/>
                      <w:szCs w:val="21"/>
                      <w:u w:val="single"/>
                    </w:rPr>
                  </w:pPr>
                  <w:r>
                    <w:rPr>
                      <w:rFonts w:hint="eastAsia"/>
                      <w:b/>
                      <w:sz w:val="21"/>
                      <w:szCs w:val="21"/>
                      <w:u w:val="single"/>
                    </w:rPr>
                    <w:t>2</w:t>
                  </w:r>
                </w:p>
              </w:tc>
              <w:tc>
                <w:tcPr>
                  <w:tcW w:w="373" w:type="pct"/>
                  <w:vAlign w:val="center"/>
                </w:tcPr>
                <w:p>
                  <w:pPr>
                    <w:pStyle w:val="62"/>
                    <w:spacing w:line="320" w:lineRule="exact"/>
                    <w:rPr>
                      <w:b/>
                      <w:sz w:val="21"/>
                      <w:szCs w:val="21"/>
                      <w:u w:val="single"/>
                    </w:rPr>
                  </w:pPr>
                  <w:r>
                    <w:rPr>
                      <w:rFonts w:hint="eastAsia"/>
                      <w:b/>
                      <w:sz w:val="21"/>
                      <w:szCs w:val="21"/>
                      <w:u w:val="single"/>
                    </w:rPr>
                    <w:t xml:space="preserve">73.98 </w:t>
                  </w:r>
                </w:p>
              </w:tc>
              <w:tc>
                <w:tcPr>
                  <w:tcW w:w="423" w:type="pct"/>
                  <w:vMerge w:val="continue"/>
                  <w:vAlign w:val="center"/>
                </w:tcPr>
                <w:p>
                  <w:pPr>
                    <w:pStyle w:val="62"/>
                    <w:spacing w:line="320" w:lineRule="exact"/>
                    <w:rPr>
                      <w:b/>
                      <w:sz w:val="21"/>
                      <w:szCs w:val="21"/>
                      <w:u w:val="single"/>
                    </w:rPr>
                  </w:pPr>
                </w:p>
              </w:tc>
              <w:tc>
                <w:tcPr>
                  <w:tcW w:w="333" w:type="pct"/>
                  <w:vMerge w:val="continue"/>
                  <w:vAlign w:val="center"/>
                </w:tcPr>
                <w:p>
                  <w:pPr>
                    <w:pStyle w:val="62"/>
                    <w:spacing w:line="320" w:lineRule="exact"/>
                    <w:rPr>
                      <w:b/>
                      <w:sz w:val="21"/>
                      <w:szCs w:val="21"/>
                      <w:u w:val="single"/>
                    </w:rPr>
                  </w:pPr>
                </w:p>
              </w:tc>
              <w:tc>
                <w:tcPr>
                  <w:tcW w:w="286" w:type="pct"/>
                  <w:vAlign w:val="center"/>
                </w:tcPr>
                <w:p>
                  <w:pPr>
                    <w:pStyle w:val="62"/>
                    <w:spacing w:line="320" w:lineRule="exact"/>
                    <w:rPr>
                      <w:b/>
                      <w:sz w:val="21"/>
                      <w:szCs w:val="21"/>
                      <w:u w:val="single"/>
                    </w:rPr>
                  </w:pPr>
                  <w:r>
                    <w:rPr>
                      <w:rFonts w:hint="eastAsia"/>
                      <w:b/>
                      <w:sz w:val="21"/>
                      <w:szCs w:val="21"/>
                      <w:u w:val="single"/>
                    </w:rPr>
                    <w:t xml:space="preserve">53.98 </w:t>
                  </w:r>
                </w:p>
              </w:tc>
              <w:tc>
                <w:tcPr>
                  <w:tcW w:w="167" w:type="pct"/>
                  <w:vAlign w:val="center"/>
                </w:tcPr>
                <w:p>
                  <w:pPr>
                    <w:pStyle w:val="62"/>
                    <w:spacing w:line="320" w:lineRule="exact"/>
                    <w:rPr>
                      <w:b/>
                      <w:sz w:val="21"/>
                      <w:szCs w:val="21"/>
                      <w:u w:val="single"/>
                    </w:rPr>
                  </w:pPr>
                  <w:r>
                    <w:rPr>
                      <w:b/>
                      <w:sz w:val="21"/>
                      <w:szCs w:val="21"/>
                      <w:u w:val="single"/>
                    </w:rPr>
                    <w:t>西</w:t>
                  </w:r>
                </w:p>
              </w:tc>
              <w:tc>
                <w:tcPr>
                  <w:tcW w:w="200" w:type="pct"/>
                  <w:vAlign w:val="center"/>
                </w:tcPr>
                <w:p>
                  <w:pPr>
                    <w:pStyle w:val="62"/>
                    <w:spacing w:line="320" w:lineRule="exact"/>
                    <w:rPr>
                      <w:b/>
                      <w:sz w:val="21"/>
                      <w:szCs w:val="21"/>
                      <w:u w:val="single"/>
                    </w:rPr>
                  </w:pPr>
                  <w:r>
                    <w:rPr>
                      <w:rFonts w:hint="eastAsia"/>
                      <w:b/>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85" w:type="pct"/>
                  <w:vMerge w:val="continue"/>
                  <w:vAlign w:val="center"/>
                </w:tcPr>
                <w:p>
                  <w:pPr>
                    <w:pStyle w:val="62"/>
                    <w:spacing w:line="320" w:lineRule="exact"/>
                    <w:rPr>
                      <w:b/>
                      <w:sz w:val="21"/>
                      <w:szCs w:val="21"/>
                      <w:u w:val="single"/>
                    </w:rPr>
                  </w:pPr>
                </w:p>
              </w:tc>
              <w:tc>
                <w:tcPr>
                  <w:tcW w:w="283" w:type="pct"/>
                  <w:vMerge w:val="continue"/>
                  <w:vAlign w:val="center"/>
                </w:tcPr>
                <w:p>
                  <w:pPr>
                    <w:pStyle w:val="62"/>
                    <w:spacing w:line="320" w:lineRule="exact"/>
                    <w:rPr>
                      <w:b/>
                      <w:sz w:val="21"/>
                      <w:szCs w:val="21"/>
                      <w:u w:val="single"/>
                    </w:rPr>
                  </w:pPr>
                </w:p>
              </w:tc>
              <w:tc>
                <w:tcPr>
                  <w:tcW w:w="375" w:type="pct"/>
                  <w:vMerge w:val="continue"/>
                  <w:vAlign w:val="center"/>
                </w:tcPr>
                <w:p>
                  <w:pPr>
                    <w:pStyle w:val="62"/>
                    <w:spacing w:line="320" w:lineRule="exact"/>
                    <w:rPr>
                      <w:b/>
                      <w:sz w:val="21"/>
                      <w:szCs w:val="21"/>
                      <w:u w:val="single"/>
                    </w:rPr>
                  </w:pPr>
                </w:p>
              </w:tc>
              <w:tc>
                <w:tcPr>
                  <w:tcW w:w="442" w:type="pct"/>
                  <w:vMerge w:val="continue"/>
                  <w:vAlign w:val="center"/>
                </w:tcPr>
                <w:p>
                  <w:pPr>
                    <w:pStyle w:val="62"/>
                    <w:spacing w:line="320" w:lineRule="exact"/>
                    <w:rPr>
                      <w:b/>
                      <w:sz w:val="21"/>
                      <w:szCs w:val="21"/>
                      <w:u w:val="single"/>
                    </w:rPr>
                  </w:pPr>
                </w:p>
              </w:tc>
              <w:tc>
                <w:tcPr>
                  <w:tcW w:w="477" w:type="pct"/>
                  <w:vMerge w:val="continue"/>
                  <w:vAlign w:val="center"/>
                </w:tcPr>
                <w:p>
                  <w:pPr>
                    <w:pStyle w:val="62"/>
                    <w:spacing w:line="320" w:lineRule="exact"/>
                    <w:rPr>
                      <w:b/>
                      <w:sz w:val="21"/>
                      <w:szCs w:val="21"/>
                      <w:u w:val="single"/>
                    </w:rPr>
                  </w:pPr>
                </w:p>
              </w:tc>
              <w:tc>
                <w:tcPr>
                  <w:tcW w:w="339" w:type="pct"/>
                  <w:vMerge w:val="continue"/>
                  <w:vAlign w:val="center"/>
                </w:tcPr>
                <w:p>
                  <w:pPr>
                    <w:pStyle w:val="62"/>
                    <w:spacing w:line="320" w:lineRule="exact"/>
                    <w:rPr>
                      <w:b/>
                      <w:sz w:val="21"/>
                      <w:szCs w:val="21"/>
                      <w:u w:val="single"/>
                    </w:rPr>
                  </w:pPr>
                </w:p>
              </w:tc>
              <w:tc>
                <w:tcPr>
                  <w:tcW w:w="339" w:type="pct"/>
                  <w:vMerge w:val="continue"/>
                  <w:vAlign w:val="center"/>
                </w:tcPr>
                <w:p>
                  <w:pPr>
                    <w:pStyle w:val="62"/>
                    <w:spacing w:line="320" w:lineRule="exact"/>
                    <w:rPr>
                      <w:b/>
                      <w:sz w:val="21"/>
                      <w:szCs w:val="21"/>
                      <w:u w:val="single"/>
                    </w:rPr>
                  </w:pPr>
                </w:p>
              </w:tc>
              <w:tc>
                <w:tcPr>
                  <w:tcW w:w="162" w:type="pct"/>
                  <w:vMerge w:val="continue"/>
                  <w:vAlign w:val="center"/>
                </w:tcPr>
                <w:p>
                  <w:pPr>
                    <w:pStyle w:val="62"/>
                    <w:spacing w:line="320" w:lineRule="exact"/>
                    <w:rPr>
                      <w:b/>
                      <w:sz w:val="21"/>
                      <w:szCs w:val="21"/>
                      <w:u w:val="single"/>
                    </w:rPr>
                  </w:pPr>
                </w:p>
              </w:tc>
              <w:tc>
                <w:tcPr>
                  <w:tcW w:w="158" w:type="pct"/>
                  <w:vMerge w:val="continue"/>
                  <w:vAlign w:val="center"/>
                </w:tcPr>
                <w:p>
                  <w:pPr>
                    <w:pStyle w:val="62"/>
                    <w:spacing w:line="320" w:lineRule="exact"/>
                    <w:rPr>
                      <w:b/>
                      <w:sz w:val="21"/>
                      <w:szCs w:val="21"/>
                      <w:u w:val="single"/>
                    </w:rPr>
                  </w:pPr>
                </w:p>
              </w:tc>
              <w:tc>
                <w:tcPr>
                  <w:tcW w:w="177" w:type="pct"/>
                  <w:vMerge w:val="continue"/>
                  <w:vAlign w:val="center"/>
                </w:tcPr>
                <w:p>
                  <w:pPr>
                    <w:pStyle w:val="62"/>
                    <w:spacing w:line="320" w:lineRule="exact"/>
                    <w:rPr>
                      <w:b/>
                      <w:sz w:val="21"/>
                      <w:szCs w:val="21"/>
                      <w:u w:val="single"/>
                    </w:rPr>
                  </w:pPr>
                </w:p>
              </w:tc>
              <w:tc>
                <w:tcPr>
                  <w:tcW w:w="200" w:type="pct"/>
                  <w:vAlign w:val="center"/>
                </w:tcPr>
                <w:p>
                  <w:pPr>
                    <w:pStyle w:val="62"/>
                    <w:spacing w:line="320" w:lineRule="exact"/>
                    <w:rPr>
                      <w:b/>
                      <w:sz w:val="21"/>
                      <w:szCs w:val="21"/>
                      <w:u w:val="single"/>
                    </w:rPr>
                  </w:pPr>
                  <w:r>
                    <w:rPr>
                      <w:b/>
                      <w:sz w:val="21"/>
                      <w:szCs w:val="21"/>
                      <w:u w:val="single"/>
                    </w:rPr>
                    <w:t>南</w:t>
                  </w:r>
                </w:p>
              </w:tc>
              <w:tc>
                <w:tcPr>
                  <w:tcW w:w="181" w:type="pct"/>
                  <w:vAlign w:val="center"/>
                </w:tcPr>
                <w:p>
                  <w:pPr>
                    <w:pStyle w:val="62"/>
                    <w:spacing w:line="320" w:lineRule="exact"/>
                    <w:rPr>
                      <w:b/>
                      <w:sz w:val="21"/>
                      <w:szCs w:val="21"/>
                      <w:u w:val="single"/>
                    </w:rPr>
                  </w:pPr>
                  <w:r>
                    <w:rPr>
                      <w:rFonts w:hint="eastAsia"/>
                      <w:b/>
                      <w:sz w:val="21"/>
                      <w:szCs w:val="21"/>
                      <w:u w:val="single"/>
                    </w:rPr>
                    <w:t>2</w:t>
                  </w:r>
                </w:p>
              </w:tc>
              <w:tc>
                <w:tcPr>
                  <w:tcW w:w="373" w:type="pct"/>
                  <w:vAlign w:val="center"/>
                </w:tcPr>
                <w:p>
                  <w:pPr>
                    <w:pStyle w:val="62"/>
                    <w:spacing w:line="320" w:lineRule="exact"/>
                    <w:rPr>
                      <w:b/>
                      <w:sz w:val="21"/>
                      <w:szCs w:val="21"/>
                      <w:u w:val="single"/>
                    </w:rPr>
                  </w:pPr>
                  <w:r>
                    <w:rPr>
                      <w:rFonts w:hint="eastAsia"/>
                      <w:b/>
                      <w:sz w:val="21"/>
                      <w:szCs w:val="21"/>
                      <w:u w:val="single"/>
                    </w:rPr>
                    <w:t xml:space="preserve">73.98 </w:t>
                  </w:r>
                </w:p>
              </w:tc>
              <w:tc>
                <w:tcPr>
                  <w:tcW w:w="423" w:type="pct"/>
                  <w:vMerge w:val="continue"/>
                  <w:vAlign w:val="center"/>
                </w:tcPr>
                <w:p>
                  <w:pPr>
                    <w:pStyle w:val="62"/>
                    <w:spacing w:line="320" w:lineRule="exact"/>
                    <w:rPr>
                      <w:b/>
                      <w:sz w:val="21"/>
                      <w:szCs w:val="21"/>
                      <w:u w:val="single"/>
                    </w:rPr>
                  </w:pPr>
                </w:p>
              </w:tc>
              <w:tc>
                <w:tcPr>
                  <w:tcW w:w="333" w:type="pct"/>
                  <w:vMerge w:val="continue"/>
                  <w:vAlign w:val="center"/>
                </w:tcPr>
                <w:p>
                  <w:pPr>
                    <w:pStyle w:val="62"/>
                    <w:spacing w:line="320" w:lineRule="exact"/>
                    <w:rPr>
                      <w:b/>
                      <w:sz w:val="21"/>
                      <w:szCs w:val="21"/>
                      <w:u w:val="single"/>
                    </w:rPr>
                  </w:pPr>
                </w:p>
              </w:tc>
              <w:tc>
                <w:tcPr>
                  <w:tcW w:w="286" w:type="pct"/>
                  <w:vAlign w:val="center"/>
                </w:tcPr>
                <w:p>
                  <w:pPr>
                    <w:pStyle w:val="62"/>
                    <w:spacing w:line="320" w:lineRule="exact"/>
                    <w:rPr>
                      <w:b/>
                      <w:sz w:val="21"/>
                      <w:szCs w:val="21"/>
                      <w:u w:val="single"/>
                    </w:rPr>
                  </w:pPr>
                  <w:r>
                    <w:rPr>
                      <w:rFonts w:hint="eastAsia"/>
                      <w:b/>
                      <w:sz w:val="21"/>
                      <w:szCs w:val="21"/>
                      <w:u w:val="single"/>
                    </w:rPr>
                    <w:t xml:space="preserve">53.98 </w:t>
                  </w:r>
                </w:p>
              </w:tc>
              <w:tc>
                <w:tcPr>
                  <w:tcW w:w="167" w:type="pct"/>
                  <w:vAlign w:val="center"/>
                </w:tcPr>
                <w:p>
                  <w:pPr>
                    <w:pStyle w:val="62"/>
                    <w:spacing w:line="320" w:lineRule="exact"/>
                    <w:rPr>
                      <w:b/>
                      <w:sz w:val="21"/>
                      <w:szCs w:val="21"/>
                      <w:u w:val="single"/>
                    </w:rPr>
                  </w:pPr>
                  <w:r>
                    <w:rPr>
                      <w:b/>
                      <w:sz w:val="21"/>
                      <w:szCs w:val="21"/>
                      <w:u w:val="single"/>
                    </w:rPr>
                    <w:t>南</w:t>
                  </w:r>
                </w:p>
              </w:tc>
              <w:tc>
                <w:tcPr>
                  <w:tcW w:w="200" w:type="pct"/>
                  <w:vAlign w:val="center"/>
                </w:tcPr>
                <w:p>
                  <w:pPr>
                    <w:pStyle w:val="62"/>
                    <w:spacing w:line="320" w:lineRule="exact"/>
                    <w:rPr>
                      <w:b/>
                      <w:sz w:val="21"/>
                      <w:szCs w:val="21"/>
                      <w:u w:val="single"/>
                    </w:rPr>
                  </w:pPr>
                  <w:r>
                    <w:rPr>
                      <w:rFonts w:hint="eastAsia"/>
                      <w:b/>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85" w:type="pct"/>
                  <w:vMerge w:val="continue"/>
                  <w:vAlign w:val="center"/>
                </w:tcPr>
                <w:p>
                  <w:pPr>
                    <w:pStyle w:val="62"/>
                    <w:spacing w:line="320" w:lineRule="exact"/>
                    <w:rPr>
                      <w:b/>
                      <w:sz w:val="21"/>
                      <w:szCs w:val="21"/>
                      <w:u w:val="single"/>
                    </w:rPr>
                  </w:pPr>
                </w:p>
              </w:tc>
              <w:tc>
                <w:tcPr>
                  <w:tcW w:w="283" w:type="pct"/>
                  <w:vMerge w:val="continue"/>
                  <w:vAlign w:val="center"/>
                </w:tcPr>
                <w:p>
                  <w:pPr>
                    <w:pStyle w:val="62"/>
                    <w:spacing w:line="320" w:lineRule="exact"/>
                    <w:rPr>
                      <w:b/>
                      <w:sz w:val="21"/>
                      <w:szCs w:val="21"/>
                      <w:u w:val="single"/>
                    </w:rPr>
                  </w:pPr>
                </w:p>
              </w:tc>
              <w:tc>
                <w:tcPr>
                  <w:tcW w:w="375" w:type="pct"/>
                  <w:vMerge w:val="continue"/>
                  <w:vAlign w:val="center"/>
                </w:tcPr>
                <w:p>
                  <w:pPr>
                    <w:pStyle w:val="62"/>
                    <w:spacing w:line="320" w:lineRule="exact"/>
                    <w:rPr>
                      <w:b/>
                      <w:sz w:val="21"/>
                      <w:szCs w:val="21"/>
                      <w:u w:val="single"/>
                    </w:rPr>
                  </w:pPr>
                </w:p>
              </w:tc>
              <w:tc>
                <w:tcPr>
                  <w:tcW w:w="442" w:type="pct"/>
                  <w:vMerge w:val="continue"/>
                  <w:vAlign w:val="center"/>
                </w:tcPr>
                <w:p>
                  <w:pPr>
                    <w:pStyle w:val="62"/>
                    <w:spacing w:line="320" w:lineRule="exact"/>
                    <w:rPr>
                      <w:b/>
                      <w:sz w:val="21"/>
                      <w:szCs w:val="21"/>
                      <w:u w:val="single"/>
                    </w:rPr>
                  </w:pPr>
                </w:p>
              </w:tc>
              <w:tc>
                <w:tcPr>
                  <w:tcW w:w="477" w:type="pct"/>
                  <w:vMerge w:val="continue"/>
                  <w:vAlign w:val="center"/>
                </w:tcPr>
                <w:p>
                  <w:pPr>
                    <w:pStyle w:val="62"/>
                    <w:spacing w:line="320" w:lineRule="exact"/>
                    <w:rPr>
                      <w:b/>
                      <w:sz w:val="21"/>
                      <w:szCs w:val="21"/>
                      <w:u w:val="single"/>
                    </w:rPr>
                  </w:pPr>
                </w:p>
              </w:tc>
              <w:tc>
                <w:tcPr>
                  <w:tcW w:w="339" w:type="pct"/>
                  <w:vMerge w:val="continue"/>
                  <w:vAlign w:val="center"/>
                </w:tcPr>
                <w:p>
                  <w:pPr>
                    <w:pStyle w:val="62"/>
                    <w:spacing w:line="320" w:lineRule="exact"/>
                    <w:rPr>
                      <w:b/>
                      <w:sz w:val="21"/>
                      <w:szCs w:val="21"/>
                      <w:u w:val="single"/>
                    </w:rPr>
                  </w:pPr>
                </w:p>
              </w:tc>
              <w:tc>
                <w:tcPr>
                  <w:tcW w:w="339" w:type="pct"/>
                  <w:vMerge w:val="continue"/>
                  <w:vAlign w:val="center"/>
                </w:tcPr>
                <w:p>
                  <w:pPr>
                    <w:pStyle w:val="62"/>
                    <w:spacing w:line="320" w:lineRule="exact"/>
                    <w:rPr>
                      <w:b/>
                      <w:sz w:val="21"/>
                      <w:szCs w:val="21"/>
                      <w:u w:val="single"/>
                    </w:rPr>
                  </w:pPr>
                </w:p>
              </w:tc>
              <w:tc>
                <w:tcPr>
                  <w:tcW w:w="162" w:type="pct"/>
                  <w:vMerge w:val="continue"/>
                  <w:vAlign w:val="center"/>
                </w:tcPr>
                <w:p>
                  <w:pPr>
                    <w:pStyle w:val="62"/>
                    <w:spacing w:line="320" w:lineRule="exact"/>
                    <w:rPr>
                      <w:b/>
                      <w:sz w:val="21"/>
                      <w:szCs w:val="21"/>
                      <w:u w:val="single"/>
                    </w:rPr>
                  </w:pPr>
                </w:p>
              </w:tc>
              <w:tc>
                <w:tcPr>
                  <w:tcW w:w="158" w:type="pct"/>
                  <w:vMerge w:val="continue"/>
                  <w:vAlign w:val="center"/>
                </w:tcPr>
                <w:p>
                  <w:pPr>
                    <w:pStyle w:val="62"/>
                    <w:spacing w:line="320" w:lineRule="exact"/>
                    <w:rPr>
                      <w:b/>
                      <w:sz w:val="21"/>
                      <w:szCs w:val="21"/>
                      <w:u w:val="single"/>
                    </w:rPr>
                  </w:pPr>
                </w:p>
              </w:tc>
              <w:tc>
                <w:tcPr>
                  <w:tcW w:w="177" w:type="pct"/>
                  <w:vMerge w:val="continue"/>
                  <w:vAlign w:val="center"/>
                </w:tcPr>
                <w:p>
                  <w:pPr>
                    <w:pStyle w:val="62"/>
                    <w:spacing w:line="320" w:lineRule="exact"/>
                    <w:rPr>
                      <w:b/>
                      <w:sz w:val="21"/>
                      <w:szCs w:val="21"/>
                      <w:u w:val="single"/>
                    </w:rPr>
                  </w:pPr>
                </w:p>
              </w:tc>
              <w:tc>
                <w:tcPr>
                  <w:tcW w:w="200" w:type="pct"/>
                  <w:vAlign w:val="center"/>
                </w:tcPr>
                <w:p>
                  <w:pPr>
                    <w:pStyle w:val="62"/>
                    <w:spacing w:line="320" w:lineRule="exact"/>
                    <w:rPr>
                      <w:b/>
                      <w:sz w:val="21"/>
                      <w:szCs w:val="21"/>
                      <w:u w:val="single"/>
                    </w:rPr>
                  </w:pPr>
                  <w:r>
                    <w:rPr>
                      <w:b/>
                      <w:sz w:val="21"/>
                      <w:szCs w:val="21"/>
                      <w:u w:val="single"/>
                    </w:rPr>
                    <w:t>北</w:t>
                  </w:r>
                </w:p>
              </w:tc>
              <w:tc>
                <w:tcPr>
                  <w:tcW w:w="181" w:type="pct"/>
                  <w:vAlign w:val="center"/>
                </w:tcPr>
                <w:p>
                  <w:pPr>
                    <w:pStyle w:val="62"/>
                    <w:spacing w:line="320" w:lineRule="exact"/>
                    <w:rPr>
                      <w:b/>
                      <w:sz w:val="21"/>
                      <w:szCs w:val="21"/>
                      <w:u w:val="single"/>
                    </w:rPr>
                  </w:pPr>
                  <w:r>
                    <w:rPr>
                      <w:rFonts w:hint="eastAsia"/>
                      <w:b/>
                      <w:sz w:val="21"/>
                      <w:szCs w:val="21"/>
                      <w:u w:val="single"/>
                    </w:rPr>
                    <w:t>78</w:t>
                  </w:r>
                </w:p>
              </w:tc>
              <w:tc>
                <w:tcPr>
                  <w:tcW w:w="373" w:type="pct"/>
                  <w:vAlign w:val="center"/>
                </w:tcPr>
                <w:p>
                  <w:pPr>
                    <w:pStyle w:val="62"/>
                    <w:spacing w:line="320" w:lineRule="exact"/>
                    <w:rPr>
                      <w:b/>
                      <w:sz w:val="21"/>
                      <w:szCs w:val="21"/>
                      <w:u w:val="single"/>
                    </w:rPr>
                  </w:pPr>
                  <w:r>
                    <w:rPr>
                      <w:rFonts w:hint="eastAsia"/>
                      <w:b/>
                      <w:sz w:val="21"/>
                      <w:szCs w:val="21"/>
                      <w:u w:val="single"/>
                    </w:rPr>
                    <w:t xml:space="preserve">42.16 </w:t>
                  </w:r>
                </w:p>
              </w:tc>
              <w:tc>
                <w:tcPr>
                  <w:tcW w:w="423" w:type="pct"/>
                  <w:vMerge w:val="continue"/>
                  <w:vAlign w:val="center"/>
                </w:tcPr>
                <w:p>
                  <w:pPr>
                    <w:pStyle w:val="62"/>
                    <w:spacing w:line="320" w:lineRule="exact"/>
                    <w:rPr>
                      <w:b/>
                      <w:sz w:val="21"/>
                      <w:szCs w:val="21"/>
                      <w:u w:val="single"/>
                    </w:rPr>
                  </w:pPr>
                </w:p>
              </w:tc>
              <w:tc>
                <w:tcPr>
                  <w:tcW w:w="333" w:type="pct"/>
                  <w:vMerge w:val="continue"/>
                  <w:vAlign w:val="center"/>
                </w:tcPr>
                <w:p>
                  <w:pPr>
                    <w:pStyle w:val="62"/>
                    <w:spacing w:line="320" w:lineRule="exact"/>
                    <w:rPr>
                      <w:b/>
                      <w:sz w:val="21"/>
                      <w:szCs w:val="21"/>
                      <w:u w:val="single"/>
                    </w:rPr>
                  </w:pPr>
                </w:p>
              </w:tc>
              <w:tc>
                <w:tcPr>
                  <w:tcW w:w="286" w:type="pct"/>
                  <w:vAlign w:val="center"/>
                </w:tcPr>
                <w:p>
                  <w:pPr>
                    <w:pStyle w:val="62"/>
                    <w:spacing w:line="320" w:lineRule="exact"/>
                    <w:rPr>
                      <w:b/>
                      <w:sz w:val="21"/>
                      <w:szCs w:val="21"/>
                      <w:u w:val="single"/>
                    </w:rPr>
                  </w:pPr>
                  <w:r>
                    <w:rPr>
                      <w:rFonts w:hint="eastAsia"/>
                      <w:b/>
                      <w:sz w:val="21"/>
                      <w:szCs w:val="21"/>
                      <w:u w:val="single"/>
                    </w:rPr>
                    <w:t xml:space="preserve">22.16 </w:t>
                  </w:r>
                </w:p>
              </w:tc>
              <w:tc>
                <w:tcPr>
                  <w:tcW w:w="167" w:type="pct"/>
                  <w:vAlign w:val="center"/>
                </w:tcPr>
                <w:p>
                  <w:pPr>
                    <w:pStyle w:val="62"/>
                    <w:spacing w:line="320" w:lineRule="exact"/>
                    <w:rPr>
                      <w:b/>
                      <w:sz w:val="21"/>
                      <w:szCs w:val="21"/>
                      <w:u w:val="single"/>
                    </w:rPr>
                  </w:pPr>
                  <w:r>
                    <w:rPr>
                      <w:b/>
                      <w:sz w:val="21"/>
                      <w:szCs w:val="21"/>
                      <w:u w:val="single"/>
                    </w:rPr>
                    <w:t>北</w:t>
                  </w:r>
                </w:p>
              </w:tc>
              <w:tc>
                <w:tcPr>
                  <w:tcW w:w="200" w:type="pct"/>
                  <w:vAlign w:val="center"/>
                </w:tcPr>
                <w:p>
                  <w:pPr>
                    <w:pStyle w:val="62"/>
                    <w:spacing w:line="320" w:lineRule="exact"/>
                    <w:rPr>
                      <w:b/>
                      <w:sz w:val="21"/>
                      <w:szCs w:val="21"/>
                      <w:u w:val="single"/>
                    </w:rPr>
                  </w:pPr>
                  <w:r>
                    <w:rPr>
                      <w:rFonts w:hint="eastAsia"/>
                      <w:b/>
                      <w:sz w:val="21"/>
                      <w:szCs w:val="21"/>
                      <w:u w:val="single"/>
                    </w:rPr>
                    <w:t>1</w:t>
                  </w:r>
                </w:p>
              </w:tc>
            </w:tr>
          </w:tbl>
          <w:p>
            <w:pPr>
              <w:pStyle w:val="51"/>
              <w:ind w:firstLine="0" w:firstLineChars="0"/>
            </w:pPr>
            <w:r>
              <w:t>3.2厂界达标情况</w:t>
            </w:r>
          </w:p>
          <w:p>
            <w:pPr>
              <w:pStyle w:val="89"/>
              <w:snapToGrid w:val="0"/>
              <w:spacing w:line="520" w:lineRule="exact"/>
              <w:ind w:firstLine="480" w:firstLineChars="200"/>
            </w:pPr>
            <w:r>
              <w:t>根据《环境影响评价技术导则声环境》（HJ2.4-2021），选用预测模式，应用过程中将根据具体情况作必要简化。</w:t>
            </w:r>
          </w:p>
          <w:p>
            <w:pPr>
              <w:pStyle w:val="89"/>
              <w:snapToGrid w:val="0"/>
              <w:spacing w:line="520" w:lineRule="exact"/>
              <w:ind w:firstLine="480" w:firstLineChars="200"/>
            </w:pPr>
            <w:r>
              <w:rPr>
                <w:rFonts w:hint="eastAsia" w:ascii="宋体" w:hAnsi="宋体" w:cs="宋体"/>
              </w:rPr>
              <w:t>①</w:t>
            </w:r>
            <w:r>
              <w:t>室内点声源的预测</w:t>
            </w:r>
          </w:p>
          <w:p>
            <w:pPr>
              <w:pStyle w:val="89"/>
              <w:snapToGrid w:val="0"/>
              <w:spacing w:line="520" w:lineRule="exact"/>
              <w:ind w:firstLine="480" w:firstLineChars="200"/>
            </w:pPr>
            <w:r>
              <w:t>a、室内靠近围护结构处的倍频带声压级：</w:t>
            </w:r>
            <w:r>
              <w:rPr>
                <w:position w:val="-10"/>
              </w:rPr>
              <w:object>
                <v:shape id="_x0000_i1025" o:spt="75" type="#_x0000_t75" style="height:18.45pt;width:9.2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8" r:id="rId14">
                  <o:LockedField>false</o:LockedField>
                </o:OLEObject>
              </w:object>
            </w:r>
          </w:p>
          <w:p>
            <w:pPr>
              <w:pStyle w:val="89"/>
              <w:snapToGrid w:val="0"/>
              <w:spacing w:line="288" w:lineRule="auto"/>
              <w:ind w:firstLine="480" w:firstLineChars="200"/>
            </w:pPr>
            <m:oMathPara>
              <m:oMath>
                <m:sSub>
                  <m:sSubPr>
                    <m:ctrlPr>
                      <w:rPr>
                        <w:rFonts w:ascii="Cambria Math" w:hAnsi="Cambria Math"/>
                      </w:rPr>
                    </m:ctrlPr>
                  </m:sSubPr>
                  <m:e>
                    <m:r>
                      <m:rPr>
                        <m:sty m:val="p"/>
                      </m:rPr>
                      <w:rPr>
                        <w:rFonts w:ascii="Cambria Math" w:hAnsi="Cambria Math"/>
                      </w:rPr>
                      <m:t>L</m:t>
                    </m:r>
                    <m:ctrlPr>
                      <w:rPr>
                        <w:rFonts w:ascii="Cambria Math" w:hAnsi="Cambria Math"/>
                      </w:rPr>
                    </m:ctrlPr>
                  </m:e>
                  <m:sub>
                    <m:r>
                      <m:rPr>
                        <m:sty m:val="p"/>
                      </m:rPr>
                      <w:rPr>
                        <w:rFonts w:ascii="Cambria Math" w:hAnsi="Cambria Math"/>
                      </w:rPr>
                      <m:t>p1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L</m:t>
                    </m:r>
                    <m:ctrlPr>
                      <w:rPr>
                        <w:rFonts w:ascii="Cambria Math" w:hAnsi="Cambria Math"/>
                      </w:rPr>
                    </m:ctrlPr>
                  </m:e>
                  <m:sub>
                    <m:r>
                      <m:rPr>
                        <m:sty m:val="p"/>
                      </m:rPr>
                      <w:rPr>
                        <w:rFonts w:ascii="Cambria Math" w:hAnsi="Cambria Math"/>
                      </w:rPr>
                      <m:t>w</m:t>
                    </m:r>
                    <m:ctrlPr>
                      <w:rPr>
                        <w:rFonts w:ascii="Cambria Math" w:hAnsi="Cambria Math"/>
                      </w:rPr>
                    </m:ctrlPr>
                  </m:sub>
                </m:sSub>
                <m:r>
                  <m:rPr>
                    <m:sty m:val="p"/>
                  </m:rPr>
                  <w:rPr>
                    <w:rFonts w:ascii="Cambria Math" w:hAnsi="Cambria Math"/>
                  </w:rPr>
                  <m:t>+10lg⁡(</m:t>
                </m:r>
                <m:f>
                  <m:fPr>
                    <m:ctrlPr>
                      <w:rPr>
                        <w:rFonts w:ascii="Cambria Math" w:hAnsi="Cambria Math"/>
                      </w:rPr>
                    </m:ctrlPr>
                  </m:fPr>
                  <m:num>
                    <m:r>
                      <m:rPr>
                        <m:sty m:val="p"/>
                      </m:rPr>
                      <w:rPr>
                        <w:rFonts w:ascii="Cambria Math" w:hAnsi="Cambria Math"/>
                      </w:rPr>
                      <m:t>Q</m:t>
                    </m:r>
                    <m:ctrlPr>
                      <w:rPr>
                        <w:rFonts w:ascii="Cambria Math" w:hAnsi="Cambria Math"/>
                      </w:rPr>
                    </m:ctrlPr>
                  </m:num>
                  <m:den>
                    <m:r>
                      <m:rPr>
                        <m:sty m:val="p"/>
                      </m:rPr>
                      <w:rPr>
                        <w:rFonts w:ascii="Cambria Math" w:hAnsi="Cambria Math"/>
                      </w:rPr>
                      <m:t>4π</m:t>
                    </m:r>
                    <m:sSup>
                      <m:sSupPr>
                        <m:ctrlPr>
                          <w:rPr>
                            <w:rFonts w:ascii="Cambria Math" w:hAnsi="Cambria Math"/>
                          </w:rPr>
                        </m:ctrlPr>
                      </m:sSupPr>
                      <m:e>
                        <m:r>
                          <m:rPr>
                            <m:sty m:val="p"/>
                          </m:rPr>
                          <w:rPr>
                            <w:rFonts w:ascii="Cambria Math" w:hAnsi="Cambria Math"/>
                          </w:rPr>
                          <m:t>r</m:t>
                        </m:r>
                        <m:ctrlPr>
                          <w:rPr>
                            <w:rFonts w:ascii="Cambria Math" w:hAnsi="Cambria Math"/>
                          </w:rPr>
                        </m:ctrlPr>
                      </m:e>
                      <m:sup>
                        <m:r>
                          <m:rPr>
                            <m:sty m:val="p"/>
                          </m:rPr>
                          <w:rPr>
                            <w:rFonts w:ascii="Cambria Math" w:hAnsi="Cambria Math"/>
                          </w:rPr>
                          <m:t>2</m:t>
                        </m:r>
                        <m:ctrlPr>
                          <w:rPr>
                            <w:rFonts w:ascii="Cambria Math" w:hAnsi="Cambria Math"/>
                          </w:rPr>
                        </m:ctrlPr>
                      </m:sup>
                    </m:sSup>
                    <m:ctrlPr>
                      <w:rPr>
                        <w:rFonts w:ascii="Cambria Math" w:hAnsi="Cambria Math"/>
                      </w:rPr>
                    </m:ctrlPr>
                  </m:den>
                </m:f>
                <m:r>
                  <m:rPr>
                    <m:sty m:val="p"/>
                  </m:rPr>
                  <w:rPr>
                    <w:rFonts w:ascii="Cambria Math" w:hAnsi="Cambria Math"/>
                  </w:rPr>
                  <m:t>+</m:t>
                </m:r>
                <m:f>
                  <m:fPr>
                    <m:ctrlPr>
                      <w:rPr>
                        <w:rFonts w:ascii="Cambria Math" w:hAnsi="Cambria Math"/>
                      </w:rPr>
                    </m:ctrlPr>
                  </m:fPr>
                  <m:num>
                    <m:r>
                      <m:rPr>
                        <m:sty m:val="p"/>
                      </m:rPr>
                      <w:rPr>
                        <w:rFonts w:ascii="Cambria Math" w:hAnsi="Cambria Math"/>
                      </w:rPr>
                      <m:t>4</m:t>
                    </m:r>
                    <m:ctrlPr>
                      <w:rPr>
                        <w:rFonts w:ascii="Cambria Math" w:hAnsi="Cambria Math"/>
                      </w:rPr>
                    </m:ctrlPr>
                  </m:num>
                  <m:den>
                    <m:r>
                      <m:rPr>
                        <m:sty m:val="p"/>
                      </m:rPr>
                      <w:rPr>
                        <w:rFonts w:ascii="Cambria Math" w:hAnsi="Cambria Math"/>
                      </w:rPr>
                      <m:t>R</m:t>
                    </m:r>
                    <m:ctrlPr>
                      <w:rPr>
                        <w:rFonts w:ascii="Cambria Math" w:hAnsi="Cambria Math"/>
                      </w:rPr>
                    </m:ctrlPr>
                  </m:den>
                </m:f>
                <m:r>
                  <m:rPr>
                    <m:sty m:val="p"/>
                  </m:rPr>
                  <w:rPr>
                    <w:rFonts w:ascii="Cambria Math" w:hAnsi="Cambria Math"/>
                  </w:rPr>
                  <m:t>)</m:t>
                </m:r>
              </m:oMath>
            </m:oMathPara>
          </w:p>
          <w:p>
            <w:pPr>
              <w:pStyle w:val="89"/>
              <w:snapToGrid w:val="0"/>
              <w:spacing w:line="520" w:lineRule="exact"/>
              <w:ind w:firstLine="480" w:firstLineChars="200"/>
            </w:pPr>
            <w:r>
              <w:t>式中：L</w:t>
            </w:r>
            <w:r>
              <w:rPr>
                <w:vertAlign w:val="subscript"/>
              </w:rPr>
              <w:t>p1</w:t>
            </w:r>
            <w:r>
              <w:t>—靠近开口处（或窗户）室内某倍频带的声压级或A 声级，dB；</w:t>
            </w:r>
          </w:p>
          <w:p>
            <w:pPr>
              <w:pStyle w:val="89"/>
              <w:snapToGrid w:val="0"/>
              <w:spacing w:line="520" w:lineRule="exact"/>
              <w:ind w:firstLine="480" w:firstLineChars="200"/>
            </w:pPr>
            <w:r>
              <w:t xml:space="preserve">      L</w:t>
            </w:r>
            <w:r>
              <w:rPr>
                <w:vertAlign w:val="subscript"/>
              </w:rPr>
              <w:t>w</w:t>
            </w:r>
            <w:r>
              <w:t>—点声源声功率级（A 计权或倍频带），dB；</w:t>
            </w:r>
          </w:p>
          <w:p>
            <w:pPr>
              <w:pStyle w:val="89"/>
              <w:snapToGrid w:val="0"/>
              <w:spacing w:line="520" w:lineRule="exact"/>
              <w:ind w:firstLine="480" w:firstLineChars="200"/>
            </w:pPr>
            <w:r>
              <w:t xml:space="preserve">      Q—指向性因数；通常对无指向性声源，当声源放在房间中心时，Q=1；当放在一面墙的中心时，Q=2；当放在两面墙夹角处时，Q=4；当放在三面墙夹角处时，Q=8；</w:t>
            </w:r>
          </w:p>
          <w:p>
            <w:pPr>
              <w:pStyle w:val="89"/>
              <w:snapToGrid w:val="0"/>
              <w:spacing w:line="520" w:lineRule="exact"/>
              <w:ind w:firstLine="480" w:firstLineChars="200"/>
            </w:pPr>
            <w:r>
              <w:t xml:space="preserve">      R—</w:t>
            </w:r>
            <w:r>
              <w:rPr>
                <w:rFonts w:hint="eastAsia"/>
              </w:rPr>
              <w:t>房间常数；</w:t>
            </w:r>
            <w:r>
              <w:t xml:space="preserve"> </w:t>
            </w:r>
            <m:oMath>
              <m:r>
                <m:rPr>
                  <m:sty m:val="p"/>
                </m:rPr>
                <w:rPr>
                  <w:rFonts w:ascii="Cambria Math" w:hAnsi="Cambria Math"/>
                </w:rPr>
                <m:t>R=Sα/(1−α)</m:t>
              </m:r>
            </m:oMath>
            <w:r>
              <w:t xml:space="preserve">，S </w:t>
            </w:r>
            <w:r>
              <w:rPr>
                <w:rFonts w:hint="eastAsia"/>
              </w:rPr>
              <w:t>为房间内表面面积，</w:t>
            </w:r>
            <w:r>
              <w:t>m</w:t>
            </w:r>
            <w:r>
              <w:rPr>
                <w:vertAlign w:val="superscript"/>
              </w:rPr>
              <w:t>2</w:t>
            </w:r>
            <w:r>
              <w:rPr>
                <w:rFonts w:hint="eastAsia"/>
              </w:rPr>
              <w:t>；</w:t>
            </w:r>
            <w:r>
              <w:rPr>
                <w:position w:val="-6"/>
              </w:rPr>
              <w:pict>
                <v:shape id="_x0000_i1026" o:spt="75" type="#_x0000_t75" style="height:24.2pt;width:5.75pt;" filled="f" o:preferrelative="t" stroked="f" coordsize="21600,21600" equationxml="&lt;">
                  <v:path/>
                  <v:fill on="f" focussize="0,0"/>
                  <v:stroke on="f" joinstyle="miter"/>
                  <v:imagedata r:id="rId16" chromakey="#FFFFFF" o:title=""/>
                  <o:lock v:ext="edit" aspectratio="t"/>
                  <w10:wrap type="none"/>
                  <w10:anchorlock/>
                </v:shape>
              </w:pict>
            </w:r>
            <w:r>
              <w:rPr>
                <w:rFonts w:hint="eastAsia"/>
              </w:rPr>
              <w:t>为平均吸声系数；</w:t>
            </w:r>
          </w:p>
          <w:p>
            <w:pPr>
              <w:pStyle w:val="89"/>
              <w:snapToGrid w:val="0"/>
              <w:spacing w:line="520" w:lineRule="exact"/>
              <w:ind w:firstLine="480" w:firstLineChars="200"/>
            </w:pPr>
            <w:r>
              <w:t xml:space="preserve">      r—声源到靠近围护结构某点处的距离，m。</w:t>
            </w:r>
          </w:p>
          <w:p>
            <w:pPr>
              <w:pStyle w:val="89"/>
              <w:snapToGrid w:val="0"/>
              <w:spacing w:line="520" w:lineRule="exact"/>
              <w:ind w:firstLine="480" w:firstLineChars="200"/>
            </w:pPr>
            <w:r>
              <w:t>b、室内声源在靠近围护结构处产生的i倍频带声压级：</w:t>
            </w:r>
          </w:p>
          <w:p>
            <w:pPr>
              <w:pStyle w:val="89"/>
              <w:snapToGrid w:val="0"/>
              <w:spacing w:line="288" w:lineRule="auto"/>
              <w:ind w:firstLine="480" w:firstLineChars="200"/>
              <w:rPr>
                <w:b/>
                <w:bCs/>
              </w:rPr>
            </w:pPr>
            <w:r>
              <w:pict>
                <v:shape id="_x0000_i1027" o:spt="75" type="#_x0000_t75" style="height:44.35pt;width:149.2pt;" filled="f" o:preferrelative="t" stroked="f" coordsize="21600,21600" equationxml="&lt;">
                  <v:path/>
                  <v:fill on="f" focussize="0,0"/>
                  <v:stroke on="f" joinstyle="miter"/>
                  <v:imagedata r:id="rId17" chromakey="#FFFFFF" o:title=""/>
                  <o:lock v:ext="edit" aspectratio="t"/>
                  <w10:wrap type="none"/>
                  <w10:anchorlock/>
                </v:shape>
              </w:pict>
            </w:r>
          </w:p>
        </w:tc>
      </w:tr>
    </w:tbl>
    <w:p>
      <w:pPr>
        <w:pStyle w:val="51"/>
        <w:ind w:firstLine="0" w:firstLineChars="0"/>
        <w:rPr>
          <w:b/>
          <w:bCs/>
        </w:rPr>
        <w:sectPr>
          <w:pgSz w:w="16840" w:h="11907" w:orient="landscape"/>
          <w:pgMar w:top="1531" w:right="1701" w:bottom="1531" w:left="2127" w:header="851" w:footer="851" w:gutter="0"/>
          <w:cols w:space="720" w:num="1"/>
          <w:docGrid w:linePitch="312" w:charSpace="0"/>
        </w:sectPr>
      </w:pPr>
    </w:p>
    <w:tbl>
      <w:tblPr>
        <w:tblStyle w:val="22"/>
        <w:tblW w:w="508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0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17" w:hRule="atLeast"/>
          <w:jc w:val="center"/>
        </w:trPr>
        <w:tc>
          <w:tcPr>
            <w:tcW w:w="5000" w:type="pct"/>
            <w:tcMar>
              <w:left w:w="28" w:type="dxa"/>
              <w:right w:w="28" w:type="dxa"/>
            </w:tcMar>
            <w:vAlign w:val="center"/>
          </w:tcPr>
          <w:p>
            <w:pPr>
              <w:pStyle w:val="89"/>
              <w:snapToGrid w:val="0"/>
              <w:spacing w:line="520" w:lineRule="exact"/>
              <w:ind w:firstLine="480" w:firstLineChars="200"/>
            </w:pPr>
            <w:r>
              <w:t xml:space="preserve">     式中：</w:t>
            </w:r>
            <w:r>
              <w:fldChar w:fldCharType="begin"/>
            </w:r>
            <w:r>
              <w:instrText xml:space="preserve"> QUOTE </w:instrText>
            </w:r>
            <w:r>
              <w:rPr>
                <w:position w:val="-9"/>
              </w:rPr>
              <w:pict>
                <v:shape id="_x0000_i1028" o:spt="75" type="#_x0000_t75" style="height:24.2pt;width:37.45pt;" filled="f" o:preferrelative="t" stroked="f" coordsize="21600,21600" equationxml="&lt;">
                  <v:path/>
                  <v:fill on="f" focussize="0,0"/>
                  <v:stroke on="f" joinstyle="miter"/>
                  <v:imagedata r:id="rId18" chromakey="#FFFFFF" o:title=""/>
                  <o:lock v:ext="edit" aspectratio="t"/>
                  <w10:wrap type="none"/>
                  <w10:anchorlock/>
                </v:shape>
              </w:pict>
            </w:r>
            <w:r>
              <w:instrText xml:space="preserve"> </w:instrText>
            </w:r>
            <w:r>
              <w:fldChar w:fldCharType="separate"/>
            </w:r>
            <w:r>
              <w:rPr>
                <w:position w:val="-9"/>
              </w:rPr>
              <w:pict>
                <v:shape id="_x0000_i1029" o:spt="75" type="#_x0000_t75" style="height:24.2pt;width:37.45pt;" filled="f" o:preferrelative="t" stroked="f" coordsize="21600,21600" equationxml="&lt;">
                  <v:path/>
                  <v:fill on="f" focussize="0,0"/>
                  <v:stroke on="f" joinstyle="miter"/>
                  <v:imagedata r:id="rId18" chromakey="#FFFFFF" o:title=""/>
                  <o:lock v:ext="edit" aspectratio="t"/>
                  <w10:wrap type="none"/>
                  <w10:anchorlock/>
                </v:shape>
              </w:pict>
            </w:r>
            <w:r>
              <w:fldChar w:fldCharType="end"/>
            </w:r>
            <w:r>
              <w:rPr>
                <w:rFonts w:hint="eastAsia"/>
              </w:rPr>
              <w:t>-</w:t>
            </w:r>
            <w:r>
              <w:t>靠近围护结构处室内N 个声源i 倍频带的叠加声压级，dB；</w:t>
            </w:r>
          </w:p>
          <w:p>
            <w:pPr>
              <w:pStyle w:val="89"/>
              <w:snapToGrid w:val="0"/>
              <w:spacing w:line="520" w:lineRule="exact"/>
              <w:ind w:firstLine="480" w:firstLineChars="200"/>
            </w:pPr>
            <w:r>
              <w:t xml:space="preserve">       </w:t>
            </w:r>
            <w:r>
              <w:fldChar w:fldCharType="begin"/>
            </w:r>
            <w:r>
              <w:instrText xml:space="preserve"> QUOTE </w:instrText>
            </w:r>
            <w:r>
              <w:rPr>
                <w:position w:val="-9"/>
              </w:rPr>
              <w:pict>
                <v:shape id="_x0000_i1030" o:spt="75" type="#_x0000_t75" style="height:24.2pt;width:22.45pt;" filled="f" o:preferrelative="t" stroked="f" coordsize="21600,21600" equationxml="&lt;">
                  <v:path/>
                  <v:fill on="f" focussize="0,0"/>
                  <v:stroke on="f" joinstyle="miter"/>
                  <v:imagedata r:id="rId19" chromakey="#FFFFFF" o:title=""/>
                  <o:lock v:ext="edit" aspectratio="t"/>
                  <w10:wrap type="none"/>
                  <w10:anchorlock/>
                </v:shape>
              </w:pict>
            </w:r>
            <w:r>
              <w:instrText xml:space="preserve"> </w:instrText>
            </w:r>
            <w:r>
              <w:fldChar w:fldCharType="separate"/>
            </w:r>
            <w:r>
              <w:rPr>
                <w:position w:val="-9"/>
              </w:rPr>
              <w:pict>
                <v:shape id="_x0000_i1031" o:spt="75" type="#_x0000_t75" style="height:24.2pt;width:22.45pt;" filled="f" o:preferrelative="t" stroked="f" coordsize="21600,21600" equationxml="&lt;">
                  <v:path/>
                  <v:fill on="f" focussize="0,0"/>
                  <v:stroke on="f" joinstyle="miter"/>
                  <v:imagedata r:id="rId19" chromakey="#FFFFFF" o:title=""/>
                  <o:lock v:ext="edit" aspectratio="t"/>
                  <w10:wrap type="none"/>
                  <w10:anchorlock/>
                </v:shape>
              </w:pict>
            </w:r>
            <w:r>
              <w:fldChar w:fldCharType="end"/>
            </w:r>
            <w:r>
              <w:t>—室内j 声源i 倍频带的声压级，dB；</w:t>
            </w:r>
          </w:p>
          <w:p>
            <w:pPr>
              <w:pStyle w:val="89"/>
              <w:snapToGrid w:val="0"/>
              <w:spacing w:line="520" w:lineRule="exact"/>
              <w:ind w:firstLine="480" w:firstLineChars="200"/>
            </w:pPr>
            <w:r>
              <w:t xml:space="preserve">      N—室内声源总数。</w:t>
            </w:r>
          </w:p>
          <w:p>
            <w:pPr>
              <w:pStyle w:val="89"/>
              <w:snapToGrid w:val="0"/>
              <w:spacing w:line="520" w:lineRule="exact"/>
              <w:ind w:firstLine="480" w:firstLineChars="200"/>
            </w:pPr>
            <w:r>
              <w:t>c、室外靠近围护结构处的总的声压级：</w:t>
            </w:r>
          </w:p>
          <w:p>
            <w:pPr>
              <w:pStyle w:val="89"/>
              <w:snapToGrid w:val="0"/>
              <w:spacing w:line="520" w:lineRule="exact"/>
              <w:ind w:firstLine="480" w:firstLineChars="200"/>
            </w:pPr>
            <w:r>
              <w:pict>
                <v:shape id="_x0000_i1032" o:spt="75" type="#_x0000_t75" style="height:24.2pt;width:151.5pt;" filled="f" o:preferrelative="t" stroked="f" coordsize="21600,21600" equationxml="&lt;">
                  <v:path/>
                  <v:fill on="f" focussize="0,0"/>
                  <v:stroke on="f" joinstyle="miter"/>
                  <v:imagedata r:id="rId20" chromakey="#FFFFFF" o:title=""/>
                  <o:lock v:ext="edit" aspectratio="t"/>
                  <w10:wrap type="none"/>
                  <w10:anchorlock/>
                </v:shape>
              </w:pict>
            </w:r>
          </w:p>
          <w:p>
            <w:pPr>
              <w:pStyle w:val="89"/>
              <w:snapToGrid w:val="0"/>
              <w:spacing w:line="520" w:lineRule="exact"/>
              <w:ind w:firstLine="480" w:firstLineChars="200"/>
            </w:pPr>
            <w:r>
              <w:t>式中：</w:t>
            </w:r>
            <w:r>
              <w:fldChar w:fldCharType="begin"/>
            </w:r>
            <w:r>
              <w:instrText xml:space="preserve"> QUOTE </w:instrText>
            </w:r>
            <w:r>
              <w:rPr>
                <w:position w:val="-9"/>
              </w:rPr>
              <w:pict>
                <v:shape id="_x0000_i1033" o:spt="75" type="#_x0000_t75" style="height:24.2pt;width:37.45pt;" filled="f" o:preferrelative="t" stroked="f" coordsize="21600,21600" equationxml="&lt;">
                  <v:path/>
                  <v:fill on="f" focussize="0,0"/>
                  <v:stroke on="f" joinstyle="miter"/>
                  <v:imagedata r:id="rId21" chromakey="#FFFFFF" o:title=""/>
                  <o:lock v:ext="edit" aspectratio="t"/>
                  <w10:wrap type="none"/>
                  <w10:anchorlock/>
                </v:shape>
              </w:pict>
            </w:r>
            <w:r>
              <w:instrText xml:space="preserve"> </w:instrText>
            </w:r>
            <w:r>
              <w:fldChar w:fldCharType="separate"/>
            </w:r>
            <w:r>
              <w:rPr>
                <w:position w:val="-9"/>
              </w:rPr>
              <w:pict>
                <v:shape id="_x0000_i1034" o:spt="75" type="#_x0000_t75" style="height:24.2pt;width:37.45pt;" filled="f" o:preferrelative="t" stroked="f" coordsize="21600,21600" equationxml="&lt;">
                  <v:path/>
                  <v:fill on="f" focussize="0,0"/>
                  <v:stroke on="f" joinstyle="miter"/>
                  <v:imagedata r:id="rId21" chromakey="#FFFFFF" o:title=""/>
                  <o:lock v:ext="edit" aspectratio="t"/>
                  <w10:wrap type="none"/>
                  <w10:anchorlock/>
                </v:shape>
              </w:pict>
            </w:r>
            <w:r>
              <w:fldChar w:fldCharType="end"/>
            </w:r>
            <w:r>
              <w:t>为靠近围护结构处室外N个声源i倍频带的叠加声压级，dB；</w:t>
            </w:r>
          </w:p>
          <w:p>
            <w:pPr>
              <w:pStyle w:val="89"/>
              <w:snapToGrid w:val="0"/>
              <w:spacing w:line="520" w:lineRule="exact"/>
              <w:ind w:firstLine="480" w:firstLineChars="200"/>
            </w:pPr>
            <w:r>
              <w:t xml:space="preserve">      </w:t>
            </w:r>
            <w:r>
              <w:fldChar w:fldCharType="begin"/>
            </w:r>
            <w:r>
              <w:instrText xml:space="preserve"> QUOTE </w:instrText>
            </w:r>
            <w:r>
              <w:rPr>
                <w:position w:val="-9"/>
              </w:rPr>
              <w:pict>
                <v:shape id="_x0000_i1035" o:spt="75" type="#_x0000_t75" style="height:24.2pt;width:37.45pt;" filled="f" o:preferrelative="t" stroked="f" coordsize="21600,21600" equationxml="&lt;">
                  <v:path/>
                  <v:fill on="f" focussize="0,0"/>
                  <v:stroke on="f" joinstyle="miter"/>
                  <v:imagedata r:id="rId18" chromakey="#FFFFFF" o:title=""/>
                  <o:lock v:ext="edit" aspectratio="t"/>
                  <w10:wrap type="none"/>
                  <w10:anchorlock/>
                </v:shape>
              </w:pict>
            </w:r>
            <w:r>
              <w:instrText xml:space="preserve"> </w:instrText>
            </w:r>
            <w:r>
              <w:fldChar w:fldCharType="separate"/>
            </w:r>
            <w:r>
              <w:rPr>
                <w:position w:val="-9"/>
              </w:rPr>
              <w:pict>
                <v:shape id="_x0000_i1036" o:spt="75" type="#_x0000_t75" style="height:25.35pt;width:37.45pt;" filled="f" o:preferrelative="t" stroked="f" coordsize="21600,21600" equationxml="&lt;">
                  <v:path/>
                  <v:fill on="f" focussize="0,0"/>
                  <v:stroke on="f" joinstyle="miter"/>
                  <v:imagedata r:id="rId18" chromakey="#FFFFFF" o:title=""/>
                  <o:lock v:ext="edit" aspectratio="t"/>
                  <w10:wrap type="none"/>
                  <w10:anchorlock/>
                </v:shape>
              </w:pict>
            </w:r>
            <w:r>
              <w:fldChar w:fldCharType="end"/>
            </w:r>
            <w:r>
              <w:t>为靠近围护结构处室内N个声源i倍频带的叠加声压级，dB；</w:t>
            </w:r>
          </w:p>
          <w:p>
            <w:pPr>
              <w:pStyle w:val="89"/>
              <w:snapToGrid w:val="0"/>
              <w:spacing w:line="520" w:lineRule="exact"/>
              <w:ind w:firstLine="480" w:firstLineChars="200"/>
            </w:pPr>
            <w:r>
              <w:t xml:space="preserve"> TL</w:t>
            </w:r>
            <w:r>
              <w:rPr>
                <w:vertAlign w:val="subscript"/>
              </w:rPr>
              <w:t>i</w:t>
            </w:r>
            <w:r>
              <w:t>为围护结构i倍频带的隔声量，dB。</w:t>
            </w:r>
          </w:p>
          <w:p>
            <w:pPr>
              <w:pStyle w:val="89"/>
              <w:snapToGrid w:val="0"/>
              <w:spacing w:line="520" w:lineRule="exact"/>
              <w:ind w:firstLine="480" w:firstLineChars="200"/>
            </w:pPr>
            <w:r>
              <w:t>d、室外声压级换算成等效的室外声源：</w:t>
            </w:r>
          </w:p>
          <w:p>
            <w:pPr>
              <w:pStyle w:val="89"/>
              <w:snapToGrid w:val="0"/>
              <w:spacing w:line="520" w:lineRule="exact"/>
              <w:ind w:firstLine="480" w:firstLineChars="200"/>
            </w:pPr>
            <w:r>
              <w:pict>
                <v:shape id="_x0000_i1037" o:spt="75" type="#_x0000_t75" style="height:25.35pt;width:108.3pt;" filled="f" o:preferrelative="t" stroked="f" coordsize="21600,21600" equationxml="&lt;">
                  <v:path/>
                  <v:fill on="f" focussize="0,0"/>
                  <v:stroke on="f" joinstyle="miter"/>
                  <v:imagedata r:id="rId22" chromakey="#FFFFFF" o:title=""/>
                  <o:lock v:ext="edit" aspectratio="t"/>
                  <w10:wrap type="none"/>
                  <w10:anchorlock/>
                </v:shape>
              </w:pict>
            </w:r>
          </w:p>
          <w:p>
            <w:pPr>
              <w:pStyle w:val="89"/>
              <w:snapToGrid w:val="0"/>
              <w:spacing w:line="520" w:lineRule="exact"/>
              <w:ind w:firstLine="480" w:firstLineChars="200"/>
            </w:pPr>
            <w:r>
              <w:t>式中：L</w:t>
            </w:r>
            <w:r>
              <w:rPr>
                <w:vertAlign w:val="subscript"/>
              </w:rPr>
              <w:t>w</w:t>
            </w:r>
            <w:r>
              <w:t>为中心位置位于透声面积（S）处的等效声源的倍频带声功率级，dB；</w:t>
            </w:r>
          </w:p>
          <w:p>
            <w:pPr>
              <w:pStyle w:val="89"/>
              <w:snapToGrid w:val="0"/>
              <w:spacing w:line="520" w:lineRule="exact"/>
              <w:ind w:firstLine="480" w:firstLineChars="200"/>
            </w:pPr>
            <w:r>
              <w:t xml:space="preserve">      </w:t>
            </w:r>
            <w:r>
              <w:fldChar w:fldCharType="begin"/>
            </w:r>
            <w:r>
              <w:instrText xml:space="preserve"> QUOTE </w:instrText>
            </w:r>
            <w:r>
              <w:rPr>
                <w:position w:val="-9"/>
              </w:rPr>
              <w:pict>
                <v:shape id="_x0000_i1038" o:spt="75" type="#_x0000_t75" style="height:24.2pt;width:34.55pt;" filled="f" o:preferrelative="t" stroked="f" coordsize="21600,21600" equationxml="&lt;">
                  <v:path/>
                  <v:fill on="f" focussize="0,0"/>
                  <v:stroke on="f" joinstyle="miter"/>
                  <v:imagedata r:id="rId23" chromakey="#FFFFFF" o:title=""/>
                  <o:lock v:ext="edit" aspectratio="t"/>
                  <w10:wrap type="none"/>
                  <w10:anchorlock/>
                </v:shape>
              </w:pict>
            </w:r>
            <w:r>
              <w:instrText xml:space="preserve"> </w:instrText>
            </w:r>
            <w:r>
              <w:fldChar w:fldCharType="separate"/>
            </w:r>
            <w:r>
              <w:rPr>
                <w:position w:val="-9"/>
              </w:rPr>
              <w:pict>
                <v:shape id="_x0000_i1039" o:spt="75" type="#_x0000_t75" style="height:25.35pt;width:34.55pt;" filled="f" o:preferrelative="t" stroked="f" coordsize="21600,21600" equationxml="&lt;">
                  <v:path/>
                  <v:fill on="f" focussize="0,0"/>
                  <v:stroke on="f" joinstyle="miter"/>
                  <v:imagedata r:id="rId23" chromakey="#FFFFFF" o:title=""/>
                  <o:lock v:ext="edit" aspectratio="t"/>
                  <w10:wrap type="none"/>
                  <w10:anchorlock/>
                </v:shape>
              </w:pict>
            </w:r>
            <w:r>
              <w:fldChar w:fldCharType="end"/>
            </w:r>
            <w:r>
              <w:t>为靠近围护结构处室外声源的声压级，dB；</w:t>
            </w:r>
          </w:p>
          <w:p>
            <w:pPr>
              <w:pStyle w:val="89"/>
              <w:snapToGrid w:val="0"/>
              <w:spacing w:line="520" w:lineRule="exact"/>
              <w:ind w:firstLine="480" w:firstLineChars="200"/>
            </w:pPr>
            <w:r>
              <w:t xml:space="preserve">      S为透声面积，m</w:t>
            </w:r>
            <w:r>
              <w:rPr>
                <w:vertAlign w:val="superscript"/>
              </w:rPr>
              <w:t>2</w:t>
            </w:r>
            <w:r>
              <w:t>。</w:t>
            </w:r>
          </w:p>
          <w:p>
            <w:pPr>
              <w:pStyle w:val="89"/>
              <w:snapToGrid w:val="0"/>
              <w:spacing w:line="520" w:lineRule="exact"/>
              <w:ind w:firstLine="480" w:firstLineChars="200"/>
            </w:pPr>
            <w:r>
              <w:t>e、等效室外声源的位置为围护结构的位置，其倍频带声功率级为Lwoct，由此按室外声源方法计算等效室外声源在预测点产生的声级。</w:t>
            </w:r>
          </w:p>
          <w:p>
            <w:pPr>
              <w:pStyle w:val="89"/>
              <w:snapToGrid w:val="0"/>
              <w:spacing w:line="520" w:lineRule="exact"/>
              <w:ind w:firstLine="480" w:firstLineChars="200"/>
            </w:pPr>
            <w:r>
              <w:rPr>
                <w:rFonts w:ascii="宋体"/>
              </w:rPr>
              <w:t>①</w:t>
            </w:r>
            <w:r>
              <w:t>室外声源传播衰减预测模式：</w:t>
            </w:r>
          </w:p>
          <w:p>
            <w:pPr>
              <w:pStyle w:val="89"/>
              <w:snapToGrid w:val="0"/>
              <w:spacing w:line="288" w:lineRule="auto"/>
              <w:ind w:firstLine="480" w:firstLineChars="200"/>
            </w:pPr>
            <w:r>
              <w:pict>
                <v:shape id="_x0000_i1040" o:spt="75" type="#_x0000_t75" style="height:27.05pt;width:134.8pt;" filled="f" o:preferrelative="t" stroked="f" coordsize="21600,21600" equationxml="&lt;">
                  <v:path/>
                  <v:fill on="f" focussize="0,0"/>
                  <v:stroke on="f" joinstyle="miter"/>
                  <v:imagedata r:id="rId24" chromakey="#FFFFFF" o:title=""/>
                  <o:lock v:ext="edit" aspectratio="t"/>
                  <w10:wrap type="none"/>
                  <w10:anchorlock/>
                </v:shape>
              </w:pict>
            </w:r>
          </w:p>
          <w:p>
            <w:pPr>
              <w:pStyle w:val="89"/>
              <w:snapToGrid w:val="0"/>
              <w:spacing w:line="520" w:lineRule="exact"/>
              <w:ind w:firstLine="480" w:firstLineChars="200"/>
            </w:pPr>
            <w:r>
              <w:t>式中：L</w:t>
            </w:r>
            <w:r>
              <w:rPr>
                <w:vertAlign w:val="subscript"/>
              </w:rPr>
              <w:t>(r1)</w:t>
            </w:r>
            <w:r>
              <w:t>为距声源距离r1处声级，dB(A)；</w:t>
            </w:r>
          </w:p>
          <w:p>
            <w:pPr>
              <w:pStyle w:val="89"/>
              <w:snapToGrid w:val="0"/>
              <w:spacing w:line="520" w:lineRule="exact"/>
              <w:ind w:firstLine="480" w:firstLineChars="200"/>
            </w:pPr>
            <w:r>
              <w:t xml:space="preserve">      L</w:t>
            </w:r>
            <w:r>
              <w:rPr>
                <w:vertAlign w:val="subscript"/>
              </w:rPr>
              <w:t>(r2)</w:t>
            </w:r>
            <w:r>
              <w:t>为距声源距离r2处声级，dB(A)；</w:t>
            </w:r>
          </w:p>
          <w:p>
            <w:pPr>
              <w:pStyle w:val="89"/>
              <w:snapToGrid w:val="0"/>
              <w:spacing w:line="520" w:lineRule="exact"/>
              <w:ind w:firstLine="480" w:firstLineChars="200"/>
            </w:pPr>
            <w:r>
              <w:t xml:space="preserve">      r</w:t>
            </w:r>
            <w:r>
              <w:rPr>
                <w:vertAlign w:val="subscript"/>
              </w:rPr>
              <w:t>1</w:t>
            </w:r>
            <w:r>
              <w:t>为受声点1距声源间的距离，(m)；</w:t>
            </w:r>
          </w:p>
          <w:p>
            <w:pPr>
              <w:pStyle w:val="89"/>
              <w:snapToGrid w:val="0"/>
              <w:spacing w:line="520" w:lineRule="exact"/>
              <w:ind w:firstLine="480" w:firstLineChars="200"/>
            </w:pPr>
            <w:r>
              <w:t xml:space="preserve">      r</w:t>
            </w:r>
            <w:r>
              <w:rPr>
                <w:vertAlign w:val="subscript"/>
              </w:rPr>
              <w:t>2</w:t>
            </w:r>
            <w:r>
              <w:t>为受声点2距声源间的距离，(m)；</w:t>
            </w:r>
          </w:p>
          <w:p>
            <w:pPr>
              <w:pStyle w:val="89"/>
              <w:snapToGrid w:val="0"/>
              <w:spacing w:line="520" w:lineRule="exact"/>
              <w:ind w:firstLine="480" w:firstLineChars="200"/>
            </w:pPr>
            <w:r>
              <w:t xml:space="preserve">     </w:t>
            </w:r>
            <w:r>
              <w:rPr>
                <w:rFonts w:ascii="Cambria Math"/>
              </w:rPr>
              <w:t>△</w:t>
            </w:r>
            <w:r>
              <w:t>L为各种因素引起的衰减量，包括声屏障、遮挡物、绿化等；</w:t>
            </w:r>
          </w:p>
          <w:p>
            <w:pPr>
              <w:pStyle w:val="89"/>
              <w:snapToGrid w:val="0"/>
              <w:spacing w:line="520" w:lineRule="exact"/>
              <w:ind w:firstLine="480" w:firstLineChars="200"/>
            </w:pPr>
            <w:r>
              <w:t xml:space="preserve">      A为预测线声源时取10，预测点声源时取20。</w:t>
            </w:r>
          </w:p>
          <w:p>
            <w:pPr>
              <w:pStyle w:val="89"/>
              <w:snapToGrid w:val="0"/>
              <w:spacing w:line="520" w:lineRule="exact"/>
              <w:ind w:firstLine="480" w:firstLineChars="200"/>
            </w:pPr>
            <w:r>
              <w:rPr>
                <w:rFonts w:ascii="宋体"/>
              </w:rPr>
              <w:t>②</w:t>
            </w:r>
            <w:r>
              <w:t>声级叠加</w:t>
            </w:r>
          </w:p>
          <w:p>
            <w:pPr>
              <w:pStyle w:val="89"/>
              <w:snapToGrid w:val="0"/>
              <w:spacing w:line="288" w:lineRule="auto"/>
              <w:ind w:firstLine="480" w:firstLineChars="200"/>
            </w:pPr>
            <w:r>
              <w:pict>
                <v:shape id="_x0000_i1041" o:spt="75" type="#_x0000_t75" style="height:39.15pt;width:142.25pt;" filled="f" o:preferrelative="t" stroked="f" coordsize="21600,21600" equationxml="&lt;">
                  <v:path/>
                  <v:fill on="f" focussize="0,0"/>
                  <v:stroke on="f" joinstyle="miter"/>
                  <v:imagedata r:id="rId25" chromakey="#FFFFFF" o:title=""/>
                  <o:lock v:ext="edit" aspectratio="t"/>
                  <w10:wrap type="none"/>
                  <w10:anchorlock/>
                </v:shape>
              </w:pict>
            </w:r>
          </w:p>
          <w:p>
            <w:pPr>
              <w:pStyle w:val="89"/>
              <w:snapToGrid w:val="0"/>
              <w:spacing w:line="520" w:lineRule="exact"/>
              <w:ind w:firstLine="480" w:firstLineChars="200"/>
            </w:pPr>
            <w:r>
              <w:t>式中：L总为噪声叠加后总的声压级dB(A)；</w:t>
            </w:r>
          </w:p>
          <w:p>
            <w:pPr>
              <w:pStyle w:val="89"/>
              <w:snapToGrid w:val="0"/>
              <w:spacing w:line="520" w:lineRule="exact"/>
              <w:ind w:firstLine="480" w:firstLineChars="200"/>
            </w:pPr>
            <w:r>
              <w:t xml:space="preserve">      L</w:t>
            </w:r>
            <w:r>
              <w:rPr>
                <w:vertAlign w:val="subscript"/>
              </w:rPr>
              <w:t>Ai</w:t>
            </w:r>
            <w:r>
              <w:t>单个噪声源的声压级dB(A)；</w:t>
            </w:r>
          </w:p>
          <w:p>
            <w:pPr>
              <w:pStyle w:val="89"/>
              <w:snapToGrid w:val="0"/>
              <w:spacing w:line="520" w:lineRule="exact"/>
              <w:ind w:firstLine="480" w:firstLineChars="200"/>
            </w:pPr>
            <w:r>
              <w:t xml:space="preserve">      n—噪声源个数。</w:t>
            </w:r>
          </w:p>
          <w:p>
            <w:pPr>
              <w:pStyle w:val="89"/>
              <w:snapToGrid w:val="0"/>
              <w:spacing w:line="520" w:lineRule="exact"/>
              <w:ind w:firstLine="480" w:firstLineChars="200"/>
            </w:pPr>
            <w:r>
              <w:t>经预测，本项目各厂界噪声贡献值噪声预测结果见下表。</w:t>
            </w:r>
          </w:p>
          <w:p>
            <w:pPr>
              <w:pStyle w:val="53"/>
              <w:ind w:firstLine="482"/>
              <w:rPr>
                <w:b/>
                <w:u w:val="single"/>
              </w:rPr>
            </w:pPr>
            <w:r>
              <w:rPr>
                <w:b/>
                <w:u w:val="single"/>
              </w:rPr>
              <w:t>表</w:t>
            </w:r>
            <w:r>
              <w:rPr>
                <w:rFonts w:hint="eastAsia"/>
                <w:b/>
                <w:u w:val="single"/>
              </w:rPr>
              <w:t>43</w:t>
            </w:r>
            <w:r>
              <w:rPr>
                <w:b/>
                <w:u w:val="single"/>
              </w:rPr>
              <w:t xml:space="preserve">              噪声产排情况一览表</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165"/>
              <w:gridCol w:w="914"/>
              <w:gridCol w:w="915"/>
              <w:gridCol w:w="915"/>
              <w:gridCol w:w="1198"/>
              <w:gridCol w:w="1348"/>
              <w:gridCol w:w="1496"/>
              <w:gridCol w:w="10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32" w:hRule="atLeast"/>
                <w:jc w:val="center"/>
              </w:trPr>
              <w:tc>
                <w:tcPr>
                  <w:tcW w:w="1165" w:type="dxa"/>
                  <w:vMerge w:val="restart"/>
                  <w:vAlign w:val="center"/>
                </w:tcPr>
                <w:p>
                  <w:pPr>
                    <w:pStyle w:val="62"/>
                    <w:rPr>
                      <w:b/>
                      <w:sz w:val="21"/>
                      <w:szCs w:val="21"/>
                      <w:u w:val="single"/>
                    </w:rPr>
                  </w:pPr>
                  <w:r>
                    <w:rPr>
                      <w:b/>
                      <w:sz w:val="21"/>
                      <w:szCs w:val="21"/>
                      <w:u w:val="single"/>
                    </w:rPr>
                    <w:t>预测方位</w:t>
                  </w:r>
                </w:p>
              </w:tc>
              <w:tc>
                <w:tcPr>
                  <w:tcW w:w="2744" w:type="dxa"/>
                  <w:gridSpan w:val="3"/>
                  <w:vAlign w:val="center"/>
                </w:tcPr>
                <w:p>
                  <w:pPr>
                    <w:pStyle w:val="62"/>
                    <w:rPr>
                      <w:b/>
                      <w:sz w:val="21"/>
                      <w:szCs w:val="21"/>
                      <w:u w:val="single"/>
                    </w:rPr>
                  </w:pPr>
                  <w:r>
                    <w:rPr>
                      <w:b/>
                      <w:sz w:val="21"/>
                      <w:szCs w:val="21"/>
                      <w:u w:val="single"/>
                    </w:rPr>
                    <w:t>空间相对位置/m</w:t>
                  </w:r>
                </w:p>
              </w:tc>
              <w:tc>
                <w:tcPr>
                  <w:tcW w:w="1198" w:type="dxa"/>
                  <w:vMerge w:val="restart"/>
                  <w:vAlign w:val="center"/>
                </w:tcPr>
                <w:p>
                  <w:pPr>
                    <w:pStyle w:val="62"/>
                    <w:rPr>
                      <w:b/>
                      <w:sz w:val="21"/>
                      <w:szCs w:val="21"/>
                      <w:u w:val="single"/>
                    </w:rPr>
                  </w:pPr>
                  <w:r>
                    <w:rPr>
                      <w:b/>
                      <w:sz w:val="21"/>
                      <w:szCs w:val="21"/>
                      <w:u w:val="single"/>
                    </w:rPr>
                    <w:t>时段</w:t>
                  </w:r>
                </w:p>
              </w:tc>
              <w:tc>
                <w:tcPr>
                  <w:tcW w:w="1348" w:type="dxa"/>
                  <w:vMerge w:val="restart"/>
                  <w:vAlign w:val="center"/>
                </w:tcPr>
                <w:p>
                  <w:pPr>
                    <w:pStyle w:val="62"/>
                    <w:rPr>
                      <w:b/>
                      <w:sz w:val="21"/>
                      <w:szCs w:val="21"/>
                      <w:u w:val="single"/>
                    </w:rPr>
                  </w:pPr>
                  <w:r>
                    <w:rPr>
                      <w:rFonts w:hint="eastAsia"/>
                      <w:b/>
                      <w:sz w:val="21"/>
                      <w:szCs w:val="21"/>
                      <w:u w:val="single"/>
                    </w:rPr>
                    <w:t>贡</w:t>
                  </w:r>
                  <w:r>
                    <w:rPr>
                      <w:b/>
                      <w:sz w:val="21"/>
                      <w:szCs w:val="21"/>
                      <w:u w:val="single"/>
                    </w:rPr>
                    <w:t>献值（dB(A)）</w:t>
                  </w:r>
                </w:p>
              </w:tc>
              <w:tc>
                <w:tcPr>
                  <w:tcW w:w="1496" w:type="dxa"/>
                  <w:vMerge w:val="restart"/>
                  <w:vAlign w:val="center"/>
                </w:tcPr>
                <w:p>
                  <w:pPr>
                    <w:pStyle w:val="62"/>
                    <w:rPr>
                      <w:b/>
                      <w:sz w:val="21"/>
                      <w:szCs w:val="21"/>
                      <w:u w:val="single"/>
                    </w:rPr>
                  </w:pPr>
                  <w:r>
                    <w:rPr>
                      <w:b/>
                      <w:sz w:val="21"/>
                      <w:szCs w:val="21"/>
                      <w:u w:val="single"/>
                    </w:rPr>
                    <w:t>标准限值（dB(A)）</w:t>
                  </w:r>
                </w:p>
              </w:tc>
              <w:tc>
                <w:tcPr>
                  <w:tcW w:w="1022" w:type="dxa"/>
                  <w:vMerge w:val="restart"/>
                  <w:vAlign w:val="center"/>
                </w:tcPr>
                <w:p>
                  <w:pPr>
                    <w:pStyle w:val="62"/>
                    <w:rPr>
                      <w:b/>
                      <w:sz w:val="21"/>
                      <w:szCs w:val="21"/>
                      <w:u w:val="single"/>
                    </w:rPr>
                  </w:pPr>
                  <w:r>
                    <w:rPr>
                      <w:b/>
                      <w:sz w:val="21"/>
                      <w:szCs w:val="21"/>
                      <w:u w:val="single"/>
                    </w:rPr>
                    <w:t>达标情况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2" w:hRule="atLeast"/>
                <w:jc w:val="center"/>
              </w:trPr>
              <w:tc>
                <w:tcPr>
                  <w:tcW w:w="1165" w:type="dxa"/>
                  <w:vMerge w:val="continue"/>
                  <w:vAlign w:val="center"/>
                </w:tcPr>
                <w:p>
                  <w:pPr>
                    <w:pStyle w:val="62"/>
                    <w:rPr>
                      <w:b/>
                      <w:sz w:val="21"/>
                      <w:szCs w:val="21"/>
                      <w:u w:val="single"/>
                    </w:rPr>
                  </w:pPr>
                </w:p>
              </w:tc>
              <w:tc>
                <w:tcPr>
                  <w:tcW w:w="914" w:type="dxa"/>
                  <w:vAlign w:val="center"/>
                </w:tcPr>
                <w:p>
                  <w:pPr>
                    <w:pStyle w:val="62"/>
                    <w:rPr>
                      <w:b/>
                      <w:sz w:val="21"/>
                      <w:szCs w:val="21"/>
                      <w:u w:val="single"/>
                    </w:rPr>
                  </w:pPr>
                  <w:r>
                    <w:rPr>
                      <w:b/>
                      <w:sz w:val="21"/>
                      <w:szCs w:val="21"/>
                      <w:u w:val="single"/>
                    </w:rPr>
                    <w:t>X</w:t>
                  </w:r>
                </w:p>
              </w:tc>
              <w:tc>
                <w:tcPr>
                  <w:tcW w:w="915" w:type="dxa"/>
                  <w:vAlign w:val="center"/>
                </w:tcPr>
                <w:p>
                  <w:pPr>
                    <w:pStyle w:val="62"/>
                    <w:rPr>
                      <w:b/>
                      <w:sz w:val="21"/>
                      <w:szCs w:val="21"/>
                      <w:u w:val="single"/>
                    </w:rPr>
                  </w:pPr>
                  <w:r>
                    <w:rPr>
                      <w:b/>
                      <w:sz w:val="21"/>
                      <w:szCs w:val="21"/>
                      <w:u w:val="single"/>
                    </w:rPr>
                    <w:t>Y</w:t>
                  </w:r>
                </w:p>
              </w:tc>
              <w:tc>
                <w:tcPr>
                  <w:tcW w:w="915" w:type="dxa"/>
                  <w:vAlign w:val="center"/>
                </w:tcPr>
                <w:p>
                  <w:pPr>
                    <w:pStyle w:val="62"/>
                    <w:rPr>
                      <w:b/>
                      <w:sz w:val="21"/>
                      <w:szCs w:val="21"/>
                      <w:u w:val="single"/>
                    </w:rPr>
                  </w:pPr>
                  <w:r>
                    <w:rPr>
                      <w:b/>
                      <w:sz w:val="21"/>
                      <w:szCs w:val="21"/>
                      <w:u w:val="single"/>
                    </w:rPr>
                    <w:t>Z</w:t>
                  </w:r>
                </w:p>
              </w:tc>
              <w:tc>
                <w:tcPr>
                  <w:tcW w:w="1198" w:type="dxa"/>
                  <w:vMerge w:val="continue"/>
                  <w:vAlign w:val="center"/>
                </w:tcPr>
                <w:p>
                  <w:pPr>
                    <w:pStyle w:val="62"/>
                    <w:rPr>
                      <w:b/>
                      <w:sz w:val="21"/>
                      <w:szCs w:val="21"/>
                      <w:u w:val="single"/>
                    </w:rPr>
                  </w:pPr>
                </w:p>
              </w:tc>
              <w:tc>
                <w:tcPr>
                  <w:tcW w:w="1348" w:type="dxa"/>
                  <w:vMerge w:val="continue"/>
                  <w:vAlign w:val="center"/>
                </w:tcPr>
                <w:p>
                  <w:pPr>
                    <w:pStyle w:val="62"/>
                    <w:rPr>
                      <w:b/>
                      <w:sz w:val="21"/>
                      <w:szCs w:val="21"/>
                      <w:u w:val="single"/>
                    </w:rPr>
                  </w:pPr>
                </w:p>
              </w:tc>
              <w:tc>
                <w:tcPr>
                  <w:tcW w:w="1496" w:type="dxa"/>
                  <w:vMerge w:val="continue"/>
                  <w:vAlign w:val="center"/>
                </w:tcPr>
                <w:p>
                  <w:pPr>
                    <w:pStyle w:val="62"/>
                    <w:rPr>
                      <w:b/>
                      <w:sz w:val="21"/>
                      <w:szCs w:val="21"/>
                      <w:u w:val="single"/>
                    </w:rPr>
                  </w:pPr>
                </w:p>
              </w:tc>
              <w:tc>
                <w:tcPr>
                  <w:tcW w:w="1022" w:type="dxa"/>
                  <w:vMerge w:val="continue"/>
                  <w:vAlign w:val="center"/>
                </w:tcPr>
                <w:p>
                  <w:pPr>
                    <w:pStyle w:val="62"/>
                    <w:rPr>
                      <w:b/>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32" w:hRule="atLeast"/>
                <w:jc w:val="center"/>
              </w:trPr>
              <w:tc>
                <w:tcPr>
                  <w:tcW w:w="1165" w:type="dxa"/>
                  <w:vAlign w:val="center"/>
                </w:tcPr>
                <w:p>
                  <w:pPr>
                    <w:pStyle w:val="62"/>
                    <w:rPr>
                      <w:b/>
                      <w:sz w:val="21"/>
                      <w:szCs w:val="21"/>
                      <w:u w:val="single"/>
                    </w:rPr>
                  </w:pPr>
                  <w:r>
                    <w:rPr>
                      <w:rFonts w:hint="eastAsia"/>
                      <w:b/>
                      <w:sz w:val="21"/>
                      <w:szCs w:val="21"/>
                      <w:u w:val="single"/>
                    </w:rPr>
                    <w:t>北</w:t>
                  </w:r>
                  <w:r>
                    <w:rPr>
                      <w:b/>
                      <w:sz w:val="21"/>
                      <w:szCs w:val="21"/>
                      <w:u w:val="single"/>
                    </w:rPr>
                    <w:t>侧</w:t>
                  </w:r>
                </w:p>
              </w:tc>
              <w:tc>
                <w:tcPr>
                  <w:tcW w:w="914" w:type="dxa"/>
                  <w:vAlign w:val="center"/>
                </w:tcPr>
                <w:p>
                  <w:pPr>
                    <w:pStyle w:val="62"/>
                    <w:rPr>
                      <w:b/>
                      <w:sz w:val="21"/>
                      <w:szCs w:val="21"/>
                      <w:u w:val="single"/>
                    </w:rPr>
                  </w:pPr>
                  <w:r>
                    <w:rPr>
                      <w:rFonts w:hint="eastAsia"/>
                      <w:b/>
                      <w:sz w:val="21"/>
                      <w:szCs w:val="21"/>
                      <w:u w:val="single"/>
                    </w:rPr>
                    <w:t>20</w:t>
                  </w:r>
                </w:p>
              </w:tc>
              <w:tc>
                <w:tcPr>
                  <w:tcW w:w="915" w:type="dxa"/>
                  <w:vAlign w:val="center"/>
                </w:tcPr>
                <w:p>
                  <w:pPr>
                    <w:pStyle w:val="62"/>
                    <w:rPr>
                      <w:b/>
                      <w:sz w:val="21"/>
                      <w:szCs w:val="21"/>
                      <w:u w:val="single"/>
                    </w:rPr>
                  </w:pPr>
                  <w:r>
                    <w:rPr>
                      <w:rFonts w:hint="eastAsia"/>
                      <w:b/>
                      <w:sz w:val="21"/>
                      <w:szCs w:val="21"/>
                      <w:u w:val="single"/>
                    </w:rPr>
                    <w:t>110</w:t>
                  </w:r>
                </w:p>
              </w:tc>
              <w:tc>
                <w:tcPr>
                  <w:tcW w:w="915" w:type="dxa"/>
                  <w:vAlign w:val="center"/>
                </w:tcPr>
                <w:p>
                  <w:pPr>
                    <w:pStyle w:val="62"/>
                    <w:rPr>
                      <w:b/>
                      <w:sz w:val="21"/>
                      <w:szCs w:val="21"/>
                      <w:u w:val="single"/>
                    </w:rPr>
                  </w:pPr>
                  <w:r>
                    <w:rPr>
                      <w:rFonts w:hint="eastAsia"/>
                      <w:b/>
                      <w:sz w:val="21"/>
                      <w:szCs w:val="21"/>
                      <w:u w:val="single"/>
                    </w:rPr>
                    <w:t>1</w:t>
                  </w:r>
                </w:p>
              </w:tc>
              <w:tc>
                <w:tcPr>
                  <w:tcW w:w="1198" w:type="dxa"/>
                  <w:vAlign w:val="center"/>
                </w:tcPr>
                <w:p>
                  <w:pPr>
                    <w:pStyle w:val="62"/>
                    <w:rPr>
                      <w:b/>
                      <w:sz w:val="21"/>
                      <w:szCs w:val="21"/>
                      <w:u w:val="single"/>
                    </w:rPr>
                  </w:pPr>
                  <w:r>
                    <w:rPr>
                      <w:b/>
                      <w:sz w:val="21"/>
                      <w:szCs w:val="21"/>
                      <w:u w:val="single"/>
                    </w:rPr>
                    <w:t>昼间</w:t>
                  </w:r>
                </w:p>
              </w:tc>
              <w:tc>
                <w:tcPr>
                  <w:tcW w:w="1348" w:type="dxa"/>
                  <w:vAlign w:val="center"/>
                </w:tcPr>
                <w:p>
                  <w:pPr>
                    <w:pStyle w:val="62"/>
                    <w:rPr>
                      <w:b/>
                      <w:sz w:val="21"/>
                      <w:szCs w:val="21"/>
                      <w:u w:val="single"/>
                    </w:rPr>
                  </w:pPr>
                  <w:r>
                    <w:rPr>
                      <w:rFonts w:hint="eastAsia"/>
                      <w:b/>
                      <w:sz w:val="21"/>
                      <w:szCs w:val="21"/>
                      <w:u w:val="single"/>
                    </w:rPr>
                    <w:t>55.46</w:t>
                  </w:r>
                </w:p>
              </w:tc>
              <w:tc>
                <w:tcPr>
                  <w:tcW w:w="1496" w:type="dxa"/>
                </w:tcPr>
                <w:p>
                  <w:pPr>
                    <w:pStyle w:val="62"/>
                    <w:rPr>
                      <w:b/>
                      <w:sz w:val="21"/>
                      <w:szCs w:val="21"/>
                      <w:u w:val="single"/>
                    </w:rPr>
                  </w:pPr>
                  <w:r>
                    <w:rPr>
                      <w:b/>
                      <w:sz w:val="21"/>
                      <w:szCs w:val="21"/>
                      <w:u w:val="single"/>
                    </w:rPr>
                    <w:t>6</w:t>
                  </w:r>
                  <w:r>
                    <w:rPr>
                      <w:rFonts w:hint="eastAsia"/>
                      <w:b/>
                      <w:sz w:val="21"/>
                      <w:szCs w:val="21"/>
                      <w:u w:val="single"/>
                    </w:rPr>
                    <w:t>0</w:t>
                  </w:r>
                </w:p>
              </w:tc>
              <w:tc>
                <w:tcPr>
                  <w:tcW w:w="1022" w:type="dxa"/>
                  <w:vAlign w:val="center"/>
                </w:tcPr>
                <w:p>
                  <w:pPr>
                    <w:pStyle w:val="62"/>
                    <w:rPr>
                      <w:b/>
                      <w:sz w:val="21"/>
                      <w:szCs w:val="21"/>
                      <w:u w:val="single"/>
                    </w:rPr>
                  </w:pPr>
                  <w:r>
                    <w:rPr>
                      <w:b/>
                      <w:sz w:val="21"/>
                      <w:szCs w:val="21"/>
                      <w:u w:val="singl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32" w:hRule="atLeast"/>
                <w:jc w:val="center"/>
              </w:trPr>
              <w:tc>
                <w:tcPr>
                  <w:tcW w:w="1165" w:type="dxa"/>
                  <w:vAlign w:val="center"/>
                </w:tcPr>
                <w:p>
                  <w:pPr>
                    <w:pStyle w:val="62"/>
                    <w:rPr>
                      <w:b/>
                      <w:sz w:val="21"/>
                      <w:szCs w:val="21"/>
                      <w:u w:val="single"/>
                    </w:rPr>
                  </w:pPr>
                  <w:r>
                    <w:rPr>
                      <w:rFonts w:hint="eastAsia"/>
                      <w:b/>
                      <w:sz w:val="21"/>
                      <w:szCs w:val="21"/>
                      <w:u w:val="single"/>
                    </w:rPr>
                    <w:t>东侧</w:t>
                  </w:r>
                </w:p>
              </w:tc>
              <w:tc>
                <w:tcPr>
                  <w:tcW w:w="914" w:type="dxa"/>
                  <w:vAlign w:val="center"/>
                </w:tcPr>
                <w:p>
                  <w:pPr>
                    <w:pStyle w:val="62"/>
                    <w:rPr>
                      <w:b/>
                      <w:sz w:val="21"/>
                      <w:szCs w:val="21"/>
                      <w:u w:val="single"/>
                    </w:rPr>
                  </w:pPr>
                  <w:r>
                    <w:rPr>
                      <w:rFonts w:hint="eastAsia"/>
                      <w:b/>
                      <w:sz w:val="21"/>
                      <w:szCs w:val="21"/>
                      <w:u w:val="single"/>
                    </w:rPr>
                    <w:t>40</w:t>
                  </w:r>
                </w:p>
              </w:tc>
              <w:tc>
                <w:tcPr>
                  <w:tcW w:w="915" w:type="dxa"/>
                  <w:vAlign w:val="center"/>
                </w:tcPr>
                <w:p>
                  <w:pPr>
                    <w:pStyle w:val="62"/>
                    <w:rPr>
                      <w:b/>
                      <w:sz w:val="21"/>
                      <w:szCs w:val="21"/>
                      <w:u w:val="single"/>
                    </w:rPr>
                  </w:pPr>
                  <w:r>
                    <w:rPr>
                      <w:rFonts w:hint="eastAsia"/>
                      <w:b/>
                      <w:sz w:val="21"/>
                      <w:szCs w:val="21"/>
                      <w:u w:val="single"/>
                    </w:rPr>
                    <w:t>60</w:t>
                  </w:r>
                </w:p>
              </w:tc>
              <w:tc>
                <w:tcPr>
                  <w:tcW w:w="915" w:type="dxa"/>
                  <w:vAlign w:val="center"/>
                </w:tcPr>
                <w:p>
                  <w:pPr>
                    <w:pStyle w:val="62"/>
                    <w:rPr>
                      <w:b/>
                      <w:sz w:val="21"/>
                      <w:szCs w:val="21"/>
                      <w:u w:val="single"/>
                    </w:rPr>
                  </w:pPr>
                  <w:r>
                    <w:rPr>
                      <w:rFonts w:hint="eastAsia"/>
                      <w:b/>
                      <w:sz w:val="21"/>
                      <w:szCs w:val="21"/>
                      <w:u w:val="single"/>
                    </w:rPr>
                    <w:t>1</w:t>
                  </w:r>
                </w:p>
              </w:tc>
              <w:tc>
                <w:tcPr>
                  <w:tcW w:w="1198" w:type="dxa"/>
                  <w:vAlign w:val="center"/>
                </w:tcPr>
                <w:p>
                  <w:pPr>
                    <w:pStyle w:val="62"/>
                    <w:rPr>
                      <w:b/>
                      <w:sz w:val="21"/>
                      <w:szCs w:val="21"/>
                      <w:u w:val="single"/>
                    </w:rPr>
                  </w:pPr>
                  <w:r>
                    <w:rPr>
                      <w:b/>
                      <w:sz w:val="21"/>
                      <w:szCs w:val="21"/>
                      <w:u w:val="single"/>
                    </w:rPr>
                    <w:t>昼间</w:t>
                  </w:r>
                </w:p>
              </w:tc>
              <w:tc>
                <w:tcPr>
                  <w:tcW w:w="1348" w:type="dxa"/>
                  <w:vAlign w:val="center"/>
                </w:tcPr>
                <w:p>
                  <w:pPr>
                    <w:pStyle w:val="62"/>
                    <w:rPr>
                      <w:b/>
                      <w:sz w:val="21"/>
                      <w:szCs w:val="21"/>
                      <w:u w:val="single"/>
                    </w:rPr>
                  </w:pPr>
                  <w:r>
                    <w:rPr>
                      <w:rFonts w:hint="eastAsia"/>
                      <w:b/>
                      <w:sz w:val="21"/>
                      <w:szCs w:val="21"/>
                      <w:u w:val="single"/>
                    </w:rPr>
                    <w:t>58.02</w:t>
                  </w:r>
                </w:p>
              </w:tc>
              <w:tc>
                <w:tcPr>
                  <w:tcW w:w="1496" w:type="dxa"/>
                </w:tcPr>
                <w:p>
                  <w:pPr>
                    <w:pStyle w:val="62"/>
                    <w:rPr>
                      <w:b/>
                      <w:sz w:val="21"/>
                      <w:szCs w:val="21"/>
                      <w:u w:val="single"/>
                    </w:rPr>
                  </w:pPr>
                  <w:r>
                    <w:rPr>
                      <w:b/>
                      <w:sz w:val="21"/>
                      <w:szCs w:val="21"/>
                      <w:u w:val="single"/>
                    </w:rPr>
                    <w:t>6</w:t>
                  </w:r>
                  <w:r>
                    <w:rPr>
                      <w:rFonts w:hint="eastAsia"/>
                      <w:b/>
                      <w:sz w:val="21"/>
                      <w:szCs w:val="21"/>
                      <w:u w:val="single"/>
                    </w:rPr>
                    <w:t>0</w:t>
                  </w:r>
                </w:p>
              </w:tc>
              <w:tc>
                <w:tcPr>
                  <w:tcW w:w="1022" w:type="dxa"/>
                  <w:vAlign w:val="center"/>
                </w:tcPr>
                <w:p>
                  <w:pPr>
                    <w:pStyle w:val="62"/>
                    <w:rPr>
                      <w:b/>
                      <w:sz w:val="21"/>
                      <w:szCs w:val="21"/>
                      <w:u w:val="single"/>
                    </w:rPr>
                  </w:pPr>
                  <w:r>
                    <w:rPr>
                      <w:b/>
                      <w:sz w:val="21"/>
                      <w:szCs w:val="21"/>
                      <w:u w:val="singl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32" w:hRule="atLeast"/>
                <w:jc w:val="center"/>
              </w:trPr>
              <w:tc>
                <w:tcPr>
                  <w:tcW w:w="1165" w:type="dxa"/>
                  <w:vAlign w:val="center"/>
                </w:tcPr>
                <w:p>
                  <w:pPr>
                    <w:pStyle w:val="62"/>
                    <w:rPr>
                      <w:b/>
                      <w:sz w:val="21"/>
                      <w:szCs w:val="21"/>
                      <w:u w:val="single"/>
                    </w:rPr>
                  </w:pPr>
                  <w:r>
                    <w:rPr>
                      <w:rFonts w:hint="eastAsia"/>
                      <w:b/>
                      <w:sz w:val="21"/>
                      <w:szCs w:val="21"/>
                      <w:u w:val="single"/>
                    </w:rPr>
                    <w:t>南侧</w:t>
                  </w:r>
                </w:p>
              </w:tc>
              <w:tc>
                <w:tcPr>
                  <w:tcW w:w="914" w:type="dxa"/>
                  <w:vAlign w:val="center"/>
                </w:tcPr>
                <w:p>
                  <w:pPr>
                    <w:pStyle w:val="62"/>
                    <w:rPr>
                      <w:b/>
                      <w:sz w:val="21"/>
                      <w:szCs w:val="21"/>
                      <w:u w:val="single"/>
                    </w:rPr>
                  </w:pPr>
                  <w:r>
                    <w:rPr>
                      <w:rFonts w:hint="eastAsia"/>
                      <w:b/>
                      <w:sz w:val="21"/>
                      <w:szCs w:val="21"/>
                      <w:u w:val="single"/>
                    </w:rPr>
                    <w:t>2</w:t>
                  </w:r>
                </w:p>
              </w:tc>
              <w:tc>
                <w:tcPr>
                  <w:tcW w:w="915" w:type="dxa"/>
                  <w:vAlign w:val="center"/>
                </w:tcPr>
                <w:p>
                  <w:pPr>
                    <w:pStyle w:val="62"/>
                    <w:rPr>
                      <w:b/>
                      <w:sz w:val="21"/>
                      <w:szCs w:val="21"/>
                      <w:u w:val="single"/>
                    </w:rPr>
                  </w:pPr>
                  <w:r>
                    <w:rPr>
                      <w:rFonts w:hint="eastAsia"/>
                      <w:b/>
                      <w:sz w:val="21"/>
                      <w:szCs w:val="21"/>
                      <w:u w:val="single"/>
                    </w:rPr>
                    <w:t>0</w:t>
                  </w:r>
                </w:p>
              </w:tc>
              <w:tc>
                <w:tcPr>
                  <w:tcW w:w="915" w:type="dxa"/>
                  <w:vAlign w:val="center"/>
                </w:tcPr>
                <w:p>
                  <w:pPr>
                    <w:pStyle w:val="62"/>
                    <w:rPr>
                      <w:b/>
                      <w:sz w:val="21"/>
                      <w:szCs w:val="21"/>
                      <w:u w:val="single"/>
                    </w:rPr>
                  </w:pPr>
                  <w:r>
                    <w:rPr>
                      <w:rFonts w:hint="eastAsia"/>
                      <w:b/>
                      <w:sz w:val="21"/>
                      <w:szCs w:val="21"/>
                      <w:u w:val="single"/>
                    </w:rPr>
                    <w:t>1</w:t>
                  </w:r>
                </w:p>
              </w:tc>
              <w:tc>
                <w:tcPr>
                  <w:tcW w:w="1198" w:type="dxa"/>
                  <w:vAlign w:val="center"/>
                </w:tcPr>
                <w:p>
                  <w:pPr>
                    <w:pStyle w:val="62"/>
                    <w:rPr>
                      <w:b/>
                      <w:sz w:val="21"/>
                      <w:szCs w:val="21"/>
                      <w:u w:val="single"/>
                    </w:rPr>
                  </w:pPr>
                  <w:r>
                    <w:rPr>
                      <w:b/>
                      <w:sz w:val="21"/>
                      <w:szCs w:val="21"/>
                      <w:u w:val="single"/>
                    </w:rPr>
                    <w:t>昼间</w:t>
                  </w:r>
                </w:p>
              </w:tc>
              <w:tc>
                <w:tcPr>
                  <w:tcW w:w="1348" w:type="dxa"/>
                  <w:vAlign w:val="center"/>
                </w:tcPr>
                <w:p>
                  <w:pPr>
                    <w:pStyle w:val="62"/>
                    <w:rPr>
                      <w:b/>
                      <w:sz w:val="21"/>
                      <w:szCs w:val="21"/>
                      <w:u w:val="single"/>
                    </w:rPr>
                  </w:pPr>
                  <w:r>
                    <w:rPr>
                      <w:rFonts w:hint="eastAsia"/>
                      <w:b/>
                      <w:sz w:val="21"/>
                      <w:szCs w:val="21"/>
                      <w:u w:val="single"/>
                    </w:rPr>
                    <w:t>53.98</w:t>
                  </w:r>
                </w:p>
              </w:tc>
              <w:tc>
                <w:tcPr>
                  <w:tcW w:w="1496" w:type="dxa"/>
                </w:tcPr>
                <w:p>
                  <w:pPr>
                    <w:pStyle w:val="62"/>
                    <w:rPr>
                      <w:b/>
                      <w:sz w:val="21"/>
                      <w:szCs w:val="21"/>
                      <w:u w:val="single"/>
                    </w:rPr>
                  </w:pPr>
                  <w:r>
                    <w:rPr>
                      <w:b/>
                      <w:sz w:val="21"/>
                      <w:szCs w:val="21"/>
                      <w:u w:val="single"/>
                    </w:rPr>
                    <w:t>6</w:t>
                  </w:r>
                  <w:r>
                    <w:rPr>
                      <w:rFonts w:hint="eastAsia"/>
                      <w:b/>
                      <w:sz w:val="21"/>
                      <w:szCs w:val="21"/>
                      <w:u w:val="single"/>
                    </w:rPr>
                    <w:t>0</w:t>
                  </w:r>
                </w:p>
              </w:tc>
              <w:tc>
                <w:tcPr>
                  <w:tcW w:w="1022" w:type="dxa"/>
                  <w:vAlign w:val="center"/>
                </w:tcPr>
                <w:p>
                  <w:pPr>
                    <w:pStyle w:val="62"/>
                    <w:rPr>
                      <w:b/>
                      <w:sz w:val="21"/>
                      <w:szCs w:val="21"/>
                      <w:u w:val="single"/>
                    </w:rPr>
                  </w:pPr>
                  <w:r>
                    <w:rPr>
                      <w:b/>
                      <w:sz w:val="21"/>
                      <w:szCs w:val="21"/>
                      <w:u w:val="singl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32" w:hRule="atLeast"/>
                <w:jc w:val="center"/>
              </w:trPr>
              <w:tc>
                <w:tcPr>
                  <w:tcW w:w="1165" w:type="dxa"/>
                  <w:vAlign w:val="center"/>
                </w:tcPr>
                <w:p>
                  <w:pPr>
                    <w:pStyle w:val="62"/>
                    <w:rPr>
                      <w:b/>
                      <w:sz w:val="21"/>
                      <w:szCs w:val="21"/>
                      <w:u w:val="single"/>
                    </w:rPr>
                  </w:pPr>
                  <w:r>
                    <w:rPr>
                      <w:rFonts w:hint="eastAsia"/>
                      <w:b/>
                      <w:sz w:val="21"/>
                      <w:szCs w:val="21"/>
                      <w:u w:val="single"/>
                    </w:rPr>
                    <w:t>西侧</w:t>
                  </w:r>
                </w:p>
              </w:tc>
              <w:tc>
                <w:tcPr>
                  <w:tcW w:w="914" w:type="dxa"/>
                  <w:vAlign w:val="center"/>
                </w:tcPr>
                <w:p>
                  <w:pPr>
                    <w:pStyle w:val="62"/>
                    <w:rPr>
                      <w:b/>
                      <w:sz w:val="21"/>
                      <w:szCs w:val="21"/>
                      <w:u w:val="single"/>
                    </w:rPr>
                  </w:pPr>
                  <w:r>
                    <w:rPr>
                      <w:rFonts w:hint="eastAsia"/>
                      <w:b/>
                      <w:sz w:val="21"/>
                      <w:szCs w:val="21"/>
                      <w:u w:val="single"/>
                    </w:rPr>
                    <w:t>0</w:t>
                  </w:r>
                </w:p>
              </w:tc>
              <w:tc>
                <w:tcPr>
                  <w:tcW w:w="915" w:type="dxa"/>
                  <w:vAlign w:val="center"/>
                </w:tcPr>
                <w:p>
                  <w:pPr>
                    <w:pStyle w:val="62"/>
                    <w:rPr>
                      <w:b/>
                      <w:sz w:val="21"/>
                      <w:szCs w:val="21"/>
                      <w:u w:val="single"/>
                    </w:rPr>
                  </w:pPr>
                  <w:r>
                    <w:rPr>
                      <w:rFonts w:hint="eastAsia"/>
                      <w:b/>
                      <w:sz w:val="21"/>
                      <w:szCs w:val="21"/>
                      <w:u w:val="single"/>
                    </w:rPr>
                    <w:t>60</w:t>
                  </w:r>
                </w:p>
              </w:tc>
              <w:tc>
                <w:tcPr>
                  <w:tcW w:w="915" w:type="dxa"/>
                  <w:vAlign w:val="center"/>
                </w:tcPr>
                <w:p>
                  <w:pPr>
                    <w:pStyle w:val="62"/>
                    <w:rPr>
                      <w:b/>
                      <w:sz w:val="21"/>
                      <w:szCs w:val="21"/>
                      <w:u w:val="single"/>
                    </w:rPr>
                  </w:pPr>
                  <w:r>
                    <w:rPr>
                      <w:rFonts w:hint="eastAsia"/>
                      <w:b/>
                      <w:sz w:val="21"/>
                      <w:szCs w:val="21"/>
                      <w:u w:val="single"/>
                    </w:rPr>
                    <w:t>1</w:t>
                  </w:r>
                </w:p>
              </w:tc>
              <w:tc>
                <w:tcPr>
                  <w:tcW w:w="1198" w:type="dxa"/>
                  <w:vAlign w:val="center"/>
                </w:tcPr>
                <w:p>
                  <w:pPr>
                    <w:pStyle w:val="62"/>
                    <w:rPr>
                      <w:b/>
                      <w:sz w:val="21"/>
                      <w:szCs w:val="21"/>
                      <w:u w:val="single"/>
                    </w:rPr>
                  </w:pPr>
                  <w:r>
                    <w:rPr>
                      <w:b/>
                      <w:sz w:val="21"/>
                      <w:szCs w:val="21"/>
                      <w:u w:val="single"/>
                    </w:rPr>
                    <w:t>昼间</w:t>
                  </w:r>
                </w:p>
              </w:tc>
              <w:tc>
                <w:tcPr>
                  <w:tcW w:w="1348" w:type="dxa"/>
                  <w:vAlign w:val="center"/>
                </w:tcPr>
                <w:p>
                  <w:pPr>
                    <w:pStyle w:val="62"/>
                    <w:rPr>
                      <w:b/>
                      <w:sz w:val="21"/>
                      <w:szCs w:val="21"/>
                      <w:u w:val="single"/>
                    </w:rPr>
                  </w:pPr>
                  <w:r>
                    <w:rPr>
                      <w:rFonts w:hint="eastAsia"/>
                      <w:b/>
                      <w:sz w:val="21"/>
                      <w:szCs w:val="21"/>
                      <w:u w:val="single"/>
                    </w:rPr>
                    <w:t>58.10</w:t>
                  </w:r>
                </w:p>
              </w:tc>
              <w:tc>
                <w:tcPr>
                  <w:tcW w:w="1496" w:type="dxa"/>
                </w:tcPr>
                <w:p>
                  <w:pPr>
                    <w:pStyle w:val="62"/>
                    <w:rPr>
                      <w:b/>
                      <w:sz w:val="21"/>
                      <w:szCs w:val="21"/>
                      <w:u w:val="single"/>
                    </w:rPr>
                  </w:pPr>
                  <w:r>
                    <w:rPr>
                      <w:b/>
                      <w:sz w:val="21"/>
                      <w:szCs w:val="21"/>
                      <w:u w:val="single"/>
                    </w:rPr>
                    <w:t>6</w:t>
                  </w:r>
                  <w:r>
                    <w:rPr>
                      <w:rFonts w:hint="eastAsia"/>
                      <w:b/>
                      <w:sz w:val="21"/>
                      <w:szCs w:val="21"/>
                      <w:u w:val="single"/>
                    </w:rPr>
                    <w:t>0</w:t>
                  </w:r>
                </w:p>
              </w:tc>
              <w:tc>
                <w:tcPr>
                  <w:tcW w:w="1022" w:type="dxa"/>
                  <w:vAlign w:val="center"/>
                </w:tcPr>
                <w:p>
                  <w:pPr>
                    <w:pStyle w:val="62"/>
                    <w:rPr>
                      <w:b/>
                      <w:sz w:val="21"/>
                      <w:szCs w:val="21"/>
                      <w:u w:val="single"/>
                    </w:rPr>
                  </w:pPr>
                  <w:r>
                    <w:rPr>
                      <w:b/>
                      <w:sz w:val="21"/>
                      <w:szCs w:val="21"/>
                      <w:u w:val="singl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32" w:hRule="atLeast"/>
                <w:jc w:val="center"/>
              </w:trPr>
              <w:tc>
                <w:tcPr>
                  <w:tcW w:w="8973" w:type="dxa"/>
                  <w:gridSpan w:val="8"/>
                  <w:vAlign w:val="center"/>
                </w:tcPr>
                <w:p>
                  <w:pPr>
                    <w:pStyle w:val="62"/>
                    <w:jc w:val="left"/>
                    <w:rPr>
                      <w:b/>
                      <w:sz w:val="21"/>
                      <w:szCs w:val="21"/>
                      <w:u w:val="single"/>
                    </w:rPr>
                  </w:pPr>
                  <w:r>
                    <w:rPr>
                      <w:rFonts w:hint="eastAsia"/>
                      <w:b/>
                      <w:sz w:val="21"/>
                      <w:szCs w:val="21"/>
                      <w:u w:val="single"/>
                    </w:rPr>
                    <w:t>注：以车间西南角为坐标原点。</w:t>
                  </w:r>
                </w:p>
              </w:tc>
            </w:tr>
          </w:tbl>
          <w:p>
            <w:pPr>
              <w:pStyle w:val="116"/>
            </w:pPr>
            <w:r>
              <w:rPr>
                <w:rFonts w:hint="eastAsia"/>
              </w:rPr>
              <w:t xml:space="preserve">表44           </w:t>
            </w:r>
            <w:r>
              <w:t>声环境保护目标噪声预测结果与达标分析表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78"/>
              <w:gridCol w:w="1027"/>
              <w:gridCol w:w="624"/>
              <w:gridCol w:w="624"/>
              <w:gridCol w:w="624"/>
              <w:gridCol w:w="624"/>
              <w:gridCol w:w="624"/>
              <w:gridCol w:w="624"/>
              <w:gridCol w:w="624"/>
              <w:gridCol w:w="624"/>
              <w:gridCol w:w="624"/>
              <w:gridCol w:w="624"/>
              <w:gridCol w:w="625"/>
              <w:gridCol w:w="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9" w:hRule="exact"/>
                <w:jc w:val="center"/>
              </w:trPr>
              <w:tc>
                <w:tcPr>
                  <w:tcW w:w="266" w:type="pct"/>
                  <w:vMerge w:val="restart"/>
                  <w:tcBorders>
                    <w:top w:val="single" w:color="auto" w:sz="4" w:space="0"/>
                    <w:left w:val="single" w:color="auto" w:sz="4" w:space="0"/>
                    <w:bottom w:val="single" w:color="auto" w:sz="4" w:space="0"/>
                    <w:right w:val="single" w:color="auto" w:sz="4" w:space="0"/>
                  </w:tcBorders>
                  <w:vAlign w:val="center"/>
                </w:tcPr>
                <w:p>
                  <w:pPr>
                    <w:pStyle w:val="70"/>
                  </w:pPr>
                  <w:r>
                    <w:rPr>
                      <w:rFonts w:hint="eastAsia"/>
                    </w:rPr>
                    <w:t>序号</w:t>
                  </w:r>
                </w:p>
              </w:tc>
              <w:tc>
                <w:tcPr>
                  <w:tcW w:w="571" w:type="pct"/>
                  <w:vMerge w:val="restart"/>
                  <w:tcBorders>
                    <w:top w:val="single" w:color="auto" w:sz="4" w:space="0"/>
                    <w:left w:val="single" w:color="auto" w:sz="4" w:space="0"/>
                    <w:bottom w:val="single" w:color="auto" w:sz="4" w:space="0"/>
                    <w:right w:val="single" w:color="auto" w:sz="4" w:space="0"/>
                  </w:tcBorders>
                  <w:vAlign w:val="center"/>
                </w:tcPr>
                <w:p>
                  <w:pPr>
                    <w:pStyle w:val="70"/>
                  </w:pPr>
                  <w:r>
                    <w:rPr>
                      <w:rFonts w:hint="eastAsia"/>
                    </w:rPr>
                    <w:t>声环境保护目标名称</w:t>
                  </w:r>
                </w:p>
              </w:tc>
              <w:tc>
                <w:tcPr>
                  <w:tcW w:w="693" w:type="pct"/>
                  <w:gridSpan w:val="2"/>
                  <w:tcBorders>
                    <w:top w:val="single" w:color="auto" w:sz="4" w:space="0"/>
                    <w:left w:val="single" w:color="auto" w:sz="4" w:space="0"/>
                    <w:bottom w:val="single" w:color="auto" w:sz="4" w:space="0"/>
                    <w:right w:val="single" w:color="auto" w:sz="4" w:space="0"/>
                  </w:tcBorders>
                  <w:vAlign w:val="center"/>
                </w:tcPr>
                <w:p>
                  <w:pPr>
                    <w:pStyle w:val="70"/>
                  </w:pPr>
                  <w:r>
                    <w:rPr>
                      <w:rFonts w:hint="eastAsia"/>
                    </w:rPr>
                    <w:t>噪声现状值</w:t>
                  </w:r>
                  <w:r>
                    <w:t>/dB(A)</w:t>
                  </w:r>
                </w:p>
              </w:tc>
              <w:tc>
                <w:tcPr>
                  <w:tcW w:w="694" w:type="pct"/>
                  <w:gridSpan w:val="2"/>
                  <w:tcBorders>
                    <w:top w:val="single" w:color="auto" w:sz="4" w:space="0"/>
                    <w:left w:val="single" w:color="auto" w:sz="4" w:space="0"/>
                    <w:bottom w:val="single" w:color="auto" w:sz="4" w:space="0"/>
                    <w:right w:val="single" w:color="auto" w:sz="4" w:space="0"/>
                  </w:tcBorders>
                  <w:vAlign w:val="center"/>
                </w:tcPr>
                <w:p>
                  <w:pPr>
                    <w:pStyle w:val="70"/>
                  </w:pPr>
                  <w:r>
                    <w:rPr>
                      <w:rFonts w:hint="eastAsia"/>
                    </w:rPr>
                    <w:t>噪声标准</w:t>
                  </w:r>
                  <w:r>
                    <w:t>/dB(A)</w:t>
                  </w:r>
                </w:p>
              </w:tc>
              <w:tc>
                <w:tcPr>
                  <w:tcW w:w="694" w:type="pct"/>
                  <w:gridSpan w:val="2"/>
                  <w:tcBorders>
                    <w:top w:val="single" w:color="auto" w:sz="4" w:space="0"/>
                    <w:left w:val="single" w:color="auto" w:sz="4" w:space="0"/>
                    <w:bottom w:val="single" w:color="auto" w:sz="4" w:space="0"/>
                    <w:right w:val="single" w:color="auto" w:sz="4" w:space="0"/>
                  </w:tcBorders>
                  <w:vAlign w:val="center"/>
                </w:tcPr>
                <w:p>
                  <w:pPr>
                    <w:pStyle w:val="70"/>
                  </w:pPr>
                  <w:r>
                    <w:rPr>
                      <w:rFonts w:hint="eastAsia"/>
                    </w:rPr>
                    <w:t>噪声贡献值</w:t>
                  </w:r>
                  <w:r>
                    <w:t>/dB(A)</w:t>
                  </w:r>
                </w:p>
              </w:tc>
              <w:tc>
                <w:tcPr>
                  <w:tcW w:w="693" w:type="pct"/>
                  <w:gridSpan w:val="2"/>
                  <w:tcBorders>
                    <w:top w:val="single" w:color="auto" w:sz="4" w:space="0"/>
                    <w:left w:val="single" w:color="auto" w:sz="4" w:space="0"/>
                    <w:bottom w:val="single" w:color="auto" w:sz="4" w:space="0"/>
                    <w:right w:val="single" w:color="auto" w:sz="4" w:space="0"/>
                  </w:tcBorders>
                  <w:vAlign w:val="center"/>
                </w:tcPr>
                <w:p>
                  <w:pPr>
                    <w:pStyle w:val="70"/>
                  </w:pPr>
                  <w:r>
                    <w:rPr>
                      <w:rFonts w:hint="eastAsia"/>
                    </w:rPr>
                    <w:t>噪声预测值</w:t>
                  </w:r>
                  <w:r>
                    <w:t>/dB(A)</w:t>
                  </w:r>
                </w:p>
              </w:tc>
              <w:tc>
                <w:tcPr>
                  <w:tcW w:w="694" w:type="pct"/>
                  <w:gridSpan w:val="2"/>
                  <w:tcBorders>
                    <w:top w:val="single" w:color="auto" w:sz="4" w:space="0"/>
                    <w:left w:val="single" w:color="auto" w:sz="4" w:space="0"/>
                    <w:bottom w:val="single" w:color="auto" w:sz="4" w:space="0"/>
                    <w:right w:val="single" w:color="auto" w:sz="4" w:space="0"/>
                  </w:tcBorders>
                  <w:vAlign w:val="center"/>
                </w:tcPr>
                <w:p>
                  <w:pPr>
                    <w:pStyle w:val="70"/>
                  </w:pPr>
                  <w:r>
                    <w:rPr>
                      <w:rFonts w:hint="eastAsia"/>
                    </w:rPr>
                    <w:t>较现状增量</w:t>
                  </w:r>
                  <w:r>
                    <w:t>/dB(A)</w:t>
                  </w:r>
                </w:p>
              </w:tc>
              <w:tc>
                <w:tcPr>
                  <w:tcW w:w="694" w:type="pct"/>
                  <w:gridSpan w:val="2"/>
                  <w:tcBorders>
                    <w:top w:val="single" w:color="auto" w:sz="4" w:space="0"/>
                    <w:left w:val="single" w:color="auto" w:sz="4" w:space="0"/>
                    <w:bottom w:val="single" w:color="auto" w:sz="4" w:space="0"/>
                    <w:right w:val="single" w:color="auto" w:sz="4" w:space="0"/>
                  </w:tcBorders>
                  <w:vAlign w:val="center"/>
                </w:tcPr>
                <w:p>
                  <w:pPr>
                    <w:pStyle w:val="70"/>
                  </w:pPr>
                  <w:r>
                    <w:rPr>
                      <w:rFonts w:hint="eastAsia"/>
                    </w:rPr>
                    <w:t>超标和达标情况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exact"/>
                <w:jc w:val="center"/>
              </w:trPr>
              <w:tc>
                <w:tcPr>
                  <w:tcW w:w="266" w:type="pct"/>
                  <w:vMerge w:val="continue"/>
                  <w:tcBorders>
                    <w:top w:val="single" w:color="auto" w:sz="4" w:space="0"/>
                    <w:left w:val="single" w:color="auto" w:sz="4" w:space="0"/>
                    <w:bottom w:val="single" w:color="auto" w:sz="4" w:space="0"/>
                    <w:right w:val="single" w:color="auto" w:sz="4" w:space="0"/>
                  </w:tcBorders>
                  <w:vAlign w:val="center"/>
                </w:tcPr>
                <w:p>
                  <w:pPr>
                    <w:pStyle w:val="70"/>
                  </w:pPr>
                </w:p>
              </w:tc>
              <w:tc>
                <w:tcPr>
                  <w:tcW w:w="571" w:type="pct"/>
                  <w:vMerge w:val="continue"/>
                  <w:tcBorders>
                    <w:top w:val="single" w:color="auto" w:sz="4" w:space="0"/>
                    <w:left w:val="single" w:color="auto" w:sz="4" w:space="0"/>
                    <w:bottom w:val="single" w:color="auto" w:sz="4" w:space="0"/>
                    <w:right w:val="single" w:color="auto" w:sz="4" w:space="0"/>
                  </w:tcBorders>
                  <w:vAlign w:val="center"/>
                </w:tcPr>
                <w:p>
                  <w:pPr>
                    <w:pStyle w:val="70"/>
                  </w:pPr>
                </w:p>
              </w:tc>
              <w:tc>
                <w:tcPr>
                  <w:tcW w:w="34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70"/>
                  </w:pPr>
                  <w:r>
                    <w:rPr>
                      <w:rFonts w:hint="eastAsia"/>
                    </w:rPr>
                    <w:t>昼间</w:t>
                  </w:r>
                </w:p>
              </w:tc>
              <w:tc>
                <w:tcPr>
                  <w:tcW w:w="34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70"/>
                  </w:pPr>
                  <w:r>
                    <w:rPr>
                      <w:rFonts w:hint="eastAsia"/>
                    </w:rPr>
                    <w:t>夜间</w:t>
                  </w:r>
                </w:p>
              </w:tc>
              <w:tc>
                <w:tcPr>
                  <w:tcW w:w="34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70"/>
                  </w:pPr>
                  <w:r>
                    <w:rPr>
                      <w:rFonts w:hint="eastAsia"/>
                    </w:rPr>
                    <w:t>昼间</w:t>
                  </w:r>
                </w:p>
              </w:tc>
              <w:tc>
                <w:tcPr>
                  <w:tcW w:w="34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70"/>
                  </w:pPr>
                  <w:r>
                    <w:rPr>
                      <w:rFonts w:hint="eastAsia"/>
                    </w:rPr>
                    <w:t>夜间</w:t>
                  </w:r>
                </w:p>
              </w:tc>
              <w:tc>
                <w:tcPr>
                  <w:tcW w:w="34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70"/>
                  </w:pPr>
                  <w:r>
                    <w:rPr>
                      <w:rFonts w:hint="eastAsia"/>
                    </w:rPr>
                    <w:t>昼间</w:t>
                  </w:r>
                </w:p>
              </w:tc>
              <w:tc>
                <w:tcPr>
                  <w:tcW w:w="34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70"/>
                  </w:pPr>
                  <w:r>
                    <w:rPr>
                      <w:rFonts w:hint="eastAsia"/>
                    </w:rPr>
                    <w:t>夜间</w:t>
                  </w:r>
                </w:p>
              </w:tc>
              <w:tc>
                <w:tcPr>
                  <w:tcW w:w="34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70"/>
                  </w:pPr>
                  <w:r>
                    <w:rPr>
                      <w:rFonts w:hint="eastAsia"/>
                    </w:rPr>
                    <w:t>昼间</w:t>
                  </w:r>
                </w:p>
              </w:tc>
              <w:tc>
                <w:tcPr>
                  <w:tcW w:w="34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70"/>
                  </w:pPr>
                  <w:r>
                    <w:rPr>
                      <w:rFonts w:hint="eastAsia"/>
                    </w:rPr>
                    <w:t>夜间</w:t>
                  </w:r>
                </w:p>
              </w:tc>
              <w:tc>
                <w:tcPr>
                  <w:tcW w:w="34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70"/>
                  </w:pPr>
                  <w:r>
                    <w:rPr>
                      <w:rFonts w:hint="eastAsia"/>
                    </w:rPr>
                    <w:t>昼间</w:t>
                  </w:r>
                </w:p>
              </w:tc>
              <w:tc>
                <w:tcPr>
                  <w:tcW w:w="34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70"/>
                  </w:pPr>
                  <w:r>
                    <w:rPr>
                      <w:rFonts w:hint="eastAsia"/>
                    </w:rPr>
                    <w:t>夜间</w:t>
                  </w:r>
                </w:p>
              </w:tc>
              <w:tc>
                <w:tcPr>
                  <w:tcW w:w="34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70"/>
                  </w:pPr>
                  <w:r>
                    <w:rPr>
                      <w:rFonts w:hint="eastAsia"/>
                    </w:rPr>
                    <w:t>昼间</w:t>
                  </w:r>
                </w:p>
              </w:tc>
              <w:tc>
                <w:tcPr>
                  <w:tcW w:w="34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70"/>
                  </w:pPr>
                  <w:r>
                    <w:rPr>
                      <w:rFonts w:hint="eastAsia"/>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266"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70"/>
                  </w:pPr>
                  <w:r>
                    <w:t>1</w:t>
                  </w:r>
                </w:p>
              </w:tc>
              <w:tc>
                <w:tcPr>
                  <w:tcW w:w="57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70"/>
                    <w:rPr>
                      <w:snapToGrid w:val="0"/>
                    </w:rPr>
                  </w:pPr>
                  <w:r>
                    <w:rPr>
                      <w:rFonts w:hint="eastAsia"/>
                      <w:snapToGrid w:val="0"/>
                    </w:rPr>
                    <w:t>后马郡</w:t>
                  </w:r>
                </w:p>
                <w:p>
                  <w:pPr>
                    <w:pStyle w:val="70"/>
                  </w:pPr>
                  <w:r>
                    <w:rPr>
                      <w:rFonts w:hint="eastAsia"/>
                      <w:snapToGrid w:val="0"/>
                    </w:rPr>
                    <w:t>村散户</w:t>
                  </w:r>
                </w:p>
              </w:tc>
              <w:tc>
                <w:tcPr>
                  <w:tcW w:w="34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70"/>
                  </w:pPr>
                  <w:r>
                    <w:rPr>
                      <w:rFonts w:hint="eastAsia"/>
                    </w:rPr>
                    <w:t>52.3</w:t>
                  </w:r>
                </w:p>
              </w:tc>
              <w:tc>
                <w:tcPr>
                  <w:tcW w:w="34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70"/>
                  </w:pPr>
                  <w:r>
                    <w:rPr>
                      <w:rFonts w:hint="eastAsia"/>
                    </w:rPr>
                    <w:t>43.1</w:t>
                  </w:r>
                </w:p>
              </w:tc>
              <w:tc>
                <w:tcPr>
                  <w:tcW w:w="34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70"/>
                  </w:pPr>
                  <w:r>
                    <w:rPr>
                      <w:rFonts w:hint="eastAsia"/>
                    </w:rPr>
                    <w:t>60</w:t>
                  </w:r>
                </w:p>
              </w:tc>
              <w:tc>
                <w:tcPr>
                  <w:tcW w:w="34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70"/>
                  </w:pPr>
                  <w:r>
                    <w:rPr>
                      <w:rFonts w:hint="eastAsia"/>
                    </w:rPr>
                    <w:t>50</w:t>
                  </w:r>
                </w:p>
              </w:tc>
              <w:tc>
                <w:tcPr>
                  <w:tcW w:w="34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70"/>
                  </w:pPr>
                  <w:r>
                    <w:rPr>
                      <w:rFonts w:hint="eastAsia"/>
                    </w:rPr>
                    <w:t>49.44</w:t>
                  </w:r>
                </w:p>
              </w:tc>
              <w:tc>
                <w:tcPr>
                  <w:tcW w:w="34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70"/>
                  </w:pPr>
                  <w:r>
                    <w:t>/</w:t>
                  </w:r>
                </w:p>
              </w:tc>
              <w:tc>
                <w:tcPr>
                  <w:tcW w:w="34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70"/>
                  </w:pPr>
                  <w:r>
                    <w:rPr>
                      <w:rFonts w:hint="eastAsia"/>
                    </w:rPr>
                    <w:t>54.11</w:t>
                  </w:r>
                </w:p>
              </w:tc>
              <w:tc>
                <w:tcPr>
                  <w:tcW w:w="34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70"/>
                  </w:pPr>
                  <w:r>
                    <w:t>/</w:t>
                  </w:r>
                </w:p>
              </w:tc>
              <w:tc>
                <w:tcPr>
                  <w:tcW w:w="34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70"/>
                  </w:pPr>
                  <w:r>
                    <w:rPr>
                      <w:rFonts w:hint="eastAsia"/>
                    </w:rPr>
                    <w:t>1.81</w:t>
                  </w:r>
                </w:p>
              </w:tc>
              <w:tc>
                <w:tcPr>
                  <w:tcW w:w="34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70"/>
                  </w:pPr>
                  <w:r>
                    <w:t>/</w:t>
                  </w:r>
                </w:p>
              </w:tc>
              <w:tc>
                <w:tcPr>
                  <w:tcW w:w="34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70"/>
                  </w:pPr>
                  <w:r>
                    <w:rPr>
                      <w:rFonts w:hint="eastAsia"/>
                    </w:rPr>
                    <w:t>达标</w:t>
                  </w:r>
                </w:p>
              </w:tc>
              <w:tc>
                <w:tcPr>
                  <w:tcW w:w="34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70"/>
                  </w:pPr>
                  <w:r>
                    <w:rPr>
                      <w:rFonts w:hint="eastAsia"/>
                    </w:rPr>
                    <w:t>/</w:t>
                  </w:r>
                </w:p>
              </w:tc>
            </w:tr>
          </w:tbl>
          <w:p>
            <w:pPr>
              <w:pStyle w:val="51"/>
              <w:ind w:firstLine="480"/>
            </w:pPr>
            <w:r>
              <w:t>由上表可知，本项目运营期，东、西、南、北厂界噪声昼间预测值能够满足《工业企业厂界环境噪声排放标准》(GB12348-2008)中</w:t>
            </w:r>
            <w:r>
              <w:rPr>
                <w:rFonts w:hint="eastAsia"/>
              </w:rPr>
              <w:t>2</w:t>
            </w:r>
            <w:r>
              <w:t>类标准要求</w:t>
            </w:r>
            <w:r>
              <w:rPr>
                <w:rFonts w:hint="eastAsia"/>
              </w:rPr>
              <w:t>；后马郡村散户声环境质量预测值满足《声环境质量标准》（GB3096-2008）2 类标准限值要求。</w:t>
            </w:r>
          </w:p>
          <w:p>
            <w:pPr>
              <w:pStyle w:val="99"/>
              <w:ind w:firstLine="0" w:firstLineChars="0"/>
            </w:pPr>
            <w:r>
              <w:t>3.3监测要求</w:t>
            </w:r>
          </w:p>
          <w:p>
            <w:pPr>
              <w:pStyle w:val="51"/>
              <w:ind w:firstLine="480"/>
            </w:pPr>
            <w:r>
              <w:t>根据</w:t>
            </w:r>
            <w:r>
              <w:rPr>
                <w:rFonts w:hint="eastAsia"/>
                <w:bCs/>
              </w:rPr>
              <w:t>《排污单位自行监测技术指南  橡胶和塑料制品工业》（HJ1207-2021）和《排污许可证申请与核发技术规范 印刷工业》（HJ1066-2019）</w:t>
            </w:r>
            <w:r>
              <w:t>以及本项目运行期产污特征、项目工程周围环境实际情况，制定出本项目运行期环境监测计划，详见表</w:t>
            </w:r>
            <w:r>
              <w:rPr>
                <w:rFonts w:hint="eastAsia"/>
              </w:rPr>
              <w:t>45</w:t>
            </w:r>
            <w:r>
              <w:t>。</w:t>
            </w:r>
          </w:p>
          <w:p>
            <w:pPr>
              <w:pStyle w:val="51"/>
              <w:ind w:firstLine="480"/>
            </w:pPr>
          </w:p>
          <w:p>
            <w:pPr>
              <w:pStyle w:val="53"/>
              <w:ind w:firstLine="480"/>
            </w:pPr>
            <w:r>
              <w:t>表</w:t>
            </w:r>
            <w:r>
              <w:rPr>
                <w:rFonts w:hint="eastAsia"/>
              </w:rPr>
              <w:t>45</w:t>
            </w:r>
            <w:r>
              <w:t xml:space="preserve">             营运期监测计划</w:t>
            </w:r>
          </w:p>
          <w:tbl>
            <w:tblPr>
              <w:tblStyle w:val="22"/>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748"/>
              <w:gridCol w:w="760"/>
              <w:gridCol w:w="1263"/>
              <w:gridCol w:w="1860"/>
              <w:gridCol w:w="1550"/>
              <w:gridCol w:w="279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379" w:type="dxa"/>
                  <w:gridSpan w:val="2"/>
                  <w:vAlign w:val="center"/>
                </w:tcPr>
                <w:p>
                  <w:pPr>
                    <w:pStyle w:val="68"/>
                  </w:pPr>
                  <w:r>
                    <w:t>类别</w:t>
                  </w:r>
                </w:p>
              </w:tc>
              <w:tc>
                <w:tcPr>
                  <w:tcW w:w="1155" w:type="dxa"/>
                  <w:vAlign w:val="center"/>
                </w:tcPr>
                <w:p>
                  <w:pPr>
                    <w:pStyle w:val="68"/>
                  </w:pPr>
                  <w:r>
                    <w:t>监测点</w:t>
                  </w:r>
                </w:p>
              </w:tc>
              <w:tc>
                <w:tcPr>
                  <w:tcW w:w="1701" w:type="dxa"/>
                  <w:vAlign w:val="center"/>
                </w:tcPr>
                <w:p>
                  <w:pPr>
                    <w:pStyle w:val="68"/>
                  </w:pPr>
                  <w:r>
                    <w:t>监测项目</w:t>
                  </w:r>
                </w:p>
              </w:tc>
              <w:tc>
                <w:tcPr>
                  <w:tcW w:w="1417" w:type="dxa"/>
                  <w:vAlign w:val="center"/>
                </w:tcPr>
                <w:p>
                  <w:pPr>
                    <w:pStyle w:val="68"/>
                  </w:pPr>
                  <w:r>
                    <w:t>监测频率</w:t>
                  </w:r>
                </w:p>
              </w:tc>
              <w:tc>
                <w:tcPr>
                  <w:tcW w:w="2553" w:type="dxa"/>
                  <w:vAlign w:val="center"/>
                </w:tcPr>
                <w:p>
                  <w:pPr>
                    <w:pStyle w:val="68"/>
                  </w:pPr>
                  <w:r>
                    <w:t>执行标准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02" w:hRule="atLeast"/>
                <w:jc w:val="center"/>
              </w:trPr>
              <w:tc>
                <w:tcPr>
                  <w:tcW w:w="684" w:type="dxa"/>
                  <w:tcBorders>
                    <w:right w:val="single" w:color="auto" w:sz="6" w:space="0"/>
                  </w:tcBorders>
                  <w:vAlign w:val="center"/>
                </w:tcPr>
                <w:p>
                  <w:pPr>
                    <w:pStyle w:val="68"/>
                  </w:pPr>
                  <w:r>
                    <w:t>污染源</w:t>
                  </w:r>
                </w:p>
              </w:tc>
              <w:tc>
                <w:tcPr>
                  <w:tcW w:w="695" w:type="dxa"/>
                  <w:tcBorders>
                    <w:left w:val="single" w:color="auto" w:sz="6" w:space="0"/>
                  </w:tcBorders>
                  <w:vAlign w:val="center"/>
                </w:tcPr>
                <w:p>
                  <w:pPr>
                    <w:pStyle w:val="68"/>
                  </w:pPr>
                  <w:r>
                    <w:t>噪声</w:t>
                  </w:r>
                </w:p>
              </w:tc>
              <w:tc>
                <w:tcPr>
                  <w:tcW w:w="1155" w:type="dxa"/>
                  <w:vAlign w:val="center"/>
                </w:tcPr>
                <w:p>
                  <w:pPr>
                    <w:pStyle w:val="68"/>
                  </w:pPr>
                  <w:r>
                    <w:t>厂界四周</w:t>
                  </w:r>
                </w:p>
              </w:tc>
              <w:tc>
                <w:tcPr>
                  <w:tcW w:w="1701" w:type="dxa"/>
                  <w:vAlign w:val="center"/>
                </w:tcPr>
                <w:p>
                  <w:pPr>
                    <w:pStyle w:val="68"/>
                  </w:pPr>
                  <w:r>
                    <w:t>等效连续A声级</w:t>
                  </w:r>
                </w:p>
              </w:tc>
              <w:tc>
                <w:tcPr>
                  <w:tcW w:w="1417" w:type="dxa"/>
                  <w:vAlign w:val="center"/>
                </w:tcPr>
                <w:p>
                  <w:pPr>
                    <w:pStyle w:val="68"/>
                  </w:pPr>
                  <w:r>
                    <w:t>每季度1次</w:t>
                  </w:r>
                </w:p>
              </w:tc>
              <w:tc>
                <w:tcPr>
                  <w:tcW w:w="2553" w:type="dxa"/>
                  <w:vAlign w:val="center"/>
                </w:tcPr>
                <w:p>
                  <w:pPr>
                    <w:pStyle w:val="68"/>
                  </w:pPr>
                  <w:r>
                    <w:t>《工业企业厂界环境噪声排放标准》(GB12348-2008)2类标准</w:t>
                  </w:r>
                </w:p>
              </w:tc>
            </w:tr>
          </w:tbl>
          <w:p>
            <w:pPr>
              <w:pStyle w:val="100"/>
            </w:pPr>
            <w:r>
              <w:t>4. 固废</w:t>
            </w:r>
          </w:p>
          <w:p>
            <w:pPr>
              <w:pStyle w:val="100"/>
            </w:pPr>
            <w:r>
              <w:rPr>
                <w:rFonts w:hint="eastAsia"/>
              </w:rPr>
              <w:t>4.1产生情况</w:t>
            </w:r>
          </w:p>
          <w:p>
            <w:pPr>
              <w:pStyle w:val="100"/>
              <w:ind w:firstLine="480" w:firstLineChars="200"/>
            </w:pPr>
            <w:r>
              <w:rPr>
                <w:rFonts w:hint="eastAsia"/>
              </w:rPr>
              <w:t>（1）</w:t>
            </w:r>
            <w:r>
              <w:t>一般固废</w:t>
            </w:r>
          </w:p>
          <w:p>
            <w:pPr>
              <w:pStyle w:val="51"/>
              <w:ind w:firstLine="480"/>
            </w:pPr>
            <w:r>
              <w:t>本项目产生的一般固废主要有为废包装材料</w:t>
            </w:r>
            <w:r>
              <w:rPr>
                <w:rFonts w:hint="eastAsia"/>
              </w:rPr>
              <w:t>和废边角料</w:t>
            </w:r>
            <w:r>
              <w:t>等。</w:t>
            </w:r>
          </w:p>
          <w:p>
            <w:pPr>
              <w:pStyle w:val="51"/>
              <w:ind w:firstLine="480"/>
            </w:pPr>
            <w:r>
              <w:rPr>
                <w:rFonts w:hint="eastAsia" w:ascii="宋体" w:hAnsi="宋体" w:cs="宋体"/>
              </w:rPr>
              <w:t>①</w:t>
            </w:r>
            <w:r>
              <w:t>废包装材料</w:t>
            </w:r>
          </w:p>
          <w:p>
            <w:pPr>
              <w:pStyle w:val="51"/>
              <w:ind w:firstLine="480"/>
            </w:pPr>
            <w:r>
              <w:t>主要包括</w:t>
            </w:r>
            <w:r>
              <w:rPr>
                <w:rFonts w:hint="eastAsia"/>
              </w:rPr>
              <w:t>原料包装袋</w:t>
            </w:r>
            <w:r>
              <w:t>等，均属一般固废，产生量约为</w:t>
            </w:r>
            <w:r>
              <w:rPr>
                <w:rFonts w:hint="eastAsia"/>
              </w:rPr>
              <w:t>1.0</w:t>
            </w:r>
            <w:r>
              <w:t>t/a</w:t>
            </w:r>
            <w:r>
              <w:rPr>
                <w:rFonts w:hint="eastAsia"/>
              </w:rPr>
              <w:t>，</w:t>
            </w:r>
            <w:r>
              <w:rPr>
                <w:rFonts w:hint="eastAsia" w:ascii="宋体" w:hAnsi="宋体" w:cs="宋体"/>
              </w:rPr>
              <w:t>收集后暂存于一般固废暂存区定期外售。</w:t>
            </w:r>
          </w:p>
          <w:p>
            <w:pPr>
              <w:pStyle w:val="51"/>
              <w:ind w:firstLine="480"/>
              <w:rPr>
                <w:rFonts w:ascii="宋体" w:hAnsi="宋体" w:cs="宋体"/>
                <w:bCs/>
              </w:rPr>
            </w:pPr>
            <w:r>
              <w:rPr>
                <w:rFonts w:hint="eastAsia" w:ascii="宋体" w:hAnsi="宋体" w:cs="宋体"/>
                <w:bCs/>
              </w:rPr>
              <w:t>②废边角料</w:t>
            </w:r>
          </w:p>
          <w:p>
            <w:pPr>
              <w:pStyle w:val="51"/>
              <w:ind w:firstLine="480"/>
              <w:rPr>
                <w:rFonts w:hAnsi="宋体"/>
                <w:bCs/>
              </w:rPr>
            </w:pPr>
            <w:r>
              <w:rPr>
                <w:rFonts w:hint="eastAsia" w:hAnsi="宋体"/>
                <w:bCs/>
              </w:rPr>
              <w:t>根据企业提供资料，项目废边角料产生量约为1.2t/a，废边角料暂存于一般固废暂存间，定期外售</w:t>
            </w:r>
            <w:r>
              <w:rPr>
                <w:rFonts w:hAnsi="宋体"/>
                <w:bCs/>
              </w:rPr>
              <w:t>。</w:t>
            </w:r>
          </w:p>
          <w:p>
            <w:pPr>
              <w:pStyle w:val="51"/>
              <w:spacing w:before="93"/>
              <w:ind w:firstLine="480"/>
            </w:pPr>
            <w:r>
              <w:t>（2）生活垃圾</w:t>
            </w:r>
          </w:p>
          <w:p>
            <w:pPr>
              <w:pStyle w:val="51"/>
              <w:ind w:firstLine="480"/>
            </w:pPr>
            <w:r>
              <w:rPr>
                <w:rFonts w:hint="eastAsia"/>
              </w:rPr>
              <w:t>改扩建</w:t>
            </w:r>
            <w:r>
              <w:t>项目</w:t>
            </w:r>
            <w:r>
              <w:rPr>
                <w:rFonts w:hint="eastAsia"/>
              </w:rPr>
              <w:t>新增</w:t>
            </w:r>
            <w:r>
              <w:t>劳动定员</w:t>
            </w:r>
            <w:r>
              <w:rPr>
                <w:rFonts w:hint="eastAsia"/>
              </w:rPr>
              <w:t>40</w:t>
            </w:r>
            <w:r>
              <w:t>人，员工在厂生活垃圾产生量按0.5kg/人d。则生活垃圾产生量为</w:t>
            </w:r>
            <w:r>
              <w:rPr>
                <w:rFonts w:hint="eastAsia"/>
              </w:rPr>
              <w:t>20</w:t>
            </w:r>
            <w:r>
              <w:t>kg/d（</w:t>
            </w:r>
            <w:r>
              <w:rPr>
                <w:rFonts w:hint="eastAsia"/>
              </w:rPr>
              <w:t>6.0</w:t>
            </w:r>
            <w:r>
              <w:t>t/a）。集中收集后交由环卫部门统一清运。</w:t>
            </w:r>
          </w:p>
          <w:p>
            <w:pPr>
              <w:pStyle w:val="51"/>
              <w:spacing w:before="93"/>
              <w:ind w:firstLine="480"/>
            </w:pPr>
            <w:r>
              <w:t>（3）危险废物</w:t>
            </w:r>
          </w:p>
          <w:p>
            <w:pPr>
              <w:pStyle w:val="51"/>
              <w:ind w:firstLine="480"/>
            </w:pPr>
            <w:r>
              <w:rPr>
                <w:rFonts w:hint="eastAsia" w:ascii="宋体" w:hAnsi="宋体" w:cs="宋体"/>
              </w:rPr>
              <w:t>①</w:t>
            </w:r>
            <w:r>
              <w:t>废活性炭</w:t>
            </w:r>
          </w:p>
          <w:p>
            <w:pPr>
              <w:spacing w:line="520" w:lineRule="exact"/>
              <w:ind w:firstLine="482" w:firstLineChars="200"/>
              <w:rPr>
                <w:b/>
                <w:sz w:val="24"/>
                <w:u w:val="single"/>
              </w:rPr>
            </w:pPr>
            <w:r>
              <w:rPr>
                <w:rFonts w:hint="eastAsia"/>
                <w:b/>
                <w:sz w:val="24"/>
                <w:u w:val="single"/>
              </w:rPr>
              <w:t>改扩建项目产生的非甲烷总烃经集气系统收集后经UV光氧+活性炭吸附装置处理后通过15m排气筒排放（其中UV光氧处理效率为20%，活性炭吸附效率为75%），</w:t>
            </w:r>
            <w:r>
              <w:rPr>
                <w:b/>
                <w:sz w:val="24"/>
                <w:u w:val="single"/>
              </w:rPr>
              <w:t>根据《简明通风设计手册》，活性炭有效吸附量Q</w:t>
            </w:r>
            <w:r>
              <w:rPr>
                <w:b/>
                <w:sz w:val="24"/>
                <w:u w:val="single"/>
                <w:vertAlign w:val="subscript"/>
              </w:rPr>
              <w:t>e</w:t>
            </w:r>
            <w:r>
              <w:rPr>
                <w:b/>
                <w:sz w:val="24"/>
                <w:u w:val="single"/>
              </w:rPr>
              <w:t>=0.2kg/kg活性炭，</w:t>
            </w:r>
            <w:r>
              <w:rPr>
                <w:rFonts w:hint="eastAsia"/>
                <w:b/>
                <w:sz w:val="24"/>
                <w:u w:val="single"/>
              </w:rPr>
              <w:t>有机废气处理装置活性炭填充量为100kg，能吸附有机废气量为20kg，本项目有机废气处理装置需处理有机废气0.0699t/a，其中UV光氧处理量0.0140t/a，活性炭吸附量为0.0559t/a，则活性炭每年更换3次，每120天更换一次，需新鲜活性炭0.3t/a，则本项目有机废气处理装置产生废活性炭产生量为0.3559t/a。</w:t>
            </w:r>
            <w:r>
              <w:rPr>
                <w:rFonts w:hint="eastAsia"/>
                <w:b/>
                <w:sz w:val="24"/>
                <w:szCs w:val="20"/>
                <w:u w:val="single"/>
              </w:rPr>
              <w:t>根据</w:t>
            </w:r>
            <w:r>
              <w:rPr>
                <w:b/>
                <w:sz w:val="24"/>
                <w:u w:val="single"/>
              </w:rPr>
              <w:t>《国家危险废物名录》（20</w:t>
            </w:r>
            <w:r>
              <w:rPr>
                <w:rFonts w:hint="eastAsia"/>
                <w:b/>
                <w:sz w:val="24"/>
                <w:u w:val="single"/>
              </w:rPr>
              <w:t>21</w:t>
            </w:r>
            <w:r>
              <w:rPr>
                <w:b/>
                <w:sz w:val="24"/>
                <w:u w:val="single"/>
              </w:rPr>
              <w:t>年</w:t>
            </w:r>
            <w:r>
              <w:rPr>
                <w:rFonts w:hint="eastAsia"/>
                <w:b/>
                <w:sz w:val="24"/>
                <w:u w:val="single"/>
              </w:rPr>
              <w:t>版</w:t>
            </w:r>
            <w:r>
              <w:rPr>
                <w:b/>
                <w:sz w:val="24"/>
                <w:u w:val="single"/>
              </w:rPr>
              <w:t>）可知</w:t>
            </w:r>
            <w:r>
              <w:rPr>
                <w:rFonts w:hint="eastAsia"/>
                <w:b/>
                <w:sz w:val="24"/>
                <w:u w:val="single"/>
              </w:rPr>
              <w:t>，废活性炭属于危险废物（HW49其他废物，危废代码为900-039-49），由塑料袋密封包装后，暂存于危废暂存间，定期委托有资质单位处置。</w:t>
            </w:r>
          </w:p>
          <w:p>
            <w:pPr>
              <w:spacing w:line="520" w:lineRule="exact"/>
              <w:ind w:firstLine="480" w:firstLineChars="200"/>
              <w:rPr>
                <w:sz w:val="24"/>
              </w:rPr>
            </w:pPr>
            <w:r>
              <w:rPr>
                <w:rFonts w:hint="eastAsia"/>
                <w:sz w:val="24"/>
              </w:rPr>
              <w:t>②废液压油</w:t>
            </w:r>
          </w:p>
          <w:p>
            <w:pPr>
              <w:pStyle w:val="51"/>
              <w:ind w:firstLine="480"/>
            </w:pPr>
            <w:r>
              <w:t>根据企业提供资料，本项目运行期间</w:t>
            </w:r>
            <w:r>
              <w:rPr>
                <w:rFonts w:hint="eastAsia"/>
              </w:rPr>
              <w:t>液压油使用</w:t>
            </w:r>
            <w:r>
              <w:t>量约为0.</w:t>
            </w:r>
            <w:r>
              <w:rPr>
                <w:rFonts w:hint="eastAsia"/>
              </w:rPr>
              <w:t>22</w:t>
            </w:r>
            <w:r>
              <w:t>t/a。</w:t>
            </w:r>
            <w:r>
              <w:rPr>
                <w:rFonts w:hint="eastAsia"/>
              </w:rPr>
              <w:t>液压油在使用的过程中会有少量变质，需要一年清理更换一次，产生量约为0.22t/a。根据《国家危险废物名录》（2021年版），废液压油属于危险废物，类别为HW08（废矿物油与含矿物油废物），废物代码为900-218-08。更换下来的废液压油由钢制容器收集后暂存于危废暂存间，定期交由有相应资质的单位处置。</w:t>
            </w:r>
          </w:p>
          <w:p>
            <w:pPr>
              <w:spacing w:line="520" w:lineRule="exact"/>
              <w:ind w:firstLine="480" w:firstLineChars="200"/>
              <w:rPr>
                <w:sz w:val="24"/>
              </w:rPr>
            </w:pPr>
            <w:r>
              <w:rPr>
                <w:rFonts w:hint="eastAsia"/>
                <w:bCs/>
                <w:sz w:val="24"/>
              </w:rPr>
              <w:t>③</w:t>
            </w:r>
            <w:r>
              <w:rPr>
                <w:rFonts w:hint="eastAsia"/>
                <w:sz w:val="24"/>
              </w:rPr>
              <w:t>废油墨桶：本项目废油墨桶主要来自原材料（水性油墨等）包装，产生量约</w:t>
            </w:r>
            <w:r>
              <w:rPr>
                <w:sz w:val="24"/>
              </w:rPr>
              <w:t>0.</w:t>
            </w:r>
            <w:r>
              <w:rPr>
                <w:rFonts w:hint="eastAsia"/>
                <w:sz w:val="24"/>
              </w:rPr>
              <w:t>1</w:t>
            </w:r>
            <w:r>
              <w:rPr>
                <w:sz w:val="24"/>
              </w:rPr>
              <w:t>t/a</w:t>
            </w:r>
            <w:r>
              <w:rPr>
                <w:rFonts w:hint="eastAsia"/>
                <w:sz w:val="24"/>
              </w:rPr>
              <w:t>，经查阅《国家危险废物名录》（2021年版），该部分危险废物属于“HW49其他废物”，危废代码为：900-041-49，暂存于车间内的危废暂存间，定期委托有资质单位处置。</w:t>
            </w:r>
          </w:p>
          <w:p>
            <w:pPr>
              <w:spacing w:line="520" w:lineRule="exact"/>
              <w:ind w:firstLine="480" w:firstLineChars="200"/>
              <w:rPr>
                <w:sz w:val="24"/>
              </w:rPr>
            </w:pPr>
            <w:r>
              <w:rPr>
                <w:rFonts w:hint="eastAsia"/>
                <w:sz w:val="24"/>
              </w:rPr>
              <w:t>④废抹布</w:t>
            </w:r>
          </w:p>
          <w:p>
            <w:pPr>
              <w:spacing w:line="520" w:lineRule="exact"/>
              <w:ind w:firstLine="480" w:firstLineChars="200"/>
              <w:rPr>
                <w:bCs/>
                <w:sz w:val="24"/>
              </w:rPr>
            </w:pPr>
            <w:r>
              <w:rPr>
                <w:rFonts w:hint="eastAsia"/>
                <w:bCs/>
                <w:sz w:val="24"/>
              </w:rPr>
              <w:t>本项目废抹布来源主要为印刷设备擦洗，因此，废抹布产生量约为0.05t/a，经查阅《国家危险废物名录》（2021年版），该部分危险废物属于“HW49其他废物”，危废代码为：900-041-49，暂存于车间内的危废暂存间，定期委托有资质单位处置。</w:t>
            </w:r>
          </w:p>
          <w:p>
            <w:pPr>
              <w:spacing w:line="520" w:lineRule="exact"/>
              <w:ind w:firstLine="482" w:firstLineChars="200"/>
              <w:rPr>
                <w:b/>
                <w:sz w:val="24"/>
                <w:u w:val="single"/>
              </w:rPr>
            </w:pPr>
            <w:r>
              <w:rPr>
                <w:rFonts w:hint="eastAsia" w:hAnsi="宋体"/>
                <w:b/>
                <w:sz w:val="24"/>
                <w:u w:val="single"/>
              </w:rPr>
              <w:t>⑤</w:t>
            </w:r>
            <w:r>
              <w:rPr>
                <w:b/>
                <w:sz w:val="24"/>
                <w:u w:val="single"/>
              </w:rPr>
              <w:t>废UV灯管</w:t>
            </w:r>
          </w:p>
          <w:p>
            <w:pPr>
              <w:spacing w:line="520" w:lineRule="exact"/>
              <w:ind w:firstLine="482" w:firstLineChars="200"/>
              <w:rPr>
                <w:bCs/>
                <w:sz w:val="24"/>
              </w:rPr>
            </w:pPr>
            <w:r>
              <w:rPr>
                <w:b/>
                <w:sz w:val="24"/>
                <w:u w:val="single"/>
              </w:rPr>
              <w:t>本项目有机废气</w:t>
            </w:r>
            <w:r>
              <w:rPr>
                <w:rFonts w:hint="eastAsia"/>
                <w:b/>
                <w:sz w:val="24"/>
                <w:u w:val="single"/>
              </w:rPr>
              <w:t>处理装置UV</w:t>
            </w:r>
            <w:r>
              <w:rPr>
                <w:b/>
                <w:sz w:val="24"/>
                <w:u w:val="single"/>
              </w:rPr>
              <w:t>灯管定期更换产生废</w:t>
            </w:r>
            <w:r>
              <w:rPr>
                <w:rFonts w:hint="eastAsia"/>
                <w:b/>
                <w:sz w:val="24"/>
                <w:u w:val="single"/>
              </w:rPr>
              <w:t>UV</w:t>
            </w:r>
            <w:r>
              <w:rPr>
                <w:b/>
                <w:sz w:val="24"/>
                <w:u w:val="single"/>
              </w:rPr>
              <w:t>灯管，废</w:t>
            </w:r>
            <w:r>
              <w:rPr>
                <w:rFonts w:hint="eastAsia"/>
                <w:b/>
                <w:sz w:val="24"/>
                <w:u w:val="single"/>
              </w:rPr>
              <w:t>UV</w:t>
            </w:r>
            <w:r>
              <w:rPr>
                <w:b/>
                <w:sz w:val="24"/>
                <w:u w:val="single"/>
              </w:rPr>
              <w:t>灯管属于危险废物HW29，危废代码为</w:t>
            </w:r>
            <w:r>
              <w:rPr>
                <w:rFonts w:hint="eastAsia"/>
                <w:b/>
                <w:sz w:val="24"/>
                <w:u w:val="single"/>
              </w:rPr>
              <w:t>：</w:t>
            </w:r>
            <w:r>
              <w:rPr>
                <w:b/>
                <w:sz w:val="24"/>
                <w:u w:val="single"/>
              </w:rPr>
              <w:t>900-023-29，每年更换一次约为</w:t>
            </w:r>
            <w:r>
              <w:rPr>
                <w:rFonts w:hint="eastAsia"/>
                <w:b/>
                <w:sz w:val="24"/>
                <w:u w:val="single"/>
              </w:rPr>
              <w:t>0.01</w:t>
            </w:r>
            <w:r>
              <w:rPr>
                <w:b/>
                <w:sz w:val="24"/>
                <w:u w:val="single"/>
              </w:rPr>
              <w:t>t/a，收集后</w:t>
            </w:r>
            <w:r>
              <w:rPr>
                <w:rFonts w:hint="eastAsia"/>
                <w:b/>
                <w:sz w:val="24"/>
                <w:u w:val="single"/>
              </w:rPr>
              <w:t>暂存危废间定期</w:t>
            </w:r>
            <w:r>
              <w:rPr>
                <w:b/>
                <w:sz w:val="24"/>
                <w:u w:val="single"/>
              </w:rPr>
              <w:t>委托有资质单位处理。</w:t>
            </w:r>
          </w:p>
          <w:p>
            <w:pPr>
              <w:pStyle w:val="100"/>
            </w:pPr>
            <w:r>
              <w:rPr>
                <w:rFonts w:hint="eastAsia"/>
              </w:rPr>
              <w:t>4.2贮存、利用、处置方式和去向情况</w:t>
            </w:r>
          </w:p>
          <w:p>
            <w:pPr>
              <w:pStyle w:val="51"/>
              <w:ind w:firstLine="480"/>
            </w:pPr>
            <w:r>
              <w:rPr>
                <w:rFonts w:hint="eastAsia"/>
              </w:rPr>
              <w:t>根据《一般固体废物分类与代码》（GB/T39198-2020）及《国家危险废物名录》（2021年版），将本项目产生的一般固体废物进行汇总及分类，具体见下表</w:t>
            </w:r>
            <w:r>
              <w:t>。</w:t>
            </w:r>
          </w:p>
          <w:p>
            <w:pPr>
              <w:adjustRightInd w:val="0"/>
              <w:snapToGrid w:val="0"/>
              <w:spacing w:line="520" w:lineRule="exact"/>
              <w:ind w:firstLine="480" w:firstLineChars="200"/>
              <w:textAlignment w:val="baseline"/>
              <w:rPr>
                <w:sz w:val="24"/>
              </w:rPr>
            </w:pPr>
            <w:r>
              <w:rPr>
                <w:rFonts w:hint="eastAsia"/>
                <w:sz w:val="24"/>
              </w:rPr>
              <w:t>项目一般固废产生量及处置方式详见下表：</w:t>
            </w:r>
          </w:p>
          <w:p>
            <w:pPr>
              <w:spacing w:line="520" w:lineRule="exact"/>
              <w:ind w:firstLine="480" w:firstLineChars="200"/>
              <w:rPr>
                <w:rFonts w:eastAsia="黑体"/>
                <w:sz w:val="24"/>
              </w:rPr>
            </w:pPr>
            <w:r>
              <w:rPr>
                <w:rFonts w:eastAsia="黑体"/>
                <w:sz w:val="24"/>
              </w:rPr>
              <w:t>表</w:t>
            </w:r>
            <w:r>
              <w:rPr>
                <w:rFonts w:hint="eastAsia" w:eastAsia="黑体"/>
                <w:sz w:val="24"/>
              </w:rPr>
              <w:t>46            项目一般</w:t>
            </w:r>
            <w:r>
              <w:rPr>
                <w:rFonts w:eastAsia="黑体"/>
                <w:sz w:val="24"/>
              </w:rPr>
              <w:t>固废产生</w:t>
            </w:r>
            <w:r>
              <w:rPr>
                <w:rFonts w:hint="eastAsia" w:eastAsia="黑体"/>
                <w:sz w:val="24"/>
              </w:rPr>
              <w:t>量及处理方式一览表</w:t>
            </w:r>
          </w:p>
          <w:tbl>
            <w:tblPr>
              <w:tblStyle w:val="22"/>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2003"/>
              <w:gridCol w:w="1261"/>
              <w:gridCol w:w="1338"/>
              <w:gridCol w:w="1413"/>
              <w:gridCol w:w="22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736" w:type="dxa"/>
                  <w:vAlign w:val="center"/>
                </w:tcPr>
                <w:p>
                  <w:pPr>
                    <w:spacing w:line="360" w:lineRule="exact"/>
                    <w:jc w:val="center"/>
                    <w:rPr>
                      <w:bCs/>
                      <w:szCs w:val="21"/>
                    </w:rPr>
                  </w:pPr>
                  <w:r>
                    <w:rPr>
                      <w:rFonts w:hint="eastAsia"/>
                      <w:bCs/>
                      <w:szCs w:val="21"/>
                    </w:rPr>
                    <w:t>序号</w:t>
                  </w:r>
                </w:p>
              </w:tc>
              <w:tc>
                <w:tcPr>
                  <w:tcW w:w="2003" w:type="dxa"/>
                  <w:vAlign w:val="center"/>
                </w:tcPr>
                <w:p>
                  <w:pPr>
                    <w:spacing w:line="360" w:lineRule="exact"/>
                    <w:jc w:val="center"/>
                    <w:rPr>
                      <w:bCs/>
                      <w:szCs w:val="21"/>
                    </w:rPr>
                  </w:pPr>
                  <w:r>
                    <w:rPr>
                      <w:rFonts w:hint="eastAsia"/>
                      <w:bCs/>
                      <w:szCs w:val="21"/>
                    </w:rPr>
                    <w:t>固废名称</w:t>
                  </w:r>
                </w:p>
              </w:tc>
              <w:tc>
                <w:tcPr>
                  <w:tcW w:w="1261" w:type="dxa"/>
                  <w:vAlign w:val="center"/>
                </w:tcPr>
                <w:p>
                  <w:pPr>
                    <w:spacing w:line="360" w:lineRule="exact"/>
                    <w:jc w:val="center"/>
                    <w:rPr>
                      <w:bCs/>
                      <w:szCs w:val="21"/>
                    </w:rPr>
                  </w:pPr>
                  <w:r>
                    <w:rPr>
                      <w:rFonts w:hint="eastAsia"/>
                      <w:bCs/>
                      <w:szCs w:val="21"/>
                    </w:rPr>
                    <w:t>产生量</w:t>
                  </w:r>
                </w:p>
              </w:tc>
              <w:tc>
                <w:tcPr>
                  <w:tcW w:w="1338" w:type="dxa"/>
                  <w:vAlign w:val="center"/>
                </w:tcPr>
                <w:p>
                  <w:pPr>
                    <w:spacing w:line="360" w:lineRule="exact"/>
                    <w:jc w:val="center"/>
                    <w:rPr>
                      <w:bCs/>
                      <w:szCs w:val="21"/>
                    </w:rPr>
                  </w:pPr>
                  <w:r>
                    <w:rPr>
                      <w:rFonts w:hint="eastAsia"/>
                      <w:bCs/>
                      <w:szCs w:val="21"/>
                    </w:rPr>
                    <w:t>类别</w:t>
                  </w:r>
                </w:p>
              </w:tc>
              <w:tc>
                <w:tcPr>
                  <w:tcW w:w="1413" w:type="dxa"/>
                  <w:vAlign w:val="center"/>
                </w:tcPr>
                <w:p>
                  <w:pPr>
                    <w:spacing w:line="360" w:lineRule="exact"/>
                    <w:jc w:val="center"/>
                    <w:rPr>
                      <w:bCs/>
                      <w:szCs w:val="21"/>
                    </w:rPr>
                  </w:pPr>
                  <w:r>
                    <w:rPr>
                      <w:rFonts w:hint="eastAsia"/>
                      <w:bCs/>
                      <w:szCs w:val="21"/>
                    </w:rPr>
                    <w:t>编码</w:t>
                  </w:r>
                </w:p>
              </w:tc>
              <w:tc>
                <w:tcPr>
                  <w:tcW w:w="2218" w:type="dxa"/>
                  <w:vAlign w:val="center"/>
                </w:tcPr>
                <w:p>
                  <w:pPr>
                    <w:spacing w:line="360" w:lineRule="exact"/>
                    <w:jc w:val="center"/>
                    <w:rPr>
                      <w:bCs/>
                      <w:szCs w:val="21"/>
                    </w:rPr>
                  </w:pPr>
                  <w:r>
                    <w:rPr>
                      <w:rFonts w:hint="eastAsia"/>
                      <w:bCs/>
                      <w:szCs w:val="21"/>
                    </w:rPr>
                    <w:t>处理方式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97" w:hRule="atLeast"/>
                <w:jc w:val="center"/>
              </w:trPr>
              <w:tc>
                <w:tcPr>
                  <w:tcW w:w="736" w:type="dxa"/>
                  <w:vAlign w:val="center"/>
                </w:tcPr>
                <w:p>
                  <w:pPr>
                    <w:spacing w:line="360" w:lineRule="exact"/>
                    <w:jc w:val="center"/>
                    <w:rPr>
                      <w:bCs/>
                      <w:szCs w:val="21"/>
                    </w:rPr>
                  </w:pPr>
                  <w:r>
                    <w:rPr>
                      <w:rFonts w:hint="eastAsia"/>
                      <w:bCs/>
                      <w:szCs w:val="21"/>
                    </w:rPr>
                    <w:t>1</w:t>
                  </w:r>
                </w:p>
              </w:tc>
              <w:tc>
                <w:tcPr>
                  <w:tcW w:w="2003" w:type="dxa"/>
                  <w:vAlign w:val="center"/>
                </w:tcPr>
                <w:p>
                  <w:pPr>
                    <w:spacing w:line="360" w:lineRule="exact"/>
                    <w:jc w:val="center"/>
                    <w:rPr>
                      <w:bCs/>
                      <w:szCs w:val="21"/>
                    </w:rPr>
                  </w:pPr>
                  <w:r>
                    <w:rPr>
                      <w:rFonts w:hint="eastAsia"/>
                      <w:bCs/>
                      <w:szCs w:val="21"/>
                    </w:rPr>
                    <w:t>废边角料</w:t>
                  </w:r>
                </w:p>
              </w:tc>
              <w:tc>
                <w:tcPr>
                  <w:tcW w:w="1261" w:type="dxa"/>
                  <w:vAlign w:val="center"/>
                </w:tcPr>
                <w:p>
                  <w:pPr>
                    <w:spacing w:line="360" w:lineRule="exact"/>
                    <w:jc w:val="center"/>
                    <w:rPr>
                      <w:bCs/>
                      <w:szCs w:val="21"/>
                    </w:rPr>
                  </w:pPr>
                  <w:r>
                    <w:rPr>
                      <w:rFonts w:hint="eastAsia"/>
                      <w:bCs/>
                      <w:szCs w:val="21"/>
                    </w:rPr>
                    <w:t>1.2t/a</w:t>
                  </w:r>
                </w:p>
              </w:tc>
              <w:tc>
                <w:tcPr>
                  <w:tcW w:w="1338" w:type="dxa"/>
                  <w:vMerge w:val="restart"/>
                  <w:vAlign w:val="center"/>
                </w:tcPr>
                <w:p>
                  <w:pPr>
                    <w:spacing w:line="360" w:lineRule="exact"/>
                    <w:jc w:val="center"/>
                    <w:rPr>
                      <w:bCs/>
                      <w:szCs w:val="21"/>
                    </w:rPr>
                  </w:pPr>
                  <w:r>
                    <w:rPr>
                      <w:rFonts w:hint="eastAsia"/>
                      <w:bCs/>
                      <w:szCs w:val="21"/>
                    </w:rPr>
                    <w:t>一般工业固废</w:t>
                  </w:r>
                </w:p>
              </w:tc>
              <w:tc>
                <w:tcPr>
                  <w:tcW w:w="1413" w:type="dxa"/>
                  <w:vAlign w:val="center"/>
                </w:tcPr>
                <w:p>
                  <w:pPr>
                    <w:spacing w:line="360" w:lineRule="exact"/>
                    <w:jc w:val="center"/>
                    <w:rPr>
                      <w:bCs/>
                      <w:szCs w:val="21"/>
                    </w:rPr>
                  </w:pPr>
                  <w:r>
                    <w:rPr>
                      <w:rFonts w:hint="eastAsia"/>
                      <w:bCs/>
                      <w:szCs w:val="21"/>
                    </w:rPr>
                    <w:t>195-999-06</w:t>
                  </w:r>
                </w:p>
              </w:tc>
              <w:tc>
                <w:tcPr>
                  <w:tcW w:w="2218" w:type="dxa"/>
                  <w:vMerge w:val="restart"/>
                  <w:vAlign w:val="center"/>
                </w:tcPr>
                <w:p>
                  <w:pPr>
                    <w:spacing w:line="360" w:lineRule="exact"/>
                    <w:jc w:val="center"/>
                    <w:rPr>
                      <w:bCs/>
                      <w:szCs w:val="21"/>
                    </w:rPr>
                  </w:pPr>
                  <w:r>
                    <w:rPr>
                      <w:rFonts w:hint="eastAsia"/>
                      <w:szCs w:val="21"/>
                    </w:rPr>
                    <w:t>暂存于一般固废暂存间，定期外售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2" w:hRule="atLeast"/>
                <w:jc w:val="center"/>
              </w:trPr>
              <w:tc>
                <w:tcPr>
                  <w:tcW w:w="736" w:type="dxa"/>
                  <w:vAlign w:val="center"/>
                </w:tcPr>
                <w:p>
                  <w:pPr>
                    <w:spacing w:line="360" w:lineRule="exact"/>
                    <w:jc w:val="center"/>
                    <w:rPr>
                      <w:bCs/>
                      <w:szCs w:val="21"/>
                    </w:rPr>
                  </w:pPr>
                  <w:r>
                    <w:rPr>
                      <w:rFonts w:hint="eastAsia"/>
                      <w:bCs/>
                      <w:szCs w:val="21"/>
                    </w:rPr>
                    <w:t>2</w:t>
                  </w:r>
                </w:p>
              </w:tc>
              <w:tc>
                <w:tcPr>
                  <w:tcW w:w="2003" w:type="dxa"/>
                  <w:vAlign w:val="center"/>
                </w:tcPr>
                <w:p>
                  <w:pPr>
                    <w:spacing w:line="360" w:lineRule="exact"/>
                    <w:jc w:val="center"/>
                    <w:rPr>
                      <w:bCs/>
                      <w:szCs w:val="21"/>
                    </w:rPr>
                  </w:pPr>
                  <w:r>
                    <w:rPr>
                      <w:rFonts w:hint="eastAsia"/>
                      <w:bCs/>
                      <w:szCs w:val="21"/>
                    </w:rPr>
                    <w:t>废包装材料</w:t>
                  </w:r>
                </w:p>
              </w:tc>
              <w:tc>
                <w:tcPr>
                  <w:tcW w:w="1261" w:type="dxa"/>
                  <w:vAlign w:val="center"/>
                </w:tcPr>
                <w:p>
                  <w:pPr>
                    <w:spacing w:line="360" w:lineRule="exact"/>
                    <w:jc w:val="center"/>
                    <w:rPr>
                      <w:bCs/>
                      <w:szCs w:val="21"/>
                    </w:rPr>
                  </w:pPr>
                  <w:r>
                    <w:rPr>
                      <w:rFonts w:hint="eastAsia"/>
                      <w:bCs/>
                      <w:szCs w:val="21"/>
                    </w:rPr>
                    <w:t>1.0t/a</w:t>
                  </w:r>
                </w:p>
              </w:tc>
              <w:tc>
                <w:tcPr>
                  <w:tcW w:w="1338" w:type="dxa"/>
                  <w:vMerge w:val="continue"/>
                  <w:vAlign w:val="center"/>
                </w:tcPr>
                <w:p>
                  <w:pPr>
                    <w:spacing w:line="360" w:lineRule="exact"/>
                    <w:jc w:val="center"/>
                    <w:rPr>
                      <w:bCs/>
                      <w:szCs w:val="21"/>
                    </w:rPr>
                  </w:pPr>
                </w:p>
              </w:tc>
              <w:tc>
                <w:tcPr>
                  <w:tcW w:w="1413" w:type="dxa"/>
                  <w:vAlign w:val="center"/>
                </w:tcPr>
                <w:p>
                  <w:pPr>
                    <w:spacing w:line="360" w:lineRule="exact"/>
                    <w:jc w:val="center"/>
                    <w:rPr>
                      <w:bCs/>
                      <w:szCs w:val="21"/>
                    </w:rPr>
                  </w:pPr>
                  <w:r>
                    <w:rPr>
                      <w:rFonts w:hint="eastAsia"/>
                      <w:bCs/>
                      <w:szCs w:val="21"/>
                    </w:rPr>
                    <w:t>195-999-07</w:t>
                  </w:r>
                </w:p>
              </w:tc>
              <w:tc>
                <w:tcPr>
                  <w:tcW w:w="2218" w:type="dxa"/>
                  <w:vMerge w:val="continue"/>
                  <w:vAlign w:val="center"/>
                </w:tcPr>
                <w:p>
                  <w:pPr>
                    <w:spacing w:line="360" w:lineRule="exact"/>
                    <w:jc w:val="center"/>
                    <w:rPr>
                      <w:szCs w:val="21"/>
                    </w:rPr>
                  </w:pPr>
                </w:p>
              </w:tc>
            </w:tr>
          </w:tbl>
          <w:p>
            <w:pPr>
              <w:pStyle w:val="2"/>
              <w:spacing w:before="0" w:after="0" w:line="520" w:lineRule="exact"/>
              <w:ind w:left="0" w:firstLine="480" w:firstLineChars="200"/>
              <w:rPr>
                <w:rFonts w:eastAsia="宋体" w:cs="宋体"/>
                <w:b w:val="0"/>
                <w:bCs w:val="0"/>
                <w:color w:val="auto"/>
                <w:kern w:val="2"/>
                <w:sz w:val="24"/>
                <w:szCs w:val="20"/>
              </w:rPr>
            </w:pPr>
            <w:r>
              <w:rPr>
                <w:rFonts w:hint="eastAsia" w:eastAsia="宋体" w:cs="宋体"/>
                <w:b w:val="0"/>
                <w:bCs w:val="0"/>
                <w:color w:val="auto"/>
                <w:kern w:val="2"/>
                <w:sz w:val="24"/>
                <w:szCs w:val="20"/>
              </w:rPr>
              <w:t>项目危废产生情况汇总详见下表：</w:t>
            </w:r>
          </w:p>
          <w:p>
            <w:pPr>
              <w:spacing w:line="520" w:lineRule="exact"/>
              <w:ind w:firstLine="480" w:firstLineChars="200"/>
              <w:rPr>
                <w:rFonts w:eastAsia="黑体"/>
                <w:sz w:val="24"/>
              </w:rPr>
            </w:pPr>
            <w:r>
              <w:rPr>
                <w:rFonts w:eastAsia="黑体"/>
                <w:sz w:val="24"/>
              </w:rPr>
              <w:t>表</w:t>
            </w:r>
            <w:r>
              <w:rPr>
                <w:rFonts w:hint="eastAsia" w:eastAsia="黑体"/>
                <w:sz w:val="24"/>
              </w:rPr>
              <w:t>47             本项目</w:t>
            </w:r>
            <w:r>
              <w:rPr>
                <w:rFonts w:eastAsia="黑体"/>
                <w:sz w:val="24"/>
              </w:rPr>
              <w:t>危险废物汇总</w:t>
            </w:r>
            <w:r>
              <w:rPr>
                <w:rFonts w:hint="eastAsia" w:eastAsia="黑体"/>
                <w:sz w:val="24"/>
              </w:rPr>
              <w:t>一览</w:t>
            </w:r>
            <w:r>
              <w:rPr>
                <w:rFonts w:eastAsia="黑体"/>
                <w:sz w:val="24"/>
              </w:rPr>
              <w:t>表</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77"/>
              <w:gridCol w:w="721"/>
              <w:gridCol w:w="876"/>
              <w:gridCol w:w="1339"/>
              <w:gridCol w:w="822"/>
              <w:gridCol w:w="725"/>
              <w:gridCol w:w="490"/>
              <w:gridCol w:w="702"/>
              <w:gridCol w:w="576"/>
              <w:gridCol w:w="671"/>
              <w:gridCol w:w="695"/>
              <w:gridCol w:w="8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66" w:type="pct"/>
                  <w:vAlign w:val="center"/>
                </w:tcPr>
                <w:p>
                  <w:pPr>
                    <w:topLinePunct/>
                    <w:spacing w:line="360" w:lineRule="exact"/>
                    <w:jc w:val="center"/>
                    <w:rPr>
                      <w:kern w:val="0"/>
                      <w:szCs w:val="21"/>
                    </w:rPr>
                  </w:pPr>
                  <w:r>
                    <w:rPr>
                      <w:kern w:val="0"/>
                      <w:szCs w:val="21"/>
                    </w:rPr>
                    <w:t>序号</w:t>
                  </w:r>
                </w:p>
              </w:tc>
              <w:tc>
                <w:tcPr>
                  <w:tcW w:w="402" w:type="pct"/>
                  <w:vAlign w:val="center"/>
                </w:tcPr>
                <w:p>
                  <w:pPr>
                    <w:topLinePunct/>
                    <w:spacing w:line="360" w:lineRule="exact"/>
                    <w:jc w:val="center"/>
                    <w:rPr>
                      <w:kern w:val="0"/>
                      <w:szCs w:val="21"/>
                    </w:rPr>
                  </w:pPr>
                  <w:r>
                    <w:rPr>
                      <w:kern w:val="0"/>
                      <w:szCs w:val="21"/>
                    </w:rPr>
                    <w:t>危险废物名称</w:t>
                  </w:r>
                </w:p>
              </w:tc>
              <w:tc>
                <w:tcPr>
                  <w:tcW w:w="488" w:type="pct"/>
                  <w:vAlign w:val="center"/>
                </w:tcPr>
                <w:p>
                  <w:pPr>
                    <w:topLinePunct/>
                    <w:spacing w:line="360" w:lineRule="exact"/>
                    <w:jc w:val="center"/>
                    <w:rPr>
                      <w:kern w:val="0"/>
                      <w:szCs w:val="21"/>
                    </w:rPr>
                  </w:pPr>
                  <w:r>
                    <w:rPr>
                      <w:kern w:val="0"/>
                      <w:szCs w:val="21"/>
                    </w:rPr>
                    <w:t>危险废物类别</w:t>
                  </w:r>
                </w:p>
              </w:tc>
              <w:tc>
                <w:tcPr>
                  <w:tcW w:w="746" w:type="pct"/>
                  <w:vAlign w:val="center"/>
                </w:tcPr>
                <w:p>
                  <w:pPr>
                    <w:topLinePunct/>
                    <w:spacing w:line="360" w:lineRule="exact"/>
                    <w:jc w:val="center"/>
                    <w:rPr>
                      <w:kern w:val="0"/>
                      <w:szCs w:val="21"/>
                    </w:rPr>
                  </w:pPr>
                  <w:r>
                    <w:rPr>
                      <w:kern w:val="0"/>
                      <w:szCs w:val="21"/>
                    </w:rPr>
                    <w:t>废物</w:t>
                  </w:r>
                </w:p>
                <w:p>
                  <w:pPr>
                    <w:topLinePunct/>
                    <w:spacing w:line="360" w:lineRule="exact"/>
                    <w:jc w:val="center"/>
                    <w:rPr>
                      <w:kern w:val="0"/>
                      <w:szCs w:val="21"/>
                    </w:rPr>
                  </w:pPr>
                  <w:r>
                    <w:rPr>
                      <w:kern w:val="0"/>
                      <w:szCs w:val="21"/>
                    </w:rPr>
                    <w:t>代码</w:t>
                  </w:r>
                </w:p>
              </w:tc>
              <w:tc>
                <w:tcPr>
                  <w:tcW w:w="458" w:type="pct"/>
                  <w:vAlign w:val="center"/>
                </w:tcPr>
                <w:p>
                  <w:pPr>
                    <w:topLinePunct/>
                    <w:spacing w:line="360" w:lineRule="exact"/>
                    <w:jc w:val="center"/>
                    <w:rPr>
                      <w:kern w:val="0"/>
                      <w:szCs w:val="21"/>
                    </w:rPr>
                  </w:pPr>
                  <w:r>
                    <w:rPr>
                      <w:kern w:val="0"/>
                      <w:szCs w:val="21"/>
                    </w:rPr>
                    <w:t>产生量t/a</w:t>
                  </w:r>
                </w:p>
              </w:tc>
              <w:tc>
                <w:tcPr>
                  <w:tcW w:w="404" w:type="pct"/>
                  <w:vAlign w:val="center"/>
                </w:tcPr>
                <w:p>
                  <w:pPr>
                    <w:topLinePunct/>
                    <w:spacing w:line="360" w:lineRule="exact"/>
                    <w:ind w:left="-105" w:leftChars="-50" w:right="-105" w:rightChars="-50"/>
                    <w:jc w:val="center"/>
                    <w:rPr>
                      <w:kern w:val="0"/>
                      <w:szCs w:val="21"/>
                    </w:rPr>
                  </w:pPr>
                  <w:r>
                    <w:rPr>
                      <w:kern w:val="0"/>
                      <w:szCs w:val="21"/>
                    </w:rPr>
                    <w:t>产生工序及装置</w:t>
                  </w:r>
                </w:p>
              </w:tc>
              <w:tc>
                <w:tcPr>
                  <w:tcW w:w="273" w:type="pct"/>
                  <w:vAlign w:val="center"/>
                </w:tcPr>
                <w:p>
                  <w:pPr>
                    <w:topLinePunct/>
                    <w:spacing w:line="360" w:lineRule="exact"/>
                    <w:jc w:val="center"/>
                    <w:rPr>
                      <w:kern w:val="0"/>
                      <w:szCs w:val="21"/>
                    </w:rPr>
                  </w:pPr>
                  <w:r>
                    <w:rPr>
                      <w:kern w:val="0"/>
                      <w:szCs w:val="21"/>
                    </w:rPr>
                    <w:t>形态</w:t>
                  </w:r>
                </w:p>
              </w:tc>
              <w:tc>
                <w:tcPr>
                  <w:tcW w:w="391" w:type="pct"/>
                  <w:vAlign w:val="center"/>
                </w:tcPr>
                <w:p>
                  <w:pPr>
                    <w:topLinePunct/>
                    <w:spacing w:line="360" w:lineRule="exact"/>
                    <w:jc w:val="center"/>
                    <w:rPr>
                      <w:kern w:val="0"/>
                      <w:szCs w:val="21"/>
                    </w:rPr>
                  </w:pPr>
                  <w:r>
                    <w:rPr>
                      <w:kern w:val="0"/>
                      <w:szCs w:val="21"/>
                    </w:rPr>
                    <w:t>主要</w:t>
                  </w:r>
                </w:p>
                <w:p>
                  <w:pPr>
                    <w:topLinePunct/>
                    <w:spacing w:line="360" w:lineRule="exact"/>
                    <w:jc w:val="center"/>
                    <w:rPr>
                      <w:kern w:val="0"/>
                      <w:szCs w:val="21"/>
                    </w:rPr>
                  </w:pPr>
                  <w:r>
                    <w:rPr>
                      <w:kern w:val="0"/>
                      <w:szCs w:val="21"/>
                    </w:rPr>
                    <w:t>成分</w:t>
                  </w:r>
                </w:p>
              </w:tc>
              <w:tc>
                <w:tcPr>
                  <w:tcW w:w="321" w:type="pct"/>
                  <w:vAlign w:val="center"/>
                </w:tcPr>
                <w:p>
                  <w:pPr>
                    <w:topLinePunct/>
                    <w:spacing w:line="360" w:lineRule="exact"/>
                    <w:ind w:left="-105" w:leftChars="-50" w:right="-105" w:rightChars="-50"/>
                    <w:jc w:val="center"/>
                    <w:rPr>
                      <w:kern w:val="0"/>
                      <w:szCs w:val="21"/>
                    </w:rPr>
                  </w:pPr>
                  <w:r>
                    <w:rPr>
                      <w:kern w:val="0"/>
                      <w:szCs w:val="21"/>
                    </w:rPr>
                    <w:t>有害成分</w:t>
                  </w:r>
                </w:p>
              </w:tc>
              <w:tc>
                <w:tcPr>
                  <w:tcW w:w="374" w:type="pct"/>
                  <w:vAlign w:val="center"/>
                </w:tcPr>
                <w:p>
                  <w:pPr>
                    <w:topLinePunct/>
                    <w:spacing w:line="360" w:lineRule="exact"/>
                    <w:jc w:val="center"/>
                    <w:rPr>
                      <w:kern w:val="0"/>
                      <w:szCs w:val="21"/>
                    </w:rPr>
                  </w:pPr>
                  <w:r>
                    <w:rPr>
                      <w:kern w:val="0"/>
                      <w:szCs w:val="21"/>
                    </w:rPr>
                    <w:t>产废周期</w:t>
                  </w:r>
                </w:p>
              </w:tc>
              <w:tc>
                <w:tcPr>
                  <w:tcW w:w="387" w:type="pct"/>
                  <w:vAlign w:val="center"/>
                </w:tcPr>
                <w:p>
                  <w:pPr>
                    <w:topLinePunct/>
                    <w:spacing w:line="360" w:lineRule="exact"/>
                    <w:jc w:val="center"/>
                    <w:rPr>
                      <w:kern w:val="0"/>
                      <w:szCs w:val="21"/>
                    </w:rPr>
                  </w:pPr>
                  <w:r>
                    <w:rPr>
                      <w:kern w:val="0"/>
                      <w:szCs w:val="21"/>
                    </w:rPr>
                    <w:t>危险</w:t>
                  </w:r>
                </w:p>
                <w:p>
                  <w:pPr>
                    <w:topLinePunct/>
                    <w:spacing w:line="360" w:lineRule="exact"/>
                    <w:jc w:val="center"/>
                    <w:rPr>
                      <w:kern w:val="0"/>
                      <w:szCs w:val="21"/>
                    </w:rPr>
                  </w:pPr>
                  <w:r>
                    <w:rPr>
                      <w:kern w:val="0"/>
                      <w:szCs w:val="21"/>
                    </w:rPr>
                    <w:t>特性</w:t>
                  </w:r>
                </w:p>
              </w:tc>
              <w:tc>
                <w:tcPr>
                  <w:tcW w:w="490" w:type="pct"/>
                  <w:vAlign w:val="center"/>
                </w:tcPr>
                <w:p>
                  <w:pPr>
                    <w:topLinePunct/>
                    <w:spacing w:line="360" w:lineRule="exact"/>
                    <w:jc w:val="center"/>
                    <w:rPr>
                      <w:kern w:val="0"/>
                      <w:szCs w:val="21"/>
                    </w:rPr>
                  </w:pPr>
                  <w:r>
                    <w:rPr>
                      <w:kern w:val="0"/>
                      <w:szCs w:val="21"/>
                    </w:rPr>
                    <w:t>污染防治措施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66" w:type="pct"/>
                  <w:vAlign w:val="center"/>
                </w:tcPr>
                <w:p>
                  <w:pPr>
                    <w:topLinePunct/>
                    <w:spacing w:line="360" w:lineRule="exact"/>
                    <w:jc w:val="center"/>
                    <w:rPr>
                      <w:kern w:val="0"/>
                      <w:szCs w:val="21"/>
                    </w:rPr>
                  </w:pPr>
                  <w:r>
                    <w:rPr>
                      <w:kern w:val="0"/>
                      <w:szCs w:val="21"/>
                    </w:rPr>
                    <w:t>1</w:t>
                  </w:r>
                </w:p>
              </w:tc>
              <w:tc>
                <w:tcPr>
                  <w:tcW w:w="402" w:type="pct"/>
                  <w:vAlign w:val="center"/>
                </w:tcPr>
                <w:p>
                  <w:pPr>
                    <w:topLinePunct/>
                    <w:adjustRightInd w:val="0"/>
                    <w:snapToGrid w:val="0"/>
                    <w:spacing w:line="360" w:lineRule="exact"/>
                    <w:jc w:val="center"/>
                    <w:rPr>
                      <w:kern w:val="0"/>
                      <w:szCs w:val="21"/>
                    </w:rPr>
                  </w:pPr>
                  <w:r>
                    <w:rPr>
                      <w:kern w:val="0"/>
                      <w:szCs w:val="21"/>
                    </w:rPr>
                    <w:t>废</w:t>
                  </w:r>
                  <w:r>
                    <w:rPr>
                      <w:rFonts w:hint="eastAsia"/>
                      <w:kern w:val="0"/>
                      <w:szCs w:val="21"/>
                    </w:rPr>
                    <w:t>油墨桶</w:t>
                  </w:r>
                </w:p>
              </w:tc>
              <w:tc>
                <w:tcPr>
                  <w:tcW w:w="488" w:type="pct"/>
                  <w:vAlign w:val="center"/>
                </w:tcPr>
                <w:p>
                  <w:pPr>
                    <w:topLinePunct/>
                    <w:adjustRightInd w:val="0"/>
                    <w:snapToGrid w:val="0"/>
                    <w:spacing w:line="360" w:lineRule="exact"/>
                    <w:jc w:val="center"/>
                    <w:rPr>
                      <w:kern w:val="0"/>
                      <w:szCs w:val="21"/>
                    </w:rPr>
                  </w:pPr>
                  <w:r>
                    <w:rPr>
                      <w:szCs w:val="21"/>
                    </w:rPr>
                    <w:t>HW</w:t>
                  </w:r>
                  <w:r>
                    <w:rPr>
                      <w:rFonts w:hint="eastAsia"/>
                      <w:szCs w:val="21"/>
                    </w:rPr>
                    <w:t>49</w:t>
                  </w:r>
                </w:p>
              </w:tc>
              <w:tc>
                <w:tcPr>
                  <w:tcW w:w="746" w:type="pct"/>
                  <w:vAlign w:val="center"/>
                </w:tcPr>
                <w:p>
                  <w:pPr>
                    <w:topLinePunct/>
                    <w:adjustRightInd w:val="0"/>
                    <w:snapToGrid w:val="0"/>
                    <w:spacing w:line="360" w:lineRule="exact"/>
                    <w:jc w:val="center"/>
                    <w:rPr>
                      <w:kern w:val="0"/>
                      <w:szCs w:val="21"/>
                    </w:rPr>
                  </w:pPr>
                  <w:r>
                    <w:rPr>
                      <w:szCs w:val="21"/>
                    </w:rPr>
                    <w:t>900-</w:t>
                  </w:r>
                  <w:r>
                    <w:rPr>
                      <w:rFonts w:hint="eastAsia"/>
                      <w:szCs w:val="21"/>
                    </w:rPr>
                    <w:t>041</w:t>
                  </w:r>
                  <w:r>
                    <w:rPr>
                      <w:szCs w:val="21"/>
                    </w:rPr>
                    <w:t>-</w:t>
                  </w:r>
                  <w:r>
                    <w:rPr>
                      <w:rFonts w:hint="eastAsia"/>
                      <w:szCs w:val="21"/>
                    </w:rPr>
                    <w:t>49</w:t>
                  </w:r>
                </w:p>
              </w:tc>
              <w:tc>
                <w:tcPr>
                  <w:tcW w:w="458" w:type="pct"/>
                  <w:vAlign w:val="center"/>
                </w:tcPr>
                <w:p>
                  <w:pPr>
                    <w:topLinePunct/>
                    <w:adjustRightInd w:val="0"/>
                    <w:snapToGrid w:val="0"/>
                    <w:spacing w:line="360" w:lineRule="exact"/>
                    <w:jc w:val="center"/>
                    <w:rPr>
                      <w:kern w:val="0"/>
                      <w:szCs w:val="21"/>
                    </w:rPr>
                  </w:pPr>
                  <w:r>
                    <w:rPr>
                      <w:rFonts w:hint="eastAsia"/>
                      <w:kern w:val="0"/>
                      <w:szCs w:val="21"/>
                    </w:rPr>
                    <w:t>0.02</w:t>
                  </w:r>
                </w:p>
              </w:tc>
              <w:tc>
                <w:tcPr>
                  <w:tcW w:w="404" w:type="pct"/>
                  <w:vMerge w:val="restart"/>
                  <w:vAlign w:val="center"/>
                </w:tcPr>
                <w:p>
                  <w:pPr>
                    <w:topLinePunct/>
                    <w:adjustRightInd w:val="0"/>
                    <w:snapToGrid w:val="0"/>
                    <w:spacing w:line="360" w:lineRule="exact"/>
                    <w:jc w:val="center"/>
                    <w:rPr>
                      <w:kern w:val="0"/>
                      <w:szCs w:val="21"/>
                    </w:rPr>
                  </w:pPr>
                  <w:r>
                    <w:rPr>
                      <w:rFonts w:hint="eastAsia"/>
                      <w:szCs w:val="21"/>
                    </w:rPr>
                    <w:t>印刷工序</w:t>
                  </w:r>
                </w:p>
              </w:tc>
              <w:tc>
                <w:tcPr>
                  <w:tcW w:w="273" w:type="pct"/>
                  <w:vMerge w:val="restart"/>
                  <w:vAlign w:val="center"/>
                </w:tcPr>
                <w:p>
                  <w:pPr>
                    <w:topLinePunct/>
                    <w:adjustRightInd w:val="0"/>
                    <w:snapToGrid w:val="0"/>
                    <w:spacing w:line="360" w:lineRule="exact"/>
                    <w:jc w:val="center"/>
                    <w:rPr>
                      <w:kern w:val="0"/>
                      <w:szCs w:val="21"/>
                    </w:rPr>
                  </w:pPr>
                  <w:r>
                    <w:rPr>
                      <w:kern w:val="0"/>
                      <w:szCs w:val="21"/>
                    </w:rPr>
                    <w:t>固态</w:t>
                  </w:r>
                </w:p>
              </w:tc>
              <w:tc>
                <w:tcPr>
                  <w:tcW w:w="391" w:type="pct"/>
                  <w:vMerge w:val="restart"/>
                  <w:vAlign w:val="center"/>
                </w:tcPr>
                <w:p>
                  <w:pPr>
                    <w:topLinePunct/>
                    <w:spacing w:line="360" w:lineRule="exact"/>
                    <w:jc w:val="center"/>
                    <w:rPr>
                      <w:kern w:val="0"/>
                      <w:szCs w:val="21"/>
                    </w:rPr>
                  </w:pPr>
                  <w:r>
                    <w:rPr>
                      <w:rFonts w:hint="eastAsia"/>
                      <w:kern w:val="0"/>
                      <w:szCs w:val="21"/>
                    </w:rPr>
                    <w:t>沾染的油墨</w:t>
                  </w:r>
                </w:p>
              </w:tc>
              <w:tc>
                <w:tcPr>
                  <w:tcW w:w="321" w:type="pct"/>
                  <w:vMerge w:val="restart"/>
                  <w:vAlign w:val="center"/>
                </w:tcPr>
                <w:p>
                  <w:pPr>
                    <w:topLinePunct/>
                    <w:spacing w:line="360" w:lineRule="exact"/>
                    <w:ind w:left="-105" w:leftChars="-50" w:right="-105" w:rightChars="-50"/>
                    <w:jc w:val="center"/>
                    <w:rPr>
                      <w:kern w:val="0"/>
                      <w:szCs w:val="21"/>
                    </w:rPr>
                  </w:pPr>
                  <w:r>
                    <w:rPr>
                      <w:rFonts w:hint="eastAsia"/>
                      <w:kern w:val="0"/>
                      <w:szCs w:val="21"/>
                    </w:rPr>
                    <w:t>沾染的油墨</w:t>
                  </w:r>
                </w:p>
              </w:tc>
              <w:tc>
                <w:tcPr>
                  <w:tcW w:w="374" w:type="pct"/>
                  <w:vAlign w:val="center"/>
                </w:tcPr>
                <w:p>
                  <w:pPr>
                    <w:topLinePunct/>
                    <w:spacing w:line="360" w:lineRule="exact"/>
                    <w:jc w:val="center"/>
                    <w:rPr>
                      <w:kern w:val="0"/>
                      <w:szCs w:val="21"/>
                    </w:rPr>
                  </w:pPr>
                  <w:r>
                    <w:rPr>
                      <w:rFonts w:hint="eastAsia"/>
                      <w:kern w:val="0"/>
                      <w:szCs w:val="21"/>
                    </w:rPr>
                    <w:t>15d</w:t>
                  </w:r>
                </w:p>
              </w:tc>
              <w:tc>
                <w:tcPr>
                  <w:tcW w:w="387" w:type="pct"/>
                  <w:vAlign w:val="center"/>
                </w:tcPr>
                <w:p>
                  <w:pPr>
                    <w:topLinePunct/>
                    <w:spacing w:line="360" w:lineRule="exact"/>
                    <w:jc w:val="center"/>
                    <w:rPr>
                      <w:kern w:val="0"/>
                      <w:szCs w:val="21"/>
                    </w:rPr>
                  </w:pPr>
                  <w:r>
                    <w:rPr>
                      <w:szCs w:val="21"/>
                    </w:rPr>
                    <w:t>T</w:t>
                  </w:r>
                  <w:r>
                    <w:rPr>
                      <w:rFonts w:hint="eastAsia"/>
                      <w:szCs w:val="21"/>
                    </w:rPr>
                    <w:t>/In</w:t>
                  </w:r>
                </w:p>
              </w:tc>
              <w:tc>
                <w:tcPr>
                  <w:tcW w:w="490" w:type="pct"/>
                  <w:vMerge w:val="restart"/>
                  <w:vAlign w:val="center"/>
                </w:tcPr>
                <w:p>
                  <w:pPr>
                    <w:topLinePunct/>
                    <w:spacing w:line="360" w:lineRule="exact"/>
                    <w:jc w:val="center"/>
                    <w:rPr>
                      <w:kern w:val="0"/>
                      <w:szCs w:val="21"/>
                    </w:rPr>
                  </w:pPr>
                  <w:r>
                    <w:rPr>
                      <w:kern w:val="0"/>
                      <w:szCs w:val="21"/>
                    </w:rPr>
                    <w:t>危废暂存</w:t>
                  </w:r>
                  <w:r>
                    <w:rPr>
                      <w:rFonts w:hint="eastAsia"/>
                      <w:kern w:val="0"/>
                      <w:szCs w:val="21"/>
                    </w:rPr>
                    <w:t>间密闭</w:t>
                  </w:r>
                  <w:r>
                    <w:rPr>
                      <w:kern w:val="0"/>
                      <w:szCs w:val="21"/>
                    </w:rPr>
                    <w:t>分区暂存，后交由有资质单位处理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66" w:type="pct"/>
                  <w:vAlign w:val="center"/>
                </w:tcPr>
                <w:p>
                  <w:pPr>
                    <w:topLinePunct/>
                    <w:spacing w:line="360" w:lineRule="exact"/>
                    <w:jc w:val="center"/>
                    <w:rPr>
                      <w:kern w:val="0"/>
                      <w:szCs w:val="21"/>
                    </w:rPr>
                  </w:pPr>
                  <w:r>
                    <w:rPr>
                      <w:rFonts w:hint="eastAsia"/>
                      <w:kern w:val="0"/>
                      <w:szCs w:val="21"/>
                    </w:rPr>
                    <w:t>2</w:t>
                  </w:r>
                </w:p>
              </w:tc>
              <w:tc>
                <w:tcPr>
                  <w:tcW w:w="402" w:type="pct"/>
                  <w:vAlign w:val="center"/>
                </w:tcPr>
                <w:p>
                  <w:pPr>
                    <w:topLinePunct/>
                    <w:adjustRightInd w:val="0"/>
                    <w:snapToGrid w:val="0"/>
                    <w:spacing w:line="360" w:lineRule="exact"/>
                    <w:jc w:val="center"/>
                    <w:rPr>
                      <w:kern w:val="0"/>
                      <w:szCs w:val="21"/>
                    </w:rPr>
                  </w:pPr>
                  <w:r>
                    <w:rPr>
                      <w:rFonts w:hint="eastAsia"/>
                      <w:kern w:val="0"/>
                      <w:szCs w:val="21"/>
                    </w:rPr>
                    <w:t>废抹布</w:t>
                  </w:r>
                </w:p>
              </w:tc>
              <w:tc>
                <w:tcPr>
                  <w:tcW w:w="488" w:type="pct"/>
                  <w:vAlign w:val="center"/>
                </w:tcPr>
                <w:p>
                  <w:pPr>
                    <w:topLinePunct/>
                    <w:adjustRightInd w:val="0"/>
                    <w:snapToGrid w:val="0"/>
                    <w:spacing w:line="360" w:lineRule="exact"/>
                    <w:jc w:val="center"/>
                    <w:rPr>
                      <w:kern w:val="0"/>
                      <w:szCs w:val="21"/>
                    </w:rPr>
                  </w:pPr>
                  <w:r>
                    <w:rPr>
                      <w:szCs w:val="21"/>
                    </w:rPr>
                    <w:t>HW</w:t>
                  </w:r>
                  <w:r>
                    <w:rPr>
                      <w:rFonts w:hint="eastAsia"/>
                      <w:szCs w:val="21"/>
                    </w:rPr>
                    <w:t>49</w:t>
                  </w:r>
                </w:p>
              </w:tc>
              <w:tc>
                <w:tcPr>
                  <w:tcW w:w="746" w:type="pct"/>
                  <w:vAlign w:val="center"/>
                </w:tcPr>
                <w:p>
                  <w:pPr>
                    <w:topLinePunct/>
                    <w:adjustRightInd w:val="0"/>
                    <w:snapToGrid w:val="0"/>
                    <w:spacing w:line="360" w:lineRule="exact"/>
                    <w:jc w:val="center"/>
                    <w:rPr>
                      <w:kern w:val="0"/>
                      <w:szCs w:val="21"/>
                    </w:rPr>
                  </w:pPr>
                  <w:r>
                    <w:rPr>
                      <w:szCs w:val="21"/>
                    </w:rPr>
                    <w:t>900-</w:t>
                  </w:r>
                  <w:r>
                    <w:rPr>
                      <w:rFonts w:hint="eastAsia"/>
                      <w:szCs w:val="21"/>
                    </w:rPr>
                    <w:t>041</w:t>
                  </w:r>
                  <w:r>
                    <w:rPr>
                      <w:szCs w:val="21"/>
                    </w:rPr>
                    <w:t>-</w:t>
                  </w:r>
                  <w:r>
                    <w:rPr>
                      <w:rFonts w:hint="eastAsia"/>
                      <w:szCs w:val="21"/>
                    </w:rPr>
                    <w:t>49</w:t>
                  </w:r>
                </w:p>
              </w:tc>
              <w:tc>
                <w:tcPr>
                  <w:tcW w:w="458" w:type="pct"/>
                  <w:vAlign w:val="center"/>
                </w:tcPr>
                <w:p>
                  <w:pPr>
                    <w:topLinePunct/>
                    <w:adjustRightInd w:val="0"/>
                    <w:snapToGrid w:val="0"/>
                    <w:spacing w:line="360" w:lineRule="exact"/>
                    <w:jc w:val="center"/>
                    <w:rPr>
                      <w:kern w:val="0"/>
                      <w:szCs w:val="21"/>
                    </w:rPr>
                  </w:pPr>
                  <w:r>
                    <w:rPr>
                      <w:rFonts w:hint="eastAsia"/>
                      <w:kern w:val="0"/>
                      <w:szCs w:val="21"/>
                    </w:rPr>
                    <w:t>0.05</w:t>
                  </w:r>
                </w:p>
              </w:tc>
              <w:tc>
                <w:tcPr>
                  <w:tcW w:w="404" w:type="pct"/>
                  <w:vMerge w:val="continue"/>
                  <w:vAlign w:val="center"/>
                </w:tcPr>
                <w:p>
                  <w:pPr>
                    <w:topLinePunct/>
                    <w:adjustRightInd w:val="0"/>
                    <w:snapToGrid w:val="0"/>
                    <w:spacing w:line="360" w:lineRule="exact"/>
                    <w:jc w:val="center"/>
                    <w:rPr>
                      <w:szCs w:val="21"/>
                    </w:rPr>
                  </w:pPr>
                </w:p>
              </w:tc>
              <w:tc>
                <w:tcPr>
                  <w:tcW w:w="273" w:type="pct"/>
                  <w:vMerge w:val="continue"/>
                  <w:vAlign w:val="center"/>
                </w:tcPr>
                <w:p>
                  <w:pPr>
                    <w:topLinePunct/>
                    <w:adjustRightInd w:val="0"/>
                    <w:snapToGrid w:val="0"/>
                    <w:spacing w:line="360" w:lineRule="exact"/>
                    <w:jc w:val="center"/>
                    <w:rPr>
                      <w:kern w:val="0"/>
                      <w:szCs w:val="21"/>
                    </w:rPr>
                  </w:pPr>
                </w:p>
              </w:tc>
              <w:tc>
                <w:tcPr>
                  <w:tcW w:w="391" w:type="pct"/>
                  <w:vMerge w:val="continue"/>
                  <w:vAlign w:val="center"/>
                </w:tcPr>
                <w:p>
                  <w:pPr>
                    <w:topLinePunct/>
                    <w:spacing w:line="360" w:lineRule="exact"/>
                    <w:jc w:val="center"/>
                    <w:rPr>
                      <w:kern w:val="0"/>
                      <w:szCs w:val="21"/>
                    </w:rPr>
                  </w:pPr>
                </w:p>
              </w:tc>
              <w:tc>
                <w:tcPr>
                  <w:tcW w:w="321" w:type="pct"/>
                  <w:vMerge w:val="continue"/>
                  <w:vAlign w:val="center"/>
                </w:tcPr>
                <w:p>
                  <w:pPr>
                    <w:topLinePunct/>
                    <w:spacing w:line="360" w:lineRule="exact"/>
                    <w:ind w:left="-105" w:leftChars="-50" w:right="-105" w:rightChars="-50"/>
                    <w:jc w:val="center"/>
                    <w:rPr>
                      <w:kern w:val="0"/>
                      <w:szCs w:val="21"/>
                    </w:rPr>
                  </w:pPr>
                </w:p>
              </w:tc>
              <w:tc>
                <w:tcPr>
                  <w:tcW w:w="374" w:type="pct"/>
                  <w:vAlign w:val="center"/>
                </w:tcPr>
                <w:p>
                  <w:pPr>
                    <w:topLinePunct/>
                    <w:spacing w:line="360" w:lineRule="exact"/>
                    <w:jc w:val="center"/>
                    <w:rPr>
                      <w:kern w:val="0"/>
                      <w:szCs w:val="21"/>
                    </w:rPr>
                  </w:pPr>
                  <w:r>
                    <w:rPr>
                      <w:rFonts w:hint="eastAsia"/>
                      <w:kern w:val="0"/>
                      <w:szCs w:val="21"/>
                    </w:rPr>
                    <w:t>1d</w:t>
                  </w:r>
                </w:p>
              </w:tc>
              <w:tc>
                <w:tcPr>
                  <w:tcW w:w="387" w:type="pct"/>
                  <w:vAlign w:val="center"/>
                </w:tcPr>
                <w:p>
                  <w:pPr>
                    <w:topLinePunct/>
                    <w:spacing w:line="360" w:lineRule="exact"/>
                    <w:jc w:val="center"/>
                    <w:rPr>
                      <w:kern w:val="0"/>
                      <w:szCs w:val="21"/>
                    </w:rPr>
                  </w:pPr>
                  <w:r>
                    <w:rPr>
                      <w:szCs w:val="21"/>
                    </w:rPr>
                    <w:t>T</w:t>
                  </w:r>
                  <w:r>
                    <w:rPr>
                      <w:rFonts w:hint="eastAsia"/>
                      <w:szCs w:val="21"/>
                    </w:rPr>
                    <w:t>/In</w:t>
                  </w:r>
                </w:p>
              </w:tc>
              <w:tc>
                <w:tcPr>
                  <w:tcW w:w="490" w:type="pct"/>
                  <w:vMerge w:val="continue"/>
                  <w:vAlign w:val="center"/>
                </w:tcPr>
                <w:p>
                  <w:pPr>
                    <w:topLinePunct/>
                    <w:spacing w:line="360" w:lineRule="exact"/>
                    <w:jc w:val="center"/>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66" w:type="pct"/>
                  <w:vAlign w:val="center"/>
                </w:tcPr>
                <w:p>
                  <w:pPr>
                    <w:topLinePunct/>
                    <w:spacing w:line="360" w:lineRule="exact"/>
                    <w:jc w:val="center"/>
                    <w:rPr>
                      <w:kern w:val="0"/>
                      <w:szCs w:val="21"/>
                    </w:rPr>
                  </w:pPr>
                  <w:r>
                    <w:rPr>
                      <w:rFonts w:hint="eastAsia"/>
                      <w:kern w:val="0"/>
                      <w:szCs w:val="21"/>
                    </w:rPr>
                    <w:t>3</w:t>
                  </w:r>
                </w:p>
              </w:tc>
              <w:tc>
                <w:tcPr>
                  <w:tcW w:w="402" w:type="pct"/>
                  <w:vAlign w:val="center"/>
                </w:tcPr>
                <w:p>
                  <w:pPr>
                    <w:topLinePunct/>
                    <w:adjustRightInd w:val="0"/>
                    <w:snapToGrid w:val="0"/>
                    <w:spacing w:line="360" w:lineRule="exact"/>
                    <w:jc w:val="center"/>
                    <w:rPr>
                      <w:kern w:val="0"/>
                      <w:szCs w:val="21"/>
                    </w:rPr>
                  </w:pPr>
                  <w:r>
                    <w:rPr>
                      <w:rFonts w:hint="eastAsia"/>
                      <w:kern w:val="0"/>
                      <w:szCs w:val="21"/>
                    </w:rPr>
                    <w:t>废液压油</w:t>
                  </w:r>
                </w:p>
              </w:tc>
              <w:tc>
                <w:tcPr>
                  <w:tcW w:w="488" w:type="pct"/>
                  <w:vAlign w:val="center"/>
                </w:tcPr>
                <w:p>
                  <w:pPr>
                    <w:topLinePunct/>
                    <w:adjustRightInd w:val="0"/>
                    <w:snapToGrid w:val="0"/>
                    <w:spacing w:line="360" w:lineRule="exact"/>
                    <w:jc w:val="center"/>
                    <w:rPr>
                      <w:kern w:val="0"/>
                      <w:szCs w:val="21"/>
                    </w:rPr>
                  </w:pPr>
                  <w:r>
                    <w:rPr>
                      <w:rFonts w:hint="eastAsia"/>
                      <w:kern w:val="0"/>
                      <w:szCs w:val="21"/>
                    </w:rPr>
                    <w:t>HW08</w:t>
                  </w:r>
                </w:p>
              </w:tc>
              <w:tc>
                <w:tcPr>
                  <w:tcW w:w="746" w:type="pct"/>
                  <w:vAlign w:val="center"/>
                </w:tcPr>
                <w:p>
                  <w:pPr>
                    <w:topLinePunct/>
                    <w:adjustRightInd w:val="0"/>
                    <w:snapToGrid w:val="0"/>
                    <w:spacing w:line="360" w:lineRule="exact"/>
                    <w:jc w:val="center"/>
                    <w:rPr>
                      <w:szCs w:val="21"/>
                    </w:rPr>
                  </w:pPr>
                  <w:r>
                    <w:rPr>
                      <w:rFonts w:hint="eastAsia"/>
                    </w:rPr>
                    <w:t>900-218-08</w:t>
                  </w:r>
                </w:p>
              </w:tc>
              <w:tc>
                <w:tcPr>
                  <w:tcW w:w="458" w:type="pct"/>
                  <w:vAlign w:val="center"/>
                </w:tcPr>
                <w:p>
                  <w:pPr>
                    <w:topLinePunct/>
                    <w:adjustRightInd w:val="0"/>
                    <w:snapToGrid w:val="0"/>
                    <w:spacing w:line="360" w:lineRule="exact"/>
                    <w:jc w:val="center"/>
                    <w:rPr>
                      <w:kern w:val="0"/>
                      <w:szCs w:val="21"/>
                    </w:rPr>
                  </w:pPr>
                  <w:r>
                    <w:rPr>
                      <w:rFonts w:hint="eastAsia"/>
                      <w:kern w:val="0"/>
                      <w:szCs w:val="21"/>
                    </w:rPr>
                    <w:t>0.22</w:t>
                  </w:r>
                </w:p>
              </w:tc>
              <w:tc>
                <w:tcPr>
                  <w:tcW w:w="404" w:type="pct"/>
                  <w:vAlign w:val="center"/>
                </w:tcPr>
                <w:p>
                  <w:pPr>
                    <w:topLinePunct/>
                    <w:adjustRightInd w:val="0"/>
                    <w:snapToGrid w:val="0"/>
                    <w:spacing w:line="360" w:lineRule="exact"/>
                    <w:jc w:val="center"/>
                  </w:pPr>
                  <w:r>
                    <w:rPr>
                      <w:rFonts w:hint="eastAsia"/>
                    </w:rPr>
                    <w:t>打包工序</w:t>
                  </w:r>
                </w:p>
              </w:tc>
              <w:tc>
                <w:tcPr>
                  <w:tcW w:w="273" w:type="pct"/>
                  <w:vAlign w:val="center"/>
                </w:tcPr>
                <w:p>
                  <w:pPr>
                    <w:topLinePunct/>
                    <w:adjustRightInd w:val="0"/>
                    <w:snapToGrid w:val="0"/>
                    <w:spacing w:line="360" w:lineRule="exact"/>
                    <w:jc w:val="center"/>
                    <w:rPr>
                      <w:kern w:val="0"/>
                      <w:szCs w:val="21"/>
                    </w:rPr>
                  </w:pPr>
                  <w:r>
                    <w:rPr>
                      <w:rFonts w:hint="eastAsia"/>
                      <w:kern w:val="0"/>
                      <w:szCs w:val="21"/>
                    </w:rPr>
                    <w:t>液态</w:t>
                  </w:r>
                </w:p>
              </w:tc>
              <w:tc>
                <w:tcPr>
                  <w:tcW w:w="391" w:type="pct"/>
                  <w:vAlign w:val="center"/>
                </w:tcPr>
                <w:p>
                  <w:pPr>
                    <w:topLinePunct/>
                    <w:spacing w:line="360" w:lineRule="exact"/>
                    <w:jc w:val="center"/>
                    <w:rPr>
                      <w:kern w:val="0"/>
                      <w:szCs w:val="21"/>
                    </w:rPr>
                  </w:pPr>
                  <w:r>
                    <w:rPr>
                      <w:rFonts w:hint="eastAsia"/>
                      <w:kern w:val="0"/>
                      <w:szCs w:val="21"/>
                    </w:rPr>
                    <w:t>矿物油</w:t>
                  </w:r>
                </w:p>
              </w:tc>
              <w:tc>
                <w:tcPr>
                  <w:tcW w:w="321" w:type="pct"/>
                  <w:vAlign w:val="center"/>
                </w:tcPr>
                <w:p>
                  <w:pPr>
                    <w:topLinePunct/>
                    <w:spacing w:line="360" w:lineRule="exact"/>
                    <w:ind w:left="-105" w:leftChars="-50" w:right="-105" w:rightChars="-50"/>
                    <w:jc w:val="center"/>
                    <w:rPr>
                      <w:kern w:val="0"/>
                      <w:szCs w:val="21"/>
                    </w:rPr>
                  </w:pPr>
                  <w:r>
                    <w:rPr>
                      <w:rFonts w:hint="eastAsia"/>
                      <w:kern w:val="0"/>
                      <w:szCs w:val="21"/>
                    </w:rPr>
                    <w:t>矿物油</w:t>
                  </w:r>
                </w:p>
              </w:tc>
              <w:tc>
                <w:tcPr>
                  <w:tcW w:w="374" w:type="pct"/>
                  <w:vAlign w:val="center"/>
                </w:tcPr>
                <w:p>
                  <w:pPr>
                    <w:topLinePunct/>
                    <w:spacing w:line="360" w:lineRule="exact"/>
                    <w:jc w:val="center"/>
                    <w:rPr>
                      <w:kern w:val="0"/>
                      <w:szCs w:val="21"/>
                    </w:rPr>
                  </w:pPr>
                  <w:r>
                    <w:rPr>
                      <w:kern w:val="0"/>
                      <w:szCs w:val="21"/>
                    </w:rPr>
                    <w:t>1a</w:t>
                  </w:r>
                </w:p>
              </w:tc>
              <w:tc>
                <w:tcPr>
                  <w:tcW w:w="387" w:type="pct"/>
                  <w:vAlign w:val="center"/>
                </w:tcPr>
                <w:p>
                  <w:pPr>
                    <w:topLinePunct/>
                    <w:spacing w:line="360" w:lineRule="exact"/>
                    <w:jc w:val="center"/>
                    <w:rPr>
                      <w:kern w:val="0"/>
                      <w:szCs w:val="21"/>
                    </w:rPr>
                  </w:pPr>
                  <w:r>
                    <w:rPr>
                      <w:kern w:val="0"/>
                      <w:szCs w:val="21"/>
                    </w:rPr>
                    <w:t>T</w:t>
                  </w:r>
                  <w:r>
                    <w:rPr>
                      <w:rFonts w:hint="eastAsia"/>
                      <w:kern w:val="0"/>
                      <w:szCs w:val="21"/>
                    </w:rPr>
                    <w:t>、</w:t>
                  </w:r>
                  <w:r>
                    <w:rPr>
                      <w:kern w:val="0"/>
                      <w:szCs w:val="21"/>
                    </w:rPr>
                    <w:t>I</w:t>
                  </w:r>
                </w:p>
              </w:tc>
              <w:tc>
                <w:tcPr>
                  <w:tcW w:w="490" w:type="pct"/>
                  <w:vMerge w:val="continue"/>
                  <w:vAlign w:val="center"/>
                </w:tcPr>
                <w:p>
                  <w:pPr>
                    <w:topLinePunct/>
                    <w:spacing w:line="360" w:lineRule="exact"/>
                    <w:jc w:val="center"/>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66" w:type="pct"/>
                  <w:vAlign w:val="center"/>
                </w:tcPr>
                <w:p>
                  <w:pPr>
                    <w:topLinePunct/>
                    <w:spacing w:line="360" w:lineRule="exact"/>
                    <w:jc w:val="center"/>
                    <w:rPr>
                      <w:kern w:val="0"/>
                      <w:szCs w:val="21"/>
                    </w:rPr>
                  </w:pPr>
                  <w:r>
                    <w:rPr>
                      <w:rFonts w:hint="eastAsia"/>
                      <w:kern w:val="0"/>
                      <w:szCs w:val="21"/>
                    </w:rPr>
                    <w:t>4</w:t>
                  </w:r>
                </w:p>
              </w:tc>
              <w:tc>
                <w:tcPr>
                  <w:tcW w:w="402" w:type="pct"/>
                  <w:vAlign w:val="center"/>
                </w:tcPr>
                <w:p>
                  <w:pPr>
                    <w:topLinePunct/>
                    <w:adjustRightInd w:val="0"/>
                    <w:snapToGrid w:val="0"/>
                    <w:spacing w:line="360" w:lineRule="exact"/>
                    <w:jc w:val="center"/>
                    <w:rPr>
                      <w:kern w:val="0"/>
                      <w:szCs w:val="21"/>
                    </w:rPr>
                  </w:pPr>
                  <w:r>
                    <w:rPr>
                      <w:kern w:val="0"/>
                      <w:szCs w:val="21"/>
                    </w:rPr>
                    <w:t>废活性炭</w:t>
                  </w:r>
                </w:p>
              </w:tc>
              <w:tc>
                <w:tcPr>
                  <w:tcW w:w="488" w:type="pct"/>
                  <w:vAlign w:val="center"/>
                </w:tcPr>
                <w:p>
                  <w:pPr>
                    <w:topLinePunct/>
                    <w:adjustRightInd w:val="0"/>
                    <w:snapToGrid w:val="0"/>
                    <w:spacing w:line="360" w:lineRule="exact"/>
                    <w:jc w:val="center"/>
                    <w:rPr>
                      <w:kern w:val="0"/>
                      <w:szCs w:val="21"/>
                    </w:rPr>
                  </w:pPr>
                  <w:r>
                    <w:rPr>
                      <w:kern w:val="0"/>
                      <w:szCs w:val="21"/>
                    </w:rPr>
                    <w:t>HW49</w:t>
                  </w:r>
                </w:p>
              </w:tc>
              <w:tc>
                <w:tcPr>
                  <w:tcW w:w="746" w:type="pct"/>
                  <w:vAlign w:val="center"/>
                </w:tcPr>
                <w:p>
                  <w:pPr>
                    <w:topLinePunct/>
                    <w:adjustRightInd w:val="0"/>
                    <w:snapToGrid w:val="0"/>
                    <w:spacing w:line="360" w:lineRule="exact"/>
                    <w:jc w:val="center"/>
                    <w:rPr>
                      <w:szCs w:val="21"/>
                    </w:rPr>
                  </w:pPr>
                  <w:r>
                    <w:rPr>
                      <w:szCs w:val="21"/>
                    </w:rPr>
                    <w:t>900-0</w:t>
                  </w:r>
                  <w:r>
                    <w:rPr>
                      <w:rFonts w:hint="eastAsia"/>
                      <w:szCs w:val="21"/>
                    </w:rPr>
                    <w:t>39</w:t>
                  </w:r>
                  <w:r>
                    <w:rPr>
                      <w:szCs w:val="21"/>
                    </w:rPr>
                    <w:t>-49</w:t>
                  </w:r>
                </w:p>
              </w:tc>
              <w:tc>
                <w:tcPr>
                  <w:tcW w:w="458" w:type="pct"/>
                  <w:vAlign w:val="center"/>
                </w:tcPr>
                <w:p>
                  <w:pPr>
                    <w:topLinePunct/>
                    <w:adjustRightInd w:val="0"/>
                    <w:snapToGrid w:val="0"/>
                    <w:spacing w:line="360" w:lineRule="exact"/>
                    <w:ind w:left="-105" w:leftChars="-50" w:right="-105" w:rightChars="-50"/>
                    <w:jc w:val="center"/>
                    <w:rPr>
                      <w:kern w:val="0"/>
                      <w:szCs w:val="21"/>
                    </w:rPr>
                  </w:pPr>
                  <w:r>
                    <w:rPr>
                      <w:rFonts w:hint="eastAsia"/>
                      <w:kern w:val="0"/>
                      <w:szCs w:val="21"/>
                    </w:rPr>
                    <w:t>0.3559</w:t>
                  </w:r>
                </w:p>
              </w:tc>
              <w:tc>
                <w:tcPr>
                  <w:tcW w:w="404" w:type="pct"/>
                  <w:vMerge w:val="restart"/>
                  <w:vAlign w:val="center"/>
                </w:tcPr>
                <w:p>
                  <w:pPr>
                    <w:topLinePunct/>
                    <w:adjustRightInd w:val="0"/>
                    <w:snapToGrid w:val="0"/>
                    <w:spacing w:line="360" w:lineRule="exact"/>
                    <w:jc w:val="center"/>
                    <w:rPr>
                      <w:szCs w:val="21"/>
                      <w:highlight w:val="yellow"/>
                    </w:rPr>
                  </w:pPr>
                  <w:r>
                    <w:rPr>
                      <w:rFonts w:hint="eastAsia"/>
                      <w:szCs w:val="21"/>
                    </w:rPr>
                    <w:t>有机废气处理设施</w:t>
                  </w:r>
                </w:p>
              </w:tc>
              <w:tc>
                <w:tcPr>
                  <w:tcW w:w="273" w:type="pct"/>
                  <w:vMerge w:val="restart"/>
                  <w:vAlign w:val="center"/>
                </w:tcPr>
                <w:p>
                  <w:pPr>
                    <w:topLinePunct/>
                    <w:adjustRightInd w:val="0"/>
                    <w:snapToGrid w:val="0"/>
                    <w:spacing w:line="360" w:lineRule="exact"/>
                    <w:jc w:val="center"/>
                    <w:rPr>
                      <w:kern w:val="0"/>
                      <w:szCs w:val="21"/>
                    </w:rPr>
                  </w:pPr>
                  <w:r>
                    <w:rPr>
                      <w:kern w:val="0"/>
                      <w:szCs w:val="21"/>
                    </w:rPr>
                    <w:t>固态</w:t>
                  </w:r>
                </w:p>
              </w:tc>
              <w:tc>
                <w:tcPr>
                  <w:tcW w:w="391" w:type="pct"/>
                  <w:vAlign w:val="center"/>
                </w:tcPr>
                <w:p>
                  <w:pPr>
                    <w:topLinePunct/>
                    <w:spacing w:line="360" w:lineRule="exact"/>
                    <w:jc w:val="center"/>
                    <w:rPr>
                      <w:kern w:val="0"/>
                      <w:szCs w:val="21"/>
                    </w:rPr>
                  </w:pPr>
                  <w:r>
                    <w:rPr>
                      <w:rFonts w:hint="eastAsia"/>
                      <w:kern w:val="0"/>
                      <w:szCs w:val="21"/>
                    </w:rPr>
                    <w:t>有机废气</w:t>
                  </w:r>
                </w:p>
              </w:tc>
              <w:tc>
                <w:tcPr>
                  <w:tcW w:w="321" w:type="pct"/>
                  <w:vAlign w:val="center"/>
                </w:tcPr>
                <w:p>
                  <w:pPr>
                    <w:topLinePunct/>
                    <w:spacing w:line="360" w:lineRule="exact"/>
                    <w:ind w:left="-105" w:leftChars="-50" w:right="-105" w:rightChars="-50"/>
                    <w:jc w:val="center"/>
                    <w:rPr>
                      <w:kern w:val="0"/>
                      <w:szCs w:val="21"/>
                    </w:rPr>
                  </w:pPr>
                  <w:r>
                    <w:rPr>
                      <w:rFonts w:hint="eastAsia"/>
                      <w:kern w:val="0"/>
                      <w:szCs w:val="21"/>
                    </w:rPr>
                    <w:t>有机废气</w:t>
                  </w:r>
                </w:p>
              </w:tc>
              <w:tc>
                <w:tcPr>
                  <w:tcW w:w="374" w:type="pct"/>
                  <w:vAlign w:val="center"/>
                </w:tcPr>
                <w:p>
                  <w:pPr>
                    <w:topLinePunct/>
                    <w:spacing w:line="360" w:lineRule="exact"/>
                    <w:jc w:val="center"/>
                    <w:rPr>
                      <w:kern w:val="0"/>
                      <w:szCs w:val="21"/>
                    </w:rPr>
                  </w:pPr>
                  <w:r>
                    <w:rPr>
                      <w:rFonts w:hint="eastAsia"/>
                      <w:kern w:val="0"/>
                      <w:szCs w:val="21"/>
                    </w:rPr>
                    <w:t>90d</w:t>
                  </w:r>
                </w:p>
              </w:tc>
              <w:tc>
                <w:tcPr>
                  <w:tcW w:w="387" w:type="pct"/>
                  <w:vAlign w:val="center"/>
                </w:tcPr>
                <w:p>
                  <w:pPr>
                    <w:topLinePunct/>
                    <w:spacing w:line="360" w:lineRule="exact"/>
                    <w:jc w:val="center"/>
                    <w:rPr>
                      <w:kern w:val="0"/>
                      <w:szCs w:val="21"/>
                    </w:rPr>
                  </w:pPr>
                  <w:r>
                    <w:rPr>
                      <w:kern w:val="0"/>
                      <w:szCs w:val="21"/>
                    </w:rPr>
                    <w:t>T</w:t>
                  </w:r>
                </w:p>
              </w:tc>
              <w:tc>
                <w:tcPr>
                  <w:tcW w:w="490" w:type="pct"/>
                  <w:vMerge w:val="continue"/>
                  <w:vAlign w:val="center"/>
                </w:tcPr>
                <w:p>
                  <w:pPr>
                    <w:topLinePunct/>
                    <w:spacing w:line="360" w:lineRule="exact"/>
                    <w:jc w:val="center"/>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66" w:type="pct"/>
                  <w:vAlign w:val="center"/>
                </w:tcPr>
                <w:p>
                  <w:pPr>
                    <w:topLinePunct/>
                    <w:spacing w:line="360" w:lineRule="exact"/>
                    <w:jc w:val="center"/>
                    <w:rPr>
                      <w:b/>
                      <w:kern w:val="0"/>
                      <w:szCs w:val="21"/>
                      <w:u w:val="single"/>
                    </w:rPr>
                  </w:pPr>
                  <w:r>
                    <w:rPr>
                      <w:rFonts w:hint="eastAsia"/>
                      <w:b/>
                      <w:kern w:val="0"/>
                      <w:szCs w:val="21"/>
                      <w:u w:val="single"/>
                    </w:rPr>
                    <w:t>5</w:t>
                  </w:r>
                </w:p>
              </w:tc>
              <w:tc>
                <w:tcPr>
                  <w:tcW w:w="402" w:type="pct"/>
                  <w:vAlign w:val="center"/>
                </w:tcPr>
                <w:p>
                  <w:pPr>
                    <w:topLinePunct/>
                    <w:adjustRightInd w:val="0"/>
                    <w:snapToGrid w:val="0"/>
                    <w:spacing w:line="360" w:lineRule="exact"/>
                    <w:jc w:val="center"/>
                    <w:rPr>
                      <w:b/>
                      <w:kern w:val="0"/>
                      <w:szCs w:val="21"/>
                      <w:u w:val="single"/>
                    </w:rPr>
                  </w:pPr>
                  <w:r>
                    <w:rPr>
                      <w:rFonts w:hint="eastAsia"/>
                      <w:b/>
                      <w:kern w:val="0"/>
                      <w:szCs w:val="21"/>
                      <w:u w:val="single"/>
                    </w:rPr>
                    <w:t>废UV灯管</w:t>
                  </w:r>
                </w:p>
              </w:tc>
              <w:tc>
                <w:tcPr>
                  <w:tcW w:w="488" w:type="pct"/>
                  <w:vAlign w:val="center"/>
                </w:tcPr>
                <w:p>
                  <w:pPr>
                    <w:topLinePunct/>
                    <w:adjustRightInd w:val="0"/>
                    <w:snapToGrid w:val="0"/>
                    <w:spacing w:line="360" w:lineRule="exact"/>
                    <w:jc w:val="center"/>
                    <w:rPr>
                      <w:b/>
                      <w:kern w:val="0"/>
                      <w:szCs w:val="21"/>
                      <w:u w:val="single"/>
                    </w:rPr>
                  </w:pPr>
                  <w:r>
                    <w:rPr>
                      <w:b/>
                      <w:kern w:val="0"/>
                      <w:szCs w:val="21"/>
                      <w:u w:val="single"/>
                    </w:rPr>
                    <w:t>HW</w:t>
                  </w:r>
                  <w:r>
                    <w:rPr>
                      <w:rFonts w:hint="eastAsia"/>
                      <w:b/>
                      <w:kern w:val="0"/>
                      <w:szCs w:val="21"/>
                      <w:u w:val="single"/>
                    </w:rPr>
                    <w:t>2</w:t>
                  </w:r>
                  <w:r>
                    <w:rPr>
                      <w:b/>
                      <w:kern w:val="0"/>
                      <w:szCs w:val="21"/>
                      <w:u w:val="single"/>
                    </w:rPr>
                    <w:t>9</w:t>
                  </w:r>
                </w:p>
              </w:tc>
              <w:tc>
                <w:tcPr>
                  <w:tcW w:w="746" w:type="pct"/>
                  <w:vAlign w:val="center"/>
                </w:tcPr>
                <w:p>
                  <w:pPr>
                    <w:topLinePunct/>
                    <w:adjustRightInd w:val="0"/>
                    <w:snapToGrid w:val="0"/>
                    <w:spacing w:line="360" w:lineRule="exact"/>
                    <w:jc w:val="center"/>
                    <w:rPr>
                      <w:b/>
                      <w:szCs w:val="21"/>
                      <w:u w:val="single"/>
                    </w:rPr>
                  </w:pPr>
                  <w:r>
                    <w:rPr>
                      <w:b/>
                      <w:szCs w:val="21"/>
                      <w:u w:val="single"/>
                    </w:rPr>
                    <w:t>900-023-29</w:t>
                  </w:r>
                </w:p>
              </w:tc>
              <w:tc>
                <w:tcPr>
                  <w:tcW w:w="458" w:type="pct"/>
                  <w:vAlign w:val="center"/>
                </w:tcPr>
                <w:p>
                  <w:pPr>
                    <w:topLinePunct/>
                    <w:adjustRightInd w:val="0"/>
                    <w:snapToGrid w:val="0"/>
                    <w:spacing w:line="360" w:lineRule="exact"/>
                    <w:ind w:left="-105" w:leftChars="-50" w:right="-105" w:rightChars="-50"/>
                    <w:jc w:val="center"/>
                    <w:rPr>
                      <w:b/>
                      <w:kern w:val="0"/>
                      <w:szCs w:val="21"/>
                      <w:u w:val="single"/>
                    </w:rPr>
                  </w:pPr>
                  <w:r>
                    <w:rPr>
                      <w:rFonts w:hint="eastAsia"/>
                      <w:b/>
                      <w:kern w:val="0"/>
                      <w:szCs w:val="21"/>
                      <w:u w:val="single"/>
                    </w:rPr>
                    <w:t>0.005</w:t>
                  </w:r>
                </w:p>
              </w:tc>
              <w:tc>
                <w:tcPr>
                  <w:tcW w:w="404" w:type="pct"/>
                  <w:vMerge w:val="continue"/>
                  <w:vAlign w:val="center"/>
                </w:tcPr>
                <w:p>
                  <w:pPr>
                    <w:topLinePunct/>
                    <w:adjustRightInd w:val="0"/>
                    <w:snapToGrid w:val="0"/>
                    <w:spacing w:line="360" w:lineRule="exact"/>
                    <w:jc w:val="center"/>
                    <w:rPr>
                      <w:b/>
                      <w:szCs w:val="21"/>
                      <w:u w:val="single"/>
                    </w:rPr>
                  </w:pPr>
                </w:p>
              </w:tc>
              <w:tc>
                <w:tcPr>
                  <w:tcW w:w="273" w:type="pct"/>
                  <w:vMerge w:val="continue"/>
                  <w:vAlign w:val="center"/>
                </w:tcPr>
                <w:p>
                  <w:pPr>
                    <w:topLinePunct/>
                    <w:adjustRightInd w:val="0"/>
                    <w:snapToGrid w:val="0"/>
                    <w:spacing w:line="360" w:lineRule="exact"/>
                    <w:jc w:val="center"/>
                    <w:rPr>
                      <w:b/>
                      <w:kern w:val="0"/>
                      <w:szCs w:val="21"/>
                      <w:u w:val="single"/>
                    </w:rPr>
                  </w:pPr>
                </w:p>
              </w:tc>
              <w:tc>
                <w:tcPr>
                  <w:tcW w:w="391" w:type="pct"/>
                  <w:vAlign w:val="center"/>
                </w:tcPr>
                <w:p>
                  <w:pPr>
                    <w:topLinePunct/>
                    <w:spacing w:line="360" w:lineRule="exact"/>
                    <w:jc w:val="center"/>
                    <w:rPr>
                      <w:b/>
                      <w:kern w:val="0"/>
                      <w:szCs w:val="21"/>
                      <w:u w:val="single"/>
                    </w:rPr>
                  </w:pPr>
                  <w:r>
                    <w:rPr>
                      <w:rFonts w:hint="eastAsia"/>
                      <w:b/>
                      <w:kern w:val="0"/>
                      <w:szCs w:val="21"/>
                      <w:u w:val="single"/>
                    </w:rPr>
                    <w:t>含汞废物</w:t>
                  </w:r>
                </w:p>
              </w:tc>
              <w:tc>
                <w:tcPr>
                  <w:tcW w:w="321" w:type="pct"/>
                  <w:vAlign w:val="center"/>
                </w:tcPr>
                <w:p>
                  <w:pPr>
                    <w:topLinePunct/>
                    <w:spacing w:line="360" w:lineRule="exact"/>
                    <w:ind w:left="-105" w:leftChars="-50" w:right="-105" w:rightChars="-50"/>
                    <w:jc w:val="center"/>
                    <w:rPr>
                      <w:b/>
                      <w:kern w:val="0"/>
                      <w:szCs w:val="21"/>
                      <w:u w:val="single"/>
                    </w:rPr>
                  </w:pPr>
                  <w:r>
                    <w:rPr>
                      <w:rFonts w:hint="eastAsia"/>
                      <w:b/>
                      <w:kern w:val="0"/>
                      <w:szCs w:val="21"/>
                      <w:u w:val="single"/>
                    </w:rPr>
                    <w:t>含汞废物</w:t>
                  </w:r>
                </w:p>
              </w:tc>
              <w:tc>
                <w:tcPr>
                  <w:tcW w:w="374" w:type="pct"/>
                  <w:vAlign w:val="center"/>
                </w:tcPr>
                <w:p>
                  <w:pPr>
                    <w:topLinePunct/>
                    <w:spacing w:line="360" w:lineRule="exact"/>
                    <w:jc w:val="center"/>
                    <w:rPr>
                      <w:b/>
                      <w:kern w:val="0"/>
                      <w:szCs w:val="21"/>
                      <w:u w:val="single"/>
                    </w:rPr>
                  </w:pPr>
                  <w:r>
                    <w:rPr>
                      <w:rFonts w:hint="eastAsia"/>
                      <w:b/>
                      <w:kern w:val="0"/>
                      <w:szCs w:val="21"/>
                      <w:u w:val="single"/>
                    </w:rPr>
                    <w:t>1年</w:t>
                  </w:r>
                </w:p>
              </w:tc>
              <w:tc>
                <w:tcPr>
                  <w:tcW w:w="387" w:type="pct"/>
                  <w:vAlign w:val="center"/>
                </w:tcPr>
                <w:p>
                  <w:pPr>
                    <w:topLinePunct/>
                    <w:spacing w:line="360" w:lineRule="exact"/>
                    <w:jc w:val="center"/>
                    <w:rPr>
                      <w:b/>
                      <w:kern w:val="0"/>
                      <w:szCs w:val="21"/>
                      <w:u w:val="single"/>
                    </w:rPr>
                  </w:pPr>
                  <w:r>
                    <w:rPr>
                      <w:b/>
                      <w:szCs w:val="21"/>
                      <w:u w:val="single"/>
                    </w:rPr>
                    <w:t>T/In</w:t>
                  </w:r>
                </w:p>
              </w:tc>
              <w:tc>
                <w:tcPr>
                  <w:tcW w:w="490" w:type="pct"/>
                  <w:vMerge w:val="continue"/>
                  <w:vAlign w:val="center"/>
                </w:tcPr>
                <w:p>
                  <w:pPr>
                    <w:topLinePunct/>
                    <w:spacing w:line="360" w:lineRule="exact"/>
                    <w:jc w:val="center"/>
                    <w:rPr>
                      <w:kern w:val="0"/>
                      <w:szCs w:val="21"/>
                    </w:rPr>
                  </w:pPr>
                </w:p>
              </w:tc>
            </w:tr>
          </w:tbl>
          <w:p>
            <w:pPr>
              <w:keepNext/>
              <w:keepLines/>
              <w:spacing w:line="520" w:lineRule="exact"/>
              <w:ind w:firstLine="480" w:firstLineChars="200"/>
              <w:outlineLvl w:val="0"/>
              <w:rPr>
                <w:kern w:val="44"/>
                <w:sz w:val="24"/>
              </w:rPr>
            </w:pPr>
            <w:r>
              <w:rPr>
                <w:rFonts w:hint="eastAsia"/>
                <w:kern w:val="44"/>
                <w:sz w:val="24"/>
              </w:rPr>
              <w:t>本项目危险废物贮存场所基本情况一览表见下表</w:t>
            </w:r>
            <w:r>
              <w:rPr>
                <w:kern w:val="44"/>
                <w:sz w:val="24"/>
              </w:rPr>
              <w:t>。</w:t>
            </w:r>
          </w:p>
          <w:p>
            <w:pPr>
              <w:keepNext/>
              <w:keepLines/>
              <w:spacing w:line="520" w:lineRule="exact"/>
              <w:ind w:firstLine="480" w:firstLineChars="200"/>
              <w:outlineLvl w:val="0"/>
              <w:rPr>
                <w:rFonts w:eastAsia="黑体"/>
                <w:sz w:val="24"/>
              </w:rPr>
            </w:pPr>
            <w:r>
              <w:rPr>
                <w:rFonts w:eastAsia="黑体"/>
                <w:sz w:val="24"/>
              </w:rPr>
              <w:t>表</w:t>
            </w:r>
            <w:r>
              <w:rPr>
                <w:rFonts w:hint="eastAsia" w:eastAsia="黑体"/>
                <w:sz w:val="24"/>
              </w:rPr>
              <w:t>48      本项目</w:t>
            </w:r>
            <w:r>
              <w:rPr>
                <w:rFonts w:eastAsia="黑体"/>
                <w:sz w:val="24"/>
              </w:rPr>
              <w:t>危险废物</w:t>
            </w:r>
            <w:r>
              <w:rPr>
                <w:rFonts w:hint="eastAsia" w:eastAsia="黑体"/>
                <w:sz w:val="24"/>
              </w:rPr>
              <w:t>贮存场所（设施）基本情况表</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1254"/>
              <w:gridCol w:w="981"/>
              <w:gridCol w:w="1258"/>
              <w:gridCol w:w="746"/>
              <w:gridCol w:w="915"/>
              <w:gridCol w:w="1069"/>
              <w:gridCol w:w="939"/>
              <w:gridCol w:w="7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078" w:type="dxa"/>
                  <w:vAlign w:val="center"/>
                </w:tcPr>
                <w:p>
                  <w:pPr>
                    <w:spacing w:line="400" w:lineRule="exact"/>
                    <w:jc w:val="center"/>
                    <w:rPr>
                      <w:szCs w:val="21"/>
                    </w:rPr>
                  </w:pPr>
                  <w:r>
                    <w:rPr>
                      <w:szCs w:val="21"/>
                    </w:rPr>
                    <w:t>贮存场所（设施）名称</w:t>
                  </w:r>
                </w:p>
              </w:tc>
              <w:tc>
                <w:tcPr>
                  <w:tcW w:w="1254" w:type="dxa"/>
                  <w:vAlign w:val="center"/>
                </w:tcPr>
                <w:p>
                  <w:pPr>
                    <w:pStyle w:val="18"/>
                    <w:spacing w:line="400" w:lineRule="exact"/>
                    <w:ind w:left="0" w:leftChars="0"/>
                    <w:jc w:val="center"/>
                    <w:rPr>
                      <w:sz w:val="21"/>
                      <w:szCs w:val="21"/>
                    </w:rPr>
                  </w:pPr>
                  <w:r>
                    <w:rPr>
                      <w:sz w:val="21"/>
                      <w:szCs w:val="21"/>
                    </w:rPr>
                    <w:t>危险废物名称</w:t>
                  </w:r>
                </w:p>
              </w:tc>
              <w:tc>
                <w:tcPr>
                  <w:tcW w:w="981" w:type="dxa"/>
                  <w:vAlign w:val="center"/>
                </w:tcPr>
                <w:p>
                  <w:pPr>
                    <w:pStyle w:val="18"/>
                    <w:spacing w:line="400" w:lineRule="exact"/>
                    <w:ind w:left="0" w:leftChars="0"/>
                    <w:jc w:val="center"/>
                    <w:rPr>
                      <w:sz w:val="21"/>
                      <w:szCs w:val="21"/>
                    </w:rPr>
                  </w:pPr>
                  <w:r>
                    <w:rPr>
                      <w:sz w:val="21"/>
                      <w:szCs w:val="21"/>
                    </w:rPr>
                    <w:t>危险废物类别</w:t>
                  </w:r>
                </w:p>
              </w:tc>
              <w:tc>
                <w:tcPr>
                  <w:tcW w:w="1258" w:type="dxa"/>
                  <w:vAlign w:val="center"/>
                </w:tcPr>
                <w:p>
                  <w:pPr>
                    <w:pStyle w:val="18"/>
                    <w:spacing w:line="400" w:lineRule="exact"/>
                    <w:ind w:left="0" w:leftChars="0"/>
                    <w:jc w:val="center"/>
                    <w:rPr>
                      <w:sz w:val="21"/>
                      <w:szCs w:val="21"/>
                    </w:rPr>
                  </w:pPr>
                  <w:r>
                    <w:rPr>
                      <w:sz w:val="21"/>
                      <w:szCs w:val="21"/>
                    </w:rPr>
                    <w:t>危险废物代码</w:t>
                  </w:r>
                </w:p>
              </w:tc>
              <w:tc>
                <w:tcPr>
                  <w:tcW w:w="746" w:type="dxa"/>
                  <w:vAlign w:val="center"/>
                </w:tcPr>
                <w:p>
                  <w:pPr>
                    <w:pStyle w:val="18"/>
                    <w:spacing w:line="400" w:lineRule="exact"/>
                    <w:ind w:left="0" w:leftChars="0"/>
                    <w:jc w:val="center"/>
                    <w:rPr>
                      <w:sz w:val="21"/>
                      <w:szCs w:val="21"/>
                    </w:rPr>
                  </w:pPr>
                  <w:r>
                    <w:rPr>
                      <w:sz w:val="21"/>
                      <w:szCs w:val="21"/>
                    </w:rPr>
                    <w:t>位置</w:t>
                  </w:r>
                </w:p>
              </w:tc>
              <w:tc>
                <w:tcPr>
                  <w:tcW w:w="915" w:type="dxa"/>
                  <w:vAlign w:val="center"/>
                </w:tcPr>
                <w:p>
                  <w:pPr>
                    <w:pStyle w:val="18"/>
                    <w:spacing w:after="0" w:line="400" w:lineRule="exact"/>
                    <w:ind w:left="0" w:leftChars="0"/>
                    <w:jc w:val="center"/>
                    <w:rPr>
                      <w:sz w:val="21"/>
                      <w:szCs w:val="21"/>
                    </w:rPr>
                  </w:pPr>
                  <w:r>
                    <w:rPr>
                      <w:sz w:val="21"/>
                      <w:szCs w:val="21"/>
                    </w:rPr>
                    <w:t>占地</w:t>
                  </w:r>
                </w:p>
                <w:p>
                  <w:pPr>
                    <w:pStyle w:val="18"/>
                    <w:spacing w:after="0" w:line="400" w:lineRule="exact"/>
                    <w:ind w:left="0" w:leftChars="0"/>
                    <w:jc w:val="center"/>
                    <w:rPr>
                      <w:sz w:val="21"/>
                      <w:szCs w:val="21"/>
                    </w:rPr>
                  </w:pPr>
                  <w:r>
                    <w:rPr>
                      <w:sz w:val="21"/>
                      <w:szCs w:val="21"/>
                    </w:rPr>
                    <w:t>面积</w:t>
                  </w:r>
                </w:p>
                <w:p>
                  <w:pPr>
                    <w:pStyle w:val="18"/>
                    <w:spacing w:line="400" w:lineRule="exact"/>
                    <w:ind w:left="0" w:leftChars="0"/>
                    <w:jc w:val="center"/>
                    <w:rPr>
                      <w:sz w:val="21"/>
                      <w:szCs w:val="21"/>
                    </w:rPr>
                  </w:pPr>
                  <w:r>
                    <w:rPr>
                      <w:sz w:val="21"/>
                      <w:szCs w:val="21"/>
                    </w:rPr>
                    <w:t>（m</w:t>
                  </w:r>
                  <w:r>
                    <w:rPr>
                      <w:sz w:val="21"/>
                      <w:szCs w:val="21"/>
                      <w:vertAlign w:val="superscript"/>
                    </w:rPr>
                    <w:t>2</w:t>
                  </w:r>
                  <w:r>
                    <w:rPr>
                      <w:sz w:val="21"/>
                      <w:szCs w:val="21"/>
                    </w:rPr>
                    <w:t>）</w:t>
                  </w:r>
                </w:p>
              </w:tc>
              <w:tc>
                <w:tcPr>
                  <w:tcW w:w="1069" w:type="dxa"/>
                  <w:vAlign w:val="center"/>
                </w:tcPr>
                <w:p>
                  <w:pPr>
                    <w:pStyle w:val="18"/>
                    <w:spacing w:line="400" w:lineRule="exact"/>
                    <w:ind w:left="0" w:leftChars="0"/>
                    <w:jc w:val="center"/>
                    <w:rPr>
                      <w:sz w:val="21"/>
                      <w:szCs w:val="21"/>
                    </w:rPr>
                  </w:pPr>
                  <w:r>
                    <w:rPr>
                      <w:sz w:val="21"/>
                      <w:szCs w:val="21"/>
                    </w:rPr>
                    <w:t>贮存</w:t>
                  </w:r>
                </w:p>
                <w:p>
                  <w:pPr>
                    <w:pStyle w:val="18"/>
                    <w:spacing w:line="400" w:lineRule="exact"/>
                    <w:ind w:left="0" w:leftChars="0"/>
                    <w:jc w:val="center"/>
                    <w:rPr>
                      <w:sz w:val="21"/>
                      <w:szCs w:val="21"/>
                    </w:rPr>
                  </w:pPr>
                  <w:r>
                    <w:rPr>
                      <w:sz w:val="21"/>
                      <w:szCs w:val="21"/>
                    </w:rPr>
                    <w:t>方式</w:t>
                  </w:r>
                </w:p>
              </w:tc>
              <w:tc>
                <w:tcPr>
                  <w:tcW w:w="939" w:type="dxa"/>
                  <w:vAlign w:val="center"/>
                </w:tcPr>
                <w:p>
                  <w:pPr>
                    <w:pStyle w:val="18"/>
                    <w:spacing w:after="0" w:line="400" w:lineRule="exact"/>
                    <w:ind w:left="0" w:leftChars="0"/>
                    <w:jc w:val="center"/>
                    <w:rPr>
                      <w:sz w:val="21"/>
                      <w:szCs w:val="21"/>
                    </w:rPr>
                  </w:pPr>
                  <w:r>
                    <w:rPr>
                      <w:sz w:val="21"/>
                      <w:szCs w:val="21"/>
                    </w:rPr>
                    <w:t>贮存</w:t>
                  </w:r>
                </w:p>
                <w:p>
                  <w:pPr>
                    <w:pStyle w:val="18"/>
                    <w:spacing w:after="0" w:line="400" w:lineRule="exact"/>
                    <w:ind w:left="0" w:leftChars="0"/>
                    <w:jc w:val="center"/>
                    <w:rPr>
                      <w:sz w:val="21"/>
                      <w:szCs w:val="21"/>
                    </w:rPr>
                  </w:pPr>
                  <w:r>
                    <w:rPr>
                      <w:sz w:val="21"/>
                      <w:szCs w:val="21"/>
                    </w:rPr>
                    <w:t>能力</w:t>
                  </w:r>
                </w:p>
              </w:tc>
              <w:tc>
                <w:tcPr>
                  <w:tcW w:w="733" w:type="dxa"/>
                  <w:vAlign w:val="center"/>
                </w:tcPr>
                <w:p>
                  <w:pPr>
                    <w:pStyle w:val="18"/>
                    <w:spacing w:after="0" w:line="400" w:lineRule="exact"/>
                    <w:ind w:left="0" w:leftChars="0"/>
                    <w:jc w:val="center"/>
                    <w:rPr>
                      <w:sz w:val="21"/>
                      <w:szCs w:val="21"/>
                    </w:rPr>
                  </w:pPr>
                  <w:r>
                    <w:rPr>
                      <w:sz w:val="21"/>
                      <w:szCs w:val="21"/>
                    </w:rPr>
                    <w:t>贮存</w:t>
                  </w:r>
                </w:p>
                <w:p>
                  <w:pPr>
                    <w:pStyle w:val="18"/>
                    <w:spacing w:after="0" w:line="400" w:lineRule="exact"/>
                    <w:ind w:left="0" w:leftChars="0"/>
                    <w:jc w:val="center"/>
                    <w:rPr>
                      <w:sz w:val="21"/>
                      <w:szCs w:val="21"/>
                    </w:rPr>
                  </w:pPr>
                  <w:r>
                    <w:rPr>
                      <w:sz w:val="21"/>
                      <w:szCs w:val="21"/>
                    </w:rPr>
                    <w:t>周期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078" w:type="dxa"/>
                  <w:vMerge w:val="restart"/>
                  <w:vAlign w:val="center"/>
                </w:tcPr>
                <w:p>
                  <w:pPr>
                    <w:spacing w:line="400" w:lineRule="exact"/>
                    <w:jc w:val="center"/>
                    <w:rPr>
                      <w:szCs w:val="21"/>
                    </w:rPr>
                  </w:pPr>
                  <w:r>
                    <w:rPr>
                      <w:rFonts w:hint="eastAsia"/>
                      <w:szCs w:val="21"/>
                    </w:rPr>
                    <w:t>危废</w:t>
                  </w:r>
                </w:p>
                <w:p>
                  <w:pPr>
                    <w:spacing w:line="400" w:lineRule="exact"/>
                    <w:jc w:val="center"/>
                    <w:rPr>
                      <w:szCs w:val="21"/>
                    </w:rPr>
                  </w:pPr>
                  <w:r>
                    <w:rPr>
                      <w:rFonts w:hint="eastAsia"/>
                      <w:szCs w:val="21"/>
                    </w:rPr>
                    <w:t>暂存间</w:t>
                  </w:r>
                </w:p>
              </w:tc>
              <w:tc>
                <w:tcPr>
                  <w:tcW w:w="1254" w:type="dxa"/>
                  <w:vAlign w:val="center"/>
                </w:tcPr>
                <w:p>
                  <w:pPr>
                    <w:topLinePunct/>
                    <w:adjustRightInd w:val="0"/>
                    <w:snapToGrid w:val="0"/>
                    <w:spacing w:line="400" w:lineRule="exact"/>
                    <w:jc w:val="center"/>
                    <w:rPr>
                      <w:kern w:val="0"/>
                      <w:szCs w:val="21"/>
                    </w:rPr>
                  </w:pPr>
                  <w:r>
                    <w:rPr>
                      <w:kern w:val="0"/>
                      <w:szCs w:val="21"/>
                    </w:rPr>
                    <w:t>废</w:t>
                  </w:r>
                  <w:r>
                    <w:rPr>
                      <w:rFonts w:hint="eastAsia"/>
                      <w:kern w:val="0"/>
                      <w:szCs w:val="21"/>
                    </w:rPr>
                    <w:t>油墨桶</w:t>
                  </w:r>
                </w:p>
              </w:tc>
              <w:tc>
                <w:tcPr>
                  <w:tcW w:w="981" w:type="dxa"/>
                  <w:vAlign w:val="center"/>
                </w:tcPr>
                <w:p>
                  <w:pPr>
                    <w:topLinePunct/>
                    <w:adjustRightInd w:val="0"/>
                    <w:snapToGrid w:val="0"/>
                    <w:spacing w:line="400" w:lineRule="exact"/>
                    <w:jc w:val="center"/>
                    <w:rPr>
                      <w:kern w:val="0"/>
                      <w:szCs w:val="21"/>
                    </w:rPr>
                  </w:pPr>
                  <w:r>
                    <w:rPr>
                      <w:kern w:val="0"/>
                      <w:szCs w:val="21"/>
                    </w:rPr>
                    <w:t>HW</w:t>
                  </w:r>
                  <w:r>
                    <w:rPr>
                      <w:rFonts w:hint="eastAsia"/>
                      <w:kern w:val="0"/>
                      <w:szCs w:val="21"/>
                    </w:rPr>
                    <w:t>49</w:t>
                  </w:r>
                </w:p>
              </w:tc>
              <w:tc>
                <w:tcPr>
                  <w:tcW w:w="1258" w:type="dxa"/>
                  <w:vAlign w:val="center"/>
                </w:tcPr>
                <w:p>
                  <w:pPr>
                    <w:topLinePunct/>
                    <w:adjustRightInd w:val="0"/>
                    <w:snapToGrid w:val="0"/>
                    <w:spacing w:line="400" w:lineRule="exact"/>
                    <w:jc w:val="center"/>
                    <w:rPr>
                      <w:kern w:val="0"/>
                      <w:szCs w:val="21"/>
                    </w:rPr>
                  </w:pPr>
                  <w:r>
                    <w:rPr>
                      <w:kern w:val="0"/>
                      <w:szCs w:val="21"/>
                    </w:rPr>
                    <w:t>900-</w:t>
                  </w:r>
                  <w:r>
                    <w:rPr>
                      <w:rFonts w:hint="eastAsia"/>
                      <w:kern w:val="0"/>
                      <w:szCs w:val="21"/>
                    </w:rPr>
                    <w:t>041</w:t>
                  </w:r>
                  <w:r>
                    <w:rPr>
                      <w:kern w:val="0"/>
                      <w:szCs w:val="21"/>
                    </w:rPr>
                    <w:t>-</w:t>
                  </w:r>
                  <w:r>
                    <w:rPr>
                      <w:rFonts w:hint="eastAsia"/>
                      <w:kern w:val="0"/>
                      <w:szCs w:val="21"/>
                    </w:rPr>
                    <w:t>49</w:t>
                  </w:r>
                </w:p>
              </w:tc>
              <w:tc>
                <w:tcPr>
                  <w:tcW w:w="746" w:type="dxa"/>
                  <w:vMerge w:val="restart"/>
                  <w:vAlign w:val="center"/>
                </w:tcPr>
                <w:p>
                  <w:pPr>
                    <w:pStyle w:val="18"/>
                    <w:spacing w:line="400" w:lineRule="exact"/>
                    <w:ind w:left="0" w:leftChars="0"/>
                    <w:jc w:val="center"/>
                    <w:rPr>
                      <w:sz w:val="21"/>
                      <w:szCs w:val="21"/>
                    </w:rPr>
                  </w:pPr>
                  <w:r>
                    <w:rPr>
                      <w:rFonts w:hint="eastAsia"/>
                      <w:sz w:val="21"/>
                      <w:szCs w:val="21"/>
                    </w:rPr>
                    <w:t>车间东北角</w:t>
                  </w:r>
                </w:p>
              </w:tc>
              <w:tc>
                <w:tcPr>
                  <w:tcW w:w="915" w:type="dxa"/>
                  <w:vMerge w:val="restart"/>
                  <w:vAlign w:val="center"/>
                </w:tcPr>
                <w:p>
                  <w:pPr>
                    <w:pStyle w:val="18"/>
                    <w:spacing w:line="400" w:lineRule="exact"/>
                    <w:ind w:left="0" w:leftChars="0"/>
                    <w:jc w:val="center"/>
                    <w:rPr>
                      <w:sz w:val="21"/>
                      <w:szCs w:val="21"/>
                    </w:rPr>
                  </w:pPr>
                  <w:r>
                    <w:rPr>
                      <w:rFonts w:hint="eastAsia"/>
                      <w:sz w:val="21"/>
                      <w:szCs w:val="21"/>
                    </w:rPr>
                    <w:t>5</w:t>
                  </w:r>
                </w:p>
              </w:tc>
              <w:tc>
                <w:tcPr>
                  <w:tcW w:w="1069" w:type="dxa"/>
                  <w:vMerge w:val="restart"/>
                  <w:vAlign w:val="center"/>
                </w:tcPr>
                <w:p>
                  <w:pPr>
                    <w:pStyle w:val="18"/>
                    <w:spacing w:line="400" w:lineRule="exact"/>
                    <w:ind w:left="0" w:leftChars="0"/>
                    <w:jc w:val="center"/>
                    <w:rPr>
                      <w:sz w:val="21"/>
                      <w:szCs w:val="21"/>
                    </w:rPr>
                  </w:pPr>
                  <w:r>
                    <w:rPr>
                      <w:sz w:val="21"/>
                      <w:szCs w:val="21"/>
                    </w:rPr>
                    <w:t>分区暂存，放置</w:t>
                  </w:r>
                  <w:r>
                    <w:rPr>
                      <w:rFonts w:hint="eastAsia"/>
                      <w:sz w:val="21"/>
                      <w:szCs w:val="21"/>
                    </w:rPr>
                    <w:t>于</w:t>
                  </w:r>
                  <w:r>
                    <w:rPr>
                      <w:sz w:val="21"/>
                      <w:szCs w:val="21"/>
                    </w:rPr>
                    <w:t>专用容器内</w:t>
                  </w:r>
                  <w:r>
                    <w:rPr>
                      <w:rFonts w:hint="eastAsia"/>
                      <w:sz w:val="21"/>
                      <w:szCs w:val="21"/>
                    </w:rPr>
                    <w:t>，密闭储存</w:t>
                  </w:r>
                </w:p>
              </w:tc>
              <w:tc>
                <w:tcPr>
                  <w:tcW w:w="939" w:type="dxa"/>
                  <w:vAlign w:val="center"/>
                </w:tcPr>
                <w:p>
                  <w:pPr>
                    <w:pStyle w:val="18"/>
                    <w:spacing w:line="400" w:lineRule="exact"/>
                    <w:ind w:left="0" w:leftChars="0"/>
                    <w:jc w:val="center"/>
                    <w:rPr>
                      <w:sz w:val="21"/>
                      <w:szCs w:val="21"/>
                    </w:rPr>
                  </w:pPr>
                  <w:r>
                    <w:rPr>
                      <w:rFonts w:hint="eastAsia"/>
                      <w:sz w:val="21"/>
                      <w:szCs w:val="21"/>
                    </w:rPr>
                    <w:t>1.0t</w:t>
                  </w:r>
                </w:p>
              </w:tc>
              <w:tc>
                <w:tcPr>
                  <w:tcW w:w="733" w:type="dxa"/>
                  <w:vAlign w:val="center"/>
                </w:tcPr>
                <w:p>
                  <w:pPr>
                    <w:pStyle w:val="18"/>
                    <w:spacing w:line="400" w:lineRule="exact"/>
                    <w:ind w:left="0" w:leftChars="0"/>
                    <w:jc w:val="center"/>
                    <w:rPr>
                      <w:sz w:val="21"/>
                      <w:szCs w:val="21"/>
                    </w:rPr>
                  </w:pPr>
                  <w:r>
                    <w:rPr>
                      <w:rFonts w:hint="eastAsia"/>
                      <w:sz w:val="21"/>
                      <w:szCs w:val="21"/>
                    </w:rPr>
                    <w:t>1年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078" w:type="dxa"/>
                  <w:vMerge w:val="continue"/>
                  <w:vAlign w:val="center"/>
                </w:tcPr>
                <w:p>
                  <w:pPr>
                    <w:spacing w:line="400" w:lineRule="exact"/>
                    <w:jc w:val="center"/>
                    <w:rPr>
                      <w:szCs w:val="21"/>
                    </w:rPr>
                  </w:pPr>
                </w:p>
              </w:tc>
              <w:tc>
                <w:tcPr>
                  <w:tcW w:w="1254" w:type="dxa"/>
                  <w:vAlign w:val="center"/>
                </w:tcPr>
                <w:p>
                  <w:pPr>
                    <w:topLinePunct/>
                    <w:adjustRightInd w:val="0"/>
                    <w:snapToGrid w:val="0"/>
                    <w:spacing w:line="400" w:lineRule="exact"/>
                    <w:jc w:val="center"/>
                    <w:rPr>
                      <w:kern w:val="0"/>
                      <w:szCs w:val="21"/>
                    </w:rPr>
                  </w:pPr>
                  <w:r>
                    <w:rPr>
                      <w:rFonts w:hint="eastAsia"/>
                      <w:kern w:val="0"/>
                      <w:szCs w:val="21"/>
                    </w:rPr>
                    <w:t>废液压油</w:t>
                  </w:r>
                </w:p>
              </w:tc>
              <w:tc>
                <w:tcPr>
                  <w:tcW w:w="981" w:type="dxa"/>
                  <w:vAlign w:val="center"/>
                </w:tcPr>
                <w:p>
                  <w:pPr>
                    <w:topLinePunct/>
                    <w:adjustRightInd w:val="0"/>
                    <w:snapToGrid w:val="0"/>
                    <w:spacing w:line="400" w:lineRule="exact"/>
                    <w:jc w:val="center"/>
                    <w:rPr>
                      <w:kern w:val="0"/>
                      <w:szCs w:val="21"/>
                    </w:rPr>
                  </w:pPr>
                  <w:r>
                    <w:rPr>
                      <w:rFonts w:hint="eastAsia"/>
                      <w:kern w:val="0"/>
                      <w:szCs w:val="21"/>
                    </w:rPr>
                    <w:t>HW08</w:t>
                  </w:r>
                </w:p>
              </w:tc>
              <w:tc>
                <w:tcPr>
                  <w:tcW w:w="1258" w:type="dxa"/>
                  <w:vAlign w:val="center"/>
                </w:tcPr>
                <w:p>
                  <w:pPr>
                    <w:topLinePunct/>
                    <w:adjustRightInd w:val="0"/>
                    <w:snapToGrid w:val="0"/>
                    <w:spacing w:line="400" w:lineRule="exact"/>
                    <w:jc w:val="center"/>
                    <w:rPr>
                      <w:szCs w:val="21"/>
                    </w:rPr>
                  </w:pPr>
                  <w:r>
                    <w:rPr>
                      <w:rFonts w:hint="eastAsia"/>
                      <w:szCs w:val="21"/>
                    </w:rPr>
                    <w:t>900-218-08</w:t>
                  </w:r>
                </w:p>
              </w:tc>
              <w:tc>
                <w:tcPr>
                  <w:tcW w:w="746" w:type="dxa"/>
                  <w:vMerge w:val="continue"/>
                  <w:vAlign w:val="center"/>
                </w:tcPr>
                <w:p>
                  <w:pPr>
                    <w:pStyle w:val="18"/>
                    <w:spacing w:line="400" w:lineRule="exact"/>
                    <w:ind w:left="0" w:leftChars="0"/>
                    <w:jc w:val="center"/>
                    <w:rPr>
                      <w:sz w:val="21"/>
                      <w:szCs w:val="21"/>
                    </w:rPr>
                  </w:pPr>
                </w:p>
              </w:tc>
              <w:tc>
                <w:tcPr>
                  <w:tcW w:w="915" w:type="dxa"/>
                  <w:vMerge w:val="continue"/>
                  <w:vAlign w:val="center"/>
                </w:tcPr>
                <w:p>
                  <w:pPr>
                    <w:pStyle w:val="18"/>
                    <w:spacing w:line="400" w:lineRule="exact"/>
                    <w:ind w:left="0" w:leftChars="0"/>
                    <w:jc w:val="center"/>
                    <w:rPr>
                      <w:sz w:val="21"/>
                      <w:szCs w:val="21"/>
                    </w:rPr>
                  </w:pPr>
                </w:p>
              </w:tc>
              <w:tc>
                <w:tcPr>
                  <w:tcW w:w="1069" w:type="dxa"/>
                  <w:vMerge w:val="continue"/>
                  <w:vAlign w:val="center"/>
                </w:tcPr>
                <w:p>
                  <w:pPr>
                    <w:pStyle w:val="18"/>
                    <w:spacing w:line="400" w:lineRule="exact"/>
                    <w:ind w:left="0" w:leftChars="0"/>
                    <w:rPr>
                      <w:sz w:val="21"/>
                      <w:szCs w:val="21"/>
                    </w:rPr>
                  </w:pPr>
                </w:p>
              </w:tc>
              <w:tc>
                <w:tcPr>
                  <w:tcW w:w="939" w:type="dxa"/>
                  <w:vAlign w:val="center"/>
                </w:tcPr>
                <w:p>
                  <w:pPr>
                    <w:pStyle w:val="18"/>
                    <w:spacing w:line="400" w:lineRule="exact"/>
                    <w:ind w:left="0" w:leftChars="0"/>
                    <w:jc w:val="center"/>
                    <w:rPr>
                      <w:sz w:val="21"/>
                      <w:szCs w:val="21"/>
                    </w:rPr>
                  </w:pPr>
                  <w:r>
                    <w:rPr>
                      <w:rFonts w:hint="eastAsia"/>
                      <w:sz w:val="21"/>
                      <w:szCs w:val="21"/>
                    </w:rPr>
                    <w:t>5.0t</w:t>
                  </w:r>
                </w:p>
              </w:tc>
              <w:tc>
                <w:tcPr>
                  <w:tcW w:w="733" w:type="dxa"/>
                  <w:vAlign w:val="center"/>
                </w:tcPr>
                <w:p>
                  <w:pPr>
                    <w:pStyle w:val="18"/>
                    <w:spacing w:line="400" w:lineRule="exact"/>
                    <w:ind w:left="0" w:leftChars="0"/>
                    <w:jc w:val="center"/>
                    <w:rPr>
                      <w:sz w:val="21"/>
                      <w:szCs w:val="21"/>
                    </w:rPr>
                  </w:pPr>
                  <w:r>
                    <w:rPr>
                      <w:rFonts w:hint="eastAsia"/>
                      <w:sz w:val="21"/>
                      <w:szCs w:val="21"/>
                    </w:rPr>
                    <w:t>1年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078" w:type="dxa"/>
                  <w:vMerge w:val="continue"/>
                  <w:vAlign w:val="center"/>
                </w:tcPr>
                <w:p>
                  <w:pPr>
                    <w:spacing w:line="400" w:lineRule="exact"/>
                    <w:jc w:val="center"/>
                    <w:rPr>
                      <w:szCs w:val="21"/>
                    </w:rPr>
                  </w:pPr>
                </w:p>
              </w:tc>
              <w:tc>
                <w:tcPr>
                  <w:tcW w:w="1254" w:type="dxa"/>
                  <w:vAlign w:val="center"/>
                </w:tcPr>
                <w:p>
                  <w:pPr>
                    <w:topLinePunct/>
                    <w:adjustRightInd w:val="0"/>
                    <w:snapToGrid w:val="0"/>
                    <w:spacing w:line="400" w:lineRule="exact"/>
                    <w:jc w:val="center"/>
                    <w:rPr>
                      <w:kern w:val="0"/>
                      <w:szCs w:val="21"/>
                    </w:rPr>
                  </w:pPr>
                  <w:r>
                    <w:rPr>
                      <w:kern w:val="0"/>
                      <w:szCs w:val="21"/>
                    </w:rPr>
                    <w:t>废活性炭</w:t>
                  </w:r>
                </w:p>
              </w:tc>
              <w:tc>
                <w:tcPr>
                  <w:tcW w:w="981" w:type="dxa"/>
                  <w:vAlign w:val="center"/>
                </w:tcPr>
                <w:p>
                  <w:pPr>
                    <w:topLinePunct/>
                    <w:spacing w:line="400" w:lineRule="exact"/>
                    <w:jc w:val="center"/>
                    <w:rPr>
                      <w:kern w:val="0"/>
                      <w:szCs w:val="21"/>
                    </w:rPr>
                  </w:pPr>
                  <w:r>
                    <w:rPr>
                      <w:kern w:val="0"/>
                      <w:szCs w:val="21"/>
                    </w:rPr>
                    <w:t>HW49</w:t>
                  </w:r>
                </w:p>
              </w:tc>
              <w:tc>
                <w:tcPr>
                  <w:tcW w:w="1258" w:type="dxa"/>
                  <w:vAlign w:val="center"/>
                </w:tcPr>
                <w:p>
                  <w:pPr>
                    <w:topLinePunct/>
                    <w:spacing w:line="400" w:lineRule="exact"/>
                    <w:jc w:val="center"/>
                    <w:rPr>
                      <w:szCs w:val="21"/>
                    </w:rPr>
                  </w:pPr>
                  <w:r>
                    <w:rPr>
                      <w:kern w:val="0"/>
                      <w:szCs w:val="21"/>
                    </w:rPr>
                    <w:t>900-0</w:t>
                  </w:r>
                  <w:r>
                    <w:rPr>
                      <w:rFonts w:hint="eastAsia"/>
                      <w:kern w:val="0"/>
                      <w:szCs w:val="21"/>
                    </w:rPr>
                    <w:t>39</w:t>
                  </w:r>
                  <w:r>
                    <w:rPr>
                      <w:kern w:val="0"/>
                      <w:szCs w:val="21"/>
                    </w:rPr>
                    <w:t>-49</w:t>
                  </w:r>
                </w:p>
              </w:tc>
              <w:tc>
                <w:tcPr>
                  <w:tcW w:w="746" w:type="dxa"/>
                  <w:vMerge w:val="continue"/>
                  <w:vAlign w:val="center"/>
                </w:tcPr>
                <w:p>
                  <w:pPr>
                    <w:pStyle w:val="18"/>
                    <w:spacing w:line="400" w:lineRule="exact"/>
                    <w:ind w:left="0" w:leftChars="0"/>
                    <w:jc w:val="center"/>
                    <w:rPr>
                      <w:sz w:val="21"/>
                      <w:szCs w:val="21"/>
                    </w:rPr>
                  </w:pPr>
                </w:p>
              </w:tc>
              <w:tc>
                <w:tcPr>
                  <w:tcW w:w="915" w:type="dxa"/>
                  <w:vMerge w:val="continue"/>
                  <w:vAlign w:val="center"/>
                </w:tcPr>
                <w:p>
                  <w:pPr>
                    <w:pStyle w:val="18"/>
                    <w:spacing w:line="400" w:lineRule="exact"/>
                    <w:ind w:left="0" w:leftChars="0"/>
                    <w:jc w:val="center"/>
                    <w:rPr>
                      <w:sz w:val="21"/>
                      <w:szCs w:val="21"/>
                    </w:rPr>
                  </w:pPr>
                </w:p>
              </w:tc>
              <w:tc>
                <w:tcPr>
                  <w:tcW w:w="1069" w:type="dxa"/>
                  <w:vMerge w:val="continue"/>
                  <w:vAlign w:val="center"/>
                </w:tcPr>
                <w:p>
                  <w:pPr>
                    <w:pStyle w:val="18"/>
                    <w:spacing w:line="400" w:lineRule="exact"/>
                    <w:ind w:left="0" w:leftChars="0"/>
                    <w:rPr>
                      <w:sz w:val="21"/>
                      <w:szCs w:val="21"/>
                    </w:rPr>
                  </w:pPr>
                </w:p>
              </w:tc>
              <w:tc>
                <w:tcPr>
                  <w:tcW w:w="939" w:type="dxa"/>
                  <w:vAlign w:val="center"/>
                </w:tcPr>
                <w:p>
                  <w:pPr>
                    <w:pStyle w:val="18"/>
                    <w:spacing w:line="400" w:lineRule="exact"/>
                    <w:ind w:left="0" w:leftChars="0"/>
                    <w:jc w:val="center"/>
                    <w:rPr>
                      <w:sz w:val="21"/>
                      <w:szCs w:val="21"/>
                    </w:rPr>
                  </w:pPr>
                  <w:r>
                    <w:rPr>
                      <w:rFonts w:hint="eastAsia"/>
                      <w:sz w:val="21"/>
                      <w:szCs w:val="21"/>
                    </w:rPr>
                    <w:t>3.0t</w:t>
                  </w:r>
                </w:p>
              </w:tc>
              <w:tc>
                <w:tcPr>
                  <w:tcW w:w="733" w:type="dxa"/>
                  <w:vAlign w:val="center"/>
                </w:tcPr>
                <w:p>
                  <w:pPr>
                    <w:pStyle w:val="18"/>
                    <w:spacing w:line="400" w:lineRule="exact"/>
                    <w:ind w:left="0" w:leftChars="0"/>
                    <w:jc w:val="center"/>
                    <w:rPr>
                      <w:sz w:val="21"/>
                      <w:szCs w:val="21"/>
                    </w:rPr>
                  </w:pPr>
                  <w:r>
                    <w:rPr>
                      <w:rFonts w:hint="eastAsia"/>
                      <w:sz w:val="21"/>
                      <w:szCs w:val="21"/>
                    </w:rPr>
                    <w:t>1年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078" w:type="dxa"/>
                  <w:vMerge w:val="continue"/>
                  <w:vAlign w:val="center"/>
                </w:tcPr>
                <w:p>
                  <w:pPr>
                    <w:spacing w:line="400" w:lineRule="exact"/>
                    <w:jc w:val="center"/>
                    <w:rPr>
                      <w:szCs w:val="21"/>
                    </w:rPr>
                  </w:pPr>
                </w:p>
              </w:tc>
              <w:tc>
                <w:tcPr>
                  <w:tcW w:w="1254" w:type="dxa"/>
                  <w:vAlign w:val="center"/>
                </w:tcPr>
                <w:p>
                  <w:pPr>
                    <w:topLinePunct/>
                    <w:adjustRightInd w:val="0"/>
                    <w:snapToGrid w:val="0"/>
                    <w:spacing w:line="400" w:lineRule="exact"/>
                    <w:jc w:val="center"/>
                    <w:rPr>
                      <w:b/>
                      <w:kern w:val="0"/>
                      <w:szCs w:val="21"/>
                      <w:u w:val="single"/>
                    </w:rPr>
                  </w:pPr>
                  <w:r>
                    <w:rPr>
                      <w:rFonts w:hint="eastAsia"/>
                      <w:b/>
                      <w:kern w:val="0"/>
                      <w:szCs w:val="21"/>
                      <w:u w:val="single"/>
                    </w:rPr>
                    <w:t>废UV灯管</w:t>
                  </w:r>
                </w:p>
              </w:tc>
              <w:tc>
                <w:tcPr>
                  <w:tcW w:w="981" w:type="dxa"/>
                  <w:vAlign w:val="center"/>
                </w:tcPr>
                <w:p>
                  <w:pPr>
                    <w:topLinePunct/>
                    <w:adjustRightInd w:val="0"/>
                    <w:snapToGrid w:val="0"/>
                    <w:spacing w:line="400" w:lineRule="exact"/>
                    <w:jc w:val="center"/>
                    <w:rPr>
                      <w:b/>
                      <w:kern w:val="0"/>
                      <w:szCs w:val="21"/>
                      <w:u w:val="single"/>
                    </w:rPr>
                  </w:pPr>
                  <w:r>
                    <w:rPr>
                      <w:b/>
                      <w:kern w:val="0"/>
                      <w:szCs w:val="21"/>
                      <w:u w:val="single"/>
                    </w:rPr>
                    <w:t>HW</w:t>
                  </w:r>
                  <w:r>
                    <w:rPr>
                      <w:rFonts w:hint="eastAsia"/>
                      <w:b/>
                      <w:kern w:val="0"/>
                      <w:szCs w:val="21"/>
                      <w:u w:val="single"/>
                    </w:rPr>
                    <w:t>2</w:t>
                  </w:r>
                  <w:r>
                    <w:rPr>
                      <w:b/>
                      <w:kern w:val="0"/>
                      <w:szCs w:val="21"/>
                      <w:u w:val="single"/>
                    </w:rPr>
                    <w:t>9</w:t>
                  </w:r>
                </w:p>
              </w:tc>
              <w:tc>
                <w:tcPr>
                  <w:tcW w:w="1258" w:type="dxa"/>
                  <w:vAlign w:val="center"/>
                </w:tcPr>
                <w:p>
                  <w:pPr>
                    <w:topLinePunct/>
                    <w:adjustRightInd w:val="0"/>
                    <w:snapToGrid w:val="0"/>
                    <w:spacing w:line="400" w:lineRule="exact"/>
                    <w:jc w:val="center"/>
                    <w:rPr>
                      <w:b/>
                      <w:szCs w:val="21"/>
                      <w:u w:val="single"/>
                    </w:rPr>
                  </w:pPr>
                  <w:r>
                    <w:rPr>
                      <w:b/>
                      <w:szCs w:val="21"/>
                      <w:u w:val="single"/>
                    </w:rPr>
                    <w:t>900-023-29</w:t>
                  </w:r>
                </w:p>
              </w:tc>
              <w:tc>
                <w:tcPr>
                  <w:tcW w:w="746" w:type="dxa"/>
                  <w:vMerge w:val="continue"/>
                  <w:vAlign w:val="center"/>
                </w:tcPr>
                <w:p>
                  <w:pPr>
                    <w:pStyle w:val="18"/>
                    <w:spacing w:line="400" w:lineRule="exact"/>
                    <w:ind w:left="0" w:leftChars="0"/>
                    <w:jc w:val="center"/>
                    <w:rPr>
                      <w:b/>
                      <w:sz w:val="21"/>
                      <w:szCs w:val="21"/>
                      <w:u w:val="single"/>
                    </w:rPr>
                  </w:pPr>
                </w:p>
              </w:tc>
              <w:tc>
                <w:tcPr>
                  <w:tcW w:w="915" w:type="dxa"/>
                  <w:vMerge w:val="continue"/>
                  <w:vAlign w:val="center"/>
                </w:tcPr>
                <w:p>
                  <w:pPr>
                    <w:pStyle w:val="18"/>
                    <w:spacing w:line="400" w:lineRule="exact"/>
                    <w:ind w:left="0" w:leftChars="0"/>
                    <w:jc w:val="center"/>
                    <w:rPr>
                      <w:b/>
                      <w:sz w:val="21"/>
                      <w:szCs w:val="21"/>
                      <w:u w:val="single"/>
                    </w:rPr>
                  </w:pPr>
                </w:p>
              </w:tc>
              <w:tc>
                <w:tcPr>
                  <w:tcW w:w="1069" w:type="dxa"/>
                  <w:vMerge w:val="continue"/>
                  <w:vAlign w:val="center"/>
                </w:tcPr>
                <w:p>
                  <w:pPr>
                    <w:pStyle w:val="18"/>
                    <w:spacing w:line="400" w:lineRule="exact"/>
                    <w:ind w:left="0" w:leftChars="0"/>
                    <w:rPr>
                      <w:b/>
                      <w:sz w:val="21"/>
                      <w:szCs w:val="21"/>
                      <w:u w:val="single"/>
                    </w:rPr>
                  </w:pPr>
                </w:p>
              </w:tc>
              <w:tc>
                <w:tcPr>
                  <w:tcW w:w="939" w:type="dxa"/>
                  <w:vAlign w:val="center"/>
                </w:tcPr>
                <w:p>
                  <w:pPr>
                    <w:pStyle w:val="18"/>
                    <w:spacing w:line="400" w:lineRule="exact"/>
                    <w:ind w:left="0" w:leftChars="0"/>
                    <w:jc w:val="center"/>
                    <w:rPr>
                      <w:b/>
                      <w:sz w:val="21"/>
                      <w:szCs w:val="21"/>
                      <w:u w:val="single"/>
                    </w:rPr>
                  </w:pPr>
                  <w:r>
                    <w:rPr>
                      <w:rFonts w:hint="eastAsia"/>
                      <w:b/>
                      <w:sz w:val="21"/>
                      <w:szCs w:val="21"/>
                      <w:u w:val="single"/>
                    </w:rPr>
                    <w:t>0.1t</w:t>
                  </w:r>
                </w:p>
              </w:tc>
              <w:tc>
                <w:tcPr>
                  <w:tcW w:w="733" w:type="dxa"/>
                  <w:vAlign w:val="center"/>
                </w:tcPr>
                <w:p>
                  <w:pPr>
                    <w:pStyle w:val="18"/>
                    <w:spacing w:line="400" w:lineRule="exact"/>
                    <w:ind w:left="0" w:leftChars="0"/>
                    <w:jc w:val="center"/>
                    <w:rPr>
                      <w:b/>
                      <w:sz w:val="21"/>
                      <w:szCs w:val="21"/>
                      <w:u w:val="single"/>
                    </w:rPr>
                  </w:pPr>
                  <w:r>
                    <w:rPr>
                      <w:rFonts w:hint="eastAsia"/>
                      <w:b/>
                      <w:sz w:val="21"/>
                      <w:szCs w:val="21"/>
                      <w:u w:val="single"/>
                    </w:rPr>
                    <w:t>1年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078" w:type="dxa"/>
                  <w:vMerge w:val="continue"/>
                  <w:vAlign w:val="center"/>
                </w:tcPr>
                <w:p>
                  <w:pPr>
                    <w:spacing w:line="400" w:lineRule="exact"/>
                    <w:jc w:val="center"/>
                    <w:rPr>
                      <w:szCs w:val="21"/>
                    </w:rPr>
                  </w:pPr>
                </w:p>
              </w:tc>
              <w:tc>
                <w:tcPr>
                  <w:tcW w:w="1254" w:type="dxa"/>
                  <w:vAlign w:val="center"/>
                </w:tcPr>
                <w:p>
                  <w:pPr>
                    <w:topLinePunct/>
                    <w:adjustRightInd w:val="0"/>
                    <w:snapToGrid w:val="0"/>
                    <w:spacing w:line="400" w:lineRule="exact"/>
                    <w:jc w:val="center"/>
                    <w:rPr>
                      <w:kern w:val="0"/>
                      <w:szCs w:val="21"/>
                    </w:rPr>
                  </w:pPr>
                  <w:r>
                    <w:rPr>
                      <w:rFonts w:hint="eastAsia"/>
                      <w:kern w:val="0"/>
                      <w:szCs w:val="21"/>
                    </w:rPr>
                    <w:t>废抹布</w:t>
                  </w:r>
                </w:p>
              </w:tc>
              <w:tc>
                <w:tcPr>
                  <w:tcW w:w="981" w:type="dxa"/>
                  <w:vAlign w:val="center"/>
                </w:tcPr>
                <w:p>
                  <w:pPr>
                    <w:topLinePunct/>
                    <w:adjustRightInd w:val="0"/>
                    <w:snapToGrid w:val="0"/>
                    <w:spacing w:line="400" w:lineRule="exact"/>
                    <w:jc w:val="center"/>
                    <w:rPr>
                      <w:kern w:val="0"/>
                      <w:szCs w:val="21"/>
                    </w:rPr>
                  </w:pPr>
                  <w:r>
                    <w:rPr>
                      <w:kern w:val="0"/>
                      <w:szCs w:val="21"/>
                    </w:rPr>
                    <w:t>HW</w:t>
                  </w:r>
                  <w:r>
                    <w:rPr>
                      <w:rFonts w:hint="eastAsia"/>
                      <w:kern w:val="0"/>
                      <w:szCs w:val="21"/>
                    </w:rPr>
                    <w:t>49</w:t>
                  </w:r>
                </w:p>
              </w:tc>
              <w:tc>
                <w:tcPr>
                  <w:tcW w:w="1258" w:type="dxa"/>
                  <w:vAlign w:val="center"/>
                </w:tcPr>
                <w:p>
                  <w:pPr>
                    <w:topLinePunct/>
                    <w:adjustRightInd w:val="0"/>
                    <w:snapToGrid w:val="0"/>
                    <w:spacing w:line="400" w:lineRule="exact"/>
                    <w:jc w:val="center"/>
                    <w:rPr>
                      <w:kern w:val="0"/>
                      <w:szCs w:val="21"/>
                    </w:rPr>
                  </w:pPr>
                  <w:r>
                    <w:rPr>
                      <w:kern w:val="0"/>
                      <w:szCs w:val="21"/>
                    </w:rPr>
                    <w:t>900-</w:t>
                  </w:r>
                  <w:r>
                    <w:rPr>
                      <w:rFonts w:hint="eastAsia"/>
                      <w:kern w:val="0"/>
                      <w:szCs w:val="21"/>
                    </w:rPr>
                    <w:t>041</w:t>
                  </w:r>
                  <w:r>
                    <w:rPr>
                      <w:kern w:val="0"/>
                      <w:szCs w:val="21"/>
                    </w:rPr>
                    <w:t>-</w:t>
                  </w:r>
                  <w:r>
                    <w:rPr>
                      <w:rFonts w:hint="eastAsia"/>
                      <w:kern w:val="0"/>
                      <w:szCs w:val="21"/>
                    </w:rPr>
                    <w:t>49</w:t>
                  </w:r>
                </w:p>
              </w:tc>
              <w:tc>
                <w:tcPr>
                  <w:tcW w:w="746" w:type="dxa"/>
                  <w:vMerge w:val="continue"/>
                  <w:vAlign w:val="center"/>
                </w:tcPr>
                <w:p>
                  <w:pPr>
                    <w:pStyle w:val="18"/>
                    <w:spacing w:line="400" w:lineRule="exact"/>
                    <w:ind w:left="0" w:leftChars="0"/>
                    <w:jc w:val="center"/>
                    <w:rPr>
                      <w:sz w:val="21"/>
                      <w:szCs w:val="21"/>
                    </w:rPr>
                  </w:pPr>
                </w:p>
              </w:tc>
              <w:tc>
                <w:tcPr>
                  <w:tcW w:w="915" w:type="dxa"/>
                  <w:vMerge w:val="continue"/>
                  <w:vAlign w:val="center"/>
                </w:tcPr>
                <w:p>
                  <w:pPr>
                    <w:pStyle w:val="18"/>
                    <w:spacing w:line="400" w:lineRule="exact"/>
                    <w:ind w:left="0" w:leftChars="0"/>
                    <w:jc w:val="center"/>
                    <w:rPr>
                      <w:sz w:val="21"/>
                      <w:szCs w:val="21"/>
                    </w:rPr>
                  </w:pPr>
                </w:p>
              </w:tc>
              <w:tc>
                <w:tcPr>
                  <w:tcW w:w="1069" w:type="dxa"/>
                  <w:vMerge w:val="continue"/>
                  <w:vAlign w:val="center"/>
                </w:tcPr>
                <w:p>
                  <w:pPr>
                    <w:pStyle w:val="18"/>
                    <w:spacing w:line="400" w:lineRule="exact"/>
                    <w:ind w:left="0" w:leftChars="0"/>
                    <w:rPr>
                      <w:sz w:val="21"/>
                      <w:szCs w:val="21"/>
                    </w:rPr>
                  </w:pPr>
                </w:p>
              </w:tc>
              <w:tc>
                <w:tcPr>
                  <w:tcW w:w="939" w:type="dxa"/>
                  <w:vAlign w:val="center"/>
                </w:tcPr>
                <w:p>
                  <w:pPr>
                    <w:topLinePunct/>
                    <w:adjustRightInd w:val="0"/>
                    <w:snapToGrid w:val="0"/>
                    <w:spacing w:line="400" w:lineRule="exact"/>
                    <w:jc w:val="center"/>
                    <w:rPr>
                      <w:kern w:val="0"/>
                      <w:szCs w:val="21"/>
                    </w:rPr>
                  </w:pPr>
                  <w:r>
                    <w:rPr>
                      <w:rFonts w:hint="eastAsia"/>
                      <w:kern w:val="0"/>
                      <w:szCs w:val="21"/>
                    </w:rPr>
                    <w:t>1.0t</w:t>
                  </w:r>
                </w:p>
              </w:tc>
              <w:tc>
                <w:tcPr>
                  <w:tcW w:w="733" w:type="dxa"/>
                  <w:vAlign w:val="center"/>
                </w:tcPr>
                <w:p>
                  <w:pPr>
                    <w:topLinePunct/>
                    <w:adjustRightInd w:val="0"/>
                    <w:snapToGrid w:val="0"/>
                    <w:spacing w:line="400" w:lineRule="exact"/>
                    <w:jc w:val="center"/>
                    <w:rPr>
                      <w:kern w:val="0"/>
                      <w:szCs w:val="21"/>
                    </w:rPr>
                  </w:pPr>
                  <w:r>
                    <w:rPr>
                      <w:rFonts w:hint="eastAsia"/>
                      <w:kern w:val="0"/>
                      <w:szCs w:val="21"/>
                    </w:rPr>
                    <w:t>1年</w:t>
                  </w:r>
                </w:p>
              </w:tc>
            </w:tr>
          </w:tbl>
          <w:p>
            <w:pPr>
              <w:pStyle w:val="100"/>
            </w:pPr>
            <w:r>
              <w:t xml:space="preserve">4.3 </w:t>
            </w:r>
            <w:r>
              <w:rPr>
                <w:rFonts w:hint="eastAsia"/>
              </w:rPr>
              <w:t xml:space="preserve">处置去向及环境管理要求 </w:t>
            </w:r>
          </w:p>
          <w:p>
            <w:pPr>
              <w:widowControl/>
              <w:spacing w:line="520" w:lineRule="exact"/>
              <w:ind w:firstLine="480" w:firstLineChars="200"/>
              <w:jc w:val="left"/>
            </w:pPr>
            <w:r>
              <w:rPr>
                <w:rFonts w:hint="eastAsia" w:ascii="宋体" w:hAnsi="宋体" w:cs="宋体"/>
                <w:kern w:val="0"/>
                <w:sz w:val="24"/>
              </w:rPr>
              <w:t>项目各类危险废物经专用容器收集后，暂存于厂内危废暂存间，定期交由有资质单位进行处置。</w:t>
            </w:r>
          </w:p>
          <w:p>
            <w:pPr>
              <w:widowControl/>
              <w:spacing w:line="520" w:lineRule="exact"/>
              <w:ind w:firstLine="480" w:firstLineChars="200"/>
              <w:jc w:val="left"/>
            </w:pPr>
            <w:r>
              <w:rPr>
                <w:rFonts w:hint="eastAsia" w:ascii="宋体" w:hAnsi="宋体" w:cs="宋体"/>
                <w:kern w:val="0"/>
                <w:sz w:val="24"/>
              </w:rPr>
              <w:t>（</w:t>
            </w:r>
            <w:r>
              <w:rPr>
                <w:kern w:val="0"/>
                <w:sz w:val="24"/>
              </w:rPr>
              <w:t>1</w:t>
            </w:r>
            <w:r>
              <w:rPr>
                <w:rFonts w:hint="eastAsia" w:ascii="宋体" w:hAnsi="宋体" w:cs="宋体"/>
                <w:kern w:val="0"/>
                <w:sz w:val="24"/>
              </w:rPr>
              <w:t xml:space="preserve">）危险废物收集 </w:t>
            </w:r>
          </w:p>
          <w:p>
            <w:pPr>
              <w:widowControl/>
              <w:spacing w:line="520" w:lineRule="exact"/>
              <w:ind w:firstLine="480" w:firstLineChars="200"/>
              <w:jc w:val="left"/>
            </w:pPr>
            <w:r>
              <w:rPr>
                <w:rFonts w:hint="eastAsia" w:ascii="宋体" w:hAnsi="宋体" w:cs="宋体"/>
                <w:kern w:val="0"/>
                <w:sz w:val="24"/>
              </w:rPr>
              <w:t>项目危险废物的收集包括两个方面：一是在危险废物产生节点将废活性炭、废包装桶、废</w:t>
            </w:r>
            <w:r>
              <w:rPr>
                <w:rFonts w:hint="eastAsia"/>
                <w:kern w:val="0"/>
                <w:sz w:val="24"/>
              </w:rPr>
              <w:t>液压油、废抹布等</w:t>
            </w:r>
            <w:r>
              <w:rPr>
                <w:rFonts w:hint="eastAsia" w:ascii="宋体" w:hAnsi="宋体" w:cs="宋体"/>
                <w:kern w:val="0"/>
                <w:sz w:val="24"/>
              </w:rPr>
              <w:t>集中到适当的包装容器中或车辆上的活动；二是将已包装或装到运输车辆上的塑料容器、铁质密闭容器集中到危险废物暂存仓库的内部转运。项目危废的收集须严格按照《危险废物收集贮存运输技术规范》（</w:t>
            </w:r>
            <w:r>
              <w:rPr>
                <w:kern w:val="0"/>
                <w:sz w:val="24"/>
              </w:rPr>
              <w:t>HJ2025-2012</w:t>
            </w:r>
            <w:r>
              <w:rPr>
                <w:rFonts w:hint="eastAsia" w:ascii="宋体" w:hAnsi="宋体" w:cs="宋体"/>
                <w:kern w:val="0"/>
                <w:sz w:val="24"/>
              </w:rPr>
              <w:t>）的要求：</w:t>
            </w:r>
          </w:p>
          <w:p>
            <w:pPr>
              <w:widowControl/>
              <w:spacing w:line="520" w:lineRule="exact"/>
              <w:ind w:firstLine="480" w:firstLineChars="200"/>
              <w:jc w:val="left"/>
            </w:pPr>
            <w:r>
              <w:rPr>
                <w:rFonts w:hint="eastAsia" w:ascii="宋体" w:hAnsi="宋体" w:cs="宋体"/>
                <w:kern w:val="0"/>
                <w:sz w:val="24"/>
              </w:rPr>
              <w:t>①根据危险废物产生的工艺特征、排放周期、特性、管理计划等因素制定详细的收集计划。</w:t>
            </w:r>
          </w:p>
          <w:p>
            <w:pPr>
              <w:widowControl/>
              <w:spacing w:line="520" w:lineRule="exact"/>
              <w:ind w:firstLine="480" w:firstLineChars="200"/>
              <w:jc w:val="left"/>
            </w:pPr>
            <w:r>
              <w:rPr>
                <w:rFonts w:hint="eastAsia" w:ascii="宋体" w:hAnsi="宋体" w:cs="宋体"/>
                <w:kern w:val="0"/>
                <w:sz w:val="24"/>
              </w:rPr>
              <w:t xml:space="preserve">②制定危废收集操作规程，内容包括：适用范围、操作程序和方法、专用设备和工具、转移和交接、安全保障和应急防护等。 </w:t>
            </w:r>
          </w:p>
          <w:p>
            <w:pPr>
              <w:widowControl/>
              <w:spacing w:line="520" w:lineRule="exact"/>
              <w:ind w:firstLine="480" w:firstLineChars="200"/>
              <w:jc w:val="left"/>
            </w:pPr>
            <w:r>
              <w:rPr>
                <w:rFonts w:hint="eastAsia" w:ascii="宋体" w:hAnsi="宋体" w:cs="宋体"/>
                <w:kern w:val="0"/>
                <w:sz w:val="24"/>
              </w:rPr>
              <w:t>③危废收集和转运作业人员根据工作需要配备必要的个人防护装备，如手套、口罩等。</w:t>
            </w:r>
          </w:p>
          <w:p>
            <w:pPr>
              <w:widowControl/>
              <w:spacing w:line="520" w:lineRule="exact"/>
              <w:ind w:firstLine="480" w:firstLineChars="200"/>
              <w:jc w:val="left"/>
            </w:pPr>
            <w:r>
              <w:rPr>
                <w:rFonts w:hint="eastAsia" w:ascii="宋体" w:hAnsi="宋体" w:cs="宋体"/>
                <w:kern w:val="0"/>
                <w:sz w:val="24"/>
              </w:rPr>
              <w:t>（</w:t>
            </w:r>
            <w:r>
              <w:rPr>
                <w:kern w:val="0"/>
                <w:sz w:val="24"/>
              </w:rPr>
              <w:t>2</w:t>
            </w:r>
            <w:r>
              <w:rPr>
                <w:rFonts w:hint="eastAsia" w:ascii="宋体" w:hAnsi="宋体" w:cs="宋体"/>
                <w:kern w:val="0"/>
                <w:sz w:val="24"/>
              </w:rPr>
              <w:t>）危险废物暂存间要求</w:t>
            </w:r>
          </w:p>
          <w:p>
            <w:pPr>
              <w:widowControl/>
              <w:spacing w:line="520" w:lineRule="exact"/>
              <w:ind w:firstLine="480" w:firstLineChars="200"/>
              <w:jc w:val="left"/>
            </w:pPr>
            <w:r>
              <w:rPr>
                <w:rFonts w:hint="eastAsia" w:ascii="宋体" w:hAnsi="宋体" w:cs="宋体"/>
                <w:kern w:val="0"/>
                <w:sz w:val="24"/>
              </w:rPr>
              <w:t>①危废储存库地面基础应采取防渗，地面、墙裙基础建设环氧树脂防渗地坪，暂存场所达到防渗漏、防流失、防扬散、防雨淋的要求；危废暂存间内要有安全照明设施和观察窗口。</w:t>
            </w:r>
          </w:p>
          <w:p>
            <w:pPr>
              <w:spacing w:line="520" w:lineRule="exact"/>
              <w:ind w:firstLine="480" w:firstLineChars="200"/>
              <w:rPr>
                <w:sz w:val="24"/>
                <w:szCs w:val="22"/>
              </w:rPr>
            </w:pPr>
            <w:r>
              <w:rPr>
                <w:rFonts w:hint="eastAsia"/>
                <w:sz w:val="24"/>
                <w:szCs w:val="22"/>
              </w:rPr>
              <w:t xml:space="preserve">②企业须配备专业技术人员和管理人员专门负责企业危险废物的统计、收集、暂存、转运和管理工作，作好危废情况的记录，并即时存档以备查阅。 </w:t>
            </w:r>
          </w:p>
          <w:p>
            <w:pPr>
              <w:spacing w:line="520" w:lineRule="exact"/>
              <w:ind w:firstLine="480" w:firstLineChars="200"/>
              <w:rPr>
                <w:sz w:val="24"/>
                <w:szCs w:val="22"/>
              </w:rPr>
            </w:pPr>
            <w:r>
              <w:rPr>
                <w:rFonts w:hint="eastAsia"/>
                <w:sz w:val="24"/>
                <w:szCs w:val="22"/>
              </w:rPr>
              <w:t xml:space="preserve">③危险废物在危废库房内暂存期间应严格按照《危险废物贮存污染控制标准》（GB18596-2023）和《危险废物收集贮存运输技术规范》（HJ 2025-2012）的相关要求进行存储和管理。铁质密闭容器贮存前应进行检验，并登记注册，不得接收未粘贴符合规定的标签或标签没按规定填写的危废；必须定期对所贮存的危废设施进行检查，发现破损，应及时采取措施。 </w:t>
            </w:r>
          </w:p>
          <w:p>
            <w:pPr>
              <w:numPr>
                <w:ilvl w:val="0"/>
                <w:numId w:val="1"/>
              </w:numPr>
              <w:spacing w:line="520" w:lineRule="exact"/>
              <w:ind w:firstLine="480" w:firstLineChars="200"/>
              <w:rPr>
                <w:sz w:val="24"/>
                <w:szCs w:val="22"/>
              </w:rPr>
            </w:pPr>
            <w:r>
              <w:rPr>
                <w:rFonts w:hint="eastAsia"/>
                <w:sz w:val="24"/>
                <w:szCs w:val="22"/>
              </w:rPr>
              <w:t xml:space="preserve">危险废物转运 </w:t>
            </w:r>
          </w:p>
          <w:p>
            <w:pPr>
              <w:spacing w:line="520" w:lineRule="exact"/>
              <w:ind w:firstLine="480" w:firstLineChars="200"/>
              <w:rPr>
                <w:sz w:val="24"/>
                <w:szCs w:val="22"/>
              </w:rPr>
            </w:pPr>
            <w:r>
              <w:rPr>
                <w:rFonts w:hint="eastAsia"/>
                <w:sz w:val="24"/>
                <w:szCs w:val="22"/>
              </w:rPr>
              <w:t xml:space="preserve">危险废物转移过程中，废活性炭要求采用不透风的塑料包装袋作为内衬对其进行转移。严格执行《危险废物转移电子联单管理办法（试行）》，塑料容器、铁质密闭容器转移必须实行电子联单制度。危险废物转移电子联单通过《物联网系统》实现。危废运至接受单位后，运输单位将随车携带的纸质联单交接受单位，危废接受单位照联单内容对塑料容器、铁质密闭容器核实验收，通过扫描电子联单条码进行接受确认。 </w:t>
            </w:r>
          </w:p>
          <w:p>
            <w:pPr>
              <w:spacing w:line="520" w:lineRule="exact"/>
              <w:ind w:firstLine="480" w:firstLineChars="200"/>
              <w:rPr>
                <w:sz w:val="24"/>
                <w:szCs w:val="22"/>
              </w:rPr>
            </w:pPr>
            <w:r>
              <w:rPr>
                <w:rFonts w:hint="eastAsia"/>
                <w:sz w:val="24"/>
                <w:szCs w:val="22"/>
              </w:rPr>
              <w:t>综上所述，项目危险废物的收集、贮存和转运环节严格按照《危险废物贮存污染控制标准》（GB18597-2023）、《危险废物收集贮存运输技术规范》（HJ2025-2012）等相关规范进行。在加强并落实好各项污染防治措施和安全处置措施的前提下，项目产生的固体废物对周围环境影响较小。</w:t>
            </w:r>
          </w:p>
          <w:p>
            <w:pPr>
              <w:pStyle w:val="91"/>
              <w:rPr>
                <w:color w:val="auto"/>
              </w:rPr>
            </w:pPr>
            <w:r>
              <w:rPr>
                <w:rFonts w:hint="eastAsia"/>
                <w:color w:val="auto"/>
              </w:rPr>
              <w:t>5、地下水、土壤</w:t>
            </w:r>
          </w:p>
          <w:p>
            <w:pPr>
              <w:pStyle w:val="100"/>
            </w:pPr>
            <w:r>
              <w:t>5.1分区防控措施</w:t>
            </w:r>
          </w:p>
          <w:p>
            <w:pPr>
              <w:pStyle w:val="51"/>
              <w:ind w:firstLine="480"/>
            </w:pPr>
            <w:r>
              <w:t>项目各生产车间内均设置单独的固废堆存区，地面硬化；厂区设置有危废暂存间，按照《危险废物贮存污染控制标准》的要求进行设计、施工；生活垃圾均设置垃圾收集桶，定点收集。厂内化粪池池壁采用高标号的防水混凝土，内壁涂防水涂料，满足防渗要求。</w:t>
            </w:r>
          </w:p>
          <w:p>
            <w:pPr>
              <w:pStyle w:val="100"/>
            </w:pPr>
            <w:r>
              <w:t>5.2对环境的影响</w:t>
            </w:r>
          </w:p>
          <w:p>
            <w:pPr>
              <w:pStyle w:val="51"/>
              <w:ind w:firstLine="480"/>
            </w:pPr>
            <w:r>
              <w:t>经采取措施后，本项目对地下水的影响很小。</w:t>
            </w:r>
          </w:p>
          <w:p>
            <w:pPr>
              <w:pStyle w:val="91"/>
              <w:rPr>
                <w:color w:val="auto"/>
              </w:rPr>
            </w:pPr>
            <w:r>
              <w:rPr>
                <w:rFonts w:hint="eastAsia"/>
                <w:color w:val="auto"/>
              </w:rPr>
              <w:t>6、生态</w:t>
            </w:r>
          </w:p>
          <w:p>
            <w:pPr>
              <w:pStyle w:val="73"/>
              <w:ind w:firstLine="480"/>
            </w:pPr>
            <w:r>
              <w:rPr>
                <w:bCs/>
              </w:rPr>
              <w:t>本项目周围主要为人工生态系统，运营期主要污染物为</w:t>
            </w:r>
            <w:r>
              <w:rPr>
                <w:rFonts w:hint="eastAsia"/>
                <w:bCs/>
              </w:rPr>
              <w:t>废气、废水、</w:t>
            </w:r>
            <w:r>
              <w:rPr>
                <w:bCs/>
              </w:rPr>
              <w:t>噪声</w:t>
            </w:r>
            <w:r>
              <w:rPr>
                <w:rFonts w:hint="eastAsia"/>
                <w:bCs/>
              </w:rPr>
              <w:t>和固废</w:t>
            </w:r>
            <w:r>
              <w:rPr>
                <w:bCs/>
              </w:rPr>
              <w:t>，</w:t>
            </w:r>
            <w:r>
              <w:rPr>
                <w:rFonts w:hint="eastAsia"/>
                <w:bCs/>
              </w:rPr>
              <w:t>经污染防治措施处理后</w:t>
            </w:r>
            <w:r>
              <w:rPr>
                <w:bCs/>
              </w:rPr>
              <w:t>，</w:t>
            </w:r>
            <w:r>
              <w:t>本项目对厂址所在区域生态环境不会产生大的影响。</w:t>
            </w:r>
          </w:p>
          <w:p>
            <w:pPr>
              <w:pStyle w:val="91"/>
              <w:rPr>
                <w:color w:val="auto"/>
              </w:rPr>
            </w:pPr>
            <w:r>
              <w:rPr>
                <w:rFonts w:hint="eastAsia"/>
                <w:color w:val="auto"/>
              </w:rPr>
              <w:t>7、环境风险</w:t>
            </w:r>
          </w:p>
          <w:p>
            <w:pPr>
              <w:pStyle w:val="51"/>
              <w:ind w:firstLine="480"/>
            </w:pPr>
            <w:r>
              <w:rPr>
                <w:rFonts w:hint="eastAsia"/>
              </w:rPr>
              <w:t>（1）</w:t>
            </w:r>
            <w:r>
              <w:rPr>
                <w:rFonts w:hint="eastAsia" w:cs="宋体"/>
              </w:rPr>
              <w:t>主要危险物质及分布</w:t>
            </w:r>
          </w:p>
          <w:p>
            <w:pPr>
              <w:pStyle w:val="99"/>
              <w:ind w:firstLine="480"/>
              <w:rPr>
                <w:rFonts w:ascii="宋体" w:hAnsi="宋体"/>
              </w:rPr>
            </w:pPr>
            <w:r>
              <w:rPr>
                <w:rFonts w:hint="eastAsia" w:cs="宋体"/>
              </w:rPr>
              <w:t>根据《建设项目环境风险评价技术导则》（HJ/T169-2018）附录B进行本项目危险物质识别，</w:t>
            </w:r>
            <w:r>
              <w:rPr>
                <w:bCs/>
              </w:rPr>
              <w:t>本</w:t>
            </w:r>
            <w:r>
              <w:rPr>
                <w:lang w:val="zh-CN"/>
              </w:rPr>
              <w:t>项目主要风险物质为</w:t>
            </w:r>
            <w:r>
              <w:rPr>
                <w:rStyle w:val="74"/>
                <w:rFonts w:hint="default"/>
                <w:color w:val="auto"/>
              </w:rPr>
              <w:t>液压油、危险废物（废活性炭、废液压</w:t>
            </w:r>
            <w:r>
              <w:rPr>
                <w:rFonts w:hint="eastAsia"/>
              </w:rPr>
              <w:t>油</w:t>
            </w:r>
            <w:r>
              <w:rPr>
                <w:rStyle w:val="74"/>
                <w:rFonts w:hint="default"/>
                <w:color w:val="auto"/>
              </w:rPr>
              <w:t>、废容器桶和废抹布）等</w:t>
            </w:r>
            <w:r>
              <w:rPr>
                <w:lang w:val="zh-CN"/>
              </w:rPr>
              <w:t>，</w:t>
            </w:r>
            <w:r>
              <w:rPr>
                <w:bCs/>
              </w:rPr>
              <w:t>本项目全年使用的各化学品存量远低于临界量，化学品</w:t>
            </w:r>
            <w:r>
              <w:rPr>
                <w:lang w:val="zh-CN"/>
              </w:rPr>
              <w:t>主要储存于</w:t>
            </w:r>
            <w:r>
              <w:rPr>
                <w:rFonts w:hint="eastAsia"/>
                <w:lang w:val="zh-CN"/>
              </w:rPr>
              <w:t>相应容器</w:t>
            </w:r>
            <w:r>
              <w:t>桶中</w:t>
            </w:r>
            <w:r>
              <w:rPr>
                <w:lang w:val="zh-CN"/>
              </w:rPr>
              <w:t>。</w:t>
            </w:r>
            <w:r>
              <w:rPr>
                <w:rFonts w:hint="eastAsia"/>
                <w:lang w:val="zh-CN"/>
              </w:rPr>
              <w:t>储存或</w:t>
            </w:r>
            <w:r>
              <w:t>使用中因操作不当造成泄漏，给地</w:t>
            </w:r>
            <w:r>
              <w:rPr>
                <w:rFonts w:hint="eastAsia"/>
              </w:rPr>
              <w:t>下</w:t>
            </w:r>
            <w:r>
              <w:t>水和土壤环境造成污染。</w:t>
            </w:r>
          </w:p>
          <w:p>
            <w:pPr>
              <w:pStyle w:val="99"/>
              <w:ind w:firstLine="480"/>
              <w:rPr>
                <w:lang w:val="zh-CN"/>
              </w:rPr>
            </w:pPr>
            <w:r>
              <w:rPr>
                <w:lang w:val="zh-CN"/>
              </w:rPr>
              <w:t>项目主风险物质最大储存量见下表。</w:t>
            </w:r>
          </w:p>
          <w:p>
            <w:pPr>
              <w:pStyle w:val="53"/>
              <w:ind w:firstLine="480"/>
            </w:pPr>
            <w:r>
              <w:t>表</w:t>
            </w:r>
            <w:r>
              <w:rPr>
                <w:rFonts w:hint="eastAsia"/>
              </w:rPr>
              <w:t>49</w:t>
            </w:r>
            <w:r>
              <w:t xml:space="preserve">            风险物质的最大储存量一览表</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364"/>
              <w:gridCol w:w="1052"/>
              <w:gridCol w:w="2861"/>
              <w:gridCol w:w="987"/>
              <w:gridCol w:w="948"/>
              <w:gridCol w:w="10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03" w:hRule="atLeast"/>
                <w:tblHeader/>
                <w:jc w:val="center"/>
              </w:trPr>
              <w:tc>
                <w:tcPr>
                  <w:tcW w:w="390" w:type="pct"/>
                  <w:tcBorders>
                    <w:tl2br w:val="nil"/>
                    <w:tr2bl w:val="nil"/>
                  </w:tcBorders>
                  <w:vAlign w:val="center"/>
                </w:tcPr>
                <w:p>
                  <w:pPr>
                    <w:adjustRightInd w:val="0"/>
                    <w:snapToGrid w:val="0"/>
                    <w:spacing w:line="400" w:lineRule="exact"/>
                    <w:jc w:val="center"/>
                    <w:rPr>
                      <w:szCs w:val="21"/>
                    </w:rPr>
                  </w:pPr>
                  <w:r>
                    <w:rPr>
                      <w:szCs w:val="21"/>
                    </w:rPr>
                    <w:t>序号</w:t>
                  </w:r>
                </w:p>
              </w:tc>
              <w:tc>
                <w:tcPr>
                  <w:tcW w:w="760" w:type="pct"/>
                  <w:tcBorders>
                    <w:tl2br w:val="nil"/>
                    <w:tr2bl w:val="nil"/>
                  </w:tcBorders>
                  <w:vAlign w:val="center"/>
                </w:tcPr>
                <w:p>
                  <w:pPr>
                    <w:adjustRightInd w:val="0"/>
                    <w:snapToGrid w:val="0"/>
                    <w:spacing w:line="400" w:lineRule="exact"/>
                    <w:jc w:val="center"/>
                    <w:rPr>
                      <w:szCs w:val="21"/>
                    </w:rPr>
                  </w:pPr>
                  <w:r>
                    <w:rPr>
                      <w:szCs w:val="21"/>
                    </w:rPr>
                    <w:t>名称</w:t>
                  </w:r>
                </w:p>
              </w:tc>
              <w:tc>
                <w:tcPr>
                  <w:tcW w:w="586" w:type="pct"/>
                  <w:tcBorders>
                    <w:tl2br w:val="nil"/>
                    <w:tr2bl w:val="nil"/>
                  </w:tcBorders>
                  <w:vAlign w:val="center"/>
                </w:tcPr>
                <w:p>
                  <w:pPr>
                    <w:adjustRightInd w:val="0"/>
                    <w:snapToGrid w:val="0"/>
                    <w:spacing w:line="400" w:lineRule="exact"/>
                    <w:jc w:val="center"/>
                    <w:rPr>
                      <w:szCs w:val="21"/>
                    </w:rPr>
                  </w:pPr>
                  <w:r>
                    <w:rPr>
                      <w:szCs w:val="21"/>
                    </w:rPr>
                    <w:t>外观性状</w:t>
                  </w:r>
                </w:p>
              </w:tc>
              <w:tc>
                <w:tcPr>
                  <w:tcW w:w="1594" w:type="pct"/>
                  <w:tcBorders>
                    <w:tl2br w:val="nil"/>
                    <w:tr2bl w:val="nil"/>
                  </w:tcBorders>
                  <w:vAlign w:val="center"/>
                </w:tcPr>
                <w:p>
                  <w:pPr>
                    <w:adjustRightInd w:val="0"/>
                    <w:snapToGrid w:val="0"/>
                    <w:spacing w:line="400" w:lineRule="exact"/>
                    <w:jc w:val="center"/>
                    <w:rPr>
                      <w:szCs w:val="21"/>
                    </w:rPr>
                  </w:pPr>
                  <w:r>
                    <w:rPr>
                      <w:szCs w:val="21"/>
                    </w:rPr>
                    <w:t>危害</w:t>
                  </w:r>
                </w:p>
              </w:tc>
              <w:tc>
                <w:tcPr>
                  <w:tcW w:w="550" w:type="pct"/>
                  <w:tcBorders>
                    <w:tl2br w:val="nil"/>
                    <w:tr2bl w:val="nil"/>
                  </w:tcBorders>
                  <w:vAlign w:val="center"/>
                </w:tcPr>
                <w:p>
                  <w:pPr>
                    <w:adjustRightInd w:val="0"/>
                    <w:snapToGrid w:val="0"/>
                    <w:spacing w:line="400" w:lineRule="exact"/>
                    <w:jc w:val="center"/>
                    <w:rPr>
                      <w:szCs w:val="21"/>
                    </w:rPr>
                  </w:pPr>
                  <w:r>
                    <w:rPr>
                      <w:szCs w:val="21"/>
                    </w:rPr>
                    <w:t>最大储存量/t</w:t>
                  </w:r>
                </w:p>
              </w:tc>
              <w:tc>
                <w:tcPr>
                  <w:tcW w:w="528" w:type="pct"/>
                  <w:tcBorders>
                    <w:tl2br w:val="nil"/>
                    <w:tr2bl w:val="nil"/>
                  </w:tcBorders>
                  <w:vAlign w:val="center"/>
                </w:tcPr>
                <w:p>
                  <w:pPr>
                    <w:adjustRightInd w:val="0"/>
                    <w:snapToGrid w:val="0"/>
                    <w:spacing w:line="400" w:lineRule="exact"/>
                    <w:jc w:val="center"/>
                    <w:rPr>
                      <w:szCs w:val="21"/>
                    </w:rPr>
                  </w:pPr>
                  <w:r>
                    <w:rPr>
                      <w:szCs w:val="21"/>
                    </w:rPr>
                    <w:t>临界量/t</w:t>
                  </w:r>
                </w:p>
              </w:tc>
              <w:tc>
                <w:tcPr>
                  <w:tcW w:w="592" w:type="pct"/>
                  <w:tcBorders>
                    <w:tl2br w:val="nil"/>
                    <w:tr2bl w:val="nil"/>
                  </w:tcBorders>
                  <w:vAlign w:val="center"/>
                </w:tcPr>
                <w:p>
                  <w:pPr>
                    <w:adjustRightInd w:val="0"/>
                    <w:snapToGrid w:val="0"/>
                    <w:spacing w:line="400" w:lineRule="exact"/>
                    <w:jc w:val="center"/>
                    <w:rPr>
                      <w:szCs w:val="21"/>
                    </w:rPr>
                  </w:pPr>
                  <w:r>
                    <w:rPr>
                      <w:szCs w:val="21"/>
                    </w:rPr>
                    <w:t>q</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0" w:type="pct"/>
                  <w:tcBorders>
                    <w:tl2br w:val="nil"/>
                    <w:tr2bl w:val="nil"/>
                  </w:tcBorders>
                  <w:vAlign w:val="center"/>
                </w:tcPr>
                <w:p>
                  <w:pPr>
                    <w:pStyle w:val="84"/>
                    <w:widowControl/>
                    <w:adjustRightInd w:val="0"/>
                    <w:snapToGrid w:val="0"/>
                    <w:spacing w:line="400" w:lineRule="exact"/>
                    <w:ind w:firstLine="0" w:firstLineChars="0"/>
                    <w:jc w:val="center"/>
                    <w:rPr>
                      <w:szCs w:val="21"/>
                    </w:rPr>
                  </w:pPr>
                  <w:r>
                    <w:rPr>
                      <w:szCs w:val="21"/>
                    </w:rPr>
                    <w:t>1</w:t>
                  </w:r>
                </w:p>
              </w:tc>
              <w:tc>
                <w:tcPr>
                  <w:tcW w:w="760" w:type="pct"/>
                  <w:tcBorders>
                    <w:tl2br w:val="nil"/>
                    <w:tr2bl w:val="nil"/>
                  </w:tcBorders>
                  <w:vAlign w:val="center"/>
                </w:tcPr>
                <w:p>
                  <w:pPr>
                    <w:pStyle w:val="68"/>
                    <w:rPr>
                      <w:kern w:val="0"/>
                      <w:szCs w:val="21"/>
                    </w:rPr>
                  </w:pPr>
                  <w:r>
                    <w:rPr>
                      <w:rFonts w:hint="eastAsia"/>
                    </w:rPr>
                    <w:t>液压油</w:t>
                  </w:r>
                </w:p>
              </w:tc>
              <w:tc>
                <w:tcPr>
                  <w:tcW w:w="586" w:type="pct"/>
                  <w:tcBorders>
                    <w:tl2br w:val="nil"/>
                    <w:tr2bl w:val="nil"/>
                  </w:tcBorders>
                  <w:vAlign w:val="center"/>
                </w:tcPr>
                <w:p>
                  <w:pPr>
                    <w:pStyle w:val="51"/>
                    <w:spacing w:line="400" w:lineRule="exact"/>
                    <w:ind w:firstLine="0" w:firstLineChars="0"/>
                    <w:jc w:val="center"/>
                    <w:rPr>
                      <w:sz w:val="21"/>
                      <w:szCs w:val="21"/>
                    </w:rPr>
                  </w:pPr>
                  <w:r>
                    <w:rPr>
                      <w:sz w:val="21"/>
                      <w:szCs w:val="21"/>
                    </w:rPr>
                    <w:t>淡黄色油状液体</w:t>
                  </w:r>
                </w:p>
              </w:tc>
              <w:tc>
                <w:tcPr>
                  <w:tcW w:w="1594" w:type="pct"/>
                  <w:tcBorders>
                    <w:tl2br w:val="nil"/>
                    <w:tr2bl w:val="nil"/>
                  </w:tcBorders>
                  <w:vAlign w:val="center"/>
                </w:tcPr>
                <w:p>
                  <w:pPr>
                    <w:pStyle w:val="51"/>
                    <w:spacing w:line="400" w:lineRule="exact"/>
                    <w:ind w:firstLine="0" w:firstLineChars="0"/>
                    <w:jc w:val="center"/>
                    <w:rPr>
                      <w:sz w:val="21"/>
                      <w:szCs w:val="21"/>
                    </w:rPr>
                  </w:pPr>
                  <w:r>
                    <w:rPr>
                      <w:sz w:val="21"/>
                      <w:szCs w:val="21"/>
                    </w:rPr>
                    <w:t>急性吸入可出现乏力、头晕、头疼，严重可引起油脂性肺炎</w:t>
                  </w:r>
                </w:p>
              </w:tc>
              <w:tc>
                <w:tcPr>
                  <w:tcW w:w="550" w:type="pct"/>
                  <w:tcBorders>
                    <w:tl2br w:val="nil"/>
                    <w:tr2bl w:val="nil"/>
                  </w:tcBorders>
                  <w:vAlign w:val="center"/>
                </w:tcPr>
                <w:p>
                  <w:pPr>
                    <w:pStyle w:val="51"/>
                    <w:spacing w:line="400" w:lineRule="exact"/>
                    <w:ind w:firstLine="0" w:firstLineChars="0"/>
                    <w:jc w:val="center"/>
                    <w:rPr>
                      <w:sz w:val="21"/>
                      <w:szCs w:val="21"/>
                    </w:rPr>
                  </w:pPr>
                  <w:r>
                    <w:rPr>
                      <w:sz w:val="21"/>
                      <w:szCs w:val="21"/>
                    </w:rPr>
                    <w:t>0.</w:t>
                  </w:r>
                  <w:r>
                    <w:rPr>
                      <w:rFonts w:hint="eastAsia"/>
                      <w:sz w:val="21"/>
                      <w:szCs w:val="21"/>
                    </w:rPr>
                    <w:t>22</w:t>
                  </w:r>
                </w:p>
              </w:tc>
              <w:tc>
                <w:tcPr>
                  <w:tcW w:w="528" w:type="pct"/>
                  <w:tcBorders>
                    <w:tl2br w:val="nil"/>
                    <w:tr2bl w:val="nil"/>
                  </w:tcBorders>
                  <w:vAlign w:val="center"/>
                </w:tcPr>
                <w:p>
                  <w:pPr>
                    <w:pStyle w:val="51"/>
                    <w:spacing w:line="400" w:lineRule="exact"/>
                    <w:ind w:firstLine="0" w:firstLineChars="0"/>
                    <w:jc w:val="center"/>
                    <w:rPr>
                      <w:sz w:val="21"/>
                      <w:szCs w:val="21"/>
                    </w:rPr>
                  </w:pPr>
                  <w:r>
                    <w:rPr>
                      <w:sz w:val="21"/>
                      <w:szCs w:val="21"/>
                    </w:rPr>
                    <w:t>2500</w:t>
                  </w:r>
                  <w:r>
                    <w:rPr>
                      <w:rFonts w:hint="eastAsia"/>
                      <w:sz w:val="21"/>
                      <w:szCs w:val="21"/>
                    </w:rPr>
                    <w:t>.0</w:t>
                  </w:r>
                </w:p>
              </w:tc>
              <w:tc>
                <w:tcPr>
                  <w:tcW w:w="592" w:type="pct"/>
                  <w:tcBorders>
                    <w:tl2br w:val="nil"/>
                    <w:tr2bl w:val="nil"/>
                  </w:tcBorders>
                  <w:vAlign w:val="center"/>
                </w:tcPr>
                <w:p>
                  <w:pPr>
                    <w:pStyle w:val="51"/>
                    <w:spacing w:line="400" w:lineRule="exact"/>
                    <w:ind w:firstLine="0" w:firstLineChars="0"/>
                    <w:jc w:val="center"/>
                    <w:rPr>
                      <w:sz w:val="21"/>
                      <w:szCs w:val="21"/>
                    </w:rPr>
                  </w:pPr>
                  <w:r>
                    <w:rPr>
                      <w:sz w:val="21"/>
                      <w:szCs w:val="21"/>
                    </w:rPr>
                    <w:t>0.0000</w:t>
                  </w:r>
                  <w:r>
                    <w:rPr>
                      <w:rFonts w:hint="eastAsia"/>
                      <w:sz w:val="21"/>
                      <w:szCs w:val="21"/>
                    </w:rPr>
                    <w:t>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390" w:type="pct"/>
                  <w:tcBorders>
                    <w:tl2br w:val="nil"/>
                    <w:tr2bl w:val="nil"/>
                  </w:tcBorders>
                  <w:vAlign w:val="center"/>
                </w:tcPr>
                <w:p>
                  <w:pPr>
                    <w:pStyle w:val="84"/>
                    <w:widowControl/>
                    <w:adjustRightInd w:val="0"/>
                    <w:snapToGrid w:val="0"/>
                    <w:spacing w:line="400" w:lineRule="exact"/>
                    <w:ind w:firstLine="0" w:firstLineChars="0"/>
                    <w:jc w:val="center"/>
                    <w:rPr>
                      <w:szCs w:val="21"/>
                    </w:rPr>
                  </w:pPr>
                  <w:r>
                    <w:rPr>
                      <w:rFonts w:hint="eastAsia"/>
                      <w:szCs w:val="21"/>
                    </w:rPr>
                    <w:t>2</w:t>
                  </w:r>
                </w:p>
              </w:tc>
              <w:tc>
                <w:tcPr>
                  <w:tcW w:w="760" w:type="pct"/>
                  <w:tcBorders>
                    <w:tl2br w:val="nil"/>
                    <w:tr2bl w:val="nil"/>
                  </w:tcBorders>
                  <w:vAlign w:val="center"/>
                </w:tcPr>
                <w:p>
                  <w:pPr>
                    <w:pStyle w:val="68"/>
                    <w:rPr>
                      <w:kern w:val="0"/>
                      <w:szCs w:val="21"/>
                    </w:rPr>
                  </w:pPr>
                  <w:r>
                    <w:rPr>
                      <w:rStyle w:val="74"/>
                      <w:rFonts w:hint="default"/>
                      <w:color w:val="auto"/>
                      <w:sz w:val="21"/>
                      <w:szCs w:val="21"/>
                    </w:rPr>
                    <w:t>危险废物</w:t>
                  </w:r>
                </w:p>
              </w:tc>
              <w:tc>
                <w:tcPr>
                  <w:tcW w:w="586" w:type="pct"/>
                  <w:tcBorders>
                    <w:tl2br w:val="nil"/>
                    <w:tr2bl w:val="nil"/>
                  </w:tcBorders>
                  <w:vAlign w:val="center"/>
                </w:tcPr>
                <w:p>
                  <w:pPr>
                    <w:pStyle w:val="51"/>
                    <w:spacing w:line="400" w:lineRule="exact"/>
                    <w:ind w:firstLine="0" w:firstLineChars="0"/>
                    <w:jc w:val="center"/>
                    <w:rPr>
                      <w:sz w:val="21"/>
                      <w:szCs w:val="21"/>
                    </w:rPr>
                  </w:pPr>
                  <w:r>
                    <w:rPr>
                      <w:rFonts w:hint="eastAsia"/>
                      <w:sz w:val="21"/>
                      <w:szCs w:val="21"/>
                    </w:rPr>
                    <w:t>/</w:t>
                  </w:r>
                </w:p>
              </w:tc>
              <w:tc>
                <w:tcPr>
                  <w:tcW w:w="1594" w:type="pct"/>
                  <w:tcBorders>
                    <w:tl2br w:val="nil"/>
                    <w:tr2bl w:val="nil"/>
                  </w:tcBorders>
                  <w:vAlign w:val="center"/>
                </w:tcPr>
                <w:p>
                  <w:pPr>
                    <w:pStyle w:val="51"/>
                    <w:spacing w:line="400" w:lineRule="exact"/>
                    <w:ind w:firstLine="0" w:firstLineChars="0"/>
                    <w:jc w:val="center"/>
                    <w:rPr>
                      <w:sz w:val="21"/>
                      <w:szCs w:val="21"/>
                    </w:rPr>
                  </w:pPr>
                  <w:r>
                    <w:rPr>
                      <w:rFonts w:hint="eastAsia"/>
                      <w:sz w:val="21"/>
                      <w:szCs w:val="21"/>
                    </w:rPr>
                    <w:t>/</w:t>
                  </w:r>
                </w:p>
              </w:tc>
              <w:tc>
                <w:tcPr>
                  <w:tcW w:w="550" w:type="pct"/>
                  <w:tcBorders>
                    <w:tl2br w:val="nil"/>
                    <w:tr2bl w:val="nil"/>
                  </w:tcBorders>
                  <w:vAlign w:val="center"/>
                </w:tcPr>
                <w:p>
                  <w:pPr>
                    <w:pStyle w:val="51"/>
                    <w:spacing w:line="400" w:lineRule="exact"/>
                    <w:ind w:firstLine="0" w:firstLineChars="0"/>
                    <w:jc w:val="center"/>
                    <w:rPr>
                      <w:sz w:val="21"/>
                      <w:szCs w:val="21"/>
                    </w:rPr>
                  </w:pPr>
                  <w:r>
                    <w:rPr>
                      <w:rFonts w:hint="eastAsia"/>
                      <w:sz w:val="21"/>
                      <w:szCs w:val="21"/>
                    </w:rPr>
                    <w:t>/</w:t>
                  </w:r>
                </w:p>
              </w:tc>
              <w:tc>
                <w:tcPr>
                  <w:tcW w:w="528" w:type="pct"/>
                  <w:tcBorders>
                    <w:tl2br w:val="nil"/>
                    <w:tr2bl w:val="nil"/>
                  </w:tcBorders>
                  <w:vAlign w:val="center"/>
                </w:tcPr>
                <w:p>
                  <w:pPr>
                    <w:pStyle w:val="51"/>
                    <w:spacing w:line="400" w:lineRule="exact"/>
                    <w:ind w:firstLine="0" w:firstLineChars="0"/>
                    <w:jc w:val="center"/>
                    <w:rPr>
                      <w:sz w:val="21"/>
                      <w:szCs w:val="21"/>
                    </w:rPr>
                  </w:pPr>
                  <w:r>
                    <w:rPr>
                      <w:rFonts w:hint="eastAsia"/>
                      <w:sz w:val="21"/>
                      <w:szCs w:val="21"/>
                    </w:rPr>
                    <w:t>/</w:t>
                  </w:r>
                </w:p>
              </w:tc>
              <w:tc>
                <w:tcPr>
                  <w:tcW w:w="592" w:type="pct"/>
                  <w:tcBorders>
                    <w:tl2br w:val="nil"/>
                    <w:tr2bl w:val="nil"/>
                  </w:tcBorders>
                  <w:vAlign w:val="center"/>
                </w:tcPr>
                <w:p>
                  <w:pPr>
                    <w:pStyle w:val="51"/>
                    <w:spacing w:line="400" w:lineRule="exact"/>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0" w:type="pct"/>
                  <w:tcBorders>
                    <w:tl2br w:val="nil"/>
                    <w:tr2bl w:val="nil"/>
                  </w:tcBorders>
                  <w:vAlign w:val="center"/>
                </w:tcPr>
                <w:p>
                  <w:pPr>
                    <w:adjustRightInd w:val="0"/>
                    <w:snapToGrid w:val="0"/>
                    <w:spacing w:line="400" w:lineRule="exact"/>
                    <w:jc w:val="center"/>
                    <w:rPr>
                      <w:szCs w:val="21"/>
                    </w:rPr>
                  </w:pPr>
                  <w:r>
                    <w:rPr>
                      <w:szCs w:val="21"/>
                    </w:rPr>
                    <w:t>总计</w:t>
                  </w:r>
                </w:p>
              </w:tc>
              <w:tc>
                <w:tcPr>
                  <w:tcW w:w="760" w:type="pct"/>
                  <w:tcBorders>
                    <w:tl2br w:val="nil"/>
                    <w:tr2bl w:val="nil"/>
                  </w:tcBorders>
                  <w:vAlign w:val="center"/>
                </w:tcPr>
                <w:p>
                  <w:pPr>
                    <w:spacing w:line="400" w:lineRule="exact"/>
                    <w:jc w:val="center"/>
                    <w:textAlignment w:val="center"/>
                    <w:rPr>
                      <w:szCs w:val="21"/>
                    </w:rPr>
                  </w:pPr>
                  <w:r>
                    <w:rPr>
                      <w:szCs w:val="21"/>
                    </w:rPr>
                    <w:t>/</w:t>
                  </w:r>
                </w:p>
              </w:tc>
              <w:tc>
                <w:tcPr>
                  <w:tcW w:w="586" w:type="pct"/>
                  <w:tcBorders>
                    <w:tl2br w:val="nil"/>
                    <w:tr2bl w:val="nil"/>
                  </w:tcBorders>
                  <w:vAlign w:val="center"/>
                </w:tcPr>
                <w:p>
                  <w:pPr>
                    <w:adjustRightInd w:val="0"/>
                    <w:snapToGrid w:val="0"/>
                    <w:spacing w:line="400" w:lineRule="exact"/>
                    <w:jc w:val="center"/>
                    <w:rPr>
                      <w:rFonts w:eastAsia="等线"/>
                      <w:szCs w:val="21"/>
                    </w:rPr>
                  </w:pPr>
                  <w:r>
                    <w:rPr>
                      <w:rFonts w:eastAsia="等线"/>
                      <w:szCs w:val="21"/>
                    </w:rPr>
                    <w:t>/</w:t>
                  </w:r>
                </w:p>
              </w:tc>
              <w:tc>
                <w:tcPr>
                  <w:tcW w:w="1594" w:type="pct"/>
                  <w:tcBorders>
                    <w:tl2br w:val="nil"/>
                    <w:tr2bl w:val="nil"/>
                  </w:tcBorders>
                  <w:vAlign w:val="center"/>
                </w:tcPr>
                <w:p>
                  <w:pPr>
                    <w:adjustRightInd w:val="0"/>
                    <w:snapToGrid w:val="0"/>
                    <w:spacing w:line="400" w:lineRule="exact"/>
                    <w:jc w:val="center"/>
                    <w:rPr>
                      <w:rFonts w:eastAsia="等线"/>
                      <w:szCs w:val="21"/>
                    </w:rPr>
                  </w:pPr>
                  <w:r>
                    <w:rPr>
                      <w:rFonts w:eastAsia="等线"/>
                      <w:szCs w:val="21"/>
                    </w:rPr>
                    <w:t>/</w:t>
                  </w:r>
                </w:p>
              </w:tc>
              <w:tc>
                <w:tcPr>
                  <w:tcW w:w="550" w:type="pct"/>
                  <w:tcBorders>
                    <w:tl2br w:val="nil"/>
                    <w:tr2bl w:val="nil"/>
                  </w:tcBorders>
                  <w:vAlign w:val="center"/>
                </w:tcPr>
                <w:p>
                  <w:pPr>
                    <w:adjustRightInd w:val="0"/>
                    <w:snapToGrid w:val="0"/>
                    <w:spacing w:line="400" w:lineRule="exact"/>
                    <w:jc w:val="center"/>
                    <w:rPr>
                      <w:rFonts w:eastAsia="等线"/>
                      <w:szCs w:val="21"/>
                    </w:rPr>
                  </w:pPr>
                  <w:r>
                    <w:rPr>
                      <w:rFonts w:eastAsia="等线"/>
                      <w:szCs w:val="21"/>
                    </w:rPr>
                    <w:t>/</w:t>
                  </w:r>
                </w:p>
              </w:tc>
              <w:tc>
                <w:tcPr>
                  <w:tcW w:w="528" w:type="pct"/>
                  <w:tcBorders>
                    <w:tl2br w:val="nil"/>
                    <w:tr2bl w:val="nil"/>
                  </w:tcBorders>
                  <w:vAlign w:val="center"/>
                </w:tcPr>
                <w:p>
                  <w:pPr>
                    <w:adjustRightInd w:val="0"/>
                    <w:snapToGrid w:val="0"/>
                    <w:spacing w:line="400" w:lineRule="exact"/>
                    <w:jc w:val="center"/>
                    <w:rPr>
                      <w:szCs w:val="21"/>
                    </w:rPr>
                  </w:pPr>
                  <w:r>
                    <w:rPr>
                      <w:szCs w:val="21"/>
                    </w:rPr>
                    <w:t>/</w:t>
                  </w:r>
                </w:p>
              </w:tc>
              <w:tc>
                <w:tcPr>
                  <w:tcW w:w="592" w:type="pct"/>
                  <w:tcBorders>
                    <w:tl2br w:val="nil"/>
                    <w:tr2bl w:val="nil"/>
                  </w:tcBorders>
                  <w:vAlign w:val="center"/>
                </w:tcPr>
                <w:p>
                  <w:pPr>
                    <w:spacing w:line="400" w:lineRule="exact"/>
                    <w:jc w:val="center"/>
                    <w:rPr>
                      <w:rFonts w:eastAsia="等线"/>
                      <w:szCs w:val="21"/>
                    </w:rPr>
                  </w:pPr>
                  <w:r>
                    <w:rPr>
                      <w:szCs w:val="21"/>
                    </w:rPr>
                    <w:t>0.</w:t>
                  </w:r>
                  <w:r>
                    <w:rPr>
                      <w:rFonts w:hint="eastAsia"/>
                      <w:szCs w:val="21"/>
                    </w:rPr>
                    <w:t>000088</w:t>
                  </w:r>
                </w:p>
              </w:tc>
            </w:tr>
          </w:tbl>
          <w:p>
            <w:pPr>
              <w:spacing w:line="520" w:lineRule="exact"/>
              <w:ind w:firstLine="480"/>
              <w:rPr>
                <w:rFonts w:cs="宋体"/>
                <w:sz w:val="24"/>
              </w:rPr>
            </w:pPr>
            <w:r>
              <w:rPr>
                <w:rFonts w:hint="eastAsia" w:cs="宋体"/>
                <w:sz w:val="24"/>
              </w:rPr>
              <w:t>本项目危险物质数量与临界量比值Q为0.000088&lt;1，本项目风险潜势为I，故简要分析本项目风险。</w:t>
            </w:r>
          </w:p>
          <w:p>
            <w:pPr>
              <w:pStyle w:val="99"/>
              <w:ind w:firstLine="480"/>
              <w:rPr>
                <w:rStyle w:val="74"/>
                <w:rFonts w:hint="default"/>
                <w:color w:val="auto"/>
              </w:rPr>
            </w:pPr>
            <w:r>
              <w:rPr>
                <w:rStyle w:val="74"/>
                <w:rFonts w:hint="default"/>
                <w:color w:val="auto"/>
              </w:rPr>
              <w:t>（2）风险源分布情况和可能影响途径</w:t>
            </w:r>
          </w:p>
          <w:p>
            <w:pPr>
              <w:pStyle w:val="99"/>
              <w:ind w:firstLine="480"/>
            </w:pPr>
            <w:r>
              <w:rPr>
                <w:rFonts w:hint="eastAsia"/>
              </w:rPr>
              <w:t>液压油</w:t>
            </w:r>
            <w:r>
              <w:rPr>
                <w:rStyle w:val="74"/>
                <w:rFonts w:hint="default"/>
                <w:color w:val="auto"/>
              </w:rPr>
              <w:t>位于打包机油箱内，危险废物储存于危废暂存间内。本项目主要影响途径为</w:t>
            </w:r>
            <w:r>
              <w:rPr>
                <w:rFonts w:hint="eastAsia"/>
              </w:rPr>
              <w:t>液压油</w:t>
            </w:r>
            <w:r>
              <w:rPr>
                <w:rStyle w:val="74"/>
                <w:rFonts w:hint="default"/>
                <w:color w:val="auto"/>
              </w:rPr>
              <w:t>、</w:t>
            </w:r>
            <w:r>
              <w:rPr>
                <w:rFonts w:hint="eastAsia"/>
              </w:rPr>
              <w:t>危险废物</w:t>
            </w:r>
            <w:r>
              <w:t>在储存</w:t>
            </w:r>
            <w:r>
              <w:rPr>
                <w:rFonts w:hint="eastAsia"/>
              </w:rPr>
              <w:t>或</w:t>
            </w:r>
            <w:r>
              <w:t>使用过程中发生泄露</w:t>
            </w:r>
            <w:r>
              <w:rPr>
                <w:rFonts w:hint="eastAsia"/>
              </w:rPr>
              <w:t>，可能会通过垂直入渗影响厂区周围土壤和地下水</w:t>
            </w:r>
            <w:r>
              <w:t>。</w:t>
            </w:r>
          </w:p>
          <w:p>
            <w:pPr>
              <w:pStyle w:val="53"/>
              <w:widowControl w:val="0"/>
              <w:ind w:firstLine="480"/>
            </w:pPr>
            <w:r>
              <w:t>表</w:t>
            </w:r>
            <w:r>
              <w:rPr>
                <w:rFonts w:hint="eastAsia"/>
              </w:rPr>
              <w:t>50</w:t>
            </w:r>
            <w:r>
              <w:t xml:space="preserve">                 本项目影响环境的途径</w:t>
            </w:r>
          </w:p>
          <w:tbl>
            <w:tblPr>
              <w:tblStyle w:val="22"/>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2665"/>
              <w:gridCol w:w="1685"/>
              <w:gridCol w:w="1647"/>
              <w:gridCol w:w="297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34" w:hRule="atLeast"/>
                <w:jc w:val="center"/>
              </w:trPr>
              <w:tc>
                <w:tcPr>
                  <w:tcW w:w="1485" w:type="pct"/>
                  <w:vAlign w:val="center"/>
                </w:tcPr>
                <w:p>
                  <w:pPr>
                    <w:spacing w:before="31" w:line="400" w:lineRule="exact"/>
                    <w:jc w:val="center"/>
                    <w:rPr>
                      <w:rFonts w:eastAsia="Noto Sans CJK JP Regular"/>
                      <w:szCs w:val="21"/>
                    </w:rPr>
                  </w:pPr>
                  <w:r>
                    <w:rPr>
                      <w:szCs w:val="21"/>
                    </w:rPr>
                    <w:t>危险源</w:t>
                  </w:r>
                </w:p>
              </w:tc>
              <w:tc>
                <w:tcPr>
                  <w:tcW w:w="939" w:type="pct"/>
                  <w:vAlign w:val="center"/>
                </w:tcPr>
                <w:p>
                  <w:pPr>
                    <w:spacing w:line="400" w:lineRule="exact"/>
                    <w:jc w:val="center"/>
                    <w:rPr>
                      <w:rFonts w:eastAsia="Noto Sans CJK JP Regular"/>
                      <w:szCs w:val="21"/>
                    </w:rPr>
                  </w:pPr>
                  <w:r>
                    <w:rPr>
                      <w:szCs w:val="21"/>
                    </w:rPr>
                    <w:t>环境风险类型</w:t>
                  </w:r>
                </w:p>
              </w:tc>
              <w:tc>
                <w:tcPr>
                  <w:tcW w:w="918" w:type="pct"/>
                  <w:vAlign w:val="center"/>
                </w:tcPr>
                <w:p>
                  <w:pPr>
                    <w:spacing w:line="400" w:lineRule="exact"/>
                    <w:jc w:val="center"/>
                    <w:rPr>
                      <w:rFonts w:eastAsia="Noto Sans CJK JP Regular"/>
                      <w:szCs w:val="21"/>
                    </w:rPr>
                  </w:pPr>
                  <w:r>
                    <w:rPr>
                      <w:szCs w:val="21"/>
                    </w:rPr>
                    <w:t>环境影响途径</w:t>
                  </w:r>
                </w:p>
              </w:tc>
              <w:tc>
                <w:tcPr>
                  <w:tcW w:w="1659" w:type="pct"/>
                  <w:vAlign w:val="center"/>
                </w:tcPr>
                <w:p>
                  <w:pPr>
                    <w:spacing w:line="400" w:lineRule="exact"/>
                    <w:jc w:val="center"/>
                    <w:rPr>
                      <w:rFonts w:eastAsia="Noto Sans CJK JP Regular"/>
                      <w:szCs w:val="21"/>
                    </w:rPr>
                  </w:pPr>
                  <w:r>
                    <w:rPr>
                      <w:szCs w:val="21"/>
                    </w:rPr>
                    <w:t>可能受影响的环境敏感目标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99" w:hRule="atLeast"/>
                <w:jc w:val="center"/>
              </w:trPr>
              <w:tc>
                <w:tcPr>
                  <w:tcW w:w="1485" w:type="pct"/>
                  <w:vAlign w:val="center"/>
                </w:tcPr>
                <w:p>
                  <w:pPr>
                    <w:spacing w:line="400" w:lineRule="exact"/>
                    <w:jc w:val="center"/>
                    <w:rPr>
                      <w:rFonts w:eastAsia="Times New Roman"/>
                      <w:b/>
                      <w:bCs/>
                      <w:szCs w:val="21"/>
                    </w:rPr>
                  </w:pPr>
                  <w:r>
                    <w:rPr>
                      <w:rFonts w:hint="eastAsia"/>
                    </w:rPr>
                    <w:t>液压油、危险废物</w:t>
                  </w:r>
                </w:p>
              </w:tc>
              <w:tc>
                <w:tcPr>
                  <w:tcW w:w="939" w:type="pct"/>
                  <w:vAlign w:val="center"/>
                </w:tcPr>
                <w:p>
                  <w:pPr>
                    <w:spacing w:line="400" w:lineRule="exact"/>
                    <w:jc w:val="center"/>
                    <w:rPr>
                      <w:szCs w:val="21"/>
                    </w:rPr>
                  </w:pPr>
                  <w:r>
                    <w:rPr>
                      <w:szCs w:val="21"/>
                    </w:rPr>
                    <w:t>泄露</w:t>
                  </w:r>
                </w:p>
              </w:tc>
              <w:tc>
                <w:tcPr>
                  <w:tcW w:w="918" w:type="pct"/>
                  <w:vAlign w:val="center"/>
                </w:tcPr>
                <w:p>
                  <w:pPr>
                    <w:spacing w:line="400" w:lineRule="exact"/>
                    <w:jc w:val="center"/>
                    <w:rPr>
                      <w:szCs w:val="21"/>
                    </w:rPr>
                  </w:pPr>
                  <w:r>
                    <w:rPr>
                      <w:rFonts w:hint="eastAsia"/>
                      <w:szCs w:val="21"/>
                    </w:rPr>
                    <w:t>垂直入渗</w:t>
                  </w:r>
                </w:p>
              </w:tc>
              <w:tc>
                <w:tcPr>
                  <w:tcW w:w="1659" w:type="pct"/>
                  <w:vAlign w:val="center"/>
                </w:tcPr>
                <w:p>
                  <w:pPr>
                    <w:spacing w:line="400" w:lineRule="exact"/>
                    <w:jc w:val="center"/>
                    <w:rPr>
                      <w:szCs w:val="21"/>
                    </w:rPr>
                  </w:pPr>
                  <w:r>
                    <w:rPr>
                      <w:szCs w:val="21"/>
                    </w:rPr>
                    <w:t>厂区</w:t>
                  </w:r>
                  <w:r>
                    <w:rPr>
                      <w:rFonts w:hint="eastAsia"/>
                      <w:szCs w:val="21"/>
                    </w:rPr>
                    <w:t>周围</w:t>
                  </w:r>
                  <w:r>
                    <w:rPr>
                      <w:szCs w:val="21"/>
                    </w:rPr>
                    <w:t>土壤</w:t>
                  </w:r>
                  <w:r>
                    <w:rPr>
                      <w:rFonts w:hint="eastAsia"/>
                      <w:szCs w:val="21"/>
                    </w:rPr>
                    <w:t>、地下水</w:t>
                  </w:r>
                </w:p>
              </w:tc>
            </w:tr>
          </w:tbl>
          <w:p>
            <w:pPr>
              <w:pStyle w:val="99"/>
              <w:ind w:firstLine="480"/>
              <w:rPr>
                <w:lang w:val="zh-CN"/>
              </w:rPr>
            </w:pPr>
            <w:r>
              <w:rPr>
                <w:lang w:val="zh-CN"/>
              </w:rPr>
              <w:t>（3）</w:t>
            </w:r>
            <w:r>
              <w:t>风险防范措施</w:t>
            </w:r>
          </w:p>
          <w:p>
            <w:pPr>
              <w:pStyle w:val="99"/>
              <w:ind w:firstLine="480"/>
            </w:pPr>
            <w:r>
              <w:t>危险化学品贮运安全防范措施：</w:t>
            </w:r>
          </w:p>
          <w:p>
            <w:pPr>
              <w:pStyle w:val="99"/>
              <w:ind w:firstLine="480"/>
            </w:pPr>
            <w:r>
              <w:rPr>
                <w:rFonts w:hint="eastAsia" w:ascii="宋体" w:hAnsi="宋体" w:cs="宋体"/>
              </w:rPr>
              <w:t>①</w:t>
            </w:r>
            <w:r>
              <w:t>为了保证</w:t>
            </w:r>
            <w:r>
              <w:rPr>
                <w:rFonts w:hint="eastAsia"/>
              </w:rPr>
              <w:t>液压油</w:t>
            </w:r>
            <w:r>
              <w:t>贮运中的安全，贮运人员严格按照包装件上提醒注意的一些图示符号进行相应的操作。</w:t>
            </w:r>
          </w:p>
          <w:p>
            <w:pPr>
              <w:pStyle w:val="99"/>
              <w:ind w:firstLine="480"/>
            </w:pPr>
            <w:r>
              <w:rPr>
                <w:rFonts w:hint="eastAsia" w:ascii="宋体" w:hAnsi="宋体" w:cs="宋体"/>
              </w:rPr>
              <w:t>②</w:t>
            </w:r>
            <w:r>
              <w:t>贮存危险化学品的场所必须符合国家法律、法规和其他有关规定。</w:t>
            </w:r>
          </w:p>
          <w:p>
            <w:pPr>
              <w:pStyle w:val="99"/>
              <w:ind w:firstLine="480"/>
            </w:pPr>
            <w:r>
              <w:rPr>
                <w:rFonts w:hint="eastAsia" w:ascii="宋体" w:hAnsi="宋体" w:cs="宋体"/>
              </w:rPr>
              <w:t>③</w:t>
            </w:r>
            <w:r>
              <w:t>贮存的危险化学品必须有明显的标志，标志应符合《危险货物包装标志》 （GB190-1990）的规定。</w:t>
            </w:r>
          </w:p>
          <w:p>
            <w:pPr>
              <w:spacing w:line="520" w:lineRule="exact"/>
              <w:ind w:firstLine="480" w:firstLineChars="200"/>
              <w:rPr>
                <w:sz w:val="24"/>
              </w:rPr>
            </w:pPr>
            <w:r>
              <w:rPr>
                <w:rFonts w:hint="eastAsia"/>
                <w:sz w:val="24"/>
              </w:rPr>
              <w:t>④</w:t>
            </w:r>
            <w:r>
              <w:rPr>
                <w:sz w:val="24"/>
              </w:rPr>
              <w:t>危废暂存间的建设需满足《危险废物</w:t>
            </w:r>
            <w:r>
              <w:rPr>
                <w:bCs/>
                <w:sz w:val="24"/>
              </w:rPr>
              <w:t>贮存污染控制标准》（GB18597-2001），危废暂存间要规范标志牌，暂存间设置应做好“四防”（防风、防雨、防晒、防渗漏），暂存容器要防漏、防渗、防雨淋</w:t>
            </w:r>
            <w:r>
              <w:t>。</w:t>
            </w:r>
            <w:r>
              <w:rPr>
                <w:sz w:val="24"/>
              </w:rPr>
              <w:t>临时贮存间地面与裙角需用防渗混凝土建造，表层无裂痕，并应在防渗混凝土层外采用防渗材料铺设，保证渗透系数≤10</w:t>
            </w:r>
            <w:r>
              <w:rPr>
                <w:sz w:val="24"/>
                <w:vertAlign w:val="superscript"/>
              </w:rPr>
              <w:t>-10</w:t>
            </w:r>
            <w:r>
              <w:rPr>
                <w:sz w:val="24"/>
              </w:rPr>
              <w:t xml:space="preserve">cm/s，厚度不小于2.0mm；存放区四周设有砖混围挡，以免危废容器破裂，导致危险废物泄露蔓延污染地表水、地下水。 </w:t>
            </w:r>
          </w:p>
          <w:p>
            <w:pPr>
              <w:pStyle w:val="99"/>
              <w:ind w:firstLine="480"/>
            </w:pPr>
            <w:r>
              <w:t>危险化学品安全管理制度</w:t>
            </w:r>
          </w:p>
          <w:p>
            <w:pPr>
              <w:pStyle w:val="99"/>
              <w:ind w:firstLine="480"/>
            </w:pPr>
            <w:r>
              <w:rPr>
                <w:rFonts w:hint="eastAsia" w:ascii="宋体" w:hAnsi="宋体" w:cs="宋体"/>
              </w:rPr>
              <w:t>①</w:t>
            </w:r>
            <w:r>
              <w:t>建立</w:t>
            </w:r>
            <w:r>
              <w:rPr>
                <w:rFonts w:hint="eastAsia"/>
              </w:rPr>
              <w:t>液压油等</w:t>
            </w:r>
            <w:r>
              <w:t>定期汇总登记制度。定期登记汇总的危险化学品种类和数量存档、备查并报当地环境保护行政主管部门。</w:t>
            </w:r>
          </w:p>
          <w:p>
            <w:pPr>
              <w:pStyle w:val="99"/>
              <w:ind w:firstLine="480"/>
            </w:pPr>
            <w:r>
              <w:rPr>
                <w:rFonts w:hint="eastAsia" w:ascii="宋体" w:hAnsi="宋体" w:cs="宋体"/>
              </w:rPr>
              <w:t>②</w:t>
            </w:r>
            <w:r>
              <w:t>建立危废安全管理制度。危险废弃物应妥善收集并转移至持有危险废物处置许可证的单位进行处置。</w:t>
            </w:r>
          </w:p>
          <w:p>
            <w:pPr>
              <w:spacing w:line="520" w:lineRule="exact"/>
              <w:ind w:firstLine="480" w:firstLineChars="200"/>
              <w:rPr>
                <w:sz w:val="24"/>
              </w:rPr>
            </w:pPr>
            <w:r>
              <w:rPr>
                <w:rFonts w:hint="eastAsia" w:ascii="宋体" w:hAnsi="宋体" w:cs="宋体"/>
                <w:sz w:val="24"/>
              </w:rPr>
              <w:t>③</w:t>
            </w:r>
            <w:r>
              <w:rPr>
                <w:sz w:val="24"/>
              </w:rPr>
              <w:t>危险废物环境管理要求</w:t>
            </w:r>
          </w:p>
          <w:p>
            <w:pPr>
              <w:pStyle w:val="86"/>
              <w:spacing w:line="520" w:lineRule="exact"/>
              <w:ind w:left="0" w:leftChars="0" w:right="0" w:rightChars="0"/>
            </w:pPr>
            <w:r>
              <w:rPr>
                <w:rFonts w:cs="Times New Roman"/>
                <w:szCs w:val="24"/>
              </w:rPr>
              <w:t>对危险废物暂存应建立严格管理制度，定期对危废贮存容器及危废储存间进行检查，若发现容器破裂或地面出现裂痕应及时采取措施，避免危废泄露或下渗，污染区域水环境；库房内采取全面通风的措施，设安全照明设施，设置干粉灭火器，并要建立严格管理制度，定期检查。危险废物的转运严格按照有关规定，实行联单制度。</w:t>
            </w:r>
          </w:p>
          <w:p>
            <w:pPr>
              <w:pStyle w:val="51"/>
              <w:ind w:firstLine="0" w:firstLineChars="0"/>
              <w:rPr>
                <w:b/>
                <w:bCs/>
              </w:rPr>
            </w:pPr>
          </w:p>
        </w:tc>
      </w:tr>
    </w:tbl>
    <w:p>
      <w:pPr>
        <w:pStyle w:val="51"/>
        <w:ind w:firstLine="0" w:firstLineChars="0"/>
        <w:sectPr>
          <w:pgSz w:w="11907" w:h="16840"/>
          <w:pgMar w:top="1701" w:right="1531" w:bottom="2127" w:left="1531" w:header="851" w:footer="851" w:gutter="0"/>
          <w:cols w:space="720" w:num="1"/>
          <w:docGrid w:linePitch="312" w:charSpace="0"/>
        </w:sectPr>
      </w:pPr>
    </w:p>
    <w:tbl>
      <w:tblPr>
        <w:tblStyle w:val="22"/>
        <w:tblW w:w="508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3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17" w:hRule="atLeast"/>
          <w:jc w:val="center"/>
        </w:trPr>
        <w:tc>
          <w:tcPr>
            <w:tcW w:w="5000" w:type="pct"/>
            <w:tcMar>
              <w:left w:w="28" w:type="dxa"/>
              <w:right w:w="28" w:type="dxa"/>
            </w:tcMar>
          </w:tcPr>
          <w:p>
            <w:pPr>
              <w:pStyle w:val="91"/>
              <w:spacing w:line="400" w:lineRule="exact"/>
              <w:jc w:val="both"/>
              <w:rPr>
                <w:b w:val="0"/>
                <w:color w:val="auto"/>
              </w:rPr>
            </w:pPr>
            <w:r>
              <w:rPr>
                <w:rFonts w:hint="eastAsia"/>
                <w:b w:val="0"/>
                <w:color w:val="auto"/>
              </w:rPr>
              <w:t>8、污染物排放三本账</w:t>
            </w:r>
          </w:p>
          <w:p>
            <w:pPr>
              <w:pStyle w:val="53"/>
              <w:spacing w:line="400" w:lineRule="exact"/>
              <w:ind w:firstLine="482"/>
              <w:jc w:val="both"/>
              <w:rPr>
                <w:b/>
                <w:u w:val="single"/>
              </w:rPr>
            </w:pPr>
            <w:r>
              <w:rPr>
                <w:b/>
                <w:u w:val="single"/>
              </w:rPr>
              <w:t xml:space="preserve">表 </w:t>
            </w:r>
            <w:r>
              <w:rPr>
                <w:rFonts w:hint="eastAsia"/>
                <w:b/>
                <w:u w:val="single"/>
              </w:rPr>
              <w:t xml:space="preserve">51                                 </w:t>
            </w:r>
            <w:r>
              <w:rPr>
                <w:b/>
                <w:u w:val="single"/>
              </w:rPr>
              <w:t>全厂污染物三本账汇总一览表</w:t>
            </w:r>
            <w:r>
              <w:rPr>
                <w:rFonts w:hint="eastAsia"/>
                <w:b/>
                <w:u w:val="single"/>
              </w:rPr>
              <w:t xml:space="preserve">                           </w:t>
            </w:r>
          </w:p>
          <w:tbl>
            <w:tblPr>
              <w:tblStyle w:val="2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30"/>
              <w:gridCol w:w="2405"/>
              <w:gridCol w:w="2143"/>
              <w:gridCol w:w="1995"/>
              <w:gridCol w:w="1998"/>
              <w:gridCol w:w="1872"/>
              <w:gridCol w:w="18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352" w:type="pct"/>
                  <w:vAlign w:val="center"/>
                </w:tcPr>
                <w:p>
                  <w:pPr>
                    <w:pStyle w:val="68"/>
                    <w:rPr>
                      <w:b/>
                      <w:szCs w:val="21"/>
                      <w:u w:val="single"/>
                    </w:rPr>
                  </w:pPr>
                  <w:r>
                    <w:rPr>
                      <w:rFonts w:hint="eastAsia"/>
                      <w:b/>
                      <w:szCs w:val="21"/>
                      <w:u w:val="single"/>
                    </w:rPr>
                    <w:t>要素</w:t>
                  </w:r>
                </w:p>
              </w:tc>
              <w:tc>
                <w:tcPr>
                  <w:tcW w:w="910" w:type="pct"/>
                  <w:vAlign w:val="center"/>
                </w:tcPr>
                <w:p>
                  <w:pPr>
                    <w:pStyle w:val="68"/>
                    <w:rPr>
                      <w:b/>
                      <w:szCs w:val="21"/>
                      <w:u w:val="single"/>
                    </w:rPr>
                  </w:pPr>
                  <w:r>
                    <w:rPr>
                      <w:rFonts w:hint="eastAsia"/>
                      <w:b/>
                      <w:szCs w:val="21"/>
                      <w:u w:val="single"/>
                    </w:rPr>
                    <w:t>污染物</w:t>
                  </w:r>
                </w:p>
              </w:tc>
              <w:tc>
                <w:tcPr>
                  <w:tcW w:w="811" w:type="pct"/>
                  <w:vAlign w:val="center"/>
                </w:tcPr>
                <w:p>
                  <w:pPr>
                    <w:pStyle w:val="68"/>
                    <w:rPr>
                      <w:b/>
                      <w:szCs w:val="21"/>
                      <w:u w:val="single"/>
                    </w:rPr>
                  </w:pPr>
                  <w:r>
                    <w:rPr>
                      <w:rFonts w:hint="eastAsia"/>
                      <w:b/>
                      <w:szCs w:val="21"/>
                      <w:u w:val="single"/>
                    </w:rPr>
                    <w:t>现有工程排放量</w:t>
                  </w:r>
                </w:p>
              </w:tc>
              <w:tc>
                <w:tcPr>
                  <w:tcW w:w="755" w:type="pct"/>
                  <w:vAlign w:val="center"/>
                </w:tcPr>
                <w:p>
                  <w:pPr>
                    <w:pStyle w:val="68"/>
                    <w:rPr>
                      <w:b/>
                      <w:szCs w:val="21"/>
                      <w:u w:val="single"/>
                    </w:rPr>
                  </w:pPr>
                  <w:r>
                    <w:rPr>
                      <w:b/>
                      <w:szCs w:val="21"/>
                      <w:u w:val="single"/>
                    </w:rPr>
                    <w:t>以新带老削减量</w:t>
                  </w:r>
                </w:p>
              </w:tc>
              <w:tc>
                <w:tcPr>
                  <w:tcW w:w="756" w:type="pct"/>
                  <w:vAlign w:val="center"/>
                </w:tcPr>
                <w:p>
                  <w:pPr>
                    <w:pStyle w:val="68"/>
                    <w:rPr>
                      <w:b/>
                      <w:szCs w:val="21"/>
                      <w:u w:val="single"/>
                    </w:rPr>
                  </w:pPr>
                  <w:r>
                    <w:rPr>
                      <w:rFonts w:hint="eastAsia"/>
                      <w:b/>
                      <w:szCs w:val="21"/>
                      <w:u w:val="single"/>
                    </w:rPr>
                    <w:t>改扩建工程</w:t>
                  </w:r>
                  <w:r>
                    <w:rPr>
                      <w:b/>
                      <w:szCs w:val="21"/>
                      <w:u w:val="single"/>
                    </w:rPr>
                    <w:t>排放量</w:t>
                  </w:r>
                </w:p>
              </w:tc>
              <w:tc>
                <w:tcPr>
                  <w:tcW w:w="708" w:type="pct"/>
                  <w:vAlign w:val="center"/>
                </w:tcPr>
                <w:p>
                  <w:pPr>
                    <w:pStyle w:val="68"/>
                    <w:rPr>
                      <w:b/>
                      <w:szCs w:val="21"/>
                      <w:u w:val="single"/>
                    </w:rPr>
                  </w:pPr>
                  <w:r>
                    <w:rPr>
                      <w:b/>
                      <w:szCs w:val="21"/>
                      <w:u w:val="single"/>
                    </w:rPr>
                    <w:t>全厂排放量</w:t>
                  </w:r>
                </w:p>
              </w:tc>
              <w:tc>
                <w:tcPr>
                  <w:tcW w:w="708" w:type="pct"/>
                  <w:vAlign w:val="center"/>
                </w:tcPr>
                <w:p>
                  <w:pPr>
                    <w:pStyle w:val="68"/>
                    <w:rPr>
                      <w:b/>
                      <w:szCs w:val="21"/>
                      <w:u w:val="single"/>
                    </w:rPr>
                  </w:pPr>
                  <w:r>
                    <w:rPr>
                      <w:rFonts w:hint="eastAsia"/>
                      <w:b/>
                      <w:szCs w:val="21"/>
                      <w:u w:val="single"/>
                    </w:rPr>
                    <w:t>变化量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352" w:type="pct"/>
                  <w:vAlign w:val="center"/>
                </w:tcPr>
                <w:p>
                  <w:pPr>
                    <w:pStyle w:val="68"/>
                    <w:rPr>
                      <w:b/>
                      <w:szCs w:val="21"/>
                      <w:u w:val="single"/>
                    </w:rPr>
                  </w:pPr>
                  <w:bookmarkStart w:id="3" w:name="_Hlk106699955"/>
                  <w:r>
                    <w:rPr>
                      <w:rFonts w:hint="eastAsia"/>
                      <w:b/>
                      <w:szCs w:val="21"/>
                      <w:u w:val="single"/>
                    </w:rPr>
                    <w:t>废气</w:t>
                  </w:r>
                </w:p>
              </w:tc>
              <w:tc>
                <w:tcPr>
                  <w:tcW w:w="910" w:type="pct"/>
                  <w:vAlign w:val="center"/>
                </w:tcPr>
                <w:p>
                  <w:pPr>
                    <w:pStyle w:val="68"/>
                    <w:rPr>
                      <w:b/>
                      <w:szCs w:val="21"/>
                      <w:u w:val="single"/>
                    </w:rPr>
                  </w:pPr>
                  <w:r>
                    <w:rPr>
                      <w:rFonts w:hint="eastAsia"/>
                      <w:b/>
                      <w:szCs w:val="21"/>
                      <w:u w:val="single"/>
                    </w:rPr>
                    <w:t>非甲烷总烃</w:t>
                  </w:r>
                </w:p>
              </w:tc>
              <w:tc>
                <w:tcPr>
                  <w:tcW w:w="811" w:type="pct"/>
                  <w:vAlign w:val="center"/>
                </w:tcPr>
                <w:p>
                  <w:pPr>
                    <w:pStyle w:val="68"/>
                    <w:rPr>
                      <w:b/>
                      <w:szCs w:val="21"/>
                      <w:u w:val="single"/>
                    </w:rPr>
                  </w:pPr>
                  <w:r>
                    <w:rPr>
                      <w:rFonts w:hint="eastAsia"/>
                      <w:b/>
                      <w:szCs w:val="21"/>
                      <w:u w:val="single"/>
                    </w:rPr>
                    <w:t>0</w:t>
                  </w:r>
                </w:p>
              </w:tc>
              <w:tc>
                <w:tcPr>
                  <w:tcW w:w="755" w:type="pct"/>
                  <w:vAlign w:val="center"/>
                </w:tcPr>
                <w:p>
                  <w:pPr>
                    <w:pStyle w:val="68"/>
                    <w:rPr>
                      <w:b/>
                      <w:szCs w:val="21"/>
                      <w:u w:val="single"/>
                    </w:rPr>
                  </w:pPr>
                  <w:r>
                    <w:rPr>
                      <w:rFonts w:hint="eastAsia"/>
                      <w:b/>
                      <w:szCs w:val="21"/>
                      <w:u w:val="single"/>
                    </w:rPr>
                    <w:t>0</w:t>
                  </w:r>
                </w:p>
              </w:tc>
              <w:tc>
                <w:tcPr>
                  <w:tcW w:w="756" w:type="pct"/>
                  <w:vAlign w:val="center"/>
                </w:tcPr>
                <w:p>
                  <w:pPr>
                    <w:pStyle w:val="68"/>
                    <w:rPr>
                      <w:b/>
                      <w:szCs w:val="21"/>
                      <w:u w:val="single"/>
                    </w:rPr>
                  </w:pPr>
                  <w:r>
                    <w:rPr>
                      <w:b/>
                      <w:szCs w:val="21"/>
                      <w:u w:val="single"/>
                    </w:rPr>
                    <w:t>0.0</w:t>
                  </w:r>
                  <w:r>
                    <w:rPr>
                      <w:rFonts w:hint="eastAsia"/>
                      <w:b/>
                      <w:szCs w:val="21"/>
                      <w:u w:val="single"/>
                    </w:rPr>
                    <w:t>221</w:t>
                  </w:r>
                  <w:r>
                    <w:rPr>
                      <w:b/>
                      <w:szCs w:val="21"/>
                      <w:u w:val="single"/>
                    </w:rPr>
                    <w:t>t/a</w:t>
                  </w:r>
                </w:p>
              </w:tc>
              <w:tc>
                <w:tcPr>
                  <w:tcW w:w="708" w:type="pct"/>
                  <w:vAlign w:val="center"/>
                </w:tcPr>
                <w:p>
                  <w:pPr>
                    <w:pStyle w:val="68"/>
                    <w:rPr>
                      <w:b/>
                      <w:szCs w:val="21"/>
                      <w:highlight w:val="yellow"/>
                      <w:u w:val="single"/>
                    </w:rPr>
                  </w:pPr>
                  <w:r>
                    <w:rPr>
                      <w:b/>
                      <w:szCs w:val="21"/>
                      <w:u w:val="single"/>
                    </w:rPr>
                    <w:t>0.0</w:t>
                  </w:r>
                  <w:r>
                    <w:rPr>
                      <w:rFonts w:hint="eastAsia"/>
                      <w:b/>
                      <w:szCs w:val="21"/>
                      <w:u w:val="single"/>
                    </w:rPr>
                    <w:t>221</w:t>
                  </w:r>
                  <w:r>
                    <w:rPr>
                      <w:b/>
                      <w:szCs w:val="21"/>
                      <w:u w:val="single"/>
                    </w:rPr>
                    <w:t>t/a</w:t>
                  </w:r>
                </w:p>
              </w:tc>
              <w:tc>
                <w:tcPr>
                  <w:tcW w:w="708" w:type="pct"/>
                  <w:vAlign w:val="center"/>
                </w:tcPr>
                <w:p>
                  <w:pPr>
                    <w:pStyle w:val="68"/>
                    <w:rPr>
                      <w:b/>
                      <w:szCs w:val="21"/>
                      <w:highlight w:val="yellow"/>
                      <w:u w:val="single"/>
                    </w:rPr>
                  </w:pPr>
                  <w:r>
                    <w:rPr>
                      <w:rFonts w:hint="eastAsia"/>
                      <w:b/>
                      <w:szCs w:val="21"/>
                      <w:u w:val="single"/>
                    </w:rPr>
                    <w:t>+</w:t>
                  </w:r>
                  <w:r>
                    <w:rPr>
                      <w:b/>
                      <w:szCs w:val="21"/>
                      <w:u w:val="single"/>
                    </w:rPr>
                    <w:t>0.0</w:t>
                  </w:r>
                  <w:r>
                    <w:rPr>
                      <w:rFonts w:hint="eastAsia"/>
                      <w:b/>
                      <w:szCs w:val="21"/>
                      <w:u w:val="single"/>
                    </w:rPr>
                    <w:t>221</w:t>
                  </w:r>
                  <w:r>
                    <w:rPr>
                      <w:b/>
                      <w:szCs w:val="21"/>
                      <w:u w:val="single"/>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352" w:type="pct"/>
                  <w:vMerge w:val="restart"/>
                  <w:vAlign w:val="center"/>
                </w:tcPr>
                <w:p>
                  <w:pPr>
                    <w:pStyle w:val="68"/>
                    <w:rPr>
                      <w:b/>
                      <w:szCs w:val="21"/>
                      <w:u w:val="single"/>
                    </w:rPr>
                  </w:pPr>
                  <w:r>
                    <w:rPr>
                      <w:rFonts w:hint="eastAsia"/>
                      <w:b/>
                      <w:szCs w:val="21"/>
                      <w:u w:val="single"/>
                    </w:rPr>
                    <w:t>废水</w:t>
                  </w:r>
                </w:p>
              </w:tc>
              <w:tc>
                <w:tcPr>
                  <w:tcW w:w="910" w:type="pct"/>
                  <w:vAlign w:val="center"/>
                </w:tcPr>
                <w:p>
                  <w:pPr>
                    <w:pStyle w:val="68"/>
                    <w:rPr>
                      <w:b/>
                      <w:szCs w:val="21"/>
                      <w:u w:val="single"/>
                    </w:rPr>
                  </w:pPr>
                  <w:r>
                    <w:rPr>
                      <w:b/>
                      <w:szCs w:val="21"/>
                      <w:u w:val="single"/>
                    </w:rPr>
                    <w:t>COD</w:t>
                  </w:r>
                </w:p>
              </w:tc>
              <w:tc>
                <w:tcPr>
                  <w:tcW w:w="811" w:type="pct"/>
                  <w:vAlign w:val="center"/>
                </w:tcPr>
                <w:p>
                  <w:pPr>
                    <w:pStyle w:val="68"/>
                    <w:rPr>
                      <w:b/>
                      <w:szCs w:val="21"/>
                      <w:u w:val="single"/>
                    </w:rPr>
                  </w:pPr>
                  <w:r>
                    <w:rPr>
                      <w:rFonts w:hint="eastAsia"/>
                      <w:b/>
                      <w:szCs w:val="21"/>
                      <w:u w:val="single"/>
                    </w:rPr>
                    <w:t>0.0403t/a</w:t>
                  </w:r>
                </w:p>
              </w:tc>
              <w:tc>
                <w:tcPr>
                  <w:tcW w:w="755" w:type="pct"/>
                  <w:vAlign w:val="center"/>
                </w:tcPr>
                <w:p>
                  <w:pPr>
                    <w:pStyle w:val="68"/>
                    <w:rPr>
                      <w:b/>
                      <w:szCs w:val="21"/>
                      <w:u w:val="single"/>
                    </w:rPr>
                  </w:pPr>
                  <w:r>
                    <w:rPr>
                      <w:rFonts w:hint="eastAsia"/>
                      <w:b/>
                      <w:szCs w:val="21"/>
                      <w:u w:val="single"/>
                    </w:rPr>
                    <w:t>0</w:t>
                  </w:r>
                </w:p>
              </w:tc>
              <w:tc>
                <w:tcPr>
                  <w:tcW w:w="756" w:type="pct"/>
                  <w:vAlign w:val="center"/>
                </w:tcPr>
                <w:p>
                  <w:pPr>
                    <w:pStyle w:val="68"/>
                    <w:spacing w:line="320" w:lineRule="exact"/>
                    <w:rPr>
                      <w:b/>
                      <w:szCs w:val="21"/>
                      <w:u w:val="single"/>
                    </w:rPr>
                  </w:pPr>
                  <w:r>
                    <w:rPr>
                      <w:b/>
                      <w:szCs w:val="21"/>
                      <w:u w:val="single"/>
                    </w:rPr>
                    <w:t>0.</w:t>
                  </w:r>
                  <w:r>
                    <w:rPr>
                      <w:rFonts w:hint="eastAsia"/>
                      <w:b/>
                      <w:szCs w:val="21"/>
                      <w:u w:val="single"/>
                    </w:rPr>
                    <w:t>1075</w:t>
                  </w:r>
                  <w:r>
                    <w:rPr>
                      <w:b/>
                      <w:szCs w:val="21"/>
                      <w:u w:val="single"/>
                    </w:rPr>
                    <w:t>t/a</w:t>
                  </w:r>
                </w:p>
              </w:tc>
              <w:tc>
                <w:tcPr>
                  <w:tcW w:w="708" w:type="pct"/>
                  <w:vAlign w:val="center"/>
                </w:tcPr>
                <w:p>
                  <w:pPr>
                    <w:pStyle w:val="68"/>
                    <w:spacing w:line="320" w:lineRule="exact"/>
                    <w:rPr>
                      <w:b/>
                      <w:szCs w:val="21"/>
                      <w:highlight w:val="yellow"/>
                      <w:u w:val="single"/>
                    </w:rPr>
                  </w:pPr>
                  <w:r>
                    <w:rPr>
                      <w:b/>
                      <w:szCs w:val="21"/>
                      <w:u w:val="single"/>
                    </w:rPr>
                    <w:t>0.</w:t>
                  </w:r>
                  <w:r>
                    <w:rPr>
                      <w:rFonts w:hint="eastAsia"/>
                      <w:b/>
                      <w:szCs w:val="21"/>
                      <w:u w:val="single"/>
                    </w:rPr>
                    <w:t>1478</w:t>
                  </w:r>
                  <w:r>
                    <w:rPr>
                      <w:b/>
                      <w:szCs w:val="21"/>
                      <w:u w:val="single"/>
                    </w:rPr>
                    <w:t>t/a</w:t>
                  </w:r>
                </w:p>
              </w:tc>
              <w:tc>
                <w:tcPr>
                  <w:tcW w:w="708" w:type="pct"/>
                  <w:vAlign w:val="center"/>
                </w:tcPr>
                <w:p>
                  <w:pPr>
                    <w:pStyle w:val="68"/>
                    <w:spacing w:line="320" w:lineRule="exact"/>
                    <w:rPr>
                      <w:b/>
                      <w:szCs w:val="21"/>
                      <w:u w:val="single"/>
                    </w:rPr>
                  </w:pPr>
                  <w:r>
                    <w:rPr>
                      <w:rFonts w:hint="eastAsia"/>
                      <w:b/>
                      <w:szCs w:val="21"/>
                      <w:u w:val="single"/>
                    </w:rPr>
                    <w:t>+0.1075t/a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352" w:type="pct"/>
                  <w:vMerge w:val="continue"/>
                  <w:vAlign w:val="center"/>
                </w:tcPr>
                <w:p>
                  <w:pPr>
                    <w:pStyle w:val="68"/>
                    <w:rPr>
                      <w:b/>
                      <w:szCs w:val="21"/>
                      <w:u w:val="single"/>
                    </w:rPr>
                  </w:pPr>
                </w:p>
              </w:tc>
              <w:tc>
                <w:tcPr>
                  <w:tcW w:w="910" w:type="pct"/>
                  <w:vAlign w:val="center"/>
                </w:tcPr>
                <w:p>
                  <w:pPr>
                    <w:pStyle w:val="68"/>
                    <w:rPr>
                      <w:b/>
                      <w:szCs w:val="21"/>
                      <w:u w:val="single"/>
                    </w:rPr>
                  </w:pPr>
                  <w:r>
                    <w:rPr>
                      <w:b/>
                      <w:szCs w:val="21"/>
                      <w:u w:val="single"/>
                    </w:rPr>
                    <w:t>氨氮</w:t>
                  </w:r>
                </w:p>
              </w:tc>
              <w:tc>
                <w:tcPr>
                  <w:tcW w:w="811" w:type="pct"/>
                  <w:vAlign w:val="center"/>
                </w:tcPr>
                <w:p>
                  <w:pPr>
                    <w:pStyle w:val="68"/>
                    <w:rPr>
                      <w:b/>
                      <w:szCs w:val="21"/>
                      <w:u w:val="single"/>
                    </w:rPr>
                  </w:pPr>
                  <w:r>
                    <w:rPr>
                      <w:rFonts w:hint="eastAsia"/>
                      <w:b/>
                      <w:szCs w:val="21"/>
                      <w:u w:val="single"/>
                    </w:rPr>
                    <w:t>0.0042t/a</w:t>
                  </w:r>
                </w:p>
              </w:tc>
              <w:tc>
                <w:tcPr>
                  <w:tcW w:w="755" w:type="pct"/>
                  <w:vAlign w:val="center"/>
                </w:tcPr>
                <w:p>
                  <w:pPr>
                    <w:pStyle w:val="68"/>
                    <w:rPr>
                      <w:b/>
                      <w:szCs w:val="21"/>
                      <w:u w:val="single"/>
                    </w:rPr>
                  </w:pPr>
                  <w:r>
                    <w:rPr>
                      <w:rFonts w:hint="eastAsia"/>
                      <w:b/>
                      <w:szCs w:val="21"/>
                      <w:u w:val="single"/>
                    </w:rPr>
                    <w:t>0</w:t>
                  </w:r>
                </w:p>
              </w:tc>
              <w:tc>
                <w:tcPr>
                  <w:tcW w:w="756" w:type="pct"/>
                  <w:vAlign w:val="center"/>
                </w:tcPr>
                <w:p>
                  <w:pPr>
                    <w:pStyle w:val="68"/>
                    <w:spacing w:line="320" w:lineRule="exact"/>
                    <w:rPr>
                      <w:b/>
                      <w:szCs w:val="21"/>
                      <w:u w:val="single"/>
                    </w:rPr>
                  </w:pPr>
                  <w:r>
                    <w:rPr>
                      <w:b/>
                      <w:szCs w:val="21"/>
                      <w:u w:val="single"/>
                    </w:rPr>
                    <w:t>0.0</w:t>
                  </w:r>
                  <w:r>
                    <w:rPr>
                      <w:rFonts w:hint="eastAsia"/>
                      <w:b/>
                      <w:szCs w:val="21"/>
                      <w:u w:val="single"/>
                    </w:rPr>
                    <w:t>112</w:t>
                  </w:r>
                  <w:r>
                    <w:rPr>
                      <w:b/>
                      <w:szCs w:val="21"/>
                      <w:u w:val="single"/>
                    </w:rPr>
                    <w:t>t/a</w:t>
                  </w:r>
                </w:p>
              </w:tc>
              <w:tc>
                <w:tcPr>
                  <w:tcW w:w="708" w:type="pct"/>
                  <w:vAlign w:val="center"/>
                </w:tcPr>
                <w:p>
                  <w:pPr>
                    <w:pStyle w:val="68"/>
                    <w:spacing w:line="320" w:lineRule="exact"/>
                    <w:rPr>
                      <w:b/>
                      <w:szCs w:val="21"/>
                      <w:highlight w:val="yellow"/>
                      <w:u w:val="single"/>
                    </w:rPr>
                  </w:pPr>
                  <w:r>
                    <w:rPr>
                      <w:b/>
                      <w:szCs w:val="21"/>
                      <w:u w:val="single"/>
                    </w:rPr>
                    <w:t>0.0</w:t>
                  </w:r>
                  <w:r>
                    <w:rPr>
                      <w:rFonts w:hint="eastAsia"/>
                      <w:b/>
                      <w:szCs w:val="21"/>
                      <w:u w:val="single"/>
                    </w:rPr>
                    <w:t>154</w:t>
                  </w:r>
                  <w:r>
                    <w:rPr>
                      <w:b/>
                      <w:szCs w:val="21"/>
                      <w:u w:val="single"/>
                    </w:rPr>
                    <w:t>t/a</w:t>
                  </w:r>
                </w:p>
              </w:tc>
              <w:tc>
                <w:tcPr>
                  <w:tcW w:w="708" w:type="pct"/>
                  <w:vAlign w:val="center"/>
                </w:tcPr>
                <w:p>
                  <w:pPr>
                    <w:pStyle w:val="68"/>
                    <w:spacing w:line="320" w:lineRule="exact"/>
                    <w:rPr>
                      <w:b/>
                      <w:szCs w:val="21"/>
                      <w:u w:val="single"/>
                    </w:rPr>
                  </w:pPr>
                  <w:r>
                    <w:rPr>
                      <w:rFonts w:hint="eastAsia"/>
                      <w:b/>
                      <w:szCs w:val="21"/>
                      <w:u w:val="single"/>
                    </w:rPr>
                    <w:t>+0.0112t/a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352" w:type="pct"/>
                  <w:vMerge w:val="continue"/>
                  <w:vAlign w:val="center"/>
                </w:tcPr>
                <w:p>
                  <w:pPr>
                    <w:pStyle w:val="68"/>
                    <w:rPr>
                      <w:b/>
                      <w:szCs w:val="21"/>
                      <w:u w:val="single"/>
                    </w:rPr>
                  </w:pPr>
                </w:p>
              </w:tc>
              <w:tc>
                <w:tcPr>
                  <w:tcW w:w="910" w:type="pct"/>
                  <w:vAlign w:val="center"/>
                </w:tcPr>
                <w:p>
                  <w:pPr>
                    <w:pStyle w:val="68"/>
                    <w:rPr>
                      <w:b/>
                      <w:szCs w:val="21"/>
                      <w:u w:val="single"/>
                    </w:rPr>
                  </w:pPr>
                  <w:r>
                    <w:rPr>
                      <w:rFonts w:hint="eastAsia"/>
                      <w:b/>
                      <w:u w:val="single"/>
                    </w:rPr>
                    <w:t>BOD</w:t>
                  </w:r>
                  <w:r>
                    <w:rPr>
                      <w:rFonts w:hint="eastAsia"/>
                      <w:b/>
                      <w:u w:val="single"/>
                      <w:vertAlign w:val="subscript"/>
                    </w:rPr>
                    <w:t>5</w:t>
                  </w:r>
                </w:p>
              </w:tc>
              <w:tc>
                <w:tcPr>
                  <w:tcW w:w="811" w:type="pct"/>
                  <w:vAlign w:val="center"/>
                </w:tcPr>
                <w:p>
                  <w:pPr>
                    <w:pStyle w:val="68"/>
                    <w:spacing w:line="400" w:lineRule="exact"/>
                    <w:rPr>
                      <w:b/>
                      <w:u w:val="single"/>
                    </w:rPr>
                  </w:pPr>
                  <w:r>
                    <w:rPr>
                      <w:b/>
                      <w:bCs/>
                      <w:szCs w:val="21"/>
                      <w:u w:val="single"/>
                    </w:rPr>
                    <w:t>0.0</w:t>
                  </w:r>
                  <w:r>
                    <w:rPr>
                      <w:rFonts w:hint="eastAsia"/>
                      <w:b/>
                      <w:bCs/>
                      <w:szCs w:val="21"/>
                      <w:u w:val="single"/>
                    </w:rPr>
                    <w:t>207</w:t>
                  </w:r>
                  <w:r>
                    <w:rPr>
                      <w:b/>
                      <w:bCs/>
                      <w:szCs w:val="21"/>
                      <w:u w:val="single"/>
                    </w:rPr>
                    <w:t>t/a</w:t>
                  </w:r>
                </w:p>
              </w:tc>
              <w:tc>
                <w:tcPr>
                  <w:tcW w:w="755" w:type="pct"/>
                  <w:vAlign w:val="center"/>
                </w:tcPr>
                <w:p>
                  <w:pPr>
                    <w:pStyle w:val="68"/>
                    <w:rPr>
                      <w:b/>
                      <w:szCs w:val="21"/>
                      <w:u w:val="single"/>
                    </w:rPr>
                  </w:pPr>
                  <w:r>
                    <w:rPr>
                      <w:rFonts w:hint="eastAsia"/>
                      <w:b/>
                      <w:szCs w:val="21"/>
                      <w:u w:val="single"/>
                    </w:rPr>
                    <w:t>0</w:t>
                  </w:r>
                </w:p>
              </w:tc>
              <w:tc>
                <w:tcPr>
                  <w:tcW w:w="756" w:type="pct"/>
                  <w:vAlign w:val="center"/>
                </w:tcPr>
                <w:p>
                  <w:pPr>
                    <w:pStyle w:val="68"/>
                    <w:spacing w:line="320" w:lineRule="exact"/>
                    <w:rPr>
                      <w:b/>
                      <w:szCs w:val="21"/>
                      <w:u w:val="single"/>
                    </w:rPr>
                  </w:pPr>
                  <w:r>
                    <w:rPr>
                      <w:rFonts w:hint="eastAsia"/>
                      <w:b/>
                      <w:bCs/>
                      <w:u w:val="single"/>
                    </w:rPr>
                    <w:t>0.0554t/a</w:t>
                  </w:r>
                </w:p>
              </w:tc>
              <w:tc>
                <w:tcPr>
                  <w:tcW w:w="708" w:type="pct"/>
                  <w:vAlign w:val="center"/>
                </w:tcPr>
                <w:p>
                  <w:pPr>
                    <w:pStyle w:val="68"/>
                    <w:spacing w:line="320" w:lineRule="exact"/>
                    <w:rPr>
                      <w:b/>
                      <w:szCs w:val="21"/>
                      <w:highlight w:val="yellow"/>
                      <w:u w:val="single"/>
                    </w:rPr>
                  </w:pPr>
                  <w:r>
                    <w:rPr>
                      <w:rFonts w:hint="eastAsia"/>
                      <w:b/>
                      <w:szCs w:val="21"/>
                      <w:u w:val="single"/>
                    </w:rPr>
                    <w:t>0.0761t/a</w:t>
                  </w:r>
                </w:p>
              </w:tc>
              <w:tc>
                <w:tcPr>
                  <w:tcW w:w="708" w:type="pct"/>
                  <w:vAlign w:val="center"/>
                </w:tcPr>
                <w:p>
                  <w:pPr>
                    <w:pStyle w:val="68"/>
                    <w:spacing w:line="320" w:lineRule="exact"/>
                    <w:rPr>
                      <w:b/>
                      <w:szCs w:val="21"/>
                      <w:u w:val="single"/>
                    </w:rPr>
                  </w:pPr>
                  <w:r>
                    <w:rPr>
                      <w:rFonts w:hint="eastAsia"/>
                      <w:b/>
                      <w:bCs/>
                      <w:u w:val="single"/>
                    </w:rPr>
                    <w:t>+0.0554t/a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352" w:type="pct"/>
                  <w:vMerge w:val="continue"/>
                  <w:vAlign w:val="center"/>
                </w:tcPr>
                <w:p>
                  <w:pPr>
                    <w:pStyle w:val="68"/>
                    <w:rPr>
                      <w:b/>
                      <w:szCs w:val="21"/>
                      <w:u w:val="single"/>
                    </w:rPr>
                  </w:pPr>
                </w:p>
              </w:tc>
              <w:tc>
                <w:tcPr>
                  <w:tcW w:w="910" w:type="pct"/>
                  <w:vAlign w:val="center"/>
                </w:tcPr>
                <w:p>
                  <w:pPr>
                    <w:pStyle w:val="68"/>
                    <w:rPr>
                      <w:b/>
                      <w:szCs w:val="21"/>
                      <w:u w:val="single"/>
                    </w:rPr>
                  </w:pPr>
                  <w:r>
                    <w:rPr>
                      <w:rFonts w:hint="eastAsia"/>
                      <w:b/>
                      <w:u w:val="single"/>
                    </w:rPr>
                    <w:t>SS</w:t>
                  </w:r>
                </w:p>
              </w:tc>
              <w:tc>
                <w:tcPr>
                  <w:tcW w:w="811" w:type="pct"/>
                  <w:vAlign w:val="center"/>
                </w:tcPr>
                <w:p>
                  <w:pPr>
                    <w:pStyle w:val="68"/>
                    <w:spacing w:line="320" w:lineRule="exact"/>
                    <w:rPr>
                      <w:b/>
                      <w:u w:val="single"/>
                    </w:rPr>
                  </w:pPr>
                  <w:r>
                    <w:rPr>
                      <w:b/>
                      <w:bCs/>
                      <w:szCs w:val="21"/>
                      <w:u w:val="single"/>
                    </w:rPr>
                    <w:t>0.0</w:t>
                  </w:r>
                  <w:r>
                    <w:rPr>
                      <w:rFonts w:hint="eastAsia"/>
                      <w:b/>
                      <w:bCs/>
                      <w:szCs w:val="21"/>
                      <w:u w:val="single"/>
                    </w:rPr>
                    <w:t>144</w:t>
                  </w:r>
                  <w:r>
                    <w:rPr>
                      <w:b/>
                      <w:bCs/>
                      <w:szCs w:val="21"/>
                      <w:u w:val="single"/>
                    </w:rPr>
                    <w:t>t/a</w:t>
                  </w:r>
                </w:p>
              </w:tc>
              <w:tc>
                <w:tcPr>
                  <w:tcW w:w="755" w:type="pct"/>
                  <w:vAlign w:val="center"/>
                </w:tcPr>
                <w:p>
                  <w:pPr>
                    <w:pStyle w:val="68"/>
                    <w:rPr>
                      <w:b/>
                      <w:szCs w:val="21"/>
                      <w:u w:val="single"/>
                    </w:rPr>
                  </w:pPr>
                  <w:r>
                    <w:rPr>
                      <w:rFonts w:hint="eastAsia"/>
                      <w:b/>
                      <w:szCs w:val="21"/>
                      <w:u w:val="single"/>
                    </w:rPr>
                    <w:t>0</w:t>
                  </w:r>
                </w:p>
              </w:tc>
              <w:tc>
                <w:tcPr>
                  <w:tcW w:w="756" w:type="pct"/>
                  <w:vAlign w:val="center"/>
                </w:tcPr>
                <w:p>
                  <w:pPr>
                    <w:pStyle w:val="68"/>
                    <w:spacing w:line="320" w:lineRule="exact"/>
                    <w:rPr>
                      <w:b/>
                      <w:szCs w:val="21"/>
                      <w:u w:val="single"/>
                    </w:rPr>
                  </w:pPr>
                  <w:r>
                    <w:rPr>
                      <w:b/>
                      <w:bCs/>
                      <w:u w:val="single"/>
                    </w:rPr>
                    <w:t>0.</w:t>
                  </w:r>
                  <w:r>
                    <w:rPr>
                      <w:rFonts w:hint="eastAsia"/>
                      <w:b/>
                      <w:bCs/>
                      <w:u w:val="single"/>
                    </w:rPr>
                    <w:t>0384t/a</w:t>
                  </w:r>
                </w:p>
              </w:tc>
              <w:tc>
                <w:tcPr>
                  <w:tcW w:w="708" w:type="pct"/>
                  <w:vAlign w:val="center"/>
                </w:tcPr>
                <w:p>
                  <w:pPr>
                    <w:pStyle w:val="68"/>
                    <w:spacing w:line="320" w:lineRule="exact"/>
                    <w:rPr>
                      <w:b/>
                      <w:szCs w:val="21"/>
                      <w:highlight w:val="yellow"/>
                      <w:u w:val="single"/>
                    </w:rPr>
                  </w:pPr>
                  <w:r>
                    <w:rPr>
                      <w:rFonts w:hint="eastAsia"/>
                      <w:b/>
                      <w:szCs w:val="21"/>
                      <w:u w:val="single"/>
                    </w:rPr>
                    <w:t>0.0528t/a</w:t>
                  </w:r>
                </w:p>
              </w:tc>
              <w:tc>
                <w:tcPr>
                  <w:tcW w:w="708" w:type="pct"/>
                  <w:vAlign w:val="center"/>
                </w:tcPr>
                <w:p>
                  <w:pPr>
                    <w:pStyle w:val="68"/>
                    <w:spacing w:line="320" w:lineRule="exact"/>
                    <w:rPr>
                      <w:b/>
                      <w:szCs w:val="21"/>
                      <w:u w:val="single"/>
                    </w:rPr>
                  </w:pPr>
                  <w:r>
                    <w:rPr>
                      <w:rFonts w:hint="eastAsia"/>
                      <w:b/>
                      <w:bCs/>
                      <w:u w:val="single"/>
                    </w:rPr>
                    <w:t>+</w:t>
                  </w:r>
                  <w:r>
                    <w:rPr>
                      <w:b/>
                      <w:bCs/>
                      <w:u w:val="single"/>
                    </w:rPr>
                    <w:t>0.</w:t>
                  </w:r>
                  <w:r>
                    <w:rPr>
                      <w:rFonts w:hint="eastAsia"/>
                      <w:b/>
                      <w:bCs/>
                      <w:u w:val="single"/>
                    </w:rPr>
                    <w:t>0384t/a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352" w:type="pct"/>
                  <w:vMerge w:val="restart"/>
                  <w:vAlign w:val="center"/>
                </w:tcPr>
                <w:p>
                  <w:pPr>
                    <w:pStyle w:val="68"/>
                    <w:rPr>
                      <w:b/>
                      <w:szCs w:val="21"/>
                      <w:u w:val="single"/>
                    </w:rPr>
                  </w:pPr>
                  <w:r>
                    <w:rPr>
                      <w:rFonts w:hint="eastAsia"/>
                      <w:b/>
                      <w:szCs w:val="21"/>
                      <w:u w:val="single"/>
                    </w:rPr>
                    <w:t>固废</w:t>
                  </w:r>
                </w:p>
              </w:tc>
              <w:tc>
                <w:tcPr>
                  <w:tcW w:w="910" w:type="pct"/>
                  <w:vAlign w:val="center"/>
                </w:tcPr>
                <w:p>
                  <w:pPr>
                    <w:pStyle w:val="68"/>
                    <w:spacing w:line="320" w:lineRule="exact"/>
                    <w:rPr>
                      <w:b/>
                      <w:szCs w:val="21"/>
                      <w:u w:val="single"/>
                    </w:rPr>
                  </w:pPr>
                  <w:r>
                    <w:rPr>
                      <w:b/>
                      <w:szCs w:val="21"/>
                      <w:u w:val="single"/>
                    </w:rPr>
                    <w:t>生活垃圾</w:t>
                  </w:r>
                </w:p>
              </w:tc>
              <w:tc>
                <w:tcPr>
                  <w:tcW w:w="811" w:type="pct"/>
                  <w:vAlign w:val="center"/>
                </w:tcPr>
                <w:p>
                  <w:pPr>
                    <w:pStyle w:val="68"/>
                    <w:rPr>
                      <w:b/>
                      <w:szCs w:val="21"/>
                      <w:u w:val="single"/>
                    </w:rPr>
                  </w:pPr>
                  <w:r>
                    <w:rPr>
                      <w:rFonts w:hint="eastAsia"/>
                      <w:b/>
                      <w:szCs w:val="21"/>
                      <w:u w:val="single"/>
                    </w:rPr>
                    <w:t>2.25</w:t>
                  </w:r>
                  <w:r>
                    <w:rPr>
                      <w:b/>
                      <w:szCs w:val="21"/>
                      <w:u w:val="single"/>
                    </w:rPr>
                    <w:t>t/a</w:t>
                  </w:r>
                </w:p>
              </w:tc>
              <w:tc>
                <w:tcPr>
                  <w:tcW w:w="755" w:type="pct"/>
                  <w:vAlign w:val="center"/>
                </w:tcPr>
                <w:p>
                  <w:pPr>
                    <w:pStyle w:val="68"/>
                    <w:rPr>
                      <w:b/>
                      <w:szCs w:val="21"/>
                      <w:u w:val="single"/>
                    </w:rPr>
                  </w:pPr>
                  <w:r>
                    <w:rPr>
                      <w:rFonts w:hint="eastAsia"/>
                      <w:b/>
                      <w:szCs w:val="21"/>
                      <w:u w:val="single"/>
                    </w:rPr>
                    <w:t>0</w:t>
                  </w:r>
                </w:p>
              </w:tc>
              <w:tc>
                <w:tcPr>
                  <w:tcW w:w="756" w:type="pct"/>
                  <w:vAlign w:val="center"/>
                </w:tcPr>
                <w:p>
                  <w:pPr>
                    <w:pStyle w:val="68"/>
                    <w:rPr>
                      <w:b/>
                      <w:szCs w:val="21"/>
                      <w:u w:val="single"/>
                    </w:rPr>
                  </w:pPr>
                  <w:r>
                    <w:rPr>
                      <w:rFonts w:hint="eastAsia"/>
                      <w:b/>
                      <w:szCs w:val="21"/>
                      <w:u w:val="single"/>
                    </w:rPr>
                    <w:t>6.0</w:t>
                  </w:r>
                  <w:r>
                    <w:rPr>
                      <w:b/>
                      <w:szCs w:val="21"/>
                      <w:u w:val="single"/>
                    </w:rPr>
                    <w:t>t/a</w:t>
                  </w:r>
                </w:p>
              </w:tc>
              <w:tc>
                <w:tcPr>
                  <w:tcW w:w="708" w:type="pct"/>
                  <w:vAlign w:val="center"/>
                </w:tcPr>
                <w:p>
                  <w:pPr>
                    <w:pStyle w:val="68"/>
                    <w:rPr>
                      <w:b/>
                      <w:szCs w:val="21"/>
                      <w:u w:val="single"/>
                    </w:rPr>
                  </w:pPr>
                  <w:r>
                    <w:rPr>
                      <w:rFonts w:hint="eastAsia"/>
                      <w:b/>
                      <w:szCs w:val="21"/>
                      <w:u w:val="single"/>
                    </w:rPr>
                    <w:t>8.25</w:t>
                  </w:r>
                  <w:r>
                    <w:rPr>
                      <w:b/>
                      <w:szCs w:val="21"/>
                      <w:u w:val="single"/>
                    </w:rPr>
                    <w:t>t/a</w:t>
                  </w:r>
                </w:p>
              </w:tc>
              <w:tc>
                <w:tcPr>
                  <w:tcW w:w="708" w:type="pct"/>
                  <w:vAlign w:val="center"/>
                </w:tcPr>
                <w:p>
                  <w:pPr>
                    <w:pStyle w:val="68"/>
                    <w:spacing w:line="320" w:lineRule="exact"/>
                    <w:rPr>
                      <w:b/>
                      <w:szCs w:val="21"/>
                      <w:u w:val="single"/>
                    </w:rPr>
                  </w:pPr>
                  <w:r>
                    <w:rPr>
                      <w:rFonts w:hint="eastAsia"/>
                      <w:b/>
                      <w:szCs w:val="21"/>
                      <w:u w:val="single"/>
                    </w:rPr>
                    <w:t>+6.0t/a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352" w:type="pct"/>
                  <w:vMerge w:val="continue"/>
                  <w:vAlign w:val="center"/>
                </w:tcPr>
                <w:p>
                  <w:pPr>
                    <w:pStyle w:val="68"/>
                    <w:rPr>
                      <w:b/>
                      <w:szCs w:val="21"/>
                      <w:u w:val="single"/>
                    </w:rPr>
                  </w:pPr>
                </w:p>
              </w:tc>
              <w:tc>
                <w:tcPr>
                  <w:tcW w:w="910" w:type="pct"/>
                  <w:vAlign w:val="center"/>
                </w:tcPr>
                <w:p>
                  <w:pPr>
                    <w:pStyle w:val="68"/>
                    <w:spacing w:line="320" w:lineRule="exact"/>
                    <w:rPr>
                      <w:b/>
                      <w:szCs w:val="21"/>
                      <w:u w:val="single"/>
                    </w:rPr>
                  </w:pPr>
                  <w:r>
                    <w:rPr>
                      <w:b/>
                      <w:szCs w:val="21"/>
                      <w:u w:val="single"/>
                    </w:rPr>
                    <w:t>废包装材料</w:t>
                  </w:r>
                </w:p>
              </w:tc>
              <w:tc>
                <w:tcPr>
                  <w:tcW w:w="811" w:type="pct"/>
                  <w:vAlign w:val="center"/>
                </w:tcPr>
                <w:p>
                  <w:pPr>
                    <w:pStyle w:val="68"/>
                    <w:rPr>
                      <w:b/>
                      <w:szCs w:val="21"/>
                      <w:u w:val="single"/>
                    </w:rPr>
                  </w:pPr>
                  <w:r>
                    <w:rPr>
                      <w:rFonts w:hint="eastAsia"/>
                      <w:b/>
                      <w:szCs w:val="21"/>
                      <w:u w:val="single"/>
                    </w:rPr>
                    <w:t>0.5</w:t>
                  </w:r>
                  <w:r>
                    <w:rPr>
                      <w:b/>
                      <w:szCs w:val="21"/>
                      <w:u w:val="single"/>
                    </w:rPr>
                    <w:t>t/a</w:t>
                  </w:r>
                </w:p>
              </w:tc>
              <w:tc>
                <w:tcPr>
                  <w:tcW w:w="755" w:type="pct"/>
                  <w:vAlign w:val="center"/>
                </w:tcPr>
                <w:p>
                  <w:pPr>
                    <w:pStyle w:val="68"/>
                    <w:rPr>
                      <w:b/>
                      <w:szCs w:val="21"/>
                      <w:u w:val="single"/>
                    </w:rPr>
                  </w:pPr>
                  <w:r>
                    <w:rPr>
                      <w:rFonts w:hint="eastAsia"/>
                      <w:b/>
                      <w:szCs w:val="21"/>
                      <w:u w:val="single"/>
                    </w:rPr>
                    <w:t>0</w:t>
                  </w:r>
                </w:p>
              </w:tc>
              <w:tc>
                <w:tcPr>
                  <w:tcW w:w="756" w:type="pct"/>
                  <w:vAlign w:val="center"/>
                </w:tcPr>
                <w:p>
                  <w:pPr>
                    <w:pStyle w:val="68"/>
                    <w:rPr>
                      <w:b/>
                      <w:szCs w:val="21"/>
                      <w:u w:val="single"/>
                    </w:rPr>
                  </w:pPr>
                  <w:r>
                    <w:rPr>
                      <w:rFonts w:hint="eastAsia"/>
                      <w:b/>
                      <w:szCs w:val="21"/>
                      <w:u w:val="single"/>
                    </w:rPr>
                    <w:t>1.0</w:t>
                  </w:r>
                  <w:r>
                    <w:rPr>
                      <w:b/>
                      <w:szCs w:val="21"/>
                      <w:u w:val="single"/>
                    </w:rPr>
                    <w:t>t/a</w:t>
                  </w:r>
                </w:p>
              </w:tc>
              <w:tc>
                <w:tcPr>
                  <w:tcW w:w="708" w:type="pct"/>
                  <w:vAlign w:val="center"/>
                </w:tcPr>
                <w:p>
                  <w:pPr>
                    <w:pStyle w:val="68"/>
                    <w:rPr>
                      <w:b/>
                      <w:szCs w:val="21"/>
                      <w:u w:val="single"/>
                    </w:rPr>
                  </w:pPr>
                  <w:r>
                    <w:rPr>
                      <w:rFonts w:hint="eastAsia"/>
                      <w:b/>
                      <w:szCs w:val="21"/>
                      <w:u w:val="single"/>
                    </w:rPr>
                    <w:t>1.5</w:t>
                  </w:r>
                  <w:r>
                    <w:rPr>
                      <w:b/>
                      <w:szCs w:val="21"/>
                      <w:u w:val="single"/>
                    </w:rPr>
                    <w:t>t/a</w:t>
                  </w:r>
                </w:p>
              </w:tc>
              <w:tc>
                <w:tcPr>
                  <w:tcW w:w="708" w:type="pct"/>
                  <w:vAlign w:val="center"/>
                </w:tcPr>
                <w:p>
                  <w:pPr>
                    <w:pStyle w:val="68"/>
                    <w:rPr>
                      <w:b/>
                      <w:szCs w:val="21"/>
                      <w:u w:val="single"/>
                    </w:rPr>
                  </w:pPr>
                  <w:r>
                    <w:rPr>
                      <w:rFonts w:hint="eastAsia"/>
                      <w:b/>
                      <w:szCs w:val="21"/>
                      <w:u w:val="single"/>
                    </w:rPr>
                    <w:t>+1.0t/a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352" w:type="pct"/>
                  <w:vMerge w:val="continue"/>
                  <w:vAlign w:val="center"/>
                </w:tcPr>
                <w:p>
                  <w:pPr>
                    <w:pStyle w:val="68"/>
                    <w:rPr>
                      <w:b/>
                      <w:szCs w:val="21"/>
                      <w:u w:val="single"/>
                    </w:rPr>
                  </w:pPr>
                </w:p>
              </w:tc>
              <w:tc>
                <w:tcPr>
                  <w:tcW w:w="910" w:type="pct"/>
                  <w:vAlign w:val="center"/>
                </w:tcPr>
                <w:p>
                  <w:pPr>
                    <w:pStyle w:val="68"/>
                    <w:spacing w:line="320" w:lineRule="exact"/>
                    <w:rPr>
                      <w:b/>
                      <w:szCs w:val="21"/>
                      <w:u w:val="single"/>
                    </w:rPr>
                  </w:pPr>
                  <w:r>
                    <w:rPr>
                      <w:rFonts w:hint="eastAsia"/>
                      <w:b/>
                      <w:szCs w:val="21"/>
                      <w:u w:val="single"/>
                    </w:rPr>
                    <w:t>废边角料</w:t>
                  </w:r>
                </w:p>
              </w:tc>
              <w:tc>
                <w:tcPr>
                  <w:tcW w:w="811" w:type="pct"/>
                  <w:vAlign w:val="center"/>
                </w:tcPr>
                <w:p>
                  <w:pPr>
                    <w:pStyle w:val="68"/>
                    <w:rPr>
                      <w:b/>
                      <w:szCs w:val="21"/>
                      <w:u w:val="single"/>
                    </w:rPr>
                  </w:pPr>
                  <w:r>
                    <w:rPr>
                      <w:rFonts w:hint="eastAsia"/>
                      <w:b/>
                      <w:szCs w:val="21"/>
                      <w:u w:val="single"/>
                    </w:rPr>
                    <w:t>0.3t/a</w:t>
                  </w:r>
                </w:p>
              </w:tc>
              <w:tc>
                <w:tcPr>
                  <w:tcW w:w="755" w:type="pct"/>
                  <w:vAlign w:val="center"/>
                </w:tcPr>
                <w:p>
                  <w:pPr>
                    <w:pStyle w:val="68"/>
                    <w:rPr>
                      <w:b/>
                      <w:szCs w:val="21"/>
                      <w:u w:val="single"/>
                    </w:rPr>
                  </w:pPr>
                  <w:r>
                    <w:rPr>
                      <w:rFonts w:hint="eastAsia"/>
                      <w:b/>
                      <w:szCs w:val="21"/>
                      <w:u w:val="single"/>
                    </w:rPr>
                    <w:t>0.3t/a</w:t>
                  </w:r>
                </w:p>
              </w:tc>
              <w:tc>
                <w:tcPr>
                  <w:tcW w:w="756" w:type="pct"/>
                  <w:vAlign w:val="center"/>
                </w:tcPr>
                <w:p>
                  <w:pPr>
                    <w:pStyle w:val="68"/>
                    <w:rPr>
                      <w:b/>
                      <w:szCs w:val="21"/>
                      <w:u w:val="single"/>
                    </w:rPr>
                  </w:pPr>
                  <w:r>
                    <w:rPr>
                      <w:rFonts w:hint="eastAsia"/>
                      <w:b/>
                      <w:szCs w:val="21"/>
                      <w:u w:val="single"/>
                    </w:rPr>
                    <w:t>1.2t/a</w:t>
                  </w:r>
                </w:p>
              </w:tc>
              <w:tc>
                <w:tcPr>
                  <w:tcW w:w="708" w:type="pct"/>
                  <w:vAlign w:val="center"/>
                </w:tcPr>
                <w:p>
                  <w:pPr>
                    <w:pStyle w:val="68"/>
                    <w:rPr>
                      <w:b/>
                      <w:szCs w:val="21"/>
                      <w:u w:val="single"/>
                    </w:rPr>
                  </w:pPr>
                  <w:r>
                    <w:rPr>
                      <w:rFonts w:hint="eastAsia"/>
                      <w:b/>
                      <w:szCs w:val="21"/>
                      <w:u w:val="single"/>
                    </w:rPr>
                    <w:t>1.2t/a</w:t>
                  </w:r>
                </w:p>
              </w:tc>
              <w:tc>
                <w:tcPr>
                  <w:tcW w:w="708" w:type="pct"/>
                  <w:vAlign w:val="center"/>
                </w:tcPr>
                <w:p>
                  <w:pPr>
                    <w:pStyle w:val="68"/>
                    <w:rPr>
                      <w:b/>
                      <w:szCs w:val="21"/>
                      <w:u w:val="single"/>
                    </w:rPr>
                  </w:pPr>
                  <w:r>
                    <w:rPr>
                      <w:rFonts w:hint="eastAsia"/>
                      <w:b/>
                      <w:szCs w:val="21"/>
                      <w:u w:val="single"/>
                    </w:rPr>
                    <w:t>+0.9t/a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352" w:type="pct"/>
                  <w:vMerge w:val="continue"/>
                  <w:vAlign w:val="center"/>
                </w:tcPr>
                <w:p>
                  <w:pPr>
                    <w:pStyle w:val="68"/>
                    <w:rPr>
                      <w:b/>
                      <w:szCs w:val="21"/>
                      <w:u w:val="single"/>
                    </w:rPr>
                  </w:pPr>
                </w:p>
              </w:tc>
              <w:tc>
                <w:tcPr>
                  <w:tcW w:w="910" w:type="pct"/>
                  <w:vAlign w:val="center"/>
                </w:tcPr>
                <w:p>
                  <w:pPr>
                    <w:pStyle w:val="68"/>
                    <w:spacing w:line="320" w:lineRule="exact"/>
                    <w:rPr>
                      <w:b/>
                      <w:u w:val="single"/>
                    </w:rPr>
                  </w:pPr>
                  <w:r>
                    <w:rPr>
                      <w:rFonts w:hint="eastAsia"/>
                      <w:b/>
                      <w:szCs w:val="21"/>
                      <w:u w:val="single"/>
                    </w:rPr>
                    <w:t>废液压油</w:t>
                  </w:r>
                </w:p>
              </w:tc>
              <w:tc>
                <w:tcPr>
                  <w:tcW w:w="811" w:type="pct"/>
                  <w:vAlign w:val="center"/>
                </w:tcPr>
                <w:p>
                  <w:pPr>
                    <w:pStyle w:val="68"/>
                    <w:rPr>
                      <w:b/>
                      <w:szCs w:val="21"/>
                      <w:highlight w:val="yellow"/>
                      <w:u w:val="single"/>
                    </w:rPr>
                  </w:pPr>
                  <w:r>
                    <w:rPr>
                      <w:rFonts w:hint="eastAsia"/>
                      <w:b/>
                      <w:szCs w:val="21"/>
                      <w:u w:val="single"/>
                    </w:rPr>
                    <w:t>0.12t/a</w:t>
                  </w:r>
                </w:p>
              </w:tc>
              <w:tc>
                <w:tcPr>
                  <w:tcW w:w="755" w:type="pct"/>
                  <w:vAlign w:val="center"/>
                </w:tcPr>
                <w:p>
                  <w:pPr>
                    <w:pStyle w:val="68"/>
                    <w:rPr>
                      <w:b/>
                      <w:szCs w:val="21"/>
                      <w:u w:val="single"/>
                    </w:rPr>
                  </w:pPr>
                  <w:r>
                    <w:rPr>
                      <w:rFonts w:hint="eastAsia"/>
                      <w:b/>
                      <w:szCs w:val="21"/>
                      <w:u w:val="single"/>
                    </w:rPr>
                    <w:t>0</w:t>
                  </w:r>
                </w:p>
              </w:tc>
              <w:tc>
                <w:tcPr>
                  <w:tcW w:w="756" w:type="pct"/>
                  <w:vAlign w:val="center"/>
                </w:tcPr>
                <w:p>
                  <w:pPr>
                    <w:pStyle w:val="68"/>
                    <w:rPr>
                      <w:b/>
                      <w:szCs w:val="21"/>
                      <w:u w:val="single"/>
                    </w:rPr>
                  </w:pPr>
                  <w:r>
                    <w:rPr>
                      <w:rFonts w:hint="eastAsia"/>
                      <w:b/>
                      <w:szCs w:val="21"/>
                      <w:u w:val="single"/>
                    </w:rPr>
                    <w:t>0.1</w:t>
                  </w:r>
                  <w:r>
                    <w:rPr>
                      <w:b/>
                      <w:szCs w:val="21"/>
                      <w:u w:val="single"/>
                    </w:rPr>
                    <w:t>t/a</w:t>
                  </w:r>
                </w:p>
              </w:tc>
              <w:tc>
                <w:tcPr>
                  <w:tcW w:w="708" w:type="pct"/>
                  <w:vAlign w:val="center"/>
                </w:tcPr>
                <w:p>
                  <w:pPr>
                    <w:pStyle w:val="68"/>
                    <w:rPr>
                      <w:b/>
                      <w:szCs w:val="21"/>
                      <w:u w:val="single"/>
                    </w:rPr>
                  </w:pPr>
                  <w:r>
                    <w:rPr>
                      <w:b/>
                      <w:szCs w:val="21"/>
                      <w:u w:val="single"/>
                    </w:rPr>
                    <w:t>0.</w:t>
                  </w:r>
                  <w:r>
                    <w:rPr>
                      <w:rFonts w:hint="eastAsia"/>
                      <w:b/>
                      <w:szCs w:val="21"/>
                      <w:u w:val="single"/>
                    </w:rPr>
                    <w:t>22</w:t>
                  </w:r>
                  <w:r>
                    <w:rPr>
                      <w:b/>
                      <w:szCs w:val="21"/>
                      <w:u w:val="single"/>
                    </w:rPr>
                    <w:t>t/a</w:t>
                  </w:r>
                </w:p>
              </w:tc>
              <w:tc>
                <w:tcPr>
                  <w:tcW w:w="708" w:type="pct"/>
                  <w:vAlign w:val="center"/>
                </w:tcPr>
                <w:p>
                  <w:pPr>
                    <w:pStyle w:val="68"/>
                    <w:rPr>
                      <w:b/>
                      <w:szCs w:val="21"/>
                      <w:u w:val="single"/>
                    </w:rPr>
                  </w:pPr>
                  <w:r>
                    <w:rPr>
                      <w:rFonts w:hint="eastAsia"/>
                      <w:b/>
                      <w:szCs w:val="21"/>
                      <w:u w:val="single"/>
                    </w:rPr>
                    <w:t>+0.1t/a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352" w:type="pct"/>
                  <w:vMerge w:val="continue"/>
                  <w:vAlign w:val="center"/>
                </w:tcPr>
                <w:p>
                  <w:pPr>
                    <w:pStyle w:val="68"/>
                    <w:rPr>
                      <w:b/>
                      <w:szCs w:val="21"/>
                      <w:u w:val="single"/>
                    </w:rPr>
                  </w:pPr>
                </w:p>
              </w:tc>
              <w:tc>
                <w:tcPr>
                  <w:tcW w:w="910" w:type="pct"/>
                  <w:vAlign w:val="center"/>
                </w:tcPr>
                <w:p>
                  <w:pPr>
                    <w:pStyle w:val="68"/>
                    <w:spacing w:line="320" w:lineRule="exact"/>
                    <w:rPr>
                      <w:b/>
                      <w:szCs w:val="21"/>
                      <w:u w:val="single"/>
                    </w:rPr>
                  </w:pPr>
                  <w:r>
                    <w:rPr>
                      <w:rFonts w:hint="eastAsia"/>
                      <w:b/>
                      <w:szCs w:val="21"/>
                      <w:u w:val="single"/>
                    </w:rPr>
                    <w:t>废活性炭</w:t>
                  </w:r>
                </w:p>
              </w:tc>
              <w:tc>
                <w:tcPr>
                  <w:tcW w:w="811" w:type="pct"/>
                  <w:vAlign w:val="center"/>
                </w:tcPr>
                <w:p>
                  <w:pPr>
                    <w:pStyle w:val="68"/>
                    <w:rPr>
                      <w:b/>
                      <w:szCs w:val="21"/>
                      <w:u w:val="single"/>
                    </w:rPr>
                  </w:pPr>
                  <w:r>
                    <w:rPr>
                      <w:rFonts w:hint="eastAsia"/>
                      <w:b/>
                      <w:szCs w:val="21"/>
                      <w:u w:val="single"/>
                    </w:rPr>
                    <w:t>0</w:t>
                  </w:r>
                </w:p>
              </w:tc>
              <w:tc>
                <w:tcPr>
                  <w:tcW w:w="755" w:type="pct"/>
                  <w:vAlign w:val="center"/>
                </w:tcPr>
                <w:p>
                  <w:pPr>
                    <w:pStyle w:val="68"/>
                    <w:rPr>
                      <w:b/>
                      <w:szCs w:val="21"/>
                      <w:u w:val="single"/>
                    </w:rPr>
                  </w:pPr>
                  <w:r>
                    <w:rPr>
                      <w:rFonts w:hint="eastAsia"/>
                      <w:b/>
                      <w:szCs w:val="21"/>
                      <w:u w:val="single"/>
                    </w:rPr>
                    <w:t>0</w:t>
                  </w:r>
                </w:p>
              </w:tc>
              <w:tc>
                <w:tcPr>
                  <w:tcW w:w="756" w:type="pct"/>
                  <w:vAlign w:val="center"/>
                </w:tcPr>
                <w:p>
                  <w:pPr>
                    <w:pStyle w:val="68"/>
                    <w:rPr>
                      <w:b/>
                      <w:szCs w:val="21"/>
                      <w:u w:val="single"/>
                    </w:rPr>
                  </w:pPr>
                  <w:r>
                    <w:rPr>
                      <w:rFonts w:hint="eastAsia"/>
                      <w:b/>
                      <w:szCs w:val="21"/>
                      <w:u w:val="single"/>
                    </w:rPr>
                    <w:t>0.3559t/a</w:t>
                  </w:r>
                </w:p>
              </w:tc>
              <w:tc>
                <w:tcPr>
                  <w:tcW w:w="708" w:type="pct"/>
                  <w:vAlign w:val="center"/>
                </w:tcPr>
                <w:p>
                  <w:pPr>
                    <w:pStyle w:val="68"/>
                    <w:rPr>
                      <w:b/>
                      <w:szCs w:val="21"/>
                      <w:u w:val="single"/>
                    </w:rPr>
                  </w:pPr>
                  <w:r>
                    <w:rPr>
                      <w:rFonts w:hint="eastAsia"/>
                      <w:b/>
                      <w:szCs w:val="21"/>
                      <w:u w:val="single"/>
                    </w:rPr>
                    <w:t>0.3559t/a</w:t>
                  </w:r>
                </w:p>
              </w:tc>
              <w:tc>
                <w:tcPr>
                  <w:tcW w:w="708" w:type="pct"/>
                  <w:vAlign w:val="center"/>
                </w:tcPr>
                <w:p>
                  <w:pPr>
                    <w:pStyle w:val="68"/>
                    <w:rPr>
                      <w:b/>
                      <w:szCs w:val="21"/>
                      <w:u w:val="single"/>
                    </w:rPr>
                  </w:pPr>
                  <w:r>
                    <w:rPr>
                      <w:rFonts w:hint="eastAsia"/>
                      <w:b/>
                      <w:szCs w:val="21"/>
                      <w:u w:val="single"/>
                    </w:rPr>
                    <w:t>+0.3559t/a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352" w:type="pct"/>
                  <w:vMerge w:val="continue"/>
                  <w:vAlign w:val="center"/>
                </w:tcPr>
                <w:p>
                  <w:pPr>
                    <w:pStyle w:val="68"/>
                    <w:rPr>
                      <w:b/>
                      <w:szCs w:val="21"/>
                      <w:u w:val="single"/>
                    </w:rPr>
                  </w:pPr>
                </w:p>
              </w:tc>
              <w:tc>
                <w:tcPr>
                  <w:tcW w:w="910" w:type="pct"/>
                  <w:vAlign w:val="center"/>
                </w:tcPr>
                <w:p>
                  <w:pPr>
                    <w:pStyle w:val="68"/>
                    <w:spacing w:line="320" w:lineRule="exact"/>
                    <w:rPr>
                      <w:b/>
                      <w:szCs w:val="21"/>
                      <w:u w:val="single"/>
                    </w:rPr>
                  </w:pPr>
                  <w:r>
                    <w:rPr>
                      <w:rFonts w:hint="eastAsia"/>
                      <w:b/>
                      <w:szCs w:val="21"/>
                      <w:u w:val="single"/>
                    </w:rPr>
                    <w:t>废抹布</w:t>
                  </w:r>
                </w:p>
              </w:tc>
              <w:tc>
                <w:tcPr>
                  <w:tcW w:w="811" w:type="pct"/>
                  <w:vAlign w:val="center"/>
                </w:tcPr>
                <w:p>
                  <w:pPr>
                    <w:pStyle w:val="68"/>
                    <w:rPr>
                      <w:b/>
                      <w:szCs w:val="21"/>
                      <w:u w:val="single"/>
                    </w:rPr>
                  </w:pPr>
                  <w:r>
                    <w:rPr>
                      <w:rFonts w:hint="eastAsia"/>
                      <w:b/>
                      <w:szCs w:val="21"/>
                      <w:u w:val="single"/>
                    </w:rPr>
                    <w:t>0</w:t>
                  </w:r>
                </w:p>
              </w:tc>
              <w:tc>
                <w:tcPr>
                  <w:tcW w:w="755" w:type="pct"/>
                  <w:vAlign w:val="center"/>
                </w:tcPr>
                <w:p>
                  <w:pPr>
                    <w:pStyle w:val="68"/>
                    <w:rPr>
                      <w:b/>
                      <w:szCs w:val="21"/>
                      <w:u w:val="single"/>
                    </w:rPr>
                  </w:pPr>
                  <w:r>
                    <w:rPr>
                      <w:rFonts w:hint="eastAsia"/>
                      <w:b/>
                      <w:szCs w:val="21"/>
                      <w:u w:val="single"/>
                    </w:rPr>
                    <w:t>0</w:t>
                  </w:r>
                </w:p>
              </w:tc>
              <w:tc>
                <w:tcPr>
                  <w:tcW w:w="756" w:type="pct"/>
                  <w:vAlign w:val="center"/>
                </w:tcPr>
                <w:p>
                  <w:pPr>
                    <w:pStyle w:val="68"/>
                    <w:rPr>
                      <w:b/>
                      <w:szCs w:val="21"/>
                      <w:u w:val="single"/>
                    </w:rPr>
                  </w:pPr>
                  <w:r>
                    <w:rPr>
                      <w:rFonts w:hint="eastAsia"/>
                      <w:b/>
                      <w:szCs w:val="21"/>
                      <w:u w:val="single"/>
                    </w:rPr>
                    <w:t>0.05t/a</w:t>
                  </w:r>
                </w:p>
              </w:tc>
              <w:tc>
                <w:tcPr>
                  <w:tcW w:w="708" w:type="pct"/>
                  <w:vAlign w:val="center"/>
                </w:tcPr>
                <w:p>
                  <w:pPr>
                    <w:pStyle w:val="68"/>
                    <w:rPr>
                      <w:b/>
                      <w:szCs w:val="21"/>
                      <w:u w:val="single"/>
                    </w:rPr>
                  </w:pPr>
                  <w:r>
                    <w:rPr>
                      <w:rFonts w:hint="eastAsia"/>
                      <w:b/>
                      <w:szCs w:val="21"/>
                      <w:u w:val="single"/>
                    </w:rPr>
                    <w:t>0.05t/a</w:t>
                  </w:r>
                </w:p>
              </w:tc>
              <w:tc>
                <w:tcPr>
                  <w:tcW w:w="708" w:type="pct"/>
                  <w:vAlign w:val="center"/>
                </w:tcPr>
                <w:p>
                  <w:pPr>
                    <w:pStyle w:val="68"/>
                    <w:rPr>
                      <w:b/>
                      <w:szCs w:val="21"/>
                      <w:u w:val="single"/>
                    </w:rPr>
                  </w:pPr>
                  <w:r>
                    <w:rPr>
                      <w:rFonts w:hint="eastAsia"/>
                      <w:b/>
                      <w:szCs w:val="21"/>
                      <w:u w:val="single"/>
                    </w:rPr>
                    <w:t>+0.05t/a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352" w:type="pct"/>
                  <w:vMerge w:val="continue"/>
                  <w:vAlign w:val="center"/>
                </w:tcPr>
                <w:p>
                  <w:pPr>
                    <w:pStyle w:val="68"/>
                    <w:rPr>
                      <w:b/>
                      <w:szCs w:val="21"/>
                      <w:u w:val="single"/>
                    </w:rPr>
                  </w:pPr>
                </w:p>
              </w:tc>
              <w:tc>
                <w:tcPr>
                  <w:tcW w:w="910" w:type="pct"/>
                  <w:vAlign w:val="center"/>
                </w:tcPr>
                <w:p>
                  <w:pPr>
                    <w:pStyle w:val="68"/>
                    <w:spacing w:line="320" w:lineRule="exact"/>
                    <w:rPr>
                      <w:b/>
                      <w:szCs w:val="21"/>
                      <w:u w:val="single"/>
                    </w:rPr>
                  </w:pPr>
                  <w:r>
                    <w:rPr>
                      <w:rFonts w:hint="eastAsia"/>
                      <w:b/>
                      <w:szCs w:val="21"/>
                      <w:u w:val="single"/>
                    </w:rPr>
                    <w:t>废UV灯管</w:t>
                  </w:r>
                </w:p>
              </w:tc>
              <w:tc>
                <w:tcPr>
                  <w:tcW w:w="811" w:type="pct"/>
                  <w:vAlign w:val="center"/>
                </w:tcPr>
                <w:p>
                  <w:pPr>
                    <w:pStyle w:val="68"/>
                    <w:rPr>
                      <w:b/>
                      <w:szCs w:val="21"/>
                      <w:u w:val="single"/>
                    </w:rPr>
                  </w:pPr>
                  <w:r>
                    <w:rPr>
                      <w:rFonts w:hint="eastAsia"/>
                      <w:b/>
                      <w:szCs w:val="21"/>
                      <w:u w:val="single"/>
                    </w:rPr>
                    <w:t>0</w:t>
                  </w:r>
                </w:p>
              </w:tc>
              <w:tc>
                <w:tcPr>
                  <w:tcW w:w="755" w:type="pct"/>
                  <w:vAlign w:val="center"/>
                </w:tcPr>
                <w:p>
                  <w:pPr>
                    <w:pStyle w:val="68"/>
                    <w:rPr>
                      <w:b/>
                      <w:szCs w:val="21"/>
                      <w:u w:val="single"/>
                    </w:rPr>
                  </w:pPr>
                  <w:r>
                    <w:rPr>
                      <w:rFonts w:hint="eastAsia"/>
                      <w:b/>
                      <w:szCs w:val="21"/>
                      <w:u w:val="single"/>
                    </w:rPr>
                    <w:t>0</w:t>
                  </w:r>
                </w:p>
              </w:tc>
              <w:tc>
                <w:tcPr>
                  <w:tcW w:w="756" w:type="pct"/>
                  <w:vAlign w:val="center"/>
                </w:tcPr>
                <w:p>
                  <w:pPr>
                    <w:pStyle w:val="68"/>
                    <w:rPr>
                      <w:b/>
                      <w:szCs w:val="21"/>
                      <w:u w:val="single"/>
                    </w:rPr>
                  </w:pPr>
                  <w:r>
                    <w:rPr>
                      <w:rFonts w:hint="eastAsia"/>
                      <w:b/>
                      <w:szCs w:val="21"/>
                      <w:u w:val="single"/>
                    </w:rPr>
                    <w:t>0.005t/a</w:t>
                  </w:r>
                </w:p>
              </w:tc>
              <w:tc>
                <w:tcPr>
                  <w:tcW w:w="708" w:type="pct"/>
                  <w:vAlign w:val="center"/>
                </w:tcPr>
                <w:p>
                  <w:pPr>
                    <w:pStyle w:val="68"/>
                    <w:rPr>
                      <w:b/>
                      <w:szCs w:val="21"/>
                      <w:u w:val="single"/>
                    </w:rPr>
                  </w:pPr>
                  <w:r>
                    <w:rPr>
                      <w:rFonts w:hint="eastAsia"/>
                      <w:b/>
                      <w:szCs w:val="21"/>
                      <w:u w:val="single"/>
                    </w:rPr>
                    <w:t>0.005t/a</w:t>
                  </w:r>
                </w:p>
              </w:tc>
              <w:tc>
                <w:tcPr>
                  <w:tcW w:w="708" w:type="pct"/>
                  <w:vAlign w:val="center"/>
                </w:tcPr>
                <w:p>
                  <w:pPr>
                    <w:pStyle w:val="68"/>
                    <w:rPr>
                      <w:b/>
                      <w:szCs w:val="21"/>
                      <w:u w:val="single"/>
                    </w:rPr>
                  </w:pPr>
                  <w:r>
                    <w:rPr>
                      <w:rFonts w:hint="eastAsia"/>
                      <w:b/>
                      <w:szCs w:val="21"/>
                      <w:u w:val="single"/>
                    </w:rPr>
                    <w:t>+0.005t/a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352" w:type="pct"/>
                  <w:vMerge w:val="continue"/>
                  <w:vAlign w:val="center"/>
                </w:tcPr>
                <w:p>
                  <w:pPr>
                    <w:pStyle w:val="68"/>
                    <w:rPr>
                      <w:b/>
                      <w:szCs w:val="21"/>
                      <w:u w:val="single"/>
                    </w:rPr>
                  </w:pPr>
                </w:p>
              </w:tc>
              <w:tc>
                <w:tcPr>
                  <w:tcW w:w="910" w:type="pct"/>
                  <w:vAlign w:val="center"/>
                </w:tcPr>
                <w:p>
                  <w:pPr>
                    <w:pStyle w:val="68"/>
                    <w:spacing w:line="320" w:lineRule="exact"/>
                    <w:rPr>
                      <w:b/>
                      <w:szCs w:val="21"/>
                      <w:u w:val="single"/>
                    </w:rPr>
                  </w:pPr>
                  <w:r>
                    <w:rPr>
                      <w:rFonts w:hint="eastAsia"/>
                      <w:b/>
                      <w:szCs w:val="21"/>
                      <w:u w:val="single"/>
                    </w:rPr>
                    <w:t>废油墨桶</w:t>
                  </w:r>
                </w:p>
              </w:tc>
              <w:tc>
                <w:tcPr>
                  <w:tcW w:w="811" w:type="pct"/>
                  <w:vAlign w:val="center"/>
                </w:tcPr>
                <w:p>
                  <w:pPr>
                    <w:pStyle w:val="68"/>
                    <w:rPr>
                      <w:b/>
                      <w:szCs w:val="21"/>
                      <w:u w:val="single"/>
                    </w:rPr>
                  </w:pPr>
                  <w:r>
                    <w:rPr>
                      <w:rFonts w:hint="eastAsia"/>
                      <w:b/>
                      <w:szCs w:val="21"/>
                      <w:u w:val="single"/>
                    </w:rPr>
                    <w:t>0</w:t>
                  </w:r>
                </w:p>
              </w:tc>
              <w:tc>
                <w:tcPr>
                  <w:tcW w:w="755" w:type="pct"/>
                  <w:vAlign w:val="center"/>
                </w:tcPr>
                <w:p>
                  <w:pPr>
                    <w:pStyle w:val="68"/>
                    <w:rPr>
                      <w:b/>
                      <w:szCs w:val="21"/>
                      <w:u w:val="single"/>
                    </w:rPr>
                  </w:pPr>
                  <w:r>
                    <w:rPr>
                      <w:rFonts w:hint="eastAsia"/>
                      <w:b/>
                      <w:szCs w:val="21"/>
                      <w:u w:val="single"/>
                    </w:rPr>
                    <w:t>0</w:t>
                  </w:r>
                </w:p>
              </w:tc>
              <w:tc>
                <w:tcPr>
                  <w:tcW w:w="756" w:type="pct"/>
                  <w:vAlign w:val="center"/>
                </w:tcPr>
                <w:p>
                  <w:pPr>
                    <w:pStyle w:val="68"/>
                    <w:rPr>
                      <w:b/>
                      <w:szCs w:val="21"/>
                      <w:u w:val="single"/>
                    </w:rPr>
                  </w:pPr>
                  <w:r>
                    <w:rPr>
                      <w:rFonts w:hint="eastAsia"/>
                      <w:b/>
                      <w:szCs w:val="21"/>
                      <w:u w:val="single"/>
                    </w:rPr>
                    <w:t>0.02t/a</w:t>
                  </w:r>
                </w:p>
              </w:tc>
              <w:tc>
                <w:tcPr>
                  <w:tcW w:w="708" w:type="pct"/>
                  <w:vAlign w:val="center"/>
                </w:tcPr>
                <w:p>
                  <w:pPr>
                    <w:pStyle w:val="68"/>
                    <w:rPr>
                      <w:b/>
                      <w:szCs w:val="21"/>
                      <w:u w:val="single"/>
                    </w:rPr>
                  </w:pPr>
                  <w:r>
                    <w:rPr>
                      <w:rFonts w:hint="eastAsia"/>
                      <w:b/>
                      <w:szCs w:val="21"/>
                      <w:u w:val="single"/>
                    </w:rPr>
                    <w:t>0.02t/a</w:t>
                  </w:r>
                </w:p>
              </w:tc>
              <w:tc>
                <w:tcPr>
                  <w:tcW w:w="708" w:type="pct"/>
                  <w:vAlign w:val="center"/>
                </w:tcPr>
                <w:p>
                  <w:pPr>
                    <w:pStyle w:val="68"/>
                    <w:rPr>
                      <w:b/>
                      <w:szCs w:val="21"/>
                      <w:u w:val="single"/>
                    </w:rPr>
                  </w:pPr>
                  <w:r>
                    <w:rPr>
                      <w:rFonts w:hint="eastAsia"/>
                      <w:b/>
                      <w:szCs w:val="21"/>
                      <w:u w:val="single"/>
                    </w:rPr>
                    <w:t>+0.02t/a</w:t>
                  </w:r>
                </w:p>
              </w:tc>
            </w:tr>
            <w:bookmarkEnd w:id="3"/>
          </w:tbl>
          <w:p>
            <w:pPr>
              <w:pStyle w:val="51"/>
              <w:ind w:firstLine="0" w:firstLineChars="0"/>
            </w:pPr>
          </w:p>
        </w:tc>
      </w:tr>
    </w:tbl>
    <w:p>
      <w:pPr>
        <w:pStyle w:val="51"/>
        <w:ind w:firstLine="0" w:firstLineChars="0"/>
        <w:sectPr>
          <w:pgSz w:w="16840" w:h="11907" w:orient="landscape"/>
          <w:pgMar w:top="1531" w:right="1701" w:bottom="1531" w:left="2127" w:header="851" w:footer="851" w:gutter="0"/>
          <w:cols w:space="720" w:num="1"/>
          <w:docGrid w:linePitch="312" w:charSpace="0"/>
        </w:sectPr>
      </w:pPr>
    </w:p>
    <w:tbl>
      <w:tblPr>
        <w:tblStyle w:val="22"/>
        <w:tblW w:w="508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0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17" w:hRule="atLeast"/>
          <w:jc w:val="center"/>
        </w:trPr>
        <w:tc>
          <w:tcPr>
            <w:tcW w:w="5000" w:type="pct"/>
            <w:tcMar>
              <w:left w:w="28" w:type="dxa"/>
              <w:right w:w="28" w:type="dxa"/>
            </w:tcMar>
          </w:tcPr>
          <w:p>
            <w:pPr>
              <w:spacing w:line="520" w:lineRule="exact"/>
              <w:rPr>
                <w:sz w:val="24"/>
              </w:rPr>
            </w:pPr>
            <w:r>
              <w:rPr>
                <w:rFonts w:hint="eastAsia"/>
                <w:sz w:val="24"/>
              </w:rPr>
              <w:t>9</w:t>
            </w:r>
            <w:r>
              <w:rPr>
                <w:sz w:val="24"/>
              </w:rPr>
              <w:t>. 环保投资估算</w:t>
            </w:r>
          </w:p>
          <w:p>
            <w:pPr>
              <w:spacing w:line="520" w:lineRule="exact"/>
              <w:ind w:firstLine="482" w:firstLineChars="200"/>
              <w:rPr>
                <w:b/>
                <w:sz w:val="24"/>
                <w:u w:val="single"/>
              </w:rPr>
            </w:pPr>
            <w:r>
              <w:rPr>
                <w:b/>
                <w:sz w:val="24"/>
                <w:u w:val="single"/>
              </w:rPr>
              <w:t>项目总投资</w:t>
            </w:r>
            <w:r>
              <w:rPr>
                <w:rFonts w:hint="eastAsia"/>
                <w:b/>
                <w:sz w:val="24"/>
                <w:u w:val="single"/>
              </w:rPr>
              <w:t>为100</w:t>
            </w:r>
            <w:r>
              <w:rPr>
                <w:b/>
                <w:sz w:val="24"/>
                <w:u w:val="single"/>
              </w:rPr>
              <w:t>万元，其中环保投资为</w:t>
            </w:r>
            <w:r>
              <w:rPr>
                <w:rFonts w:hint="eastAsia"/>
                <w:b/>
                <w:sz w:val="24"/>
                <w:u w:val="single"/>
              </w:rPr>
              <w:t>10.0</w:t>
            </w:r>
            <w:r>
              <w:rPr>
                <w:b/>
                <w:sz w:val="24"/>
                <w:u w:val="single"/>
              </w:rPr>
              <w:t>万元，占总投资的</w:t>
            </w:r>
            <w:r>
              <w:rPr>
                <w:rFonts w:hint="eastAsia"/>
                <w:b/>
                <w:sz w:val="24"/>
                <w:u w:val="single"/>
              </w:rPr>
              <w:t>10.0</w:t>
            </w:r>
            <w:r>
              <w:rPr>
                <w:b/>
                <w:sz w:val="24"/>
                <w:u w:val="single"/>
              </w:rPr>
              <w:t>%，具体环保投资估算见下表</w:t>
            </w:r>
            <w:r>
              <w:rPr>
                <w:rFonts w:hint="eastAsia"/>
                <w:b/>
                <w:sz w:val="24"/>
                <w:u w:val="single"/>
              </w:rPr>
              <w:t xml:space="preserve">。  </w:t>
            </w:r>
          </w:p>
          <w:p>
            <w:pPr>
              <w:pStyle w:val="53"/>
              <w:ind w:firstLine="482"/>
              <w:jc w:val="both"/>
              <w:rPr>
                <w:b/>
                <w:u w:val="single"/>
              </w:rPr>
            </w:pPr>
            <w:r>
              <w:rPr>
                <w:b/>
                <w:u w:val="single"/>
              </w:rPr>
              <w:t>表</w:t>
            </w:r>
            <w:r>
              <w:rPr>
                <w:rFonts w:hint="eastAsia"/>
                <w:b/>
                <w:u w:val="single"/>
              </w:rPr>
              <w:t>52</w:t>
            </w:r>
            <w:r>
              <w:rPr>
                <w:b/>
                <w:u w:val="single"/>
              </w:rPr>
              <w:t xml:space="preserve">     </w:t>
            </w:r>
            <w:r>
              <w:rPr>
                <w:rFonts w:hint="eastAsia"/>
                <w:b/>
                <w:u w:val="single"/>
              </w:rPr>
              <w:t xml:space="preserve">    </w:t>
            </w:r>
            <w:r>
              <w:rPr>
                <w:b/>
                <w:u w:val="single"/>
              </w:rPr>
              <w:t xml:space="preserve"> 项目拟采取的环保措施及投资一览表</w:t>
            </w:r>
          </w:p>
          <w:tbl>
            <w:tblPr>
              <w:tblStyle w:val="22"/>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57" w:type="dxa"/>
                <w:bottom w:w="0" w:type="dxa"/>
                <w:right w:w="57" w:type="dxa"/>
              </w:tblCellMar>
            </w:tblPr>
            <w:tblGrid>
              <w:gridCol w:w="671"/>
              <w:gridCol w:w="1721"/>
              <w:gridCol w:w="5326"/>
              <w:gridCol w:w="12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833" w:hRule="atLeast"/>
                <w:jc w:val="center"/>
              </w:trPr>
              <w:tc>
                <w:tcPr>
                  <w:tcW w:w="374" w:type="pct"/>
                  <w:vAlign w:val="center"/>
                </w:tcPr>
                <w:p>
                  <w:pPr>
                    <w:pStyle w:val="68"/>
                    <w:rPr>
                      <w:b/>
                      <w:u w:val="single"/>
                    </w:rPr>
                  </w:pPr>
                  <w:r>
                    <w:rPr>
                      <w:b/>
                      <w:u w:val="single"/>
                    </w:rPr>
                    <w:t>污染要素</w:t>
                  </w:r>
                </w:p>
              </w:tc>
              <w:tc>
                <w:tcPr>
                  <w:tcW w:w="959" w:type="pct"/>
                  <w:vAlign w:val="center"/>
                </w:tcPr>
                <w:p>
                  <w:pPr>
                    <w:pStyle w:val="68"/>
                    <w:rPr>
                      <w:b/>
                      <w:u w:val="single"/>
                    </w:rPr>
                  </w:pPr>
                  <w:r>
                    <w:rPr>
                      <w:b/>
                      <w:u w:val="single"/>
                    </w:rPr>
                    <w:t>产污环节</w:t>
                  </w:r>
                </w:p>
              </w:tc>
              <w:tc>
                <w:tcPr>
                  <w:tcW w:w="2968" w:type="pct"/>
                  <w:vAlign w:val="center"/>
                </w:tcPr>
                <w:p>
                  <w:pPr>
                    <w:pStyle w:val="68"/>
                    <w:rPr>
                      <w:b/>
                      <w:u w:val="single"/>
                    </w:rPr>
                  </w:pPr>
                  <w:r>
                    <w:rPr>
                      <w:b/>
                      <w:u w:val="single"/>
                    </w:rPr>
                    <w:t>环保措施</w:t>
                  </w:r>
                </w:p>
              </w:tc>
              <w:tc>
                <w:tcPr>
                  <w:tcW w:w="699" w:type="pct"/>
                  <w:vAlign w:val="center"/>
                </w:tcPr>
                <w:p>
                  <w:pPr>
                    <w:pStyle w:val="68"/>
                    <w:rPr>
                      <w:b/>
                      <w:u w:val="single"/>
                    </w:rPr>
                  </w:pPr>
                  <w:r>
                    <w:rPr>
                      <w:b/>
                      <w:u w:val="single"/>
                    </w:rPr>
                    <w:t>投资估算（万元）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582" w:hRule="atLeast"/>
                <w:jc w:val="center"/>
              </w:trPr>
              <w:tc>
                <w:tcPr>
                  <w:tcW w:w="374" w:type="pct"/>
                  <w:vAlign w:val="center"/>
                </w:tcPr>
                <w:p>
                  <w:pPr>
                    <w:pStyle w:val="68"/>
                    <w:jc w:val="both"/>
                    <w:rPr>
                      <w:b/>
                      <w:highlight w:val="yellow"/>
                      <w:u w:val="single"/>
                    </w:rPr>
                  </w:pPr>
                  <w:r>
                    <w:rPr>
                      <w:b/>
                      <w:u w:val="single"/>
                    </w:rPr>
                    <w:t>废气</w:t>
                  </w:r>
                </w:p>
              </w:tc>
              <w:tc>
                <w:tcPr>
                  <w:tcW w:w="959" w:type="pct"/>
                  <w:vAlign w:val="center"/>
                </w:tcPr>
                <w:p>
                  <w:pPr>
                    <w:pStyle w:val="68"/>
                    <w:jc w:val="both"/>
                    <w:rPr>
                      <w:b/>
                      <w:bCs/>
                      <w:highlight w:val="yellow"/>
                      <w:u w:val="single"/>
                    </w:rPr>
                  </w:pPr>
                  <w:r>
                    <w:rPr>
                      <w:rFonts w:hint="eastAsia"/>
                      <w:b/>
                      <w:bCs/>
                      <w:u w:val="single"/>
                    </w:rPr>
                    <w:t>热切、印刷废气</w:t>
                  </w:r>
                </w:p>
              </w:tc>
              <w:tc>
                <w:tcPr>
                  <w:tcW w:w="2968" w:type="pct"/>
                  <w:vAlign w:val="center"/>
                </w:tcPr>
                <w:p>
                  <w:pPr>
                    <w:pStyle w:val="68"/>
                    <w:jc w:val="both"/>
                    <w:rPr>
                      <w:b/>
                      <w:bCs/>
                      <w:u w:val="single"/>
                    </w:rPr>
                  </w:pPr>
                  <w:r>
                    <w:rPr>
                      <w:rFonts w:hint="eastAsia" w:hAnsi="宋体"/>
                      <w:b/>
                      <w:u w:val="single"/>
                    </w:rPr>
                    <w:t>集气系统（集气罩+区域二次密闭）收集后由UV光氧+活性炭吸附装置处理后通过15m高排气筒排放</w:t>
                  </w:r>
                  <w:r>
                    <w:rPr>
                      <w:rFonts w:hint="eastAsia"/>
                      <w:b/>
                      <w:bCs/>
                      <w:u w:val="single"/>
                    </w:rPr>
                    <w:t>（DA001）</w:t>
                  </w:r>
                </w:p>
              </w:tc>
              <w:tc>
                <w:tcPr>
                  <w:tcW w:w="699" w:type="pct"/>
                  <w:vAlign w:val="center"/>
                </w:tcPr>
                <w:p>
                  <w:pPr>
                    <w:pStyle w:val="68"/>
                    <w:rPr>
                      <w:b/>
                      <w:bCs/>
                      <w:u w:val="single"/>
                    </w:rPr>
                  </w:pPr>
                  <w:r>
                    <w:rPr>
                      <w:rFonts w:hint="eastAsia"/>
                      <w:b/>
                      <w:bCs/>
                      <w:u w:val="single"/>
                    </w:rPr>
                    <w:t>8.0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519" w:hRule="atLeast"/>
                <w:jc w:val="center"/>
              </w:trPr>
              <w:tc>
                <w:tcPr>
                  <w:tcW w:w="374" w:type="pct"/>
                  <w:vAlign w:val="center"/>
                </w:tcPr>
                <w:p>
                  <w:pPr>
                    <w:pStyle w:val="68"/>
                    <w:jc w:val="both"/>
                    <w:rPr>
                      <w:b/>
                      <w:u w:val="single"/>
                    </w:rPr>
                  </w:pPr>
                  <w:r>
                    <w:rPr>
                      <w:b/>
                      <w:u w:val="single"/>
                    </w:rPr>
                    <w:t>废水</w:t>
                  </w:r>
                </w:p>
              </w:tc>
              <w:tc>
                <w:tcPr>
                  <w:tcW w:w="959" w:type="pct"/>
                  <w:vAlign w:val="center"/>
                </w:tcPr>
                <w:p>
                  <w:pPr>
                    <w:spacing w:line="400" w:lineRule="exact"/>
                    <w:rPr>
                      <w:b/>
                      <w:bCs/>
                      <w:szCs w:val="21"/>
                      <w:u w:val="single"/>
                    </w:rPr>
                  </w:pPr>
                  <w:r>
                    <w:rPr>
                      <w:b/>
                      <w:bCs/>
                      <w:szCs w:val="21"/>
                      <w:u w:val="single"/>
                    </w:rPr>
                    <w:t>生活污水</w:t>
                  </w:r>
                </w:p>
              </w:tc>
              <w:tc>
                <w:tcPr>
                  <w:tcW w:w="2968" w:type="pct"/>
                  <w:vAlign w:val="center"/>
                </w:tcPr>
                <w:p>
                  <w:pPr>
                    <w:adjustRightInd w:val="0"/>
                    <w:snapToGrid w:val="0"/>
                    <w:spacing w:line="400" w:lineRule="exact"/>
                    <w:rPr>
                      <w:b/>
                      <w:bCs/>
                      <w:u w:val="single"/>
                    </w:rPr>
                  </w:pPr>
                  <w:r>
                    <w:rPr>
                      <w:rStyle w:val="31"/>
                      <w:b/>
                      <w:kern w:val="0"/>
                      <w:u w:val="single"/>
                    </w:rPr>
                    <w:t>生活污水经厂区现有化粪池（10m</w:t>
                  </w:r>
                  <w:r>
                    <w:rPr>
                      <w:rStyle w:val="31"/>
                      <w:b/>
                      <w:kern w:val="0"/>
                      <w:u w:val="single"/>
                      <w:vertAlign w:val="superscript"/>
                    </w:rPr>
                    <w:t>3</w:t>
                  </w:r>
                  <w:r>
                    <w:rPr>
                      <w:rStyle w:val="31"/>
                      <w:b/>
                      <w:kern w:val="0"/>
                      <w:u w:val="single"/>
                    </w:rPr>
                    <w:t>）处理后近期用于施肥，远期管网敷设到位后通过市政管网排入偃师市第三污水处理厂。</w:t>
                  </w:r>
                </w:p>
              </w:tc>
              <w:tc>
                <w:tcPr>
                  <w:tcW w:w="699" w:type="pct"/>
                  <w:vAlign w:val="center"/>
                </w:tcPr>
                <w:p>
                  <w:pPr>
                    <w:pStyle w:val="68"/>
                    <w:rPr>
                      <w:b/>
                      <w:bCs/>
                      <w:u w:val="single"/>
                    </w:rPr>
                  </w:pPr>
                  <w:r>
                    <w:rPr>
                      <w:rFonts w:hint="eastAsia"/>
                      <w:b/>
                      <w:bCs/>
                      <w:u w:val="single"/>
                    </w:rPr>
                    <w:t>依托现有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817" w:hRule="atLeast"/>
                <w:jc w:val="center"/>
              </w:trPr>
              <w:tc>
                <w:tcPr>
                  <w:tcW w:w="374" w:type="pct"/>
                  <w:vAlign w:val="center"/>
                </w:tcPr>
                <w:p>
                  <w:pPr>
                    <w:pStyle w:val="68"/>
                    <w:jc w:val="both"/>
                    <w:rPr>
                      <w:b/>
                      <w:u w:val="single"/>
                    </w:rPr>
                  </w:pPr>
                  <w:r>
                    <w:rPr>
                      <w:b/>
                      <w:u w:val="single"/>
                    </w:rPr>
                    <w:t>噪声</w:t>
                  </w:r>
                </w:p>
              </w:tc>
              <w:tc>
                <w:tcPr>
                  <w:tcW w:w="959" w:type="pct"/>
                  <w:vAlign w:val="center"/>
                </w:tcPr>
                <w:p>
                  <w:pPr>
                    <w:pStyle w:val="68"/>
                    <w:jc w:val="both"/>
                    <w:rPr>
                      <w:b/>
                      <w:u w:val="single"/>
                    </w:rPr>
                  </w:pPr>
                  <w:r>
                    <w:rPr>
                      <w:rFonts w:hint="eastAsia"/>
                      <w:b/>
                      <w:u w:val="single"/>
                    </w:rPr>
                    <w:t>生产及环保设备</w:t>
                  </w:r>
                  <w:r>
                    <w:rPr>
                      <w:b/>
                      <w:u w:val="single"/>
                    </w:rPr>
                    <w:t>噪声</w:t>
                  </w:r>
                </w:p>
              </w:tc>
              <w:tc>
                <w:tcPr>
                  <w:tcW w:w="2968" w:type="pct"/>
                  <w:vAlign w:val="center"/>
                </w:tcPr>
                <w:p>
                  <w:pPr>
                    <w:pStyle w:val="68"/>
                    <w:jc w:val="both"/>
                    <w:rPr>
                      <w:b/>
                      <w:u w:val="single"/>
                    </w:rPr>
                  </w:pPr>
                  <w:r>
                    <w:rPr>
                      <w:b/>
                      <w:u w:val="single"/>
                    </w:rPr>
                    <w:t>厂房隔声</w:t>
                  </w:r>
                  <w:r>
                    <w:rPr>
                      <w:rFonts w:hint="eastAsia"/>
                      <w:b/>
                      <w:u w:val="single"/>
                    </w:rPr>
                    <w:t>、距离衰减</w:t>
                  </w:r>
                </w:p>
              </w:tc>
              <w:tc>
                <w:tcPr>
                  <w:tcW w:w="699" w:type="pct"/>
                  <w:vAlign w:val="center"/>
                </w:tcPr>
                <w:p>
                  <w:pPr>
                    <w:pStyle w:val="68"/>
                    <w:rPr>
                      <w:b/>
                      <w:u w:val="single"/>
                    </w:rPr>
                  </w:pPr>
                  <w:r>
                    <w:rPr>
                      <w:rFonts w:hint="eastAsia"/>
                      <w:b/>
                      <w:u w:val="single"/>
                    </w:rPr>
                    <w:t>依托现有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19" w:hRule="atLeast"/>
                <w:jc w:val="center"/>
              </w:trPr>
              <w:tc>
                <w:tcPr>
                  <w:tcW w:w="374" w:type="pct"/>
                  <w:vMerge w:val="restart"/>
                  <w:vAlign w:val="center"/>
                </w:tcPr>
                <w:p>
                  <w:pPr>
                    <w:pStyle w:val="68"/>
                    <w:jc w:val="both"/>
                    <w:rPr>
                      <w:b/>
                      <w:u w:val="single"/>
                    </w:rPr>
                  </w:pPr>
                  <w:r>
                    <w:rPr>
                      <w:b/>
                      <w:u w:val="single"/>
                    </w:rPr>
                    <w:t>固废</w:t>
                  </w:r>
                </w:p>
              </w:tc>
              <w:tc>
                <w:tcPr>
                  <w:tcW w:w="959" w:type="pct"/>
                  <w:vAlign w:val="center"/>
                </w:tcPr>
                <w:p>
                  <w:pPr>
                    <w:pStyle w:val="82"/>
                    <w:spacing w:line="240" w:lineRule="auto"/>
                    <w:ind w:firstLine="0" w:firstLineChars="0"/>
                    <w:contextualSpacing/>
                    <w:jc w:val="center"/>
                    <w:rPr>
                      <w:b/>
                      <w:sz w:val="24"/>
                      <w:u w:val="single"/>
                    </w:rPr>
                  </w:pPr>
                  <w:r>
                    <w:rPr>
                      <w:rFonts w:hint="eastAsia" w:ascii="宋体" w:hAnsi="宋体" w:cs="宋体"/>
                      <w:b/>
                      <w:bCs/>
                      <w:sz w:val="21"/>
                      <w:szCs w:val="21"/>
                      <w:u w:val="single"/>
                    </w:rPr>
                    <w:t>废包装材料</w:t>
                  </w:r>
                </w:p>
              </w:tc>
              <w:tc>
                <w:tcPr>
                  <w:tcW w:w="2968" w:type="pct"/>
                  <w:vMerge w:val="restart"/>
                  <w:vAlign w:val="center"/>
                </w:tcPr>
                <w:p>
                  <w:pPr>
                    <w:pStyle w:val="68"/>
                    <w:jc w:val="both"/>
                    <w:rPr>
                      <w:b/>
                      <w:u w:val="single"/>
                    </w:rPr>
                  </w:pPr>
                  <w:r>
                    <w:rPr>
                      <w:rFonts w:hint="eastAsia"/>
                      <w:b/>
                      <w:u w:val="single"/>
                    </w:rPr>
                    <w:t>暂存于一般固废暂存区（10m</w:t>
                  </w:r>
                  <w:r>
                    <w:rPr>
                      <w:rFonts w:hint="eastAsia"/>
                      <w:b/>
                      <w:u w:val="single"/>
                      <w:vertAlign w:val="superscript"/>
                    </w:rPr>
                    <w:t>2</w:t>
                  </w:r>
                  <w:r>
                    <w:rPr>
                      <w:rFonts w:hint="eastAsia"/>
                      <w:b/>
                      <w:u w:val="single"/>
                    </w:rPr>
                    <w:t>）定期外售</w:t>
                  </w:r>
                </w:p>
              </w:tc>
              <w:tc>
                <w:tcPr>
                  <w:tcW w:w="699" w:type="pct"/>
                  <w:vMerge w:val="restart"/>
                  <w:vAlign w:val="center"/>
                </w:tcPr>
                <w:p>
                  <w:pPr>
                    <w:pStyle w:val="68"/>
                    <w:rPr>
                      <w:b/>
                      <w:u w:val="single"/>
                    </w:rPr>
                  </w:pPr>
                  <w:r>
                    <w:rPr>
                      <w:rFonts w:hint="eastAsia"/>
                      <w:b/>
                      <w:u w:val="single"/>
                    </w:rPr>
                    <w:t>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152" w:hRule="atLeast"/>
                <w:jc w:val="center"/>
              </w:trPr>
              <w:tc>
                <w:tcPr>
                  <w:tcW w:w="374" w:type="pct"/>
                  <w:vMerge w:val="continue"/>
                  <w:vAlign w:val="center"/>
                </w:tcPr>
                <w:p>
                  <w:pPr>
                    <w:pStyle w:val="68"/>
                    <w:jc w:val="both"/>
                    <w:rPr>
                      <w:b/>
                      <w:u w:val="single"/>
                    </w:rPr>
                  </w:pPr>
                </w:p>
              </w:tc>
              <w:tc>
                <w:tcPr>
                  <w:tcW w:w="959" w:type="pct"/>
                  <w:vAlign w:val="center"/>
                </w:tcPr>
                <w:p>
                  <w:pPr>
                    <w:pStyle w:val="68"/>
                    <w:rPr>
                      <w:b/>
                      <w:u w:val="single"/>
                    </w:rPr>
                  </w:pPr>
                  <w:r>
                    <w:rPr>
                      <w:rFonts w:hint="eastAsia" w:ascii="宋体" w:hAnsi="宋体" w:cs="宋体"/>
                      <w:b/>
                      <w:bCs/>
                      <w:szCs w:val="21"/>
                      <w:u w:val="single"/>
                    </w:rPr>
                    <w:t>废边角料</w:t>
                  </w:r>
                </w:p>
              </w:tc>
              <w:tc>
                <w:tcPr>
                  <w:tcW w:w="2968" w:type="pct"/>
                  <w:vMerge w:val="continue"/>
                  <w:vAlign w:val="center"/>
                </w:tcPr>
                <w:p>
                  <w:pPr>
                    <w:pStyle w:val="68"/>
                    <w:jc w:val="both"/>
                    <w:rPr>
                      <w:b/>
                      <w:u w:val="single"/>
                    </w:rPr>
                  </w:pPr>
                </w:p>
              </w:tc>
              <w:tc>
                <w:tcPr>
                  <w:tcW w:w="699" w:type="pct"/>
                  <w:vMerge w:val="continue"/>
                  <w:vAlign w:val="center"/>
                </w:tcPr>
                <w:p>
                  <w:pPr>
                    <w:pStyle w:val="68"/>
                    <w:jc w:val="both"/>
                    <w:rPr>
                      <w:b/>
                      <w:u w:val="singl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16" w:hRule="atLeast"/>
                <w:jc w:val="center"/>
              </w:trPr>
              <w:tc>
                <w:tcPr>
                  <w:tcW w:w="374" w:type="pct"/>
                  <w:vMerge w:val="continue"/>
                  <w:vAlign w:val="center"/>
                </w:tcPr>
                <w:p>
                  <w:pPr>
                    <w:pStyle w:val="68"/>
                    <w:jc w:val="both"/>
                    <w:rPr>
                      <w:b/>
                      <w:szCs w:val="22"/>
                      <w:u w:val="single"/>
                    </w:rPr>
                  </w:pPr>
                </w:p>
              </w:tc>
              <w:tc>
                <w:tcPr>
                  <w:tcW w:w="959" w:type="pct"/>
                  <w:vAlign w:val="center"/>
                </w:tcPr>
                <w:p>
                  <w:pPr>
                    <w:pStyle w:val="68"/>
                    <w:rPr>
                      <w:b/>
                      <w:u w:val="single"/>
                    </w:rPr>
                  </w:pPr>
                  <w:r>
                    <w:rPr>
                      <w:rFonts w:hint="eastAsia"/>
                      <w:b/>
                      <w:u w:val="single"/>
                    </w:rPr>
                    <w:t>生活垃圾</w:t>
                  </w:r>
                </w:p>
              </w:tc>
              <w:tc>
                <w:tcPr>
                  <w:tcW w:w="2968" w:type="pct"/>
                  <w:vAlign w:val="center"/>
                </w:tcPr>
                <w:p>
                  <w:pPr>
                    <w:pStyle w:val="68"/>
                    <w:jc w:val="both"/>
                    <w:rPr>
                      <w:b/>
                      <w:u w:val="single"/>
                    </w:rPr>
                  </w:pPr>
                  <w:r>
                    <w:rPr>
                      <w:rFonts w:hint="eastAsia"/>
                      <w:b/>
                      <w:u w:val="single"/>
                    </w:rPr>
                    <w:t>集中收集，定期交由环卫部门处理</w:t>
                  </w:r>
                </w:p>
              </w:tc>
              <w:tc>
                <w:tcPr>
                  <w:tcW w:w="699" w:type="pct"/>
                  <w:vMerge w:val="continue"/>
                  <w:vAlign w:val="center"/>
                </w:tcPr>
                <w:p>
                  <w:pPr>
                    <w:pStyle w:val="68"/>
                    <w:jc w:val="both"/>
                    <w:rPr>
                      <w:b/>
                      <w:szCs w:val="22"/>
                      <w:u w:val="singl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16" w:hRule="atLeast"/>
                <w:jc w:val="center"/>
              </w:trPr>
              <w:tc>
                <w:tcPr>
                  <w:tcW w:w="374" w:type="pct"/>
                  <w:vMerge w:val="continue"/>
                  <w:vAlign w:val="center"/>
                </w:tcPr>
                <w:p>
                  <w:pPr>
                    <w:pStyle w:val="68"/>
                    <w:jc w:val="both"/>
                    <w:rPr>
                      <w:b/>
                      <w:szCs w:val="22"/>
                      <w:u w:val="single"/>
                    </w:rPr>
                  </w:pPr>
                </w:p>
              </w:tc>
              <w:tc>
                <w:tcPr>
                  <w:tcW w:w="959" w:type="pct"/>
                  <w:vAlign w:val="center"/>
                </w:tcPr>
                <w:p>
                  <w:pPr>
                    <w:pStyle w:val="68"/>
                    <w:rPr>
                      <w:b/>
                      <w:u w:val="single"/>
                    </w:rPr>
                  </w:pPr>
                  <w:r>
                    <w:rPr>
                      <w:rFonts w:hint="eastAsia"/>
                      <w:b/>
                      <w:u w:val="single"/>
                    </w:rPr>
                    <w:t>废活性炭</w:t>
                  </w:r>
                </w:p>
              </w:tc>
              <w:tc>
                <w:tcPr>
                  <w:tcW w:w="2968" w:type="pct"/>
                  <w:vMerge w:val="restart"/>
                  <w:vAlign w:val="center"/>
                </w:tcPr>
                <w:p>
                  <w:pPr>
                    <w:pStyle w:val="68"/>
                    <w:jc w:val="both"/>
                    <w:rPr>
                      <w:b/>
                      <w:u w:val="single"/>
                    </w:rPr>
                  </w:pPr>
                  <w:r>
                    <w:rPr>
                      <w:rFonts w:hint="eastAsia"/>
                      <w:b/>
                      <w:u w:val="single"/>
                    </w:rPr>
                    <w:t>暂存于危险废物暂存间（5m</w:t>
                  </w:r>
                  <w:r>
                    <w:rPr>
                      <w:rFonts w:hint="eastAsia"/>
                      <w:b/>
                      <w:u w:val="single"/>
                      <w:vertAlign w:val="superscript"/>
                    </w:rPr>
                    <w:t>2</w:t>
                  </w:r>
                  <w:r>
                    <w:rPr>
                      <w:rFonts w:hint="eastAsia"/>
                      <w:b/>
                      <w:u w:val="single"/>
                    </w:rPr>
                    <w:t>），委托有资质的单位进行处理</w:t>
                  </w:r>
                </w:p>
              </w:tc>
              <w:tc>
                <w:tcPr>
                  <w:tcW w:w="699" w:type="pct"/>
                  <w:vMerge w:val="continue"/>
                  <w:vAlign w:val="center"/>
                </w:tcPr>
                <w:p>
                  <w:pPr>
                    <w:pStyle w:val="68"/>
                    <w:jc w:val="both"/>
                    <w:rPr>
                      <w:b/>
                      <w:szCs w:val="22"/>
                      <w:u w:val="singl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16" w:hRule="atLeast"/>
                <w:jc w:val="center"/>
              </w:trPr>
              <w:tc>
                <w:tcPr>
                  <w:tcW w:w="374" w:type="pct"/>
                  <w:vMerge w:val="continue"/>
                  <w:vAlign w:val="center"/>
                </w:tcPr>
                <w:p>
                  <w:pPr>
                    <w:pStyle w:val="68"/>
                    <w:jc w:val="both"/>
                    <w:rPr>
                      <w:b/>
                      <w:szCs w:val="22"/>
                      <w:u w:val="single"/>
                    </w:rPr>
                  </w:pPr>
                </w:p>
              </w:tc>
              <w:tc>
                <w:tcPr>
                  <w:tcW w:w="959" w:type="pct"/>
                  <w:vAlign w:val="center"/>
                </w:tcPr>
                <w:p>
                  <w:pPr>
                    <w:pStyle w:val="68"/>
                    <w:rPr>
                      <w:b/>
                      <w:u w:val="single"/>
                    </w:rPr>
                  </w:pPr>
                  <w:r>
                    <w:rPr>
                      <w:rFonts w:hint="eastAsia"/>
                      <w:b/>
                      <w:u w:val="single"/>
                    </w:rPr>
                    <w:t>废液压油</w:t>
                  </w:r>
                </w:p>
              </w:tc>
              <w:tc>
                <w:tcPr>
                  <w:tcW w:w="2968" w:type="pct"/>
                  <w:vMerge w:val="continue"/>
                  <w:vAlign w:val="center"/>
                </w:tcPr>
                <w:p>
                  <w:pPr>
                    <w:pStyle w:val="68"/>
                    <w:jc w:val="both"/>
                    <w:rPr>
                      <w:b/>
                      <w:u w:val="single"/>
                    </w:rPr>
                  </w:pPr>
                </w:p>
              </w:tc>
              <w:tc>
                <w:tcPr>
                  <w:tcW w:w="699" w:type="pct"/>
                  <w:vMerge w:val="continue"/>
                  <w:vAlign w:val="center"/>
                </w:tcPr>
                <w:p>
                  <w:pPr>
                    <w:pStyle w:val="68"/>
                    <w:jc w:val="both"/>
                    <w:rPr>
                      <w:b/>
                      <w:szCs w:val="22"/>
                      <w:u w:val="singl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16" w:hRule="atLeast"/>
                <w:jc w:val="center"/>
              </w:trPr>
              <w:tc>
                <w:tcPr>
                  <w:tcW w:w="374" w:type="pct"/>
                  <w:vMerge w:val="continue"/>
                  <w:vAlign w:val="center"/>
                </w:tcPr>
                <w:p>
                  <w:pPr>
                    <w:pStyle w:val="68"/>
                    <w:jc w:val="both"/>
                    <w:rPr>
                      <w:b/>
                      <w:szCs w:val="22"/>
                      <w:u w:val="single"/>
                    </w:rPr>
                  </w:pPr>
                </w:p>
              </w:tc>
              <w:tc>
                <w:tcPr>
                  <w:tcW w:w="959" w:type="pct"/>
                  <w:vAlign w:val="center"/>
                </w:tcPr>
                <w:p>
                  <w:pPr>
                    <w:pStyle w:val="68"/>
                    <w:rPr>
                      <w:b/>
                      <w:u w:val="single"/>
                    </w:rPr>
                  </w:pPr>
                  <w:r>
                    <w:rPr>
                      <w:rFonts w:hint="eastAsia"/>
                      <w:b/>
                      <w:u w:val="single"/>
                    </w:rPr>
                    <w:t>废抹布</w:t>
                  </w:r>
                </w:p>
              </w:tc>
              <w:tc>
                <w:tcPr>
                  <w:tcW w:w="2968" w:type="pct"/>
                  <w:vMerge w:val="continue"/>
                  <w:vAlign w:val="center"/>
                </w:tcPr>
                <w:p>
                  <w:pPr>
                    <w:pStyle w:val="68"/>
                    <w:jc w:val="both"/>
                    <w:rPr>
                      <w:b/>
                      <w:u w:val="single"/>
                    </w:rPr>
                  </w:pPr>
                </w:p>
              </w:tc>
              <w:tc>
                <w:tcPr>
                  <w:tcW w:w="699" w:type="pct"/>
                  <w:vMerge w:val="continue"/>
                  <w:vAlign w:val="center"/>
                </w:tcPr>
                <w:p>
                  <w:pPr>
                    <w:pStyle w:val="68"/>
                    <w:jc w:val="both"/>
                    <w:rPr>
                      <w:b/>
                      <w:szCs w:val="22"/>
                      <w:u w:val="singl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16" w:hRule="atLeast"/>
                <w:jc w:val="center"/>
              </w:trPr>
              <w:tc>
                <w:tcPr>
                  <w:tcW w:w="374" w:type="pct"/>
                  <w:vMerge w:val="continue"/>
                  <w:vAlign w:val="center"/>
                </w:tcPr>
                <w:p>
                  <w:pPr>
                    <w:pStyle w:val="68"/>
                    <w:jc w:val="both"/>
                    <w:rPr>
                      <w:b/>
                      <w:szCs w:val="22"/>
                      <w:u w:val="single"/>
                    </w:rPr>
                  </w:pPr>
                </w:p>
              </w:tc>
              <w:tc>
                <w:tcPr>
                  <w:tcW w:w="959" w:type="pct"/>
                  <w:vAlign w:val="center"/>
                </w:tcPr>
                <w:p>
                  <w:pPr>
                    <w:pStyle w:val="68"/>
                    <w:rPr>
                      <w:b/>
                      <w:u w:val="single"/>
                    </w:rPr>
                  </w:pPr>
                  <w:r>
                    <w:rPr>
                      <w:rFonts w:hint="eastAsia"/>
                      <w:b/>
                      <w:u w:val="single"/>
                    </w:rPr>
                    <w:t>废UV灯管</w:t>
                  </w:r>
                </w:p>
              </w:tc>
              <w:tc>
                <w:tcPr>
                  <w:tcW w:w="2968" w:type="pct"/>
                  <w:vMerge w:val="continue"/>
                  <w:vAlign w:val="center"/>
                </w:tcPr>
                <w:p>
                  <w:pPr>
                    <w:pStyle w:val="68"/>
                    <w:jc w:val="both"/>
                    <w:rPr>
                      <w:b/>
                      <w:u w:val="single"/>
                    </w:rPr>
                  </w:pPr>
                </w:p>
              </w:tc>
              <w:tc>
                <w:tcPr>
                  <w:tcW w:w="699" w:type="pct"/>
                  <w:vMerge w:val="continue"/>
                  <w:vAlign w:val="center"/>
                </w:tcPr>
                <w:p>
                  <w:pPr>
                    <w:pStyle w:val="68"/>
                    <w:jc w:val="both"/>
                    <w:rPr>
                      <w:b/>
                      <w:szCs w:val="22"/>
                      <w:u w:val="singl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66" w:hRule="atLeast"/>
                <w:jc w:val="center"/>
              </w:trPr>
              <w:tc>
                <w:tcPr>
                  <w:tcW w:w="374" w:type="pct"/>
                  <w:vMerge w:val="continue"/>
                  <w:vAlign w:val="center"/>
                </w:tcPr>
                <w:p>
                  <w:pPr>
                    <w:pStyle w:val="68"/>
                    <w:jc w:val="both"/>
                    <w:rPr>
                      <w:b/>
                      <w:szCs w:val="22"/>
                      <w:u w:val="single"/>
                    </w:rPr>
                  </w:pPr>
                </w:p>
              </w:tc>
              <w:tc>
                <w:tcPr>
                  <w:tcW w:w="959" w:type="pct"/>
                  <w:vAlign w:val="center"/>
                </w:tcPr>
                <w:p>
                  <w:pPr>
                    <w:pStyle w:val="68"/>
                    <w:rPr>
                      <w:b/>
                      <w:u w:val="single"/>
                    </w:rPr>
                  </w:pPr>
                  <w:r>
                    <w:rPr>
                      <w:rFonts w:hint="eastAsia"/>
                      <w:b/>
                      <w:u w:val="single"/>
                    </w:rPr>
                    <w:t>废油墨桶</w:t>
                  </w:r>
                </w:p>
              </w:tc>
              <w:tc>
                <w:tcPr>
                  <w:tcW w:w="2968" w:type="pct"/>
                  <w:vMerge w:val="continue"/>
                  <w:vAlign w:val="center"/>
                </w:tcPr>
                <w:p>
                  <w:pPr>
                    <w:pStyle w:val="68"/>
                    <w:jc w:val="both"/>
                    <w:rPr>
                      <w:b/>
                      <w:u w:val="single"/>
                    </w:rPr>
                  </w:pPr>
                </w:p>
              </w:tc>
              <w:tc>
                <w:tcPr>
                  <w:tcW w:w="699" w:type="pct"/>
                  <w:vMerge w:val="continue"/>
                  <w:vAlign w:val="center"/>
                </w:tcPr>
                <w:p>
                  <w:pPr>
                    <w:pStyle w:val="68"/>
                    <w:jc w:val="both"/>
                    <w:rPr>
                      <w:b/>
                      <w:szCs w:val="22"/>
                      <w:u w:val="singl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66" w:hRule="atLeast"/>
                <w:jc w:val="center"/>
              </w:trPr>
              <w:tc>
                <w:tcPr>
                  <w:tcW w:w="374" w:type="pct"/>
                  <w:vAlign w:val="center"/>
                </w:tcPr>
                <w:p>
                  <w:pPr>
                    <w:pStyle w:val="68"/>
                    <w:jc w:val="both"/>
                    <w:rPr>
                      <w:b/>
                      <w:u w:val="single"/>
                    </w:rPr>
                  </w:pPr>
                  <w:r>
                    <w:rPr>
                      <w:b/>
                      <w:u w:val="single"/>
                    </w:rPr>
                    <w:t>合计</w:t>
                  </w:r>
                </w:p>
              </w:tc>
              <w:tc>
                <w:tcPr>
                  <w:tcW w:w="959" w:type="pct"/>
                  <w:vAlign w:val="center"/>
                </w:tcPr>
                <w:p>
                  <w:pPr>
                    <w:pStyle w:val="68"/>
                    <w:jc w:val="both"/>
                    <w:rPr>
                      <w:b/>
                      <w:u w:val="single"/>
                    </w:rPr>
                  </w:pPr>
                  <w:r>
                    <w:rPr>
                      <w:b/>
                      <w:u w:val="single"/>
                    </w:rPr>
                    <w:t>/</w:t>
                  </w:r>
                </w:p>
              </w:tc>
              <w:tc>
                <w:tcPr>
                  <w:tcW w:w="2968" w:type="pct"/>
                  <w:vAlign w:val="center"/>
                </w:tcPr>
                <w:p>
                  <w:pPr>
                    <w:pStyle w:val="68"/>
                    <w:jc w:val="both"/>
                    <w:rPr>
                      <w:b/>
                      <w:u w:val="single"/>
                    </w:rPr>
                  </w:pPr>
                  <w:r>
                    <w:rPr>
                      <w:b/>
                      <w:u w:val="single"/>
                    </w:rPr>
                    <w:t>/</w:t>
                  </w:r>
                </w:p>
              </w:tc>
              <w:tc>
                <w:tcPr>
                  <w:tcW w:w="699" w:type="pct"/>
                  <w:vAlign w:val="center"/>
                </w:tcPr>
                <w:p>
                  <w:pPr>
                    <w:pStyle w:val="68"/>
                    <w:jc w:val="both"/>
                    <w:rPr>
                      <w:b/>
                      <w:u w:val="single"/>
                    </w:rPr>
                  </w:pPr>
                  <w:r>
                    <w:rPr>
                      <w:rFonts w:hint="eastAsia"/>
                      <w:b/>
                      <w:u w:val="single"/>
                    </w:rPr>
                    <w:t>10.0</w:t>
                  </w:r>
                </w:p>
              </w:tc>
            </w:tr>
          </w:tbl>
          <w:p>
            <w:pPr>
              <w:pStyle w:val="51"/>
              <w:ind w:firstLine="0" w:firstLineChars="0"/>
            </w:pPr>
          </w:p>
        </w:tc>
      </w:tr>
    </w:tbl>
    <w:p>
      <w:pPr>
        <w:adjustRightInd w:val="0"/>
        <w:snapToGrid w:val="0"/>
        <w:spacing w:line="360" w:lineRule="auto"/>
        <w:rPr>
          <w:rFonts w:ascii="宋体" w:cs="宋体"/>
          <w:b/>
          <w:kern w:val="0"/>
          <w:sz w:val="28"/>
          <w:szCs w:val="28"/>
        </w:rPr>
        <w:sectPr>
          <w:pgSz w:w="11907" w:h="16840"/>
          <w:pgMar w:top="1701" w:right="1531" w:bottom="2127" w:left="1531" w:header="851" w:footer="851" w:gutter="0"/>
          <w:cols w:space="720" w:num="1"/>
          <w:docGrid w:linePitch="312" w:charSpace="0"/>
        </w:sectPr>
      </w:pPr>
    </w:p>
    <w:p>
      <w:pPr>
        <w:pStyle w:val="19"/>
        <w:jc w:val="center"/>
        <w:outlineLvl w:val="0"/>
        <w:rPr>
          <w:rFonts w:ascii="黑体" w:hAnsi="黑体" w:eastAsia="黑体"/>
          <w:snapToGrid w:val="0"/>
          <w:sz w:val="30"/>
          <w:szCs w:val="30"/>
        </w:rPr>
      </w:pPr>
      <w:r>
        <w:rPr>
          <w:rFonts w:hint="eastAsia" w:ascii="黑体" w:hAnsi="黑体" w:eastAsia="黑体"/>
          <w:snapToGrid w:val="0"/>
          <w:sz w:val="30"/>
          <w:szCs w:val="30"/>
        </w:rPr>
        <w:t>五、</w:t>
      </w:r>
      <w:bookmarkStart w:id="4" w:name="_Hlk54167917"/>
      <w:r>
        <w:rPr>
          <w:rFonts w:hint="eastAsia" w:ascii="黑体" w:hAnsi="黑体" w:eastAsia="黑体"/>
          <w:snapToGrid w:val="0"/>
          <w:sz w:val="30"/>
          <w:szCs w:val="30"/>
        </w:rPr>
        <w:t>环境保护措施监督检查清单</w:t>
      </w:r>
      <w:bookmarkEnd w:id="4"/>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188"/>
        <w:gridCol w:w="864"/>
        <w:gridCol w:w="3172"/>
        <w:gridCol w:w="24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133" w:type="dxa"/>
            <w:tcBorders>
              <w:tl2br w:val="single" w:color="auto" w:sz="4" w:space="0"/>
            </w:tcBorders>
          </w:tcPr>
          <w:p>
            <w:pPr>
              <w:adjustRightInd w:val="0"/>
              <w:snapToGrid w:val="0"/>
              <w:rPr>
                <w:rFonts w:ascii="宋体" w:hAnsi="宋体" w:cs="宋体"/>
                <w:bCs/>
                <w:szCs w:val="21"/>
              </w:rPr>
            </w:pPr>
            <w:r>
              <w:rPr>
                <w:rFonts w:hint="eastAsia" w:ascii="宋体" w:hAnsi="宋体" w:cs="宋体"/>
                <w:bCs/>
                <w:szCs w:val="21"/>
              </w:rPr>
              <w:t xml:space="preserve">    内容</w:t>
            </w:r>
          </w:p>
          <w:p>
            <w:pPr>
              <w:adjustRightInd w:val="0"/>
              <w:snapToGrid w:val="0"/>
              <w:rPr>
                <w:rFonts w:ascii="宋体" w:hAnsi="宋体" w:cs="宋体"/>
                <w:bCs/>
                <w:szCs w:val="21"/>
              </w:rPr>
            </w:pPr>
          </w:p>
          <w:p>
            <w:pPr>
              <w:adjustRightInd w:val="0"/>
              <w:snapToGrid w:val="0"/>
              <w:rPr>
                <w:rFonts w:ascii="宋体" w:hAnsi="宋体" w:cs="宋体"/>
                <w:bCs/>
                <w:szCs w:val="21"/>
              </w:rPr>
            </w:pPr>
            <w:r>
              <w:rPr>
                <w:rFonts w:hint="eastAsia" w:ascii="宋体" w:hAnsi="宋体" w:cs="宋体"/>
                <w:bCs/>
                <w:szCs w:val="21"/>
              </w:rPr>
              <w:t>要素</w:t>
            </w:r>
          </w:p>
        </w:tc>
        <w:tc>
          <w:tcPr>
            <w:tcW w:w="1188" w:type="dxa"/>
            <w:vAlign w:val="center"/>
          </w:tcPr>
          <w:p>
            <w:pPr>
              <w:adjustRightInd w:val="0"/>
              <w:snapToGrid w:val="0"/>
              <w:jc w:val="center"/>
              <w:rPr>
                <w:rFonts w:ascii="宋体" w:hAnsi="宋体" w:cs="宋体"/>
                <w:bCs/>
                <w:szCs w:val="21"/>
              </w:rPr>
            </w:pPr>
            <w:r>
              <w:rPr>
                <w:rFonts w:hint="eastAsia" w:ascii="宋体" w:hAnsi="宋体" w:cs="宋体"/>
                <w:bCs/>
                <w:szCs w:val="21"/>
              </w:rPr>
              <w:t>排放口(编号、名称)/污染源</w:t>
            </w:r>
          </w:p>
        </w:tc>
        <w:tc>
          <w:tcPr>
            <w:tcW w:w="864" w:type="dxa"/>
            <w:vAlign w:val="center"/>
          </w:tcPr>
          <w:p>
            <w:pPr>
              <w:adjustRightInd w:val="0"/>
              <w:snapToGrid w:val="0"/>
              <w:jc w:val="center"/>
              <w:rPr>
                <w:rFonts w:ascii="宋体" w:hAnsi="宋体" w:cs="宋体"/>
                <w:bCs/>
                <w:szCs w:val="21"/>
              </w:rPr>
            </w:pPr>
            <w:r>
              <w:rPr>
                <w:rFonts w:hint="eastAsia" w:ascii="宋体" w:hAnsi="宋体" w:cs="宋体"/>
                <w:bCs/>
                <w:szCs w:val="21"/>
              </w:rPr>
              <w:t>污染物项目</w:t>
            </w:r>
          </w:p>
        </w:tc>
        <w:tc>
          <w:tcPr>
            <w:tcW w:w="3172" w:type="dxa"/>
            <w:vAlign w:val="center"/>
          </w:tcPr>
          <w:p>
            <w:pPr>
              <w:adjustRightInd w:val="0"/>
              <w:snapToGrid w:val="0"/>
              <w:jc w:val="center"/>
              <w:rPr>
                <w:rFonts w:ascii="宋体" w:hAnsi="宋体" w:cs="宋体"/>
                <w:bCs/>
                <w:szCs w:val="21"/>
              </w:rPr>
            </w:pPr>
            <w:r>
              <w:rPr>
                <w:rFonts w:hint="eastAsia" w:ascii="宋体" w:hAnsi="宋体" w:cs="宋体"/>
                <w:bCs/>
                <w:szCs w:val="21"/>
              </w:rPr>
              <w:t>环境保护措施</w:t>
            </w:r>
          </w:p>
        </w:tc>
        <w:tc>
          <w:tcPr>
            <w:tcW w:w="2443" w:type="dxa"/>
            <w:vAlign w:val="center"/>
          </w:tcPr>
          <w:p>
            <w:pPr>
              <w:adjustRightInd w:val="0"/>
              <w:snapToGrid w:val="0"/>
              <w:jc w:val="center"/>
              <w:rPr>
                <w:rFonts w:ascii="宋体" w:hAnsi="宋体" w:cs="宋体"/>
                <w:bCs/>
                <w:szCs w:val="21"/>
              </w:rPr>
            </w:pPr>
            <w:r>
              <w:rPr>
                <w:rFonts w:hint="eastAsia" w:ascii="宋体" w:hAnsi="宋体" w:cs="宋体"/>
                <w:bCs/>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33" w:type="dxa"/>
            <w:vAlign w:val="center"/>
          </w:tcPr>
          <w:p>
            <w:pPr>
              <w:adjustRightInd w:val="0"/>
              <w:snapToGrid w:val="0"/>
              <w:jc w:val="center"/>
              <w:rPr>
                <w:rFonts w:ascii="宋体" w:hAnsi="宋体" w:cs="宋体"/>
                <w:bCs/>
                <w:szCs w:val="21"/>
                <w:highlight w:val="yellow"/>
              </w:rPr>
            </w:pPr>
            <w:r>
              <w:rPr>
                <w:rFonts w:hint="eastAsia" w:ascii="宋体" w:hAnsi="宋体" w:cs="宋体"/>
                <w:bCs/>
                <w:szCs w:val="21"/>
              </w:rPr>
              <w:t>大气环境</w:t>
            </w:r>
          </w:p>
        </w:tc>
        <w:tc>
          <w:tcPr>
            <w:tcW w:w="1188" w:type="dxa"/>
            <w:vAlign w:val="center"/>
          </w:tcPr>
          <w:p>
            <w:pPr>
              <w:pStyle w:val="68"/>
              <w:spacing w:line="240" w:lineRule="auto"/>
            </w:pPr>
            <w:r>
              <w:rPr>
                <w:rFonts w:hint="eastAsia"/>
              </w:rPr>
              <w:t>热切、印刷废气</w:t>
            </w:r>
            <w:r>
              <w:rPr>
                <w:rFonts w:hint="eastAsia"/>
                <w:bCs/>
              </w:rPr>
              <w:t>（DA001）</w:t>
            </w:r>
          </w:p>
        </w:tc>
        <w:tc>
          <w:tcPr>
            <w:tcW w:w="864" w:type="dxa"/>
            <w:vAlign w:val="center"/>
          </w:tcPr>
          <w:p>
            <w:pPr>
              <w:pStyle w:val="68"/>
              <w:spacing w:line="240" w:lineRule="auto"/>
            </w:pPr>
            <w:r>
              <w:rPr>
                <w:rFonts w:hint="eastAsia"/>
              </w:rPr>
              <w:t>非甲烷总烃</w:t>
            </w:r>
          </w:p>
        </w:tc>
        <w:tc>
          <w:tcPr>
            <w:tcW w:w="3172" w:type="dxa"/>
            <w:vAlign w:val="center"/>
          </w:tcPr>
          <w:p>
            <w:pPr>
              <w:pStyle w:val="68"/>
              <w:spacing w:line="240" w:lineRule="auto"/>
            </w:pPr>
            <w:r>
              <w:rPr>
                <w:rFonts w:hint="eastAsia" w:hAnsi="宋体"/>
              </w:rPr>
              <w:t>集气系统（集气罩+区域二次密闭）收集后由UV光氧+活性炭吸附装置处理后通过15m高排气筒排放</w:t>
            </w:r>
            <w:r>
              <w:rPr>
                <w:rFonts w:hint="eastAsia"/>
                <w:bCs/>
              </w:rPr>
              <w:t>（DA001）</w:t>
            </w:r>
          </w:p>
        </w:tc>
        <w:tc>
          <w:tcPr>
            <w:tcW w:w="2443" w:type="dxa"/>
            <w:vAlign w:val="center"/>
          </w:tcPr>
          <w:p>
            <w:pPr>
              <w:jc w:val="center"/>
              <w:rPr>
                <w:szCs w:val="21"/>
              </w:rPr>
            </w:pPr>
            <w:r>
              <w:rPr>
                <w:rFonts w:hint="eastAsia"/>
              </w:rPr>
              <w:t>满足《合成树脂工业污染物排放标准》（GB31572-2015）表5特别排放限值同时满足河南省地方标准《印刷工业挥发性有机物排放标准》（DB41/1956-2020）表1特别排放限值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133" w:type="dxa"/>
            <w:vAlign w:val="center"/>
          </w:tcPr>
          <w:p>
            <w:pPr>
              <w:adjustRightInd w:val="0"/>
              <w:snapToGrid w:val="0"/>
              <w:jc w:val="center"/>
              <w:rPr>
                <w:rFonts w:ascii="宋体" w:hAnsi="宋体" w:cs="宋体"/>
                <w:bCs/>
                <w:szCs w:val="21"/>
                <w:highlight w:val="yellow"/>
              </w:rPr>
            </w:pPr>
            <w:r>
              <w:rPr>
                <w:rFonts w:hint="eastAsia" w:ascii="宋体" w:hAnsi="宋体" w:cs="宋体"/>
                <w:bCs/>
                <w:szCs w:val="21"/>
              </w:rPr>
              <w:t>地表水环境</w:t>
            </w:r>
          </w:p>
        </w:tc>
        <w:tc>
          <w:tcPr>
            <w:tcW w:w="1188" w:type="dxa"/>
            <w:vAlign w:val="center"/>
          </w:tcPr>
          <w:p>
            <w:pPr>
              <w:jc w:val="center"/>
              <w:rPr>
                <w:szCs w:val="21"/>
              </w:rPr>
            </w:pPr>
            <w:r>
              <w:rPr>
                <w:rFonts w:hint="eastAsia"/>
                <w:szCs w:val="21"/>
              </w:rPr>
              <w:t>生活污水</w:t>
            </w:r>
          </w:p>
        </w:tc>
        <w:tc>
          <w:tcPr>
            <w:tcW w:w="864" w:type="dxa"/>
            <w:vAlign w:val="center"/>
          </w:tcPr>
          <w:p>
            <w:pPr>
              <w:rPr>
                <w:szCs w:val="21"/>
              </w:rPr>
            </w:pPr>
            <w:r>
              <w:rPr>
                <w:szCs w:val="21"/>
              </w:rPr>
              <w:t>COD</w:t>
            </w:r>
          </w:p>
          <w:p>
            <w:pPr>
              <w:rPr>
                <w:szCs w:val="21"/>
              </w:rPr>
            </w:pPr>
            <w:r>
              <w:rPr>
                <w:szCs w:val="21"/>
              </w:rPr>
              <w:t>BOD</w:t>
            </w:r>
            <w:r>
              <w:rPr>
                <w:szCs w:val="21"/>
                <w:vertAlign w:val="subscript"/>
              </w:rPr>
              <w:t>5</w:t>
            </w:r>
            <w:r>
              <w:rPr>
                <w:szCs w:val="21"/>
              </w:rPr>
              <w:t xml:space="preserve"> SS</w:t>
            </w:r>
          </w:p>
          <w:p>
            <w:pPr>
              <w:rPr>
                <w:szCs w:val="21"/>
              </w:rPr>
            </w:pPr>
            <w:r>
              <w:rPr>
                <w:szCs w:val="21"/>
              </w:rPr>
              <w:t>NH</w:t>
            </w:r>
            <w:r>
              <w:rPr>
                <w:szCs w:val="21"/>
                <w:vertAlign w:val="subscript"/>
              </w:rPr>
              <w:t>3</w:t>
            </w:r>
            <w:r>
              <w:rPr>
                <w:szCs w:val="21"/>
              </w:rPr>
              <w:t xml:space="preserve">-N </w:t>
            </w:r>
          </w:p>
        </w:tc>
        <w:tc>
          <w:tcPr>
            <w:tcW w:w="3172" w:type="dxa"/>
            <w:vAlign w:val="center"/>
          </w:tcPr>
          <w:p>
            <w:pPr>
              <w:adjustRightInd w:val="0"/>
              <w:snapToGrid w:val="0"/>
              <w:jc w:val="center"/>
              <w:rPr>
                <w:bCs/>
              </w:rPr>
            </w:pPr>
            <w:r>
              <w:rPr>
                <w:rStyle w:val="31"/>
                <w:kern w:val="0"/>
              </w:rPr>
              <w:t>生活污水经</w:t>
            </w:r>
            <w:r>
              <w:rPr>
                <w:rStyle w:val="31"/>
                <w:rFonts w:hint="eastAsia"/>
                <w:kern w:val="0"/>
              </w:rPr>
              <w:t>厂区</w:t>
            </w:r>
            <w:r>
              <w:rPr>
                <w:rStyle w:val="31"/>
                <w:kern w:val="0"/>
              </w:rPr>
              <w:t>化粪池</w:t>
            </w:r>
            <w:r>
              <w:rPr>
                <w:rStyle w:val="31"/>
                <w:rFonts w:hint="eastAsia"/>
                <w:kern w:val="0"/>
              </w:rPr>
              <w:t>（10m</w:t>
            </w:r>
            <w:r>
              <w:rPr>
                <w:rStyle w:val="31"/>
                <w:rFonts w:hint="eastAsia"/>
                <w:kern w:val="0"/>
                <w:vertAlign w:val="superscript"/>
              </w:rPr>
              <w:t>3</w:t>
            </w:r>
            <w:r>
              <w:rPr>
                <w:rStyle w:val="31"/>
                <w:rFonts w:hint="eastAsia"/>
                <w:kern w:val="0"/>
              </w:rPr>
              <w:t>）</w:t>
            </w:r>
            <w:r>
              <w:rPr>
                <w:rStyle w:val="31"/>
                <w:kern w:val="0"/>
              </w:rPr>
              <w:t>处理后</w:t>
            </w:r>
            <w:r>
              <w:rPr>
                <w:rStyle w:val="31"/>
                <w:rFonts w:hint="eastAsia"/>
                <w:kern w:val="0"/>
              </w:rPr>
              <w:t>用于周围农田施肥</w:t>
            </w:r>
          </w:p>
        </w:tc>
        <w:tc>
          <w:tcPr>
            <w:tcW w:w="2443" w:type="dxa"/>
            <w:vAlign w:val="center"/>
          </w:tcPr>
          <w:p>
            <w:pPr>
              <w:adjustRightInd w:val="0"/>
              <w:snapToGrid w:val="0"/>
              <w:jc w:val="center"/>
              <w:rPr>
                <w:bCs/>
                <w:szCs w:val="21"/>
              </w:rPr>
            </w:pPr>
            <w:r>
              <w:rPr>
                <w:rFonts w:hint="eastAsia"/>
                <w:bCs/>
                <w:szCs w:val="21"/>
              </w:rPr>
              <w:t>综合利用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3" w:type="dxa"/>
            <w:vAlign w:val="center"/>
          </w:tcPr>
          <w:p>
            <w:pPr>
              <w:adjustRightInd w:val="0"/>
              <w:snapToGrid w:val="0"/>
              <w:jc w:val="center"/>
              <w:rPr>
                <w:rFonts w:ascii="宋体" w:hAnsi="宋体" w:cs="宋体"/>
                <w:bCs/>
                <w:szCs w:val="21"/>
              </w:rPr>
            </w:pPr>
            <w:r>
              <w:rPr>
                <w:rFonts w:hint="eastAsia" w:ascii="宋体" w:hAnsi="宋体" w:cs="宋体"/>
                <w:bCs/>
                <w:szCs w:val="21"/>
              </w:rPr>
              <w:t>声环境</w:t>
            </w:r>
          </w:p>
        </w:tc>
        <w:tc>
          <w:tcPr>
            <w:tcW w:w="1188" w:type="dxa"/>
            <w:vAlign w:val="center"/>
          </w:tcPr>
          <w:p>
            <w:pPr>
              <w:adjustRightInd w:val="0"/>
              <w:snapToGrid w:val="0"/>
              <w:jc w:val="center"/>
              <w:rPr>
                <w:rFonts w:ascii="宋体" w:hAnsi="宋体" w:cs="宋体"/>
                <w:bCs/>
                <w:szCs w:val="21"/>
              </w:rPr>
            </w:pPr>
            <w:r>
              <w:rPr>
                <w:rFonts w:hint="eastAsia" w:ascii="宋体" w:hAnsi="宋体" w:cs="宋体"/>
                <w:bCs/>
                <w:szCs w:val="21"/>
              </w:rPr>
              <w:t>生产设备、风机等</w:t>
            </w:r>
          </w:p>
        </w:tc>
        <w:tc>
          <w:tcPr>
            <w:tcW w:w="864" w:type="dxa"/>
            <w:vAlign w:val="center"/>
          </w:tcPr>
          <w:p>
            <w:pPr>
              <w:pStyle w:val="68"/>
              <w:spacing w:line="240" w:lineRule="auto"/>
              <w:rPr>
                <w:bCs/>
              </w:rPr>
            </w:pPr>
            <w:r>
              <w:rPr>
                <w:rFonts w:hint="eastAsia"/>
                <w:bCs/>
              </w:rPr>
              <w:t>等效A等级</w:t>
            </w:r>
          </w:p>
        </w:tc>
        <w:tc>
          <w:tcPr>
            <w:tcW w:w="3172" w:type="dxa"/>
            <w:vAlign w:val="center"/>
          </w:tcPr>
          <w:p>
            <w:pPr>
              <w:pStyle w:val="68"/>
              <w:spacing w:line="240" w:lineRule="auto"/>
              <w:rPr>
                <w:bCs/>
              </w:rPr>
            </w:pPr>
            <w:r>
              <w:rPr>
                <w:bCs/>
              </w:rPr>
              <w:t>厂房隔声</w:t>
            </w:r>
            <w:r>
              <w:rPr>
                <w:rFonts w:hint="eastAsia"/>
                <w:bCs/>
              </w:rPr>
              <w:t>、距离衰减</w:t>
            </w:r>
            <w:r>
              <w:rPr>
                <w:bCs/>
              </w:rPr>
              <w:t>等</w:t>
            </w:r>
          </w:p>
        </w:tc>
        <w:tc>
          <w:tcPr>
            <w:tcW w:w="2443" w:type="dxa"/>
            <w:vAlign w:val="center"/>
          </w:tcPr>
          <w:p>
            <w:pPr>
              <w:adjustRightInd w:val="0"/>
              <w:snapToGrid w:val="0"/>
              <w:jc w:val="center"/>
              <w:rPr>
                <w:rFonts w:ascii="宋体" w:hAnsi="宋体" w:cs="宋体"/>
                <w:bCs/>
                <w:szCs w:val="21"/>
              </w:rPr>
            </w:pPr>
            <w:r>
              <w:rPr>
                <w:bCs/>
              </w:rPr>
              <w:t>《工业企业厂界环境噪声排放标准》(GB12348-2008)中</w:t>
            </w:r>
            <w:r>
              <w:rPr>
                <w:rFonts w:hint="eastAsia"/>
                <w:bCs/>
              </w:rPr>
              <w:t>2</w:t>
            </w:r>
            <w:r>
              <w:rPr>
                <w:bCs/>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3" w:type="dxa"/>
            <w:vAlign w:val="center"/>
          </w:tcPr>
          <w:p>
            <w:pPr>
              <w:adjustRightInd w:val="0"/>
              <w:snapToGrid w:val="0"/>
              <w:jc w:val="center"/>
              <w:rPr>
                <w:rFonts w:ascii="宋体" w:hAnsi="宋体" w:cs="宋体"/>
                <w:bCs/>
                <w:szCs w:val="21"/>
              </w:rPr>
            </w:pPr>
            <w:r>
              <w:rPr>
                <w:rFonts w:hint="eastAsia" w:ascii="宋体" w:hAnsi="宋体" w:cs="宋体"/>
                <w:bCs/>
                <w:szCs w:val="21"/>
              </w:rPr>
              <w:t>电磁辐射</w:t>
            </w:r>
          </w:p>
        </w:tc>
        <w:tc>
          <w:tcPr>
            <w:tcW w:w="1188" w:type="dxa"/>
            <w:vAlign w:val="center"/>
          </w:tcPr>
          <w:p>
            <w:pPr>
              <w:adjustRightInd w:val="0"/>
              <w:snapToGrid w:val="0"/>
              <w:jc w:val="center"/>
              <w:rPr>
                <w:rFonts w:ascii="宋体" w:hAnsi="宋体" w:cs="宋体"/>
                <w:bCs/>
                <w:szCs w:val="21"/>
              </w:rPr>
            </w:pPr>
            <w:r>
              <w:rPr>
                <w:rFonts w:hint="eastAsia" w:ascii="宋体" w:hAnsi="宋体" w:cs="宋体"/>
                <w:bCs/>
                <w:szCs w:val="21"/>
              </w:rPr>
              <w:t>/</w:t>
            </w:r>
          </w:p>
        </w:tc>
        <w:tc>
          <w:tcPr>
            <w:tcW w:w="864" w:type="dxa"/>
            <w:vAlign w:val="center"/>
          </w:tcPr>
          <w:p>
            <w:pPr>
              <w:adjustRightInd w:val="0"/>
              <w:snapToGrid w:val="0"/>
              <w:jc w:val="center"/>
              <w:rPr>
                <w:rFonts w:ascii="宋体" w:hAnsi="宋体" w:cs="宋体"/>
                <w:bCs/>
                <w:szCs w:val="21"/>
              </w:rPr>
            </w:pPr>
            <w:r>
              <w:rPr>
                <w:rFonts w:hint="eastAsia" w:ascii="宋体" w:hAnsi="宋体" w:cs="宋体"/>
                <w:bCs/>
                <w:szCs w:val="21"/>
              </w:rPr>
              <w:t>/</w:t>
            </w:r>
          </w:p>
        </w:tc>
        <w:tc>
          <w:tcPr>
            <w:tcW w:w="3172" w:type="dxa"/>
            <w:vAlign w:val="center"/>
          </w:tcPr>
          <w:p>
            <w:pPr>
              <w:adjustRightInd w:val="0"/>
              <w:snapToGrid w:val="0"/>
              <w:jc w:val="center"/>
              <w:rPr>
                <w:rFonts w:ascii="宋体" w:hAnsi="宋体" w:cs="宋体"/>
                <w:bCs/>
                <w:szCs w:val="21"/>
              </w:rPr>
            </w:pPr>
            <w:r>
              <w:rPr>
                <w:rFonts w:hint="eastAsia" w:ascii="宋体" w:hAnsi="宋体" w:cs="宋体"/>
                <w:bCs/>
                <w:szCs w:val="21"/>
              </w:rPr>
              <w:t>/</w:t>
            </w:r>
          </w:p>
        </w:tc>
        <w:tc>
          <w:tcPr>
            <w:tcW w:w="2443" w:type="dxa"/>
            <w:vAlign w:val="center"/>
          </w:tcPr>
          <w:p>
            <w:pPr>
              <w:adjustRightInd w:val="0"/>
              <w:snapToGrid w:val="0"/>
              <w:jc w:val="center"/>
              <w:rPr>
                <w:rFonts w:ascii="宋体" w:hAnsi="宋体" w:cs="宋体"/>
                <w:bCs/>
                <w:szCs w:val="21"/>
              </w:rPr>
            </w:pPr>
            <w:r>
              <w:rPr>
                <w:rFonts w:hint="eastAsia" w:ascii="宋体" w:hAnsi="宋体" w:cs="宋体"/>
                <w:bCs/>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3" w:type="dxa"/>
            <w:vAlign w:val="center"/>
          </w:tcPr>
          <w:p>
            <w:pPr>
              <w:adjustRightInd w:val="0"/>
              <w:snapToGrid w:val="0"/>
              <w:jc w:val="center"/>
              <w:rPr>
                <w:rFonts w:ascii="宋体" w:hAnsi="宋体" w:cs="宋体"/>
                <w:bCs/>
                <w:szCs w:val="21"/>
              </w:rPr>
            </w:pPr>
            <w:r>
              <w:rPr>
                <w:rFonts w:hint="eastAsia" w:ascii="宋体" w:hAnsi="宋体" w:cs="宋体"/>
                <w:bCs/>
                <w:szCs w:val="21"/>
              </w:rPr>
              <w:t>固体废物</w:t>
            </w:r>
          </w:p>
        </w:tc>
        <w:tc>
          <w:tcPr>
            <w:tcW w:w="7667" w:type="dxa"/>
            <w:gridSpan w:val="4"/>
            <w:vAlign w:val="center"/>
          </w:tcPr>
          <w:p>
            <w:pPr>
              <w:adjustRightInd w:val="0"/>
              <w:snapToGrid w:val="0"/>
              <w:jc w:val="center"/>
              <w:rPr>
                <w:rFonts w:ascii="宋体" w:hAnsi="宋体" w:cs="宋体"/>
                <w:bCs/>
                <w:szCs w:val="21"/>
              </w:rPr>
            </w:pPr>
            <w:r>
              <w:rPr>
                <w:rFonts w:hint="eastAsia"/>
              </w:rPr>
              <w:t>本项目废边角料、</w:t>
            </w:r>
            <w:r>
              <w:t>废包装材料收集后外售</w:t>
            </w:r>
            <w:r>
              <w:rPr>
                <w:rFonts w:hint="eastAsia"/>
                <w:bCs/>
              </w:rPr>
              <w:t>；生活垃圾</w:t>
            </w:r>
            <w:r>
              <w:rPr>
                <w:bCs/>
              </w:rPr>
              <w:t>集中收集后交由环卫部门统一清运</w:t>
            </w:r>
            <w:r>
              <w:rPr>
                <w:rFonts w:hint="eastAsia"/>
                <w:bCs/>
              </w:rPr>
              <w:t>；危险废物</w:t>
            </w:r>
            <w:r>
              <w:rPr>
                <w:bCs/>
              </w:rPr>
              <w:t>在厂区危险废物暂存</w:t>
            </w:r>
            <w:r>
              <w:rPr>
                <w:rFonts w:hint="eastAsia"/>
                <w:bCs/>
              </w:rPr>
              <w:t>间（车间东北角、5m</w:t>
            </w:r>
            <w:r>
              <w:rPr>
                <w:rFonts w:hint="eastAsia"/>
                <w:bCs/>
                <w:vertAlign w:val="superscript"/>
              </w:rPr>
              <w:t>2</w:t>
            </w:r>
            <w:r>
              <w:rPr>
                <w:rFonts w:hint="eastAsia"/>
                <w:bCs/>
              </w:rPr>
              <w:t>），建设满足</w:t>
            </w:r>
            <w:r>
              <w:rPr>
                <w:bCs/>
              </w:rPr>
              <w:t>《危险废物贮存污染控制标准》（GB18597-20</w:t>
            </w:r>
            <w:r>
              <w:rPr>
                <w:rFonts w:hint="eastAsia"/>
                <w:bCs/>
              </w:rPr>
              <w:t>23</w:t>
            </w:r>
            <w:r>
              <w:rPr>
                <w:bCs/>
              </w:rPr>
              <w:t>）</w:t>
            </w:r>
            <w:r>
              <w:rPr>
                <w:rFonts w:hint="eastAsia"/>
                <w:bCs/>
              </w:rPr>
              <w:t>相关要求）</w:t>
            </w:r>
            <w:r>
              <w:rPr>
                <w:bCs/>
              </w:rPr>
              <w:t>暂存后，定期交由有资质的单位进行处理。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133" w:type="dxa"/>
            <w:vAlign w:val="center"/>
          </w:tcPr>
          <w:p>
            <w:pPr>
              <w:adjustRightInd w:val="0"/>
              <w:snapToGrid w:val="0"/>
              <w:jc w:val="center"/>
              <w:rPr>
                <w:rFonts w:ascii="宋体" w:hAnsi="宋体" w:cs="宋体"/>
                <w:bCs/>
                <w:szCs w:val="21"/>
              </w:rPr>
            </w:pPr>
            <w:r>
              <w:rPr>
                <w:rFonts w:hint="eastAsia" w:ascii="宋体" w:hAnsi="宋体" w:cs="宋体"/>
                <w:bCs/>
                <w:szCs w:val="21"/>
              </w:rPr>
              <w:t>土壤及地下水污染防治措施</w:t>
            </w:r>
          </w:p>
        </w:tc>
        <w:tc>
          <w:tcPr>
            <w:tcW w:w="7667" w:type="dxa"/>
            <w:gridSpan w:val="4"/>
            <w:vAlign w:val="center"/>
          </w:tcPr>
          <w:p>
            <w:pPr>
              <w:adjustRightInd w:val="0"/>
              <w:snapToGrid w:val="0"/>
              <w:jc w:val="center"/>
              <w:rPr>
                <w:bCs/>
                <w:szCs w:val="21"/>
              </w:rPr>
            </w:pPr>
            <w:r>
              <w:rPr>
                <w:rFonts w:hAnsi="宋体"/>
                <w:bCs/>
                <w:szCs w:val="21"/>
              </w:rPr>
              <w:t>项目各生产车间内均设置单独的固废堆存区，地面硬化；厂区设置有危废暂存间，建设满足《危险废物贮存污染控制标准》（</w:t>
            </w:r>
            <w:r>
              <w:rPr>
                <w:bCs/>
                <w:szCs w:val="21"/>
              </w:rPr>
              <w:t>GB18597-20</w:t>
            </w:r>
            <w:r>
              <w:rPr>
                <w:rFonts w:hint="eastAsia"/>
                <w:bCs/>
                <w:szCs w:val="21"/>
              </w:rPr>
              <w:t>23</w:t>
            </w:r>
            <w:r>
              <w:rPr>
                <w:rFonts w:hAnsi="宋体"/>
                <w:bCs/>
                <w:szCs w:val="21"/>
              </w:rPr>
              <w:t>）相关要求；生活垃圾均设置垃圾收集桶，定点收集。厂内化粪池的池壁采用高标号的防水混凝土，内壁涂防水涂料，满足防渗要求。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33" w:type="dxa"/>
            <w:vAlign w:val="center"/>
          </w:tcPr>
          <w:p>
            <w:pPr>
              <w:adjustRightInd w:val="0"/>
              <w:snapToGrid w:val="0"/>
              <w:jc w:val="center"/>
              <w:rPr>
                <w:rFonts w:ascii="宋体" w:hAnsi="宋体" w:cs="宋体"/>
                <w:bCs/>
                <w:szCs w:val="21"/>
              </w:rPr>
            </w:pPr>
            <w:r>
              <w:rPr>
                <w:rFonts w:hint="eastAsia" w:ascii="宋体" w:hAnsi="宋体" w:cs="宋体"/>
                <w:bCs/>
                <w:szCs w:val="21"/>
              </w:rPr>
              <w:t>生态保护措施</w:t>
            </w:r>
          </w:p>
        </w:tc>
        <w:tc>
          <w:tcPr>
            <w:tcW w:w="7667" w:type="dxa"/>
            <w:gridSpan w:val="4"/>
            <w:vAlign w:val="center"/>
          </w:tcPr>
          <w:p>
            <w:pPr>
              <w:adjustRightInd w:val="0"/>
              <w:snapToGrid w:val="0"/>
              <w:jc w:val="center"/>
              <w:rPr>
                <w:rFonts w:ascii="宋体" w:hAnsi="宋体" w:cs="宋体"/>
                <w:bCs/>
                <w:szCs w:val="21"/>
                <w:highlight w:val="yellow"/>
              </w:rPr>
            </w:pPr>
            <w:r>
              <w:rPr>
                <w:rFonts w:hint="eastAsia" w:cs="宋体"/>
                <w:szCs w:val="21"/>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3" w:type="dxa"/>
            <w:vAlign w:val="center"/>
          </w:tcPr>
          <w:p>
            <w:pPr>
              <w:adjustRightInd w:val="0"/>
              <w:snapToGrid w:val="0"/>
              <w:jc w:val="center"/>
              <w:rPr>
                <w:rFonts w:ascii="宋体" w:hAnsi="宋体" w:cs="宋体"/>
                <w:bCs/>
                <w:spacing w:val="-8"/>
                <w:szCs w:val="21"/>
              </w:rPr>
            </w:pPr>
            <w:r>
              <w:rPr>
                <w:rFonts w:hint="eastAsia" w:ascii="宋体" w:hAnsi="宋体" w:cs="宋体"/>
                <w:bCs/>
                <w:spacing w:val="-8"/>
                <w:szCs w:val="21"/>
              </w:rPr>
              <w:t>环境风险</w:t>
            </w:r>
          </w:p>
          <w:p>
            <w:pPr>
              <w:adjustRightInd w:val="0"/>
              <w:snapToGrid w:val="0"/>
              <w:jc w:val="center"/>
              <w:rPr>
                <w:rFonts w:ascii="宋体" w:hAnsi="宋体" w:cs="宋体"/>
                <w:bCs/>
                <w:spacing w:val="-8"/>
                <w:szCs w:val="21"/>
              </w:rPr>
            </w:pPr>
            <w:r>
              <w:rPr>
                <w:rFonts w:hint="eastAsia" w:ascii="宋体" w:hAnsi="宋体" w:cs="宋体"/>
                <w:bCs/>
                <w:spacing w:val="-8"/>
                <w:szCs w:val="21"/>
              </w:rPr>
              <w:t>防范措施</w:t>
            </w:r>
          </w:p>
        </w:tc>
        <w:tc>
          <w:tcPr>
            <w:tcW w:w="7667" w:type="dxa"/>
            <w:gridSpan w:val="4"/>
            <w:vAlign w:val="center"/>
          </w:tcPr>
          <w:p>
            <w:pPr>
              <w:adjustRightInd w:val="0"/>
              <w:snapToGrid w:val="0"/>
              <w:ind w:firstLine="420" w:firstLineChars="200"/>
              <w:jc w:val="left"/>
            </w:pPr>
            <w:r>
              <w:rPr>
                <w:rFonts w:hint="eastAsia"/>
              </w:rPr>
              <w:t>液压油生产时储存于设备内部，生产区设置混凝土地板，混凝土地板上应做防渗处；液压油进厂前须进行严格检验数量、质量、包装情况、是否泄漏；设备、管线、泵等定期检查、保养、维修；遵守各项规章制度和操作规程，严格执行岗位责任制，加强培训教育和考核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133" w:type="dxa"/>
            <w:vAlign w:val="center"/>
          </w:tcPr>
          <w:p>
            <w:pPr>
              <w:adjustRightInd w:val="0"/>
              <w:snapToGrid w:val="0"/>
              <w:jc w:val="center"/>
              <w:rPr>
                <w:rFonts w:ascii="宋体" w:hAnsi="宋体" w:cs="宋体"/>
                <w:bCs/>
                <w:spacing w:val="-8"/>
                <w:szCs w:val="21"/>
              </w:rPr>
            </w:pPr>
            <w:r>
              <w:rPr>
                <w:rFonts w:hint="eastAsia" w:ascii="宋体" w:hAnsi="宋体" w:cs="宋体"/>
                <w:bCs/>
                <w:spacing w:val="-8"/>
                <w:szCs w:val="21"/>
              </w:rPr>
              <w:t>其他环境</w:t>
            </w:r>
          </w:p>
          <w:p>
            <w:pPr>
              <w:adjustRightInd w:val="0"/>
              <w:snapToGrid w:val="0"/>
              <w:jc w:val="center"/>
              <w:rPr>
                <w:rFonts w:ascii="宋体" w:hAnsi="宋体" w:cs="宋体"/>
                <w:bCs/>
                <w:spacing w:val="-8"/>
                <w:szCs w:val="21"/>
              </w:rPr>
            </w:pPr>
            <w:r>
              <w:rPr>
                <w:rFonts w:hint="eastAsia" w:ascii="宋体" w:hAnsi="宋体" w:cs="宋体"/>
                <w:bCs/>
                <w:spacing w:val="-8"/>
                <w:szCs w:val="21"/>
              </w:rPr>
              <w:t>管理要求</w:t>
            </w:r>
          </w:p>
        </w:tc>
        <w:tc>
          <w:tcPr>
            <w:tcW w:w="7667" w:type="dxa"/>
            <w:gridSpan w:val="4"/>
            <w:vAlign w:val="center"/>
          </w:tcPr>
          <w:p>
            <w:pPr>
              <w:spacing w:line="360" w:lineRule="exact"/>
              <w:rPr>
                <w:szCs w:val="21"/>
              </w:rPr>
            </w:pPr>
            <w:r>
              <w:rPr>
                <w:szCs w:val="21"/>
              </w:rPr>
              <w:t>（1）加强环保治理设施管理，确保治理设施正常运行，污染物稳定达标排放；</w:t>
            </w:r>
          </w:p>
          <w:p>
            <w:pPr>
              <w:spacing w:line="360" w:lineRule="exact"/>
              <w:rPr>
                <w:szCs w:val="21"/>
              </w:rPr>
            </w:pPr>
            <w:r>
              <w:rPr>
                <w:szCs w:val="21"/>
              </w:rPr>
              <w:t>（2）排放口规范化设置，粘贴标识牌；</w:t>
            </w:r>
          </w:p>
          <w:p>
            <w:pPr>
              <w:spacing w:line="360" w:lineRule="exact"/>
              <w:rPr>
                <w:szCs w:val="21"/>
              </w:rPr>
            </w:pPr>
            <w:r>
              <w:rPr>
                <w:szCs w:val="21"/>
              </w:rPr>
              <w:t>（3）依据行业规范制定自行监测计划；</w:t>
            </w:r>
          </w:p>
          <w:p>
            <w:pPr>
              <w:spacing w:line="360" w:lineRule="exact"/>
              <w:rPr>
                <w:szCs w:val="21"/>
              </w:rPr>
            </w:pPr>
            <w:r>
              <w:rPr>
                <w:szCs w:val="21"/>
              </w:rPr>
              <w:t>（4）发生排污行为前，完成排污许可证的申请。</w:t>
            </w:r>
          </w:p>
          <w:p>
            <w:pPr>
              <w:spacing w:line="360" w:lineRule="exact"/>
              <w:rPr>
                <w:rFonts w:ascii="宋体" w:hAnsi="宋体" w:cs="宋体"/>
                <w:bCs/>
                <w:szCs w:val="21"/>
              </w:rPr>
            </w:pPr>
            <w:r>
              <w:rPr>
                <w:rFonts w:hint="eastAsia"/>
                <w:szCs w:val="21"/>
              </w:rPr>
              <w:t>（5）项目正式运营后，应对污染治理设施、设备及各污染物产生排放情况进行统计，建立管理台账，台账保存期限不得少于五年。</w:t>
            </w:r>
          </w:p>
        </w:tc>
      </w:tr>
    </w:tbl>
    <w:p>
      <w:pPr>
        <w:pStyle w:val="19"/>
        <w:jc w:val="center"/>
        <w:outlineLvl w:val="0"/>
        <w:rPr>
          <w:rFonts w:ascii="黑体" w:hAnsi="黑体" w:eastAsia="黑体"/>
          <w:snapToGrid w:val="0"/>
          <w:sz w:val="30"/>
          <w:szCs w:val="30"/>
        </w:rPr>
      </w:pPr>
      <w:r>
        <w:rPr>
          <w:snapToGrid w:val="0"/>
        </w:rPr>
        <w:br w:type="page"/>
      </w:r>
      <w:r>
        <w:rPr>
          <w:rFonts w:hint="eastAsia" w:ascii="黑体" w:hAnsi="黑体" w:eastAsia="黑体"/>
          <w:snapToGrid w:val="0"/>
          <w:sz w:val="30"/>
          <w:szCs w:val="30"/>
        </w:rPr>
        <w:t>六、结论</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center"/>
          </w:tcPr>
          <w:p>
            <w:pPr>
              <w:spacing w:line="520" w:lineRule="exact"/>
              <w:ind w:firstLine="480" w:firstLineChars="200"/>
              <w:jc w:val="left"/>
              <w:rPr>
                <w:rFonts w:eastAsia="黑体"/>
                <w:sz w:val="24"/>
              </w:rPr>
            </w:pPr>
            <w:r>
              <w:rPr>
                <w:rFonts w:hint="eastAsia" w:eastAsia="黑体"/>
                <w:sz w:val="24"/>
              </w:rPr>
              <w:t>洛阳市一浩包装有限公司年产150万条集装袋项目</w:t>
            </w:r>
            <w:r>
              <w:rPr>
                <w:rFonts w:eastAsia="黑体"/>
                <w:sz w:val="24"/>
              </w:rPr>
              <w:t>符合国家产业政策，选址可行并符合当地规划。项目的建设不可避免会对环境造成一定影响，但企业在认真执行环境“三同时”制度，落实本环评提出的各项污染防治措施后，项目的环境影响</w:t>
            </w:r>
            <w:r>
              <w:rPr>
                <w:rFonts w:hint="eastAsia" w:eastAsia="黑体"/>
                <w:sz w:val="24"/>
              </w:rPr>
              <w:t>较小</w:t>
            </w:r>
            <w:r>
              <w:rPr>
                <w:rFonts w:eastAsia="黑体"/>
                <w:sz w:val="24"/>
              </w:rPr>
              <w:t>。综合其社会、经济和环境效益，从环保角度出发，本项目是可行的。</w:t>
            </w:r>
          </w:p>
          <w:p>
            <w:pPr>
              <w:spacing w:line="360" w:lineRule="auto"/>
              <w:rPr>
                <w:rFonts w:ascii="宋体" w:cs="宋体"/>
                <w:sz w:val="24"/>
              </w:rPr>
            </w:pPr>
          </w:p>
        </w:tc>
      </w:tr>
    </w:tbl>
    <w:p>
      <w:pPr>
        <w:rPr>
          <w:rFonts w:ascii="宋体"/>
        </w:rPr>
        <w:sectPr>
          <w:pgSz w:w="11906" w:h="16838"/>
          <w:pgMar w:top="1701" w:right="1531" w:bottom="1701" w:left="1531" w:header="851" w:footer="851" w:gutter="0"/>
          <w:cols w:space="720" w:num="1"/>
          <w:docGrid w:linePitch="312" w:charSpace="0"/>
        </w:sectPr>
      </w:pPr>
    </w:p>
    <w:p>
      <w:pPr>
        <w:pStyle w:val="19"/>
        <w:adjustRightInd w:val="0"/>
        <w:snapToGrid w:val="0"/>
        <w:spacing w:before="0" w:beforeAutospacing="0" w:after="0" w:afterAutospacing="0" w:line="520" w:lineRule="exact"/>
        <w:outlineLvl w:val="0"/>
        <w:rPr>
          <w:rFonts w:ascii="黑体" w:hAnsi="黑体" w:eastAsia="黑体"/>
          <w:snapToGrid w:val="0"/>
          <w:sz w:val="32"/>
          <w:szCs w:val="32"/>
        </w:rPr>
      </w:pPr>
      <w:r>
        <w:rPr>
          <w:rFonts w:hint="eastAsia" w:ascii="黑体" w:hAnsi="黑体" w:eastAsia="黑体"/>
          <w:snapToGrid w:val="0"/>
          <w:sz w:val="32"/>
          <w:szCs w:val="32"/>
        </w:rPr>
        <w:t>附表</w:t>
      </w:r>
    </w:p>
    <w:p>
      <w:pPr>
        <w:pStyle w:val="19"/>
        <w:adjustRightInd w:val="0"/>
        <w:snapToGrid w:val="0"/>
        <w:spacing w:before="0" w:beforeAutospacing="0" w:after="0" w:afterAutospacing="0" w:line="520" w:lineRule="exact"/>
        <w:jc w:val="center"/>
        <w:outlineLvl w:val="0"/>
        <w:rPr>
          <w:rFonts w:ascii="方正小标宋_GBK" w:hAnsi="黑体" w:eastAsia="方正小标宋_GBK"/>
          <w:snapToGrid w:val="0"/>
          <w:sz w:val="38"/>
          <w:szCs w:val="38"/>
        </w:rPr>
      </w:pPr>
      <w:r>
        <w:rPr>
          <w:rFonts w:hint="eastAsia" w:ascii="方正小标宋_GBK" w:hAnsi="黑体" w:eastAsia="方正小标宋_GBK"/>
          <w:snapToGrid w:val="0"/>
          <w:sz w:val="38"/>
          <w:szCs w:val="38"/>
        </w:rPr>
        <w:t>建设项目污染物排放量汇总表</w:t>
      </w:r>
    </w:p>
    <w:tbl>
      <w:tblPr>
        <w:tblStyle w:val="22"/>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559"/>
        <w:gridCol w:w="1559"/>
        <w:gridCol w:w="1276"/>
        <w:gridCol w:w="1701"/>
        <w:gridCol w:w="1559"/>
        <w:gridCol w:w="1761"/>
        <w:gridCol w:w="1499"/>
        <w:gridCol w:w="12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pPr>
              <w:pStyle w:val="56"/>
              <w:spacing w:beforeLines="0" w:afterLines="0" w:line="240" w:lineRule="auto"/>
              <w:jc w:val="right"/>
              <w:rPr>
                <w:rFonts w:ascii="Times New Roman"/>
                <w:snapToGrid w:val="0"/>
                <w:spacing w:val="-6"/>
                <w:kern w:val="21"/>
                <w:szCs w:val="21"/>
              </w:rPr>
            </w:pPr>
            <w:r>
              <w:rPr>
                <w:rFonts w:ascii="Times New Roman" w:hAnsi="宋体"/>
                <w:snapToGrid w:val="0"/>
                <w:spacing w:val="-6"/>
                <w:kern w:val="21"/>
                <w:szCs w:val="21"/>
              </w:rPr>
              <w:t>项目</w:t>
            </w:r>
          </w:p>
          <w:p>
            <w:pPr>
              <w:pStyle w:val="56"/>
              <w:spacing w:beforeLines="0" w:afterLines="0" w:line="240" w:lineRule="auto"/>
              <w:jc w:val="left"/>
              <w:rPr>
                <w:rFonts w:ascii="Times New Roman"/>
                <w:snapToGrid w:val="0"/>
                <w:spacing w:val="-6"/>
                <w:kern w:val="21"/>
                <w:szCs w:val="21"/>
              </w:rPr>
            </w:pPr>
            <w:r>
              <w:rPr>
                <w:rFonts w:ascii="Times New Roman" w:hAnsi="宋体"/>
                <w:snapToGrid w:val="0"/>
                <w:spacing w:val="-6"/>
                <w:kern w:val="21"/>
                <w:szCs w:val="21"/>
              </w:rPr>
              <w:t>分类</w:t>
            </w:r>
          </w:p>
        </w:tc>
        <w:tc>
          <w:tcPr>
            <w:tcW w:w="1559" w:type="dxa"/>
            <w:tcMar>
              <w:left w:w="28" w:type="dxa"/>
              <w:right w:w="28" w:type="dxa"/>
            </w:tcMar>
            <w:vAlign w:val="center"/>
          </w:tcPr>
          <w:p>
            <w:pPr>
              <w:pStyle w:val="56"/>
              <w:spacing w:beforeLines="0" w:afterLines="0" w:line="240" w:lineRule="auto"/>
              <w:rPr>
                <w:rFonts w:ascii="Times New Roman"/>
                <w:snapToGrid w:val="0"/>
                <w:spacing w:val="-6"/>
                <w:kern w:val="21"/>
                <w:szCs w:val="21"/>
              </w:rPr>
            </w:pPr>
            <w:r>
              <w:rPr>
                <w:rFonts w:ascii="Times New Roman" w:hAnsi="宋体"/>
                <w:snapToGrid w:val="0"/>
                <w:spacing w:val="-6"/>
                <w:kern w:val="21"/>
                <w:szCs w:val="21"/>
              </w:rPr>
              <w:t>污染物名称</w:t>
            </w:r>
          </w:p>
        </w:tc>
        <w:tc>
          <w:tcPr>
            <w:tcW w:w="1559" w:type="dxa"/>
            <w:tcMar>
              <w:left w:w="28" w:type="dxa"/>
              <w:right w:w="28" w:type="dxa"/>
            </w:tcMar>
            <w:vAlign w:val="center"/>
          </w:tcPr>
          <w:p>
            <w:pPr>
              <w:pStyle w:val="56"/>
              <w:spacing w:beforeLines="0" w:afterLines="0" w:line="240" w:lineRule="auto"/>
              <w:rPr>
                <w:rFonts w:ascii="Times New Roman"/>
                <w:snapToGrid w:val="0"/>
                <w:spacing w:val="-6"/>
                <w:kern w:val="21"/>
                <w:szCs w:val="21"/>
              </w:rPr>
            </w:pPr>
            <w:r>
              <w:rPr>
                <w:rFonts w:ascii="Times New Roman" w:hAnsi="宋体"/>
                <w:snapToGrid w:val="0"/>
                <w:spacing w:val="-6"/>
                <w:kern w:val="21"/>
                <w:szCs w:val="21"/>
              </w:rPr>
              <w:t>现有工程</w:t>
            </w:r>
          </w:p>
          <w:p>
            <w:pPr>
              <w:pStyle w:val="56"/>
              <w:spacing w:beforeLines="0" w:afterLines="0" w:line="240" w:lineRule="auto"/>
              <w:rPr>
                <w:rFonts w:ascii="Times New Roman"/>
                <w:snapToGrid w:val="0"/>
                <w:spacing w:val="-6"/>
                <w:kern w:val="21"/>
                <w:szCs w:val="21"/>
              </w:rPr>
            </w:pPr>
            <w:r>
              <w:rPr>
                <w:rFonts w:ascii="Times New Roman" w:hAnsi="宋体"/>
                <w:snapToGrid w:val="0"/>
                <w:spacing w:val="-6"/>
                <w:kern w:val="21"/>
                <w:szCs w:val="21"/>
              </w:rPr>
              <w:t>排放量（固体废物产生量）</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ascii="Times New Roman" w:hAnsi="宋体"/>
                <w:kern w:val="2"/>
                <w:szCs w:val="21"/>
              </w:rPr>
              <w:t>①</w:t>
            </w:r>
            <w:r>
              <w:rPr>
                <w:rFonts w:ascii="Times New Roman"/>
                <w:snapToGrid w:val="0"/>
                <w:spacing w:val="-6"/>
                <w:kern w:val="21"/>
                <w:szCs w:val="21"/>
              </w:rPr>
              <w:fldChar w:fldCharType="end"/>
            </w:r>
          </w:p>
        </w:tc>
        <w:tc>
          <w:tcPr>
            <w:tcW w:w="1276" w:type="dxa"/>
            <w:tcMar>
              <w:left w:w="28" w:type="dxa"/>
              <w:right w:w="28" w:type="dxa"/>
            </w:tcMar>
            <w:vAlign w:val="center"/>
          </w:tcPr>
          <w:p>
            <w:pPr>
              <w:pStyle w:val="56"/>
              <w:spacing w:beforeLines="0" w:afterLines="0" w:line="240" w:lineRule="auto"/>
              <w:rPr>
                <w:rFonts w:ascii="Times New Roman"/>
                <w:snapToGrid w:val="0"/>
                <w:spacing w:val="-6"/>
                <w:kern w:val="21"/>
                <w:szCs w:val="21"/>
              </w:rPr>
            </w:pPr>
            <w:r>
              <w:rPr>
                <w:rFonts w:ascii="Times New Roman" w:hAnsi="宋体"/>
                <w:snapToGrid w:val="0"/>
                <w:spacing w:val="-6"/>
                <w:kern w:val="21"/>
                <w:szCs w:val="21"/>
              </w:rPr>
              <w:t>现有工程</w:t>
            </w:r>
          </w:p>
          <w:p>
            <w:pPr>
              <w:pStyle w:val="56"/>
              <w:spacing w:beforeLines="0" w:afterLines="0" w:line="240" w:lineRule="auto"/>
              <w:rPr>
                <w:rFonts w:ascii="Times New Roman"/>
                <w:snapToGrid w:val="0"/>
                <w:spacing w:val="-6"/>
                <w:kern w:val="21"/>
                <w:szCs w:val="21"/>
              </w:rPr>
            </w:pPr>
            <w:r>
              <w:rPr>
                <w:rFonts w:ascii="Times New Roman" w:hAnsi="宋体"/>
                <w:snapToGrid w:val="0"/>
                <w:spacing w:val="-6"/>
                <w:kern w:val="21"/>
                <w:szCs w:val="21"/>
              </w:rPr>
              <w:t>许可排放量</w:t>
            </w:r>
          </w:p>
          <w:p>
            <w:pPr>
              <w:pStyle w:val="56"/>
              <w:spacing w:beforeLines="0" w:afterLines="0"/>
              <w:rPr>
                <w:rFonts w:ascii="Times New Roman"/>
                <w:snapToGrid w:val="0"/>
                <w:spacing w:val="-6"/>
                <w:kern w:val="21"/>
                <w:szCs w:val="21"/>
              </w:rPr>
            </w:pPr>
            <w:r>
              <w:rPr>
                <w:rFonts w:ascii="Times New Roman"/>
                <w:snapToGrid w:val="0"/>
                <w:spacing w:val="-6"/>
                <w:kern w:val="21"/>
                <w:szCs w:val="21"/>
              </w:rPr>
              <w:fldChar w:fldCharType="begin"/>
            </w:r>
            <w:r>
              <w:rPr>
                <w:rFonts w:ascii="Times New Roman"/>
                <w:snapToGrid w:val="0"/>
                <w:spacing w:val="-6"/>
                <w:kern w:val="21"/>
                <w:szCs w:val="21"/>
              </w:rPr>
              <w:instrText xml:space="preserve"> = 2 \* GB3 \* MERGEFORMAT </w:instrText>
            </w:r>
            <w:r>
              <w:rPr>
                <w:rFonts w:ascii="Times New Roman"/>
                <w:snapToGrid w:val="0"/>
                <w:spacing w:val="-6"/>
                <w:kern w:val="21"/>
                <w:szCs w:val="21"/>
              </w:rPr>
              <w:fldChar w:fldCharType="separate"/>
            </w:r>
            <w:r>
              <w:rPr>
                <w:rFonts w:ascii="Times New Roman" w:hAnsi="宋体"/>
                <w:snapToGrid w:val="0"/>
                <w:spacing w:val="-6"/>
                <w:kern w:val="21"/>
                <w:szCs w:val="21"/>
              </w:rPr>
              <w:t>②</w:t>
            </w:r>
            <w:r>
              <w:rPr>
                <w:rFonts w:ascii="Times New Roman"/>
                <w:snapToGrid w:val="0"/>
                <w:spacing w:val="-6"/>
                <w:kern w:val="21"/>
                <w:szCs w:val="21"/>
              </w:rPr>
              <w:fldChar w:fldCharType="end"/>
            </w:r>
          </w:p>
        </w:tc>
        <w:tc>
          <w:tcPr>
            <w:tcW w:w="1701" w:type="dxa"/>
            <w:tcMar>
              <w:left w:w="28" w:type="dxa"/>
              <w:right w:w="28" w:type="dxa"/>
            </w:tcMar>
            <w:vAlign w:val="center"/>
          </w:tcPr>
          <w:p>
            <w:pPr>
              <w:pStyle w:val="56"/>
              <w:spacing w:beforeLines="0" w:afterLines="0" w:line="240" w:lineRule="auto"/>
              <w:rPr>
                <w:rFonts w:ascii="Times New Roman"/>
                <w:snapToGrid w:val="0"/>
                <w:spacing w:val="-6"/>
                <w:kern w:val="21"/>
                <w:szCs w:val="21"/>
              </w:rPr>
            </w:pPr>
            <w:r>
              <w:rPr>
                <w:rFonts w:ascii="Times New Roman" w:hAnsi="宋体"/>
                <w:snapToGrid w:val="0"/>
                <w:spacing w:val="-6"/>
                <w:kern w:val="21"/>
                <w:szCs w:val="21"/>
              </w:rPr>
              <w:t>在建工程</w:t>
            </w:r>
          </w:p>
          <w:p>
            <w:pPr>
              <w:pStyle w:val="56"/>
              <w:spacing w:beforeLines="0" w:afterLines="0" w:line="240" w:lineRule="auto"/>
              <w:rPr>
                <w:rFonts w:ascii="Times New Roman"/>
                <w:snapToGrid w:val="0"/>
                <w:spacing w:val="-6"/>
                <w:kern w:val="21"/>
                <w:szCs w:val="21"/>
              </w:rPr>
            </w:pPr>
            <w:r>
              <w:rPr>
                <w:rFonts w:ascii="Times New Roman" w:hAnsi="宋体"/>
                <w:snapToGrid w:val="0"/>
                <w:spacing w:val="-6"/>
                <w:kern w:val="21"/>
                <w:szCs w:val="21"/>
              </w:rPr>
              <w:t>排放量（固体废物产生量）</w:t>
            </w:r>
            <w:r>
              <w:rPr>
                <w:rFonts w:ascii="Times New Roman"/>
                <w:snapToGrid w:val="0"/>
                <w:spacing w:val="-6"/>
                <w:kern w:val="21"/>
                <w:szCs w:val="21"/>
              </w:rPr>
              <w:fldChar w:fldCharType="begin"/>
            </w:r>
            <w:r>
              <w:rPr>
                <w:rFonts w:ascii="Times New Roman"/>
                <w:snapToGrid w:val="0"/>
                <w:spacing w:val="-6"/>
                <w:kern w:val="21"/>
                <w:szCs w:val="21"/>
              </w:rPr>
              <w:instrText xml:space="preserve"> = 3 \* GB3 \* MERGEFORMAT </w:instrText>
            </w:r>
            <w:r>
              <w:rPr>
                <w:rFonts w:ascii="Times New Roman"/>
                <w:snapToGrid w:val="0"/>
                <w:spacing w:val="-6"/>
                <w:kern w:val="21"/>
                <w:szCs w:val="21"/>
              </w:rPr>
              <w:fldChar w:fldCharType="separate"/>
            </w:r>
            <w:r>
              <w:rPr>
                <w:rFonts w:ascii="Times New Roman" w:hAnsi="宋体"/>
                <w:kern w:val="2"/>
                <w:szCs w:val="21"/>
              </w:rPr>
              <w:t>③</w:t>
            </w:r>
            <w:r>
              <w:rPr>
                <w:rFonts w:ascii="Times New Roman"/>
                <w:snapToGrid w:val="0"/>
                <w:spacing w:val="-6"/>
                <w:kern w:val="21"/>
                <w:szCs w:val="21"/>
              </w:rPr>
              <w:fldChar w:fldCharType="end"/>
            </w:r>
          </w:p>
        </w:tc>
        <w:tc>
          <w:tcPr>
            <w:tcW w:w="1559" w:type="dxa"/>
            <w:tcMar>
              <w:left w:w="28" w:type="dxa"/>
              <w:right w:w="28" w:type="dxa"/>
            </w:tcMar>
            <w:vAlign w:val="center"/>
          </w:tcPr>
          <w:p>
            <w:pPr>
              <w:pStyle w:val="56"/>
              <w:spacing w:beforeLines="0" w:afterLines="0" w:line="240" w:lineRule="auto"/>
              <w:rPr>
                <w:rFonts w:ascii="Times New Roman"/>
                <w:snapToGrid w:val="0"/>
                <w:spacing w:val="-6"/>
                <w:kern w:val="21"/>
                <w:szCs w:val="21"/>
              </w:rPr>
            </w:pPr>
            <w:r>
              <w:rPr>
                <w:rFonts w:ascii="Times New Roman" w:hAnsi="宋体"/>
                <w:snapToGrid w:val="0"/>
                <w:spacing w:val="-6"/>
                <w:kern w:val="21"/>
                <w:szCs w:val="21"/>
              </w:rPr>
              <w:t>本项目</w:t>
            </w:r>
          </w:p>
          <w:p>
            <w:pPr>
              <w:pStyle w:val="56"/>
              <w:spacing w:beforeLines="0" w:afterLines="0" w:line="240" w:lineRule="auto"/>
              <w:rPr>
                <w:rFonts w:ascii="Times New Roman"/>
                <w:snapToGrid w:val="0"/>
                <w:spacing w:val="-6"/>
                <w:kern w:val="21"/>
                <w:szCs w:val="21"/>
              </w:rPr>
            </w:pPr>
            <w:r>
              <w:rPr>
                <w:rFonts w:ascii="Times New Roman" w:hAnsi="宋体"/>
                <w:snapToGrid w:val="0"/>
                <w:spacing w:val="-6"/>
                <w:kern w:val="21"/>
                <w:szCs w:val="21"/>
              </w:rPr>
              <w:t>排放量（固体废物产生量）</w:t>
            </w:r>
            <w:r>
              <w:rPr>
                <w:rFonts w:ascii="Times New Roman"/>
                <w:snapToGrid w:val="0"/>
                <w:spacing w:val="-6"/>
                <w:kern w:val="21"/>
                <w:szCs w:val="21"/>
              </w:rPr>
              <w:fldChar w:fldCharType="begin"/>
            </w:r>
            <w:r>
              <w:rPr>
                <w:rFonts w:ascii="Times New Roman"/>
                <w:snapToGrid w:val="0"/>
                <w:spacing w:val="-6"/>
                <w:kern w:val="21"/>
                <w:szCs w:val="21"/>
              </w:rPr>
              <w:instrText xml:space="preserve"> = 4 \* GB3 \* MERGEFORMAT </w:instrText>
            </w:r>
            <w:r>
              <w:rPr>
                <w:rFonts w:ascii="Times New Roman"/>
                <w:snapToGrid w:val="0"/>
                <w:spacing w:val="-6"/>
                <w:kern w:val="21"/>
                <w:szCs w:val="21"/>
              </w:rPr>
              <w:fldChar w:fldCharType="separate"/>
            </w:r>
            <w:r>
              <w:rPr>
                <w:rFonts w:ascii="Times New Roman" w:hAnsi="宋体"/>
                <w:kern w:val="2"/>
                <w:szCs w:val="21"/>
              </w:rPr>
              <w:t>④</w:t>
            </w:r>
            <w:r>
              <w:rPr>
                <w:rFonts w:ascii="Times New Roman"/>
                <w:snapToGrid w:val="0"/>
                <w:spacing w:val="-6"/>
                <w:kern w:val="21"/>
                <w:szCs w:val="21"/>
              </w:rPr>
              <w:fldChar w:fldCharType="end"/>
            </w:r>
          </w:p>
        </w:tc>
        <w:tc>
          <w:tcPr>
            <w:tcW w:w="1761" w:type="dxa"/>
            <w:tcMar>
              <w:left w:w="28" w:type="dxa"/>
              <w:right w:w="28" w:type="dxa"/>
            </w:tcMar>
            <w:vAlign w:val="center"/>
          </w:tcPr>
          <w:p>
            <w:pPr>
              <w:pStyle w:val="56"/>
              <w:spacing w:beforeLines="0" w:afterLines="0" w:line="240" w:lineRule="auto"/>
              <w:rPr>
                <w:rFonts w:ascii="Times New Roman"/>
                <w:snapToGrid w:val="0"/>
                <w:spacing w:val="-16"/>
                <w:kern w:val="21"/>
                <w:szCs w:val="21"/>
              </w:rPr>
            </w:pPr>
            <w:r>
              <w:rPr>
                <w:rFonts w:ascii="Times New Roman" w:hAnsi="宋体"/>
                <w:snapToGrid w:val="0"/>
                <w:spacing w:val="-16"/>
                <w:kern w:val="21"/>
                <w:szCs w:val="21"/>
              </w:rPr>
              <w:t>以新带老削减量</w:t>
            </w:r>
          </w:p>
          <w:p>
            <w:pPr>
              <w:pStyle w:val="56"/>
              <w:spacing w:beforeLines="0" w:afterLines="0" w:line="240" w:lineRule="auto"/>
              <w:rPr>
                <w:rFonts w:ascii="Times New Roman"/>
                <w:snapToGrid w:val="0"/>
                <w:spacing w:val="-16"/>
                <w:kern w:val="21"/>
                <w:szCs w:val="21"/>
              </w:rPr>
            </w:pPr>
            <w:r>
              <w:rPr>
                <w:rFonts w:ascii="Times New Roman" w:hAnsi="宋体"/>
                <w:snapToGrid w:val="0"/>
                <w:spacing w:val="-16"/>
                <w:kern w:val="21"/>
                <w:szCs w:val="21"/>
              </w:rPr>
              <w:t>（新建项目不填）</w:t>
            </w:r>
            <w:r>
              <w:rPr>
                <w:rFonts w:ascii="Times New Roman"/>
                <w:snapToGrid w:val="0"/>
                <w:spacing w:val="-16"/>
                <w:kern w:val="21"/>
                <w:szCs w:val="21"/>
              </w:rPr>
              <w:fldChar w:fldCharType="begin"/>
            </w:r>
            <w:r>
              <w:rPr>
                <w:rFonts w:ascii="Times New Roman"/>
                <w:snapToGrid w:val="0"/>
                <w:spacing w:val="-16"/>
                <w:kern w:val="21"/>
                <w:szCs w:val="21"/>
              </w:rPr>
              <w:instrText xml:space="preserve"> = 5 \* GB3 \* MERGEFORMAT </w:instrText>
            </w:r>
            <w:r>
              <w:rPr>
                <w:rFonts w:ascii="Times New Roman"/>
                <w:snapToGrid w:val="0"/>
                <w:spacing w:val="-16"/>
                <w:kern w:val="21"/>
                <w:szCs w:val="21"/>
              </w:rPr>
              <w:fldChar w:fldCharType="separate"/>
            </w:r>
            <w:r>
              <w:rPr>
                <w:rFonts w:ascii="Times New Roman" w:hAnsi="宋体"/>
                <w:kern w:val="2"/>
                <w:szCs w:val="21"/>
              </w:rPr>
              <w:t>⑤</w:t>
            </w:r>
            <w:r>
              <w:rPr>
                <w:rFonts w:ascii="Times New Roman"/>
                <w:snapToGrid w:val="0"/>
                <w:spacing w:val="-16"/>
                <w:kern w:val="21"/>
                <w:szCs w:val="21"/>
              </w:rPr>
              <w:fldChar w:fldCharType="end"/>
            </w:r>
          </w:p>
        </w:tc>
        <w:tc>
          <w:tcPr>
            <w:tcW w:w="1499" w:type="dxa"/>
            <w:tcMar>
              <w:left w:w="28" w:type="dxa"/>
              <w:right w:w="28" w:type="dxa"/>
            </w:tcMar>
            <w:vAlign w:val="center"/>
          </w:tcPr>
          <w:p>
            <w:pPr>
              <w:pStyle w:val="56"/>
              <w:spacing w:beforeLines="0" w:afterLines="0" w:line="240" w:lineRule="auto"/>
              <w:rPr>
                <w:rFonts w:ascii="Times New Roman"/>
                <w:snapToGrid w:val="0"/>
                <w:spacing w:val="-16"/>
                <w:kern w:val="21"/>
                <w:szCs w:val="21"/>
              </w:rPr>
            </w:pPr>
            <w:r>
              <w:rPr>
                <w:rFonts w:ascii="Times New Roman" w:hAnsi="宋体"/>
                <w:snapToGrid w:val="0"/>
                <w:spacing w:val="-16"/>
                <w:kern w:val="21"/>
                <w:szCs w:val="21"/>
              </w:rPr>
              <w:t>本项目建成后</w:t>
            </w:r>
          </w:p>
          <w:p>
            <w:pPr>
              <w:pStyle w:val="56"/>
              <w:spacing w:beforeLines="0" w:afterLines="0" w:line="240" w:lineRule="auto"/>
              <w:rPr>
                <w:rFonts w:ascii="Times New Roman"/>
                <w:snapToGrid w:val="0"/>
                <w:spacing w:val="-16"/>
                <w:kern w:val="21"/>
                <w:szCs w:val="21"/>
              </w:rPr>
            </w:pPr>
            <w:r>
              <w:rPr>
                <w:rFonts w:ascii="Times New Roman" w:hAnsi="宋体"/>
                <w:snapToGrid w:val="0"/>
                <w:spacing w:val="-16"/>
                <w:kern w:val="21"/>
                <w:szCs w:val="21"/>
              </w:rPr>
              <w:t>全厂排放量（固体废物产生量）</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ascii="Times New Roman" w:hAnsi="宋体"/>
                <w:kern w:val="2"/>
                <w:szCs w:val="21"/>
              </w:rPr>
              <w:t>⑥</w:t>
            </w:r>
            <w:r>
              <w:rPr>
                <w:rFonts w:ascii="Times New Roman"/>
                <w:snapToGrid w:val="0"/>
                <w:spacing w:val="-16"/>
                <w:kern w:val="21"/>
                <w:szCs w:val="21"/>
              </w:rPr>
              <w:fldChar w:fldCharType="end"/>
            </w:r>
          </w:p>
        </w:tc>
        <w:tc>
          <w:tcPr>
            <w:tcW w:w="1286" w:type="dxa"/>
            <w:tcMar>
              <w:left w:w="28" w:type="dxa"/>
              <w:right w:w="28" w:type="dxa"/>
            </w:tcMar>
            <w:vAlign w:val="center"/>
          </w:tcPr>
          <w:p>
            <w:pPr>
              <w:pStyle w:val="56"/>
              <w:spacing w:beforeLines="0" w:afterLines="0" w:line="240" w:lineRule="auto"/>
              <w:rPr>
                <w:rFonts w:ascii="Times New Roman"/>
                <w:snapToGrid w:val="0"/>
                <w:spacing w:val="-6"/>
                <w:kern w:val="21"/>
                <w:szCs w:val="21"/>
              </w:rPr>
            </w:pPr>
            <w:r>
              <w:rPr>
                <w:rFonts w:ascii="Times New Roman" w:hAnsi="宋体"/>
                <w:snapToGrid w:val="0"/>
                <w:spacing w:val="-6"/>
                <w:kern w:val="21"/>
                <w:szCs w:val="21"/>
              </w:rPr>
              <w:t>变化量</w:t>
            </w:r>
          </w:p>
          <w:p>
            <w:pPr>
              <w:pStyle w:val="56"/>
              <w:spacing w:beforeLines="0" w:afterLines="0" w:line="240" w:lineRule="auto"/>
              <w:rPr>
                <w:rFonts w:ascii="Times New Roman"/>
                <w:snapToGrid w:val="0"/>
                <w:spacing w:val="-6"/>
                <w:kern w:val="21"/>
                <w:szCs w:val="21"/>
              </w:rPr>
            </w:pPr>
            <w:r>
              <w:rPr>
                <w:rFonts w:ascii="Times New Roman"/>
                <w:snapToGrid w:val="0"/>
                <w:spacing w:val="-6"/>
                <w:kern w:val="21"/>
                <w:szCs w:val="21"/>
              </w:rPr>
              <w:fldChar w:fldCharType="begin"/>
            </w:r>
            <w:r>
              <w:rPr>
                <w:rFonts w:ascii="Times New Roman"/>
                <w:snapToGrid w:val="0"/>
                <w:spacing w:val="-6"/>
                <w:kern w:val="21"/>
                <w:szCs w:val="21"/>
              </w:rPr>
              <w:instrText xml:space="preserve"> = 7 \* GB3 \* MERGEFORMAT </w:instrText>
            </w:r>
            <w:r>
              <w:rPr>
                <w:rFonts w:ascii="Times New Roman"/>
                <w:snapToGrid w:val="0"/>
                <w:spacing w:val="-6"/>
                <w:kern w:val="21"/>
                <w:szCs w:val="21"/>
              </w:rPr>
              <w:fldChar w:fldCharType="separate"/>
            </w:r>
            <w:r>
              <w:rPr>
                <w:rFonts w:ascii="Times New Roman" w:hAnsi="宋体"/>
                <w:kern w:val="2"/>
                <w:szCs w:val="21"/>
              </w:rPr>
              <w:t>⑦</w:t>
            </w:r>
            <w:r>
              <w:rPr>
                <w:rFonts w:ascii="Times New Roman"/>
                <w:snapToGrid w:val="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Align w:val="center"/>
          </w:tcPr>
          <w:p>
            <w:pPr>
              <w:pStyle w:val="56"/>
              <w:spacing w:beforeLines="0" w:afterLines="0" w:line="240" w:lineRule="auto"/>
              <w:rPr>
                <w:rFonts w:hAnsi="宋体" w:cs="宋体"/>
                <w:snapToGrid w:val="0"/>
                <w:kern w:val="21"/>
                <w:szCs w:val="21"/>
              </w:rPr>
            </w:pPr>
            <w:r>
              <w:rPr>
                <w:rFonts w:hint="eastAsia" w:hAnsi="宋体" w:cs="宋体"/>
                <w:snapToGrid w:val="0"/>
                <w:kern w:val="21"/>
                <w:szCs w:val="21"/>
              </w:rPr>
              <w:t>废气</w:t>
            </w:r>
          </w:p>
        </w:tc>
        <w:tc>
          <w:tcPr>
            <w:tcW w:w="1559" w:type="dxa"/>
            <w:vAlign w:val="center"/>
          </w:tcPr>
          <w:p>
            <w:pPr>
              <w:pStyle w:val="68"/>
              <w:spacing w:line="320" w:lineRule="exact"/>
              <w:rPr>
                <w:szCs w:val="21"/>
              </w:rPr>
            </w:pPr>
            <w:r>
              <w:rPr>
                <w:rFonts w:hint="eastAsia"/>
                <w:szCs w:val="21"/>
              </w:rPr>
              <w:t>非甲烷总烃</w:t>
            </w:r>
          </w:p>
        </w:tc>
        <w:tc>
          <w:tcPr>
            <w:tcW w:w="1559" w:type="dxa"/>
            <w:vAlign w:val="center"/>
          </w:tcPr>
          <w:p>
            <w:pPr>
              <w:pStyle w:val="68"/>
              <w:rPr>
                <w:szCs w:val="21"/>
              </w:rPr>
            </w:pPr>
            <w:r>
              <w:rPr>
                <w:rFonts w:hint="eastAsia"/>
                <w:szCs w:val="21"/>
              </w:rPr>
              <w:t>0</w:t>
            </w:r>
          </w:p>
        </w:tc>
        <w:tc>
          <w:tcPr>
            <w:tcW w:w="1276" w:type="dxa"/>
            <w:vAlign w:val="center"/>
          </w:tcPr>
          <w:p>
            <w:pPr>
              <w:pStyle w:val="68"/>
              <w:spacing w:line="320" w:lineRule="exact"/>
              <w:rPr>
                <w:szCs w:val="21"/>
              </w:rPr>
            </w:pPr>
            <w:r>
              <w:rPr>
                <w:rFonts w:hint="eastAsia"/>
                <w:szCs w:val="21"/>
              </w:rPr>
              <w:t>/</w:t>
            </w:r>
          </w:p>
        </w:tc>
        <w:tc>
          <w:tcPr>
            <w:tcW w:w="1701" w:type="dxa"/>
            <w:vAlign w:val="center"/>
          </w:tcPr>
          <w:p>
            <w:pPr>
              <w:pStyle w:val="68"/>
              <w:spacing w:line="320" w:lineRule="exact"/>
              <w:rPr>
                <w:szCs w:val="21"/>
              </w:rPr>
            </w:pPr>
            <w:r>
              <w:rPr>
                <w:rFonts w:hint="eastAsia"/>
                <w:szCs w:val="21"/>
              </w:rPr>
              <w:t>/</w:t>
            </w:r>
          </w:p>
        </w:tc>
        <w:tc>
          <w:tcPr>
            <w:tcW w:w="1559" w:type="dxa"/>
            <w:vAlign w:val="center"/>
          </w:tcPr>
          <w:p>
            <w:pPr>
              <w:pStyle w:val="68"/>
              <w:rPr>
                <w:szCs w:val="21"/>
              </w:rPr>
            </w:pPr>
            <w:r>
              <w:rPr>
                <w:szCs w:val="21"/>
              </w:rPr>
              <w:t>0.0</w:t>
            </w:r>
            <w:r>
              <w:rPr>
                <w:rFonts w:hint="eastAsia"/>
                <w:szCs w:val="21"/>
              </w:rPr>
              <w:t>221</w:t>
            </w:r>
            <w:r>
              <w:rPr>
                <w:szCs w:val="21"/>
              </w:rPr>
              <w:t>t/a</w:t>
            </w:r>
          </w:p>
        </w:tc>
        <w:tc>
          <w:tcPr>
            <w:tcW w:w="1761" w:type="dxa"/>
            <w:vAlign w:val="center"/>
          </w:tcPr>
          <w:p>
            <w:pPr>
              <w:pStyle w:val="68"/>
              <w:spacing w:line="320" w:lineRule="exact"/>
              <w:rPr>
                <w:bCs/>
                <w:szCs w:val="21"/>
              </w:rPr>
            </w:pPr>
            <w:r>
              <w:rPr>
                <w:rFonts w:hint="eastAsia"/>
                <w:bCs/>
                <w:szCs w:val="21"/>
              </w:rPr>
              <w:t>/</w:t>
            </w:r>
          </w:p>
        </w:tc>
        <w:tc>
          <w:tcPr>
            <w:tcW w:w="1499" w:type="dxa"/>
            <w:vAlign w:val="center"/>
          </w:tcPr>
          <w:p>
            <w:pPr>
              <w:pStyle w:val="68"/>
              <w:rPr>
                <w:szCs w:val="21"/>
              </w:rPr>
            </w:pPr>
            <w:r>
              <w:rPr>
                <w:szCs w:val="21"/>
              </w:rPr>
              <w:t>0.0</w:t>
            </w:r>
            <w:r>
              <w:rPr>
                <w:rFonts w:hint="eastAsia"/>
                <w:szCs w:val="21"/>
              </w:rPr>
              <w:t>221</w:t>
            </w:r>
            <w:r>
              <w:rPr>
                <w:szCs w:val="21"/>
              </w:rPr>
              <w:t>t/a</w:t>
            </w:r>
          </w:p>
        </w:tc>
        <w:tc>
          <w:tcPr>
            <w:tcW w:w="1286" w:type="dxa"/>
            <w:vAlign w:val="center"/>
          </w:tcPr>
          <w:p>
            <w:pPr>
              <w:pStyle w:val="68"/>
              <w:rPr>
                <w:szCs w:val="21"/>
              </w:rPr>
            </w:pPr>
            <w:r>
              <w:rPr>
                <w:rFonts w:hint="eastAsia"/>
                <w:szCs w:val="21"/>
              </w:rPr>
              <w:t>+</w:t>
            </w:r>
            <w:r>
              <w:rPr>
                <w:szCs w:val="21"/>
              </w:rPr>
              <w:t>0.0</w:t>
            </w:r>
            <w:r>
              <w:rPr>
                <w:rFonts w:hint="eastAsia"/>
                <w:szCs w:val="21"/>
              </w:rPr>
              <w:t>221</w:t>
            </w:r>
            <w:r>
              <w:rPr>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56"/>
              <w:spacing w:beforeLines="0" w:afterLines="0" w:line="240" w:lineRule="auto"/>
              <w:rPr>
                <w:rFonts w:hAnsi="宋体" w:cs="宋体"/>
                <w:snapToGrid w:val="0"/>
                <w:kern w:val="21"/>
                <w:szCs w:val="21"/>
              </w:rPr>
            </w:pPr>
            <w:r>
              <w:rPr>
                <w:rFonts w:hint="eastAsia" w:hAnsi="宋体" w:cs="宋体"/>
                <w:snapToGrid w:val="0"/>
                <w:kern w:val="21"/>
                <w:szCs w:val="21"/>
              </w:rPr>
              <w:t>废水</w:t>
            </w:r>
          </w:p>
        </w:tc>
        <w:tc>
          <w:tcPr>
            <w:tcW w:w="1559" w:type="dxa"/>
            <w:vAlign w:val="center"/>
          </w:tcPr>
          <w:p>
            <w:pPr>
              <w:pStyle w:val="68"/>
              <w:spacing w:line="320" w:lineRule="exact"/>
              <w:rPr>
                <w:szCs w:val="21"/>
              </w:rPr>
            </w:pPr>
            <w:r>
              <w:rPr>
                <w:rFonts w:hint="eastAsia"/>
                <w:szCs w:val="21"/>
              </w:rPr>
              <w:t>COD</w:t>
            </w:r>
          </w:p>
        </w:tc>
        <w:tc>
          <w:tcPr>
            <w:tcW w:w="1559" w:type="dxa"/>
            <w:vAlign w:val="center"/>
          </w:tcPr>
          <w:p>
            <w:pPr>
              <w:pStyle w:val="68"/>
              <w:rPr>
                <w:szCs w:val="21"/>
              </w:rPr>
            </w:pPr>
            <w:r>
              <w:rPr>
                <w:rFonts w:hint="eastAsia"/>
                <w:szCs w:val="21"/>
              </w:rPr>
              <w:t>0.0403t/a</w:t>
            </w:r>
          </w:p>
        </w:tc>
        <w:tc>
          <w:tcPr>
            <w:tcW w:w="1276" w:type="dxa"/>
            <w:vAlign w:val="center"/>
          </w:tcPr>
          <w:p>
            <w:pPr>
              <w:pStyle w:val="68"/>
              <w:spacing w:line="320" w:lineRule="exact"/>
              <w:rPr>
                <w:szCs w:val="21"/>
              </w:rPr>
            </w:pPr>
            <w:r>
              <w:rPr>
                <w:rFonts w:hint="eastAsia"/>
                <w:szCs w:val="21"/>
              </w:rPr>
              <w:t>/</w:t>
            </w:r>
          </w:p>
        </w:tc>
        <w:tc>
          <w:tcPr>
            <w:tcW w:w="1701" w:type="dxa"/>
            <w:vAlign w:val="center"/>
          </w:tcPr>
          <w:p>
            <w:pPr>
              <w:pStyle w:val="68"/>
              <w:spacing w:line="320" w:lineRule="exact"/>
              <w:rPr>
                <w:szCs w:val="21"/>
              </w:rPr>
            </w:pPr>
            <w:r>
              <w:rPr>
                <w:rFonts w:hint="eastAsia"/>
                <w:szCs w:val="21"/>
              </w:rPr>
              <w:t>/</w:t>
            </w:r>
          </w:p>
        </w:tc>
        <w:tc>
          <w:tcPr>
            <w:tcW w:w="1559" w:type="dxa"/>
            <w:vAlign w:val="center"/>
          </w:tcPr>
          <w:p>
            <w:pPr>
              <w:pStyle w:val="68"/>
              <w:spacing w:line="320" w:lineRule="exact"/>
              <w:rPr>
                <w:szCs w:val="21"/>
              </w:rPr>
            </w:pPr>
            <w:r>
              <w:rPr>
                <w:szCs w:val="21"/>
              </w:rPr>
              <w:t>0.</w:t>
            </w:r>
            <w:r>
              <w:rPr>
                <w:rFonts w:hint="eastAsia"/>
                <w:szCs w:val="21"/>
              </w:rPr>
              <w:t>1075</w:t>
            </w:r>
            <w:r>
              <w:rPr>
                <w:szCs w:val="21"/>
              </w:rPr>
              <w:t>t/a</w:t>
            </w:r>
          </w:p>
        </w:tc>
        <w:tc>
          <w:tcPr>
            <w:tcW w:w="1761" w:type="dxa"/>
            <w:vAlign w:val="center"/>
          </w:tcPr>
          <w:p>
            <w:pPr>
              <w:pStyle w:val="68"/>
              <w:spacing w:line="320" w:lineRule="exact"/>
              <w:rPr>
                <w:bCs/>
                <w:szCs w:val="21"/>
              </w:rPr>
            </w:pPr>
            <w:r>
              <w:rPr>
                <w:rFonts w:hint="eastAsia"/>
                <w:bCs/>
                <w:szCs w:val="21"/>
              </w:rPr>
              <w:t>/</w:t>
            </w:r>
          </w:p>
        </w:tc>
        <w:tc>
          <w:tcPr>
            <w:tcW w:w="1499" w:type="dxa"/>
            <w:vAlign w:val="center"/>
          </w:tcPr>
          <w:p>
            <w:pPr>
              <w:pStyle w:val="68"/>
              <w:spacing w:line="320" w:lineRule="exact"/>
              <w:rPr>
                <w:szCs w:val="21"/>
              </w:rPr>
            </w:pPr>
            <w:r>
              <w:rPr>
                <w:szCs w:val="21"/>
              </w:rPr>
              <w:t>0.</w:t>
            </w:r>
            <w:r>
              <w:rPr>
                <w:rFonts w:hint="eastAsia"/>
                <w:szCs w:val="21"/>
              </w:rPr>
              <w:t>1478</w:t>
            </w:r>
            <w:r>
              <w:rPr>
                <w:szCs w:val="21"/>
              </w:rPr>
              <w:t>t/a</w:t>
            </w:r>
          </w:p>
        </w:tc>
        <w:tc>
          <w:tcPr>
            <w:tcW w:w="1286" w:type="dxa"/>
            <w:vAlign w:val="center"/>
          </w:tcPr>
          <w:p>
            <w:pPr>
              <w:pStyle w:val="68"/>
              <w:spacing w:line="320" w:lineRule="exact"/>
              <w:rPr>
                <w:szCs w:val="21"/>
              </w:rPr>
            </w:pPr>
            <w:r>
              <w:rPr>
                <w:rFonts w:hint="eastAsia"/>
                <w:szCs w:val="21"/>
              </w:rPr>
              <w:t>+0.1075t/a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56"/>
              <w:spacing w:beforeLines="0" w:afterLines="0" w:line="240" w:lineRule="auto"/>
              <w:rPr>
                <w:rFonts w:hAnsi="宋体" w:cs="宋体"/>
                <w:snapToGrid w:val="0"/>
                <w:kern w:val="21"/>
                <w:szCs w:val="21"/>
              </w:rPr>
            </w:pPr>
          </w:p>
        </w:tc>
        <w:tc>
          <w:tcPr>
            <w:tcW w:w="1559" w:type="dxa"/>
            <w:vAlign w:val="center"/>
          </w:tcPr>
          <w:p>
            <w:pPr>
              <w:pStyle w:val="68"/>
              <w:spacing w:line="320" w:lineRule="exact"/>
              <w:rPr>
                <w:szCs w:val="21"/>
              </w:rPr>
            </w:pPr>
            <w:r>
              <w:rPr>
                <w:szCs w:val="21"/>
              </w:rPr>
              <w:t>NH</w:t>
            </w:r>
            <w:r>
              <w:rPr>
                <w:szCs w:val="21"/>
                <w:vertAlign w:val="subscript"/>
              </w:rPr>
              <w:t>3</w:t>
            </w:r>
            <w:r>
              <w:rPr>
                <w:szCs w:val="21"/>
              </w:rPr>
              <w:t>-N</w:t>
            </w:r>
          </w:p>
        </w:tc>
        <w:tc>
          <w:tcPr>
            <w:tcW w:w="1559" w:type="dxa"/>
            <w:vAlign w:val="center"/>
          </w:tcPr>
          <w:p>
            <w:pPr>
              <w:pStyle w:val="68"/>
              <w:rPr>
                <w:szCs w:val="21"/>
              </w:rPr>
            </w:pPr>
            <w:r>
              <w:rPr>
                <w:rFonts w:hint="eastAsia"/>
                <w:szCs w:val="21"/>
              </w:rPr>
              <w:t>0.0042t/a</w:t>
            </w:r>
          </w:p>
        </w:tc>
        <w:tc>
          <w:tcPr>
            <w:tcW w:w="1276" w:type="dxa"/>
            <w:vAlign w:val="center"/>
          </w:tcPr>
          <w:p>
            <w:pPr>
              <w:pStyle w:val="68"/>
              <w:spacing w:line="320" w:lineRule="exact"/>
              <w:rPr>
                <w:szCs w:val="21"/>
              </w:rPr>
            </w:pPr>
            <w:r>
              <w:rPr>
                <w:rFonts w:hint="eastAsia"/>
                <w:szCs w:val="21"/>
              </w:rPr>
              <w:t>/</w:t>
            </w:r>
          </w:p>
        </w:tc>
        <w:tc>
          <w:tcPr>
            <w:tcW w:w="1701" w:type="dxa"/>
            <w:vAlign w:val="center"/>
          </w:tcPr>
          <w:p>
            <w:pPr>
              <w:pStyle w:val="68"/>
              <w:spacing w:line="320" w:lineRule="exact"/>
              <w:rPr>
                <w:szCs w:val="21"/>
              </w:rPr>
            </w:pPr>
            <w:r>
              <w:rPr>
                <w:rFonts w:hint="eastAsia"/>
                <w:szCs w:val="21"/>
              </w:rPr>
              <w:t>/</w:t>
            </w:r>
          </w:p>
        </w:tc>
        <w:tc>
          <w:tcPr>
            <w:tcW w:w="1559" w:type="dxa"/>
            <w:vAlign w:val="center"/>
          </w:tcPr>
          <w:p>
            <w:pPr>
              <w:pStyle w:val="68"/>
              <w:spacing w:line="320" w:lineRule="exact"/>
              <w:rPr>
                <w:szCs w:val="21"/>
              </w:rPr>
            </w:pPr>
            <w:r>
              <w:rPr>
                <w:szCs w:val="21"/>
              </w:rPr>
              <w:t>0.0</w:t>
            </w:r>
            <w:r>
              <w:rPr>
                <w:rFonts w:hint="eastAsia"/>
                <w:szCs w:val="21"/>
              </w:rPr>
              <w:t>112</w:t>
            </w:r>
            <w:r>
              <w:rPr>
                <w:szCs w:val="21"/>
              </w:rPr>
              <w:t>t/a</w:t>
            </w:r>
          </w:p>
        </w:tc>
        <w:tc>
          <w:tcPr>
            <w:tcW w:w="1761" w:type="dxa"/>
            <w:vAlign w:val="center"/>
          </w:tcPr>
          <w:p>
            <w:pPr>
              <w:pStyle w:val="68"/>
              <w:spacing w:line="320" w:lineRule="exact"/>
              <w:rPr>
                <w:bCs/>
                <w:szCs w:val="21"/>
              </w:rPr>
            </w:pPr>
            <w:r>
              <w:rPr>
                <w:rFonts w:hint="eastAsia"/>
                <w:bCs/>
                <w:szCs w:val="21"/>
              </w:rPr>
              <w:t>/</w:t>
            </w:r>
          </w:p>
        </w:tc>
        <w:tc>
          <w:tcPr>
            <w:tcW w:w="1499" w:type="dxa"/>
            <w:vAlign w:val="center"/>
          </w:tcPr>
          <w:p>
            <w:pPr>
              <w:pStyle w:val="68"/>
              <w:spacing w:line="320" w:lineRule="exact"/>
              <w:rPr>
                <w:szCs w:val="21"/>
              </w:rPr>
            </w:pPr>
            <w:r>
              <w:rPr>
                <w:szCs w:val="21"/>
              </w:rPr>
              <w:t>0.0</w:t>
            </w:r>
            <w:r>
              <w:rPr>
                <w:rFonts w:hint="eastAsia"/>
                <w:szCs w:val="21"/>
              </w:rPr>
              <w:t>154</w:t>
            </w:r>
            <w:r>
              <w:rPr>
                <w:szCs w:val="21"/>
              </w:rPr>
              <w:t>t/a</w:t>
            </w:r>
          </w:p>
        </w:tc>
        <w:tc>
          <w:tcPr>
            <w:tcW w:w="1286" w:type="dxa"/>
            <w:vAlign w:val="center"/>
          </w:tcPr>
          <w:p>
            <w:pPr>
              <w:pStyle w:val="68"/>
              <w:spacing w:line="320" w:lineRule="exact"/>
              <w:rPr>
                <w:szCs w:val="21"/>
              </w:rPr>
            </w:pPr>
            <w:r>
              <w:rPr>
                <w:rFonts w:hint="eastAsia"/>
                <w:szCs w:val="21"/>
              </w:rPr>
              <w:t>+0.0112t/a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56"/>
              <w:spacing w:beforeLines="0" w:afterLines="0" w:line="240" w:lineRule="auto"/>
              <w:rPr>
                <w:rFonts w:hAnsi="宋体" w:cs="宋体"/>
                <w:snapToGrid w:val="0"/>
                <w:kern w:val="21"/>
                <w:szCs w:val="21"/>
              </w:rPr>
            </w:pPr>
          </w:p>
        </w:tc>
        <w:tc>
          <w:tcPr>
            <w:tcW w:w="1559" w:type="dxa"/>
            <w:vAlign w:val="center"/>
          </w:tcPr>
          <w:p>
            <w:pPr>
              <w:pStyle w:val="68"/>
              <w:rPr>
                <w:szCs w:val="21"/>
              </w:rPr>
            </w:pPr>
            <w:r>
              <w:rPr>
                <w:rFonts w:hint="eastAsia"/>
              </w:rPr>
              <w:t>BOD</w:t>
            </w:r>
            <w:r>
              <w:rPr>
                <w:rFonts w:hint="eastAsia"/>
                <w:vertAlign w:val="subscript"/>
              </w:rPr>
              <w:t>5</w:t>
            </w:r>
          </w:p>
        </w:tc>
        <w:tc>
          <w:tcPr>
            <w:tcW w:w="1559" w:type="dxa"/>
            <w:vAlign w:val="center"/>
          </w:tcPr>
          <w:p>
            <w:pPr>
              <w:pStyle w:val="68"/>
              <w:spacing w:line="400" w:lineRule="exact"/>
            </w:pPr>
            <w:r>
              <w:rPr>
                <w:bCs/>
                <w:szCs w:val="21"/>
              </w:rPr>
              <w:t>0.0</w:t>
            </w:r>
            <w:r>
              <w:rPr>
                <w:rFonts w:hint="eastAsia"/>
                <w:bCs/>
                <w:szCs w:val="21"/>
              </w:rPr>
              <w:t>207</w:t>
            </w:r>
            <w:r>
              <w:rPr>
                <w:bCs/>
                <w:szCs w:val="21"/>
              </w:rPr>
              <w:t>t/a</w:t>
            </w:r>
          </w:p>
        </w:tc>
        <w:tc>
          <w:tcPr>
            <w:tcW w:w="1276" w:type="dxa"/>
            <w:vAlign w:val="center"/>
          </w:tcPr>
          <w:p>
            <w:pPr>
              <w:pStyle w:val="68"/>
              <w:spacing w:line="320" w:lineRule="exact"/>
              <w:rPr>
                <w:szCs w:val="21"/>
              </w:rPr>
            </w:pPr>
            <w:r>
              <w:rPr>
                <w:rFonts w:hint="eastAsia"/>
                <w:szCs w:val="21"/>
              </w:rPr>
              <w:t>/</w:t>
            </w:r>
          </w:p>
        </w:tc>
        <w:tc>
          <w:tcPr>
            <w:tcW w:w="1701" w:type="dxa"/>
            <w:vAlign w:val="center"/>
          </w:tcPr>
          <w:p>
            <w:pPr>
              <w:pStyle w:val="68"/>
              <w:spacing w:line="320" w:lineRule="exact"/>
              <w:rPr>
                <w:szCs w:val="21"/>
              </w:rPr>
            </w:pPr>
            <w:r>
              <w:rPr>
                <w:rFonts w:hint="eastAsia"/>
                <w:szCs w:val="21"/>
              </w:rPr>
              <w:t>/</w:t>
            </w:r>
          </w:p>
        </w:tc>
        <w:tc>
          <w:tcPr>
            <w:tcW w:w="1559" w:type="dxa"/>
            <w:vAlign w:val="center"/>
          </w:tcPr>
          <w:p>
            <w:pPr>
              <w:pStyle w:val="68"/>
              <w:spacing w:line="320" w:lineRule="exact"/>
              <w:rPr>
                <w:szCs w:val="21"/>
              </w:rPr>
            </w:pPr>
            <w:r>
              <w:rPr>
                <w:rFonts w:hint="eastAsia"/>
                <w:bCs/>
              </w:rPr>
              <w:t>0.0554t/a</w:t>
            </w:r>
          </w:p>
        </w:tc>
        <w:tc>
          <w:tcPr>
            <w:tcW w:w="1761" w:type="dxa"/>
            <w:vAlign w:val="center"/>
          </w:tcPr>
          <w:p>
            <w:pPr>
              <w:pStyle w:val="68"/>
              <w:spacing w:line="320" w:lineRule="exact"/>
              <w:rPr>
                <w:szCs w:val="21"/>
              </w:rPr>
            </w:pPr>
            <w:r>
              <w:rPr>
                <w:rFonts w:hint="eastAsia"/>
                <w:szCs w:val="21"/>
              </w:rPr>
              <w:t>/</w:t>
            </w:r>
          </w:p>
        </w:tc>
        <w:tc>
          <w:tcPr>
            <w:tcW w:w="1499" w:type="dxa"/>
            <w:vAlign w:val="center"/>
          </w:tcPr>
          <w:p>
            <w:pPr>
              <w:pStyle w:val="68"/>
              <w:spacing w:line="320" w:lineRule="exact"/>
              <w:rPr>
                <w:szCs w:val="21"/>
              </w:rPr>
            </w:pPr>
            <w:r>
              <w:rPr>
                <w:rFonts w:hint="eastAsia"/>
                <w:szCs w:val="21"/>
              </w:rPr>
              <w:t>0.0761t/a</w:t>
            </w:r>
          </w:p>
        </w:tc>
        <w:tc>
          <w:tcPr>
            <w:tcW w:w="1286" w:type="dxa"/>
            <w:vAlign w:val="center"/>
          </w:tcPr>
          <w:p>
            <w:pPr>
              <w:pStyle w:val="68"/>
              <w:spacing w:line="320" w:lineRule="exact"/>
              <w:rPr>
                <w:szCs w:val="21"/>
              </w:rPr>
            </w:pPr>
            <w:r>
              <w:rPr>
                <w:rFonts w:hint="eastAsia"/>
                <w:bCs/>
              </w:rPr>
              <w:t>+0.0554t/a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56"/>
              <w:spacing w:beforeLines="0" w:afterLines="0" w:line="240" w:lineRule="auto"/>
              <w:rPr>
                <w:rFonts w:hAnsi="宋体" w:cs="宋体"/>
                <w:snapToGrid w:val="0"/>
                <w:kern w:val="21"/>
                <w:szCs w:val="21"/>
              </w:rPr>
            </w:pPr>
          </w:p>
        </w:tc>
        <w:tc>
          <w:tcPr>
            <w:tcW w:w="1559" w:type="dxa"/>
            <w:vAlign w:val="center"/>
          </w:tcPr>
          <w:p>
            <w:pPr>
              <w:pStyle w:val="68"/>
              <w:rPr>
                <w:szCs w:val="21"/>
              </w:rPr>
            </w:pPr>
            <w:r>
              <w:rPr>
                <w:rFonts w:hint="eastAsia"/>
              </w:rPr>
              <w:t>SS</w:t>
            </w:r>
          </w:p>
        </w:tc>
        <w:tc>
          <w:tcPr>
            <w:tcW w:w="1559" w:type="dxa"/>
            <w:vAlign w:val="center"/>
          </w:tcPr>
          <w:p>
            <w:pPr>
              <w:pStyle w:val="68"/>
              <w:spacing w:line="320" w:lineRule="exact"/>
            </w:pPr>
            <w:r>
              <w:rPr>
                <w:bCs/>
                <w:szCs w:val="21"/>
              </w:rPr>
              <w:t>0.0</w:t>
            </w:r>
            <w:r>
              <w:rPr>
                <w:rFonts w:hint="eastAsia"/>
                <w:bCs/>
                <w:szCs w:val="21"/>
              </w:rPr>
              <w:t>144</w:t>
            </w:r>
            <w:r>
              <w:rPr>
                <w:bCs/>
                <w:szCs w:val="21"/>
              </w:rPr>
              <w:t>t/a</w:t>
            </w:r>
          </w:p>
        </w:tc>
        <w:tc>
          <w:tcPr>
            <w:tcW w:w="1276" w:type="dxa"/>
            <w:vAlign w:val="center"/>
          </w:tcPr>
          <w:p>
            <w:pPr>
              <w:pStyle w:val="68"/>
              <w:spacing w:line="320" w:lineRule="exact"/>
              <w:rPr>
                <w:szCs w:val="21"/>
              </w:rPr>
            </w:pPr>
            <w:r>
              <w:rPr>
                <w:rFonts w:hint="eastAsia"/>
                <w:szCs w:val="21"/>
              </w:rPr>
              <w:t>/</w:t>
            </w:r>
          </w:p>
        </w:tc>
        <w:tc>
          <w:tcPr>
            <w:tcW w:w="1701" w:type="dxa"/>
            <w:vAlign w:val="center"/>
          </w:tcPr>
          <w:p>
            <w:pPr>
              <w:pStyle w:val="68"/>
              <w:spacing w:line="320" w:lineRule="exact"/>
              <w:rPr>
                <w:szCs w:val="21"/>
              </w:rPr>
            </w:pPr>
            <w:r>
              <w:rPr>
                <w:rFonts w:hint="eastAsia"/>
                <w:szCs w:val="21"/>
              </w:rPr>
              <w:t>/</w:t>
            </w:r>
          </w:p>
        </w:tc>
        <w:tc>
          <w:tcPr>
            <w:tcW w:w="1559" w:type="dxa"/>
            <w:vAlign w:val="center"/>
          </w:tcPr>
          <w:p>
            <w:pPr>
              <w:pStyle w:val="68"/>
              <w:spacing w:line="320" w:lineRule="exact"/>
              <w:rPr>
                <w:szCs w:val="21"/>
              </w:rPr>
            </w:pPr>
            <w:r>
              <w:rPr>
                <w:bCs/>
              </w:rPr>
              <w:t>0.</w:t>
            </w:r>
            <w:r>
              <w:rPr>
                <w:rFonts w:hint="eastAsia"/>
                <w:bCs/>
              </w:rPr>
              <w:t>0384t/a</w:t>
            </w:r>
          </w:p>
        </w:tc>
        <w:tc>
          <w:tcPr>
            <w:tcW w:w="1761" w:type="dxa"/>
            <w:vAlign w:val="center"/>
          </w:tcPr>
          <w:p>
            <w:pPr>
              <w:pStyle w:val="68"/>
              <w:spacing w:line="320" w:lineRule="exact"/>
              <w:rPr>
                <w:szCs w:val="21"/>
              </w:rPr>
            </w:pPr>
            <w:r>
              <w:rPr>
                <w:rFonts w:hint="eastAsia"/>
                <w:szCs w:val="21"/>
              </w:rPr>
              <w:t>/</w:t>
            </w:r>
          </w:p>
        </w:tc>
        <w:tc>
          <w:tcPr>
            <w:tcW w:w="1499" w:type="dxa"/>
            <w:vAlign w:val="center"/>
          </w:tcPr>
          <w:p>
            <w:pPr>
              <w:pStyle w:val="68"/>
              <w:spacing w:line="320" w:lineRule="exact"/>
              <w:rPr>
                <w:szCs w:val="21"/>
              </w:rPr>
            </w:pPr>
            <w:r>
              <w:rPr>
                <w:rFonts w:hint="eastAsia"/>
                <w:szCs w:val="21"/>
              </w:rPr>
              <w:t>0.0528t/a</w:t>
            </w:r>
          </w:p>
        </w:tc>
        <w:tc>
          <w:tcPr>
            <w:tcW w:w="1286" w:type="dxa"/>
            <w:vAlign w:val="center"/>
          </w:tcPr>
          <w:p>
            <w:pPr>
              <w:pStyle w:val="68"/>
              <w:spacing w:line="320" w:lineRule="exact"/>
              <w:rPr>
                <w:szCs w:val="21"/>
              </w:rPr>
            </w:pPr>
            <w:r>
              <w:rPr>
                <w:rFonts w:hint="eastAsia"/>
                <w:bCs/>
              </w:rPr>
              <w:t>+</w:t>
            </w:r>
            <w:r>
              <w:rPr>
                <w:bCs/>
              </w:rPr>
              <w:t>0.</w:t>
            </w:r>
            <w:r>
              <w:rPr>
                <w:rFonts w:hint="eastAsia"/>
                <w:bCs/>
              </w:rPr>
              <w:t>0384t/a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56"/>
              <w:spacing w:beforeLines="0" w:afterLines="0" w:line="240" w:lineRule="auto"/>
              <w:rPr>
                <w:rFonts w:hAnsi="宋体" w:cs="宋体"/>
                <w:snapToGrid w:val="0"/>
                <w:kern w:val="21"/>
                <w:szCs w:val="21"/>
              </w:rPr>
            </w:pPr>
            <w:r>
              <w:rPr>
                <w:rFonts w:hint="eastAsia" w:hAnsi="宋体" w:cs="宋体"/>
                <w:snapToGrid w:val="0"/>
                <w:kern w:val="21"/>
                <w:szCs w:val="21"/>
              </w:rPr>
              <w:t>一般工业</w:t>
            </w:r>
          </w:p>
          <w:p>
            <w:pPr>
              <w:pStyle w:val="56"/>
              <w:spacing w:beforeLines="0" w:afterLines="0" w:line="240" w:lineRule="auto"/>
              <w:rPr>
                <w:rFonts w:hAnsi="宋体" w:cs="宋体"/>
                <w:snapToGrid w:val="0"/>
                <w:kern w:val="21"/>
                <w:szCs w:val="21"/>
              </w:rPr>
            </w:pPr>
            <w:r>
              <w:rPr>
                <w:rFonts w:hint="eastAsia" w:hAnsi="宋体" w:cs="宋体"/>
                <w:snapToGrid w:val="0"/>
                <w:kern w:val="21"/>
                <w:szCs w:val="21"/>
              </w:rPr>
              <w:t>固体废物</w:t>
            </w:r>
          </w:p>
        </w:tc>
        <w:tc>
          <w:tcPr>
            <w:tcW w:w="1559" w:type="dxa"/>
            <w:vAlign w:val="center"/>
          </w:tcPr>
          <w:p>
            <w:pPr>
              <w:pStyle w:val="68"/>
              <w:spacing w:line="320" w:lineRule="exact"/>
              <w:rPr>
                <w:szCs w:val="21"/>
              </w:rPr>
            </w:pPr>
            <w:r>
              <w:rPr>
                <w:szCs w:val="21"/>
              </w:rPr>
              <w:t>生活垃圾</w:t>
            </w:r>
          </w:p>
        </w:tc>
        <w:tc>
          <w:tcPr>
            <w:tcW w:w="1559" w:type="dxa"/>
            <w:vAlign w:val="center"/>
          </w:tcPr>
          <w:p>
            <w:pPr>
              <w:pStyle w:val="68"/>
              <w:rPr>
                <w:szCs w:val="21"/>
              </w:rPr>
            </w:pPr>
            <w:r>
              <w:rPr>
                <w:rFonts w:hint="eastAsia"/>
                <w:szCs w:val="21"/>
              </w:rPr>
              <w:t>2.25</w:t>
            </w:r>
            <w:r>
              <w:rPr>
                <w:szCs w:val="21"/>
              </w:rPr>
              <w:t>t/a</w:t>
            </w:r>
          </w:p>
        </w:tc>
        <w:tc>
          <w:tcPr>
            <w:tcW w:w="1276" w:type="dxa"/>
            <w:vAlign w:val="center"/>
          </w:tcPr>
          <w:p>
            <w:pPr>
              <w:pStyle w:val="68"/>
              <w:spacing w:line="320" w:lineRule="exact"/>
              <w:rPr>
                <w:szCs w:val="21"/>
              </w:rPr>
            </w:pPr>
            <w:r>
              <w:rPr>
                <w:rFonts w:hint="eastAsia"/>
                <w:szCs w:val="21"/>
              </w:rPr>
              <w:t>/</w:t>
            </w:r>
          </w:p>
        </w:tc>
        <w:tc>
          <w:tcPr>
            <w:tcW w:w="1701" w:type="dxa"/>
            <w:vAlign w:val="center"/>
          </w:tcPr>
          <w:p>
            <w:pPr>
              <w:pStyle w:val="68"/>
              <w:spacing w:line="320" w:lineRule="exact"/>
              <w:rPr>
                <w:szCs w:val="21"/>
              </w:rPr>
            </w:pPr>
            <w:r>
              <w:rPr>
                <w:rFonts w:hint="eastAsia"/>
                <w:szCs w:val="21"/>
              </w:rPr>
              <w:t>/</w:t>
            </w:r>
          </w:p>
        </w:tc>
        <w:tc>
          <w:tcPr>
            <w:tcW w:w="1559" w:type="dxa"/>
            <w:vAlign w:val="center"/>
          </w:tcPr>
          <w:p>
            <w:pPr>
              <w:pStyle w:val="68"/>
              <w:rPr>
                <w:szCs w:val="21"/>
              </w:rPr>
            </w:pPr>
            <w:r>
              <w:rPr>
                <w:rFonts w:hint="eastAsia"/>
                <w:szCs w:val="21"/>
              </w:rPr>
              <w:t>6.0</w:t>
            </w:r>
            <w:r>
              <w:rPr>
                <w:szCs w:val="21"/>
              </w:rPr>
              <w:t>t/a</w:t>
            </w:r>
          </w:p>
        </w:tc>
        <w:tc>
          <w:tcPr>
            <w:tcW w:w="1761" w:type="dxa"/>
            <w:vAlign w:val="center"/>
          </w:tcPr>
          <w:p>
            <w:pPr>
              <w:pStyle w:val="68"/>
              <w:spacing w:line="320" w:lineRule="exact"/>
              <w:rPr>
                <w:bCs/>
                <w:szCs w:val="21"/>
              </w:rPr>
            </w:pPr>
            <w:r>
              <w:rPr>
                <w:rFonts w:hint="eastAsia"/>
                <w:bCs/>
                <w:szCs w:val="21"/>
              </w:rPr>
              <w:t>/</w:t>
            </w:r>
          </w:p>
        </w:tc>
        <w:tc>
          <w:tcPr>
            <w:tcW w:w="1499" w:type="dxa"/>
            <w:vAlign w:val="center"/>
          </w:tcPr>
          <w:p>
            <w:pPr>
              <w:pStyle w:val="68"/>
              <w:rPr>
                <w:szCs w:val="21"/>
              </w:rPr>
            </w:pPr>
            <w:r>
              <w:rPr>
                <w:rFonts w:hint="eastAsia"/>
                <w:szCs w:val="21"/>
              </w:rPr>
              <w:t>8.25</w:t>
            </w:r>
            <w:r>
              <w:rPr>
                <w:szCs w:val="21"/>
              </w:rPr>
              <w:t>t/a</w:t>
            </w:r>
          </w:p>
        </w:tc>
        <w:tc>
          <w:tcPr>
            <w:tcW w:w="1286" w:type="dxa"/>
            <w:vAlign w:val="center"/>
          </w:tcPr>
          <w:p>
            <w:pPr>
              <w:pStyle w:val="68"/>
              <w:spacing w:line="320" w:lineRule="exact"/>
              <w:rPr>
                <w:szCs w:val="21"/>
              </w:rPr>
            </w:pPr>
            <w:r>
              <w:rPr>
                <w:rFonts w:hint="eastAsia"/>
                <w:szCs w:val="21"/>
              </w:rPr>
              <w:t>+6.0t/a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56"/>
              <w:spacing w:beforeLines="0" w:afterLines="0" w:line="240" w:lineRule="auto"/>
              <w:rPr>
                <w:rFonts w:hAnsi="宋体" w:cs="宋体"/>
                <w:snapToGrid w:val="0"/>
                <w:kern w:val="21"/>
                <w:szCs w:val="21"/>
              </w:rPr>
            </w:pPr>
          </w:p>
        </w:tc>
        <w:tc>
          <w:tcPr>
            <w:tcW w:w="1559" w:type="dxa"/>
            <w:vAlign w:val="center"/>
          </w:tcPr>
          <w:p>
            <w:pPr>
              <w:pStyle w:val="68"/>
              <w:spacing w:line="320" w:lineRule="exact"/>
              <w:rPr>
                <w:szCs w:val="21"/>
              </w:rPr>
            </w:pPr>
            <w:r>
              <w:rPr>
                <w:rFonts w:hint="eastAsia"/>
                <w:szCs w:val="21"/>
              </w:rPr>
              <w:t>废包装材料</w:t>
            </w:r>
          </w:p>
        </w:tc>
        <w:tc>
          <w:tcPr>
            <w:tcW w:w="1559" w:type="dxa"/>
            <w:vAlign w:val="center"/>
          </w:tcPr>
          <w:p>
            <w:pPr>
              <w:pStyle w:val="68"/>
              <w:rPr>
                <w:szCs w:val="21"/>
              </w:rPr>
            </w:pPr>
            <w:r>
              <w:rPr>
                <w:rFonts w:hint="eastAsia"/>
                <w:szCs w:val="21"/>
              </w:rPr>
              <w:t>0.5</w:t>
            </w:r>
            <w:r>
              <w:rPr>
                <w:szCs w:val="21"/>
              </w:rPr>
              <w:t>t/a</w:t>
            </w:r>
          </w:p>
        </w:tc>
        <w:tc>
          <w:tcPr>
            <w:tcW w:w="1276" w:type="dxa"/>
            <w:vAlign w:val="center"/>
          </w:tcPr>
          <w:p>
            <w:pPr>
              <w:pStyle w:val="68"/>
              <w:spacing w:line="320" w:lineRule="exact"/>
              <w:rPr>
                <w:szCs w:val="21"/>
              </w:rPr>
            </w:pPr>
            <w:r>
              <w:rPr>
                <w:rFonts w:hint="eastAsia"/>
                <w:szCs w:val="21"/>
              </w:rPr>
              <w:t>/</w:t>
            </w:r>
          </w:p>
        </w:tc>
        <w:tc>
          <w:tcPr>
            <w:tcW w:w="1701" w:type="dxa"/>
            <w:vAlign w:val="center"/>
          </w:tcPr>
          <w:p>
            <w:pPr>
              <w:pStyle w:val="68"/>
              <w:spacing w:line="320" w:lineRule="exact"/>
              <w:rPr>
                <w:szCs w:val="21"/>
              </w:rPr>
            </w:pPr>
            <w:r>
              <w:rPr>
                <w:rFonts w:hint="eastAsia"/>
                <w:szCs w:val="21"/>
              </w:rPr>
              <w:t>/</w:t>
            </w:r>
          </w:p>
        </w:tc>
        <w:tc>
          <w:tcPr>
            <w:tcW w:w="1559" w:type="dxa"/>
            <w:vAlign w:val="center"/>
          </w:tcPr>
          <w:p>
            <w:pPr>
              <w:pStyle w:val="68"/>
              <w:rPr>
                <w:szCs w:val="21"/>
              </w:rPr>
            </w:pPr>
            <w:r>
              <w:rPr>
                <w:rFonts w:hint="eastAsia"/>
                <w:szCs w:val="21"/>
              </w:rPr>
              <w:t>1.0</w:t>
            </w:r>
            <w:r>
              <w:rPr>
                <w:szCs w:val="21"/>
              </w:rPr>
              <w:t>t/a</w:t>
            </w:r>
          </w:p>
        </w:tc>
        <w:tc>
          <w:tcPr>
            <w:tcW w:w="1761" w:type="dxa"/>
            <w:vAlign w:val="center"/>
          </w:tcPr>
          <w:p>
            <w:pPr>
              <w:pStyle w:val="68"/>
              <w:spacing w:line="320" w:lineRule="exact"/>
              <w:rPr>
                <w:bCs/>
                <w:szCs w:val="21"/>
              </w:rPr>
            </w:pPr>
            <w:r>
              <w:rPr>
                <w:rFonts w:hint="eastAsia"/>
                <w:bCs/>
                <w:szCs w:val="21"/>
              </w:rPr>
              <w:t>/</w:t>
            </w:r>
          </w:p>
        </w:tc>
        <w:tc>
          <w:tcPr>
            <w:tcW w:w="1499" w:type="dxa"/>
            <w:vAlign w:val="center"/>
          </w:tcPr>
          <w:p>
            <w:pPr>
              <w:pStyle w:val="68"/>
              <w:rPr>
                <w:szCs w:val="21"/>
              </w:rPr>
            </w:pPr>
            <w:r>
              <w:rPr>
                <w:rFonts w:hint="eastAsia"/>
                <w:szCs w:val="21"/>
              </w:rPr>
              <w:t>1.5</w:t>
            </w:r>
            <w:r>
              <w:rPr>
                <w:szCs w:val="21"/>
              </w:rPr>
              <w:t>t/a</w:t>
            </w:r>
          </w:p>
        </w:tc>
        <w:tc>
          <w:tcPr>
            <w:tcW w:w="1286" w:type="dxa"/>
            <w:vAlign w:val="center"/>
          </w:tcPr>
          <w:p>
            <w:pPr>
              <w:pStyle w:val="68"/>
              <w:rPr>
                <w:szCs w:val="21"/>
              </w:rPr>
            </w:pPr>
            <w:r>
              <w:rPr>
                <w:rFonts w:hint="eastAsia"/>
                <w:szCs w:val="21"/>
              </w:rPr>
              <w:t>+1.0t/a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56"/>
              <w:spacing w:beforeLines="0" w:afterLines="0" w:line="240" w:lineRule="auto"/>
              <w:rPr>
                <w:rFonts w:hAnsi="宋体" w:cs="宋体"/>
                <w:snapToGrid w:val="0"/>
                <w:kern w:val="21"/>
                <w:szCs w:val="21"/>
              </w:rPr>
            </w:pPr>
          </w:p>
        </w:tc>
        <w:tc>
          <w:tcPr>
            <w:tcW w:w="1559" w:type="dxa"/>
            <w:vAlign w:val="center"/>
          </w:tcPr>
          <w:p>
            <w:pPr>
              <w:pStyle w:val="68"/>
              <w:spacing w:line="320" w:lineRule="exact"/>
              <w:rPr>
                <w:szCs w:val="21"/>
              </w:rPr>
            </w:pPr>
            <w:r>
              <w:rPr>
                <w:rFonts w:hint="eastAsia"/>
                <w:szCs w:val="21"/>
              </w:rPr>
              <w:t>废边角料</w:t>
            </w:r>
          </w:p>
        </w:tc>
        <w:tc>
          <w:tcPr>
            <w:tcW w:w="1559" w:type="dxa"/>
            <w:vAlign w:val="center"/>
          </w:tcPr>
          <w:p>
            <w:pPr>
              <w:pStyle w:val="68"/>
              <w:rPr>
                <w:szCs w:val="21"/>
              </w:rPr>
            </w:pPr>
            <w:r>
              <w:rPr>
                <w:rFonts w:hint="eastAsia"/>
                <w:szCs w:val="21"/>
              </w:rPr>
              <w:t>0.3t/a</w:t>
            </w:r>
          </w:p>
        </w:tc>
        <w:tc>
          <w:tcPr>
            <w:tcW w:w="1276" w:type="dxa"/>
            <w:vAlign w:val="center"/>
          </w:tcPr>
          <w:p>
            <w:pPr>
              <w:pStyle w:val="68"/>
              <w:spacing w:line="320" w:lineRule="exact"/>
              <w:rPr>
                <w:szCs w:val="21"/>
              </w:rPr>
            </w:pPr>
            <w:r>
              <w:rPr>
                <w:rFonts w:hint="eastAsia"/>
                <w:szCs w:val="21"/>
              </w:rPr>
              <w:t>/</w:t>
            </w:r>
          </w:p>
        </w:tc>
        <w:tc>
          <w:tcPr>
            <w:tcW w:w="1701" w:type="dxa"/>
            <w:vAlign w:val="center"/>
          </w:tcPr>
          <w:p>
            <w:pPr>
              <w:pStyle w:val="68"/>
              <w:spacing w:line="320" w:lineRule="exact"/>
              <w:rPr>
                <w:szCs w:val="21"/>
              </w:rPr>
            </w:pPr>
            <w:r>
              <w:rPr>
                <w:rFonts w:hint="eastAsia"/>
                <w:szCs w:val="21"/>
              </w:rPr>
              <w:t>/</w:t>
            </w:r>
          </w:p>
        </w:tc>
        <w:tc>
          <w:tcPr>
            <w:tcW w:w="1559" w:type="dxa"/>
            <w:vAlign w:val="center"/>
          </w:tcPr>
          <w:p>
            <w:pPr>
              <w:pStyle w:val="68"/>
              <w:rPr>
                <w:szCs w:val="21"/>
              </w:rPr>
            </w:pPr>
            <w:r>
              <w:rPr>
                <w:rFonts w:hint="eastAsia"/>
                <w:szCs w:val="21"/>
              </w:rPr>
              <w:t>1.2t/a</w:t>
            </w:r>
          </w:p>
        </w:tc>
        <w:tc>
          <w:tcPr>
            <w:tcW w:w="1761" w:type="dxa"/>
            <w:vAlign w:val="center"/>
          </w:tcPr>
          <w:p>
            <w:pPr>
              <w:pStyle w:val="68"/>
              <w:spacing w:line="320" w:lineRule="exact"/>
              <w:rPr>
                <w:bCs/>
                <w:szCs w:val="21"/>
              </w:rPr>
            </w:pPr>
            <w:r>
              <w:rPr>
                <w:rFonts w:hint="eastAsia"/>
                <w:szCs w:val="21"/>
              </w:rPr>
              <w:t>0.3t/a</w:t>
            </w:r>
          </w:p>
        </w:tc>
        <w:tc>
          <w:tcPr>
            <w:tcW w:w="1499" w:type="dxa"/>
            <w:vAlign w:val="center"/>
          </w:tcPr>
          <w:p>
            <w:pPr>
              <w:pStyle w:val="68"/>
              <w:rPr>
                <w:szCs w:val="21"/>
              </w:rPr>
            </w:pPr>
            <w:r>
              <w:rPr>
                <w:rFonts w:hint="eastAsia"/>
                <w:szCs w:val="21"/>
              </w:rPr>
              <w:t>1.2t/a</w:t>
            </w:r>
          </w:p>
        </w:tc>
        <w:tc>
          <w:tcPr>
            <w:tcW w:w="1286" w:type="dxa"/>
            <w:vAlign w:val="center"/>
          </w:tcPr>
          <w:p>
            <w:pPr>
              <w:pStyle w:val="68"/>
              <w:rPr>
                <w:szCs w:val="21"/>
              </w:rPr>
            </w:pPr>
            <w:r>
              <w:rPr>
                <w:rFonts w:hint="eastAsia"/>
                <w:szCs w:val="21"/>
              </w:rPr>
              <w:t>+0.9t/a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56"/>
              <w:spacing w:beforeLines="0" w:afterLines="0" w:line="240" w:lineRule="auto"/>
              <w:rPr>
                <w:rFonts w:hAnsi="宋体" w:cs="宋体"/>
                <w:snapToGrid w:val="0"/>
                <w:kern w:val="21"/>
                <w:szCs w:val="21"/>
              </w:rPr>
            </w:pPr>
            <w:r>
              <w:rPr>
                <w:rFonts w:hint="eastAsia" w:hAnsi="宋体" w:cs="宋体"/>
                <w:snapToGrid w:val="0"/>
                <w:kern w:val="21"/>
                <w:szCs w:val="21"/>
              </w:rPr>
              <w:t>危险废物</w:t>
            </w:r>
          </w:p>
        </w:tc>
        <w:tc>
          <w:tcPr>
            <w:tcW w:w="1559" w:type="dxa"/>
            <w:vAlign w:val="center"/>
          </w:tcPr>
          <w:p>
            <w:pPr>
              <w:pStyle w:val="68"/>
              <w:spacing w:line="320" w:lineRule="exact"/>
            </w:pPr>
            <w:r>
              <w:rPr>
                <w:rFonts w:hint="eastAsia"/>
                <w:szCs w:val="21"/>
              </w:rPr>
              <w:t>废液压油</w:t>
            </w:r>
          </w:p>
        </w:tc>
        <w:tc>
          <w:tcPr>
            <w:tcW w:w="1559" w:type="dxa"/>
            <w:vAlign w:val="center"/>
          </w:tcPr>
          <w:p>
            <w:pPr>
              <w:pStyle w:val="68"/>
              <w:rPr>
                <w:szCs w:val="21"/>
                <w:highlight w:val="yellow"/>
              </w:rPr>
            </w:pPr>
            <w:r>
              <w:rPr>
                <w:rFonts w:hint="eastAsia"/>
                <w:szCs w:val="21"/>
              </w:rPr>
              <w:t>0.12t/a</w:t>
            </w:r>
          </w:p>
        </w:tc>
        <w:tc>
          <w:tcPr>
            <w:tcW w:w="1276" w:type="dxa"/>
            <w:vAlign w:val="center"/>
          </w:tcPr>
          <w:p>
            <w:pPr>
              <w:pStyle w:val="68"/>
              <w:spacing w:line="320" w:lineRule="exact"/>
              <w:rPr>
                <w:szCs w:val="21"/>
              </w:rPr>
            </w:pPr>
            <w:r>
              <w:rPr>
                <w:rFonts w:hint="eastAsia"/>
                <w:szCs w:val="21"/>
              </w:rPr>
              <w:t>/</w:t>
            </w:r>
          </w:p>
        </w:tc>
        <w:tc>
          <w:tcPr>
            <w:tcW w:w="1701" w:type="dxa"/>
            <w:vAlign w:val="center"/>
          </w:tcPr>
          <w:p>
            <w:pPr>
              <w:pStyle w:val="68"/>
              <w:spacing w:line="320" w:lineRule="exact"/>
              <w:rPr>
                <w:szCs w:val="21"/>
              </w:rPr>
            </w:pPr>
            <w:r>
              <w:rPr>
                <w:rFonts w:hint="eastAsia"/>
                <w:szCs w:val="21"/>
              </w:rPr>
              <w:t>/</w:t>
            </w:r>
          </w:p>
        </w:tc>
        <w:tc>
          <w:tcPr>
            <w:tcW w:w="1559" w:type="dxa"/>
            <w:vAlign w:val="center"/>
          </w:tcPr>
          <w:p>
            <w:pPr>
              <w:pStyle w:val="68"/>
              <w:rPr>
                <w:szCs w:val="21"/>
              </w:rPr>
            </w:pPr>
            <w:r>
              <w:rPr>
                <w:rFonts w:hint="eastAsia"/>
                <w:szCs w:val="21"/>
              </w:rPr>
              <w:t>0.1</w:t>
            </w:r>
            <w:r>
              <w:rPr>
                <w:szCs w:val="21"/>
              </w:rPr>
              <w:t>t/a</w:t>
            </w:r>
          </w:p>
        </w:tc>
        <w:tc>
          <w:tcPr>
            <w:tcW w:w="1761" w:type="dxa"/>
            <w:vAlign w:val="center"/>
          </w:tcPr>
          <w:p>
            <w:pPr>
              <w:pStyle w:val="68"/>
              <w:spacing w:line="320" w:lineRule="exact"/>
              <w:rPr>
                <w:bCs/>
                <w:szCs w:val="21"/>
              </w:rPr>
            </w:pPr>
            <w:r>
              <w:rPr>
                <w:rFonts w:hint="eastAsia"/>
                <w:bCs/>
                <w:szCs w:val="21"/>
              </w:rPr>
              <w:t>/</w:t>
            </w:r>
          </w:p>
        </w:tc>
        <w:tc>
          <w:tcPr>
            <w:tcW w:w="1499" w:type="dxa"/>
            <w:vAlign w:val="center"/>
          </w:tcPr>
          <w:p>
            <w:pPr>
              <w:pStyle w:val="68"/>
              <w:rPr>
                <w:szCs w:val="21"/>
              </w:rPr>
            </w:pPr>
            <w:r>
              <w:rPr>
                <w:szCs w:val="21"/>
              </w:rPr>
              <w:t>0.</w:t>
            </w:r>
            <w:r>
              <w:rPr>
                <w:rFonts w:hint="eastAsia"/>
                <w:szCs w:val="21"/>
              </w:rPr>
              <w:t>22</w:t>
            </w:r>
            <w:r>
              <w:rPr>
                <w:szCs w:val="21"/>
              </w:rPr>
              <w:t>t/a</w:t>
            </w:r>
          </w:p>
        </w:tc>
        <w:tc>
          <w:tcPr>
            <w:tcW w:w="1286" w:type="dxa"/>
            <w:vAlign w:val="center"/>
          </w:tcPr>
          <w:p>
            <w:pPr>
              <w:pStyle w:val="68"/>
              <w:rPr>
                <w:szCs w:val="21"/>
              </w:rPr>
            </w:pPr>
            <w:r>
              <w:rPr>
                <w:rFonts w:hint="eastAsia"/>
                <w:szCs w:val="21"/>
              </w:rPr>
              <w:t>+0.1t/a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56"/>
              <w:spacing w:beforeLines="0" w:afterLines="0" w:line="240" w:lineRule="auto"/>
              <w:rPr>
                <w:rFonts w:hAnsi="宋体" w:cs="宋体"/>
                <w:snapToGrid w:val="0"/>
                <w:kern w:val="21"/>
                <w:szCs w:val="21"/>
              </w:rPr>
            </w:pPr>
          </w:p>
        </w:tc>
        <w:tc>
          <w:tcPr>
            <w:tcW w:w="1559" w:type="dxa"/>
            <w:vAlign w:val="center"/>
          </w:tcPr>
          <w:p>
            <w:pPr>
              <w:pStyle w:val="68"/>
              <w:spacing w:line="320" w:lineRule="exact"/>
              <w:rPr>
                <w:szCs w:val="21"/>
              </w:rPr>
            </w:pPr>
            <w:r>
              <w:rPr>
                <w:rFonts w:hint="eastAsia"/>
                <w:szCs w:val="21"/>
              </w:rPr>
              <w:t>废活性炭</w:t>
            </w:r>
          </w:p>
        </w:tc>
        <w:tc>
          <w:tcPr>
            <w:tcW w:w="1559" w:type="dxa"/>
            <w:vAlign w:val="center"/>
          </w:tcPr>
          <w:p>
            <w:pPr>
              <w:pStyle w:val="68"/>
              <w:rPr>
                <w:szCs w:val="21"/>
              </w:rPr>
            </w:pPr>
            <w:r>
              <w:rPr>
                <w:rFonts w:hint="eastAsia"/>
                <w:szCs w:val="21"/>
              </w:rPr>
              <w:t>0</w:t>
            </w:r>
          </w:p>
        </w:tc>
        <w:tc>
          <w:tcPr>
            <w:tcW w:w="1276" w:type="dxa"/>
            <w:vAlign w:val="center"/>
          </w:tcPr>
          <w:p>
            <w:pPr>
              <w:pStyle w:val="68"/>
              <w:spacing w:line="320" w:lineRule="exact"/>
              <w:rPr>
                <w:szCs w:val="21"/>
              </w:rPr>
            </w:pPr>
            <w:r>
              <w:rPr>
                <w:rFonts w:hint="eastAsia"/>
                <w:szCs w:val="21"/>
              </w:rPr>
              <w:t>/</w:t>
            </w:r>
          </w:p>
        </w:tc>
        <w:tc>
          <w:tcPr>
            <w:tcW w:w="1701" w:type="dxa"/>
            <w:vAlign w:val="center"/>
          </w:tcPr>
          <w:p>
            <w:pPr>
              <w:pStyle w:val="68"/>
              <w:spacing w:line="320" w:lineRule="exact"/>
              <w:rPr>
                <w:szCs w:val="21"/>
              </w:rPr>
            </w:pPr>
            <w:r>
              <w:rPr>
                <w:rFonts w:hint="eastAsia"/>
                <w:szCs w:val="21"/>
              </w:rPr>
              <w:t>/</w:t>
            </w:r>
          </w:p>
        </w:tc>
        <w:tc>
          <w:tcPr>
            <w:tcW w:w="1559" w:type="dxa"/>
            <w:vAlign w:val="center"/>
          </w:tcPr>
          <w:p>
            <w:pPr>
              <w:pStyle w:val="68"/>
              <w:rPr>
                <w:szCs w:val="21"/>
              </w:rPr>
            </w:pPr>
            <w:r>
              <w:rPr>
                <w:rFonts w:hint="eastAsia"/>
                <w:szCs w:val="21"/>
              </w:rPr>
              <w:t>0.3559t/a</w:t>
            </w:r>
          </w:p>
        </w:tc>
        <w:tc>
          <w:tcPr>
            <w:tcW w:w="1761" w:type="dxa"/>
            <w:vAlign w:val="center"/>
          </w:tcPr>
          <w:p>
            <w:pPr>
              <w:pStyle w:val="68"/>
              <w:spacing w:line="320" w:lineRule="exact"/>
              <w:rPr>
                <w:bCs/>
                <w:szCs w:val="21"/>
              </w:rPr>
            </w:pPr>
            <w:r>
              <w:rPr>
                <w:rFonts w:hint="eastAsia"/>
                <w:bCs/>
                <w:szCs w:val="21"/>
              </w:rPr>
              <w:t>/</w:t>
            </w:r>
          </w:p>
        </w:tc>
        <w:tc>
          <w:tcPr>
            <w:tcW w:w="1499" w:type="dxa"/>
            <w:vAlign w:val="center"/>
          </w:tcPr>
          <w:p>
            <w:pPr>
              <w:pStyle w:val="68"/>
              <w:rPr>
                <w:szCs w:val="21"/>
              </w:rPr>
            </w:pPr>
            <w:r>
              <w:rPr>
                <w:rFonts w:hint="eastAsia"/>
                <w:szCs w:val="21"/>
              </w:rPr>
              <w:t>0.3559t/a</w:t>
            </w:r>
          </w:p>
        </w:tc>
        <w:tc>
          <w:tcPr>
            <w:tcW w:w="1286" w:type="dxa"/>
            <w:vAlign w:val="center"/>
          </w:tcPr>
          <w:p>
            <w:pPr>
              <w:pStyle w:val="68"/>
              <w:rPr>
                <w:szCs w:val="21"/>
              </w:rPr>
            </w:pPr>
            <w:r>
              <w:rPr>
                <w:rFonts w:hint="eastAsia"/>
                <w:szCs w:val="21"/>
              </w:rPr>
              <w:t>+0.3559t/a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56"/>
              <w:spacing w:beforeLines="0" w:afterLines="0" w:line="240" w:lineRule="auto"/>
              <w:rPr>
                <w:rFonts w:hAnsi="宋体" w:cs="宋体"/>
                <w:snapToGrid w:val="0"/>
                <w:kern w:val="21"/>
                <w:szCs w:val="21"/>
              </w:rPr>
            </w:pPr>
          </w:p>
        </w:tc>
        <w:tc>
          <w:tcPr>
            <w:tcW w:w="1559" w:type="dxa"/>
            <w:vAlign w:val="center"/>
          </w:tcPr>
          <w:p>
            <w:pPr>
              <w:pStyle w:val="68"/>
              <w:spacing w:line="320" w:lineRule="exact"/>
              <w:rPr>
                <w:szCs w:val="21"/>
              </w:rPr>
            </w:pPr>
            <w:r>
              <w:rPr>
                <w:rFonts w:hint="eastAsia"/>
                <w:szCs w:val="21"/>
              </w:rPr>
              <w:t>废UV灯管</w:t>
            </w:r>
          </w:p>
        </w:tc>
        <w:tc>
          <w:tcPr>
            <w:tcW w:w="1559" w:type="dxa"/>
            <w:vAlign w:val="center"/>
          </w:tcPr>
          <w:p>
            <w:pPr>
              <w:pStyle w:val="68"/>
              <w:rPr>
                <w:szCs w:val="21"/>
              </w:rPr>
            </w:pPr>
            <w:r>
              <w:rPr>
                <w:rFonts w:hint="eastAsia"/>
                <w:szCs w:val="21"/>
              </w:rPr>
              <w:t>0</w:t>
            </w:r>
          </w:p>
        </w:tc>
        <w:tc>
          <w:tcPr>
            <w:tcW w:w="1276" w:type="dxa"/>
            <w:vAlign w:val="center"/>
          </w:tcPr>
          <w:p>
            <w:pPr>
              <w:pStyle w:val="68"/>
              <w:spacing w:line="320" w:lineRule="exact"/>
              <w:rPr>
                <w:szCs w:val="21"/>
              </w:rPr>
            </w:pPr>
            <w:r>
              <w:rPr>
                <w:rFonts w:hint="eastAsia"/>
                <w:szCs w:val="21"/>
              </w:rPr>
              <w:t>/</w:t>
            </w:r>
          </w:p>
        </w:tc>
        <w:tc>
          <w:tcPr>
            <w:tcW w:w="1701" w:type="dxa"/>
            <w:vAlign w:val="center"/>
          </w:tcPr>
          <w:p>
            <w:pPr>
              <w:pStyle w:val="68"/>
              <w:spacing w:line="320" w:lineRule="exact"/>
              <w:rPr>
                <w:szCs w:val="21"/>
              </w:rPr>
            </w:pPr>
            <w:r>
              <w:rPr>
                <w:rFonts w:hint="eastAsia"/>
                <w:szCs w:val="21"/>
              </w:rPr>
              <w:t>/</w:t>
            </w:r>
          </w:p>
        </w:tc>
        <w:tc>
          <w:tcPr>
            <w:tcW w:w="1559" w:type="dxa"/>
            <w:vAlign w:val="center"/>
          </w:tcPr>
          <w:p>
            <w:pPr>
              <w:pStyle w:val="68"/>
              <w:rPr>
                <w:szCs w:val="21"/>
              </w:rPr>
            </w:pPr>
            <w:r>
              <w:rPr>
                <w:rFonts w:hint="eastAsia"/>
                <w:szCs w:val="21"/>
              </w:rPr>
              <w:t>0.005t/a</w:t>
            </w:r>
          </w:p>
        </w:tc>
        <w:tc>
          <w:tcPr>
            <w:tcW w:w="1761" w:type="dxa"/>
            <w:vAlign w:val="center"/>
          </w:tcPr>
          <w:p>
            <w:pPr>
              <w:pStyle w:val="68"/>
              <w:spacing w:line="320" w:lineRule="exact"/>
              <w:rPr>
                <w:bCs/>
                <w:szCs w:val="21"/>
              </w:rPr>
            </w:pPr>
            <w:r>
              <w:rPr>
                <w:rFonts w:hint="eastAsia"/>
                <w:bCs/>
                <w:szCs w:val="21"/>
              </w:rPr>
              <w:t>/</w:t>
            </w:r>
          </w:p>
        </w:tc>
        <w:tc>
          <w:tcPr>
            <w:tcW w:w="1499" w:type="dxa"/>
            <w:vAlign w:val="center"/>
          </w:tcPr>
          <w:p>
            <w:pPr>
              <w:pStyle w:val="68"/>
              <w:rPr>
                <w:szCs w:val="21"/>
              </w:rPr>
            </w:pPr>
            <w:r>
              <w:rPr>
                <w:rFonts w:hint="eastAsia"/>
                <w:szCs w:val="21"/>
              </w:rPr>
              <w:t>0.005t/a</w:t>
            </w:r>
          </w:p>
        </w:tc>
        <w:tc>
          <w:tcPr>
            <w:tcW w:w="1286" w:type="dxa"/>
            <w:vAlign w:val="center"/>
          </w:tcPr>
          <w:p>
            <w:pPr>
              <w:pStyle w:val="68"/>
              <w:rPr>
                <w:szCs w:val="21"/>
              </w:rPr>
            </w:pPr>
            <w:r>
              <w:rPr>
                <w:rFonts w:hint="eastAsia"/>
                <w:szCs w:val="21"/>
              </w:rPr>
              <w:t>+0.005t/a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56"/>
              <w:spacing w:beforeLines="0" w:afterLines="0" w:line="240" w:lineRule="auto"/>
              <w:rPr>
                <w:rFonts w:hAnsi="宋体" w:cs="宋体"/>
                <w:snapToGrid w:val="0"/>
                <w:kern w:val="21"/>
                <w:szCs w:val="21"/>
              </w:rPr>
            </w:pPr>
          </w:p>
        </w:tc>
        <w:tc>
          <w:tcPr>
            <w:tcW w:w="1559" w:type="dxa"/>
            <w:vAlign w:val="center"/>
          </w:tcPr>
          <w:p>
            <w:pPr>
              <w:pStyle w:val="68"/>
              <w:spacing w:line="320" w:lineRule="exact"/>
              <w:rPr>
                <w:szCs w:val="21"/>
              </w:rPr>
            </w:pPr>
            <w:r>
              <w:rPr>
                <w:rFonts w:hint="eastAsia"/>
                <w:szCs w:val="21"/>
              </w:rPr>
              <w:t>废抹布</w:t>
            </w:r>
          </w:p>
        </w:tc>
        <w:tc>
          <w:tcPr>
            <w:tcW w:w="1559" w:type="dxa"/>
            <w:vAlign w:val="center"/>
          </w:tcPr>
          <w:p>
            <w:pPr>
              <w:pStyle w:val="68"/>
              <w:rPr>
                <w:szCs w:val="21"/>
              </w:rPr>
            </w:pPr>
            <w:r>
              <w:rPr>
                <w:rFonts w:hint="eastAsia"/>
                <w:szCs w:val="21"/>
              </w:rPr>
              <w:t>0</w:t>
            </w:r>
          </w:p>
        </w:tc>
        <w:tc>
          <w:tcPr>
            <w:tcW w:w="1276" w:type="dxa"/>
            <w:vAlign w:val="center"/>
          </w:tcPr>
          <w:p>
            <w:pPr>
              <w:pStyle w:val="68"/>
              <w:spacing w:line="320" w:lineRule="exact"/>
              <w:rPr>
                <w:szCs w:val="21"/>
              </w:rPr>
            </w:pPr>
            <w:r>
              <w:rPr>
                <w:rFonts w:hint="eastAsia"/>
                <w:szCs w:val="21"/>
              </w:rPr>
              <w:t>/</w:t>
            </w:r>
          </w:p>
        </w:tc>
        <w:tc>
          <w:tcPr>
            <w:tcW w:w="1701" w:type="dxa"/>
            <w:vAlign w:val="center"/>
          </w:tcPr>
          <w:p>
            <w:pPr>
              <w:pStyle w:val="68"/>
              <w:spacing w:line="320" w:lineRule="exact"/>
              <w:rPr>
                <w:szCs w:val="21"/>
              </w:rPr>
            </w:pPr>
            <w:r>
              <w:rPr>
                <w:rFonts w:hint="eastAsia"/>
                <w:szCs w:val="21"/>
              </w:rPr>
              <w:t>/</w:t>
            </w:r>
          </w:p>
        </w:tc>
        <w:tc>
          <w:tcPr>
            <w:tcW w:w="1559" w:type="dxa"/>
            <w:vAlign w:val="center"/>
          </w:tcPr>
          <w:p>
            <w:pPr>
              <w:pStyle w:val="68"/>
              <w:rPr>
                <w:szCs w:val="21"/>
              </w:rPr>
            </w:pPr>
            <w:r>
              <w:rPr>
                <w:rFonts w:hint="eastAsia"/>
                <w:szCs w:val="21"/>
              </w:rPr>
              <w:t>0.05t/a</w:t>
            </w:r>
          </w:p>
        </w:tc>
        <w:tc>
          <w:tcPr>
            <w:tcW w:w="1761" w:type="dxa"/>
            <w:vAlign w:val="center"/>
          </w:tcPr>
          <w:p>
            <w:pPr>
              <w:pStyle w:val="68"/>
              <w:spacing w:line="320" w:lineRule="exact"/>
              <w:rPr>
                <w:bCs/>
                <w:szCs w:val="21"/>
              </w:rPr>
            </w:pPr>
            <w:r>
              <w:rPr>
                <w:rFonts w:hint="eastAsia"/>
                <w:bCs/>
                <w:szCs w:val="21"/>
              </w:rPr>
              <w:t>/</w:t>
            </w:r>
          </w:p>
        </w:tc>
        <w:tc>
          <w:tcPr>
            <w:tcW w:w="1499" w:type="dxa"/>
            <w:vAlign w:val="center"/>
          </w:tcPr>
          <w:p>
            <w:pPr>
              <w:pStyle w:val="68"/>
              <w:rPr>
                <w:szCs w:val="21"/>
              </w:rPr>
            </w:pPr>
            <w:r>
              <w:rPr>
                <w:rFonts w:hint="eastAsia"/>
                <w:szCs w:val="21"/>
              </w:rPr>
              <w:t>0.05t/a</w:t>
            </w:r>
          </w:p>
        </w:tc>
        <w:tc>
          <w:tcPr>
            <w:tcW w:w="1286" w:type="dxa"/>
            <w:vAlign w:val="center"/>
          </w:tcPr>
          <w:p>
            <w:pPr>
              <w:pStyle w:val="68"/>
              <w:rPr>
                <w:szCs w:val="21"/>
              </w:rPr>
            </w:pPr>
            <w:r>
              <w:rPr>
                <w:rFonts w:hint="eastAsia"/>
                <w:szCs w:val="21"/>
              </w:rPr>
              <w:t>+0.05t/a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56"/>
              <w:spacing w:beforeLines="0" w:afterLines="0" w:line="240" w:lineRule="auto"/>
              <w:rPr>
                <w:rFonts w:hAnsi="宋体" w:cs="宋体"/>
                <w:snapToGrid w:val="0"/>
                <w:kern w:val="21"/>
                <w:szCs w:val="21"/>
              </w:rPr>
            </w:pPr>
          </w:p>
        </w:tc>
        <w:tc>
          <w:tcPr>
            <w:tcW w:w="1559" w:type="dxa"/>
            <w:vAlign w:val="center"/>
          </w:tcPr>
          <w:p>
            <w:pPr>
              <w:pStyle w:val="68"/>
              <w:spacing w:line="320" w:lineRule="exact"/>
              <w:rPr>
                <w:szCs w:val="21"/>
              </w:rPr>
            </w:pPr>
            <w:r>
              <w:rPr>
                <w:rFonts w:hint="eastAsia"/>
                <w:szCs w:val="21"/>
              </w:rPr>
              <w:t>废油墨桶</w:t>
            </w:r>
          </w:p>
        </w:tc>
        <w:tc>
          <w:tcPr>
            <w:tcW w:w="1559" w:type="dxa"/>
            <w:vAlign w:val="center"/>
          </w:tcPr>
          <w:p>
            <w:pPr>
              <w:pStyle w:val="68"/>
              <w:rPr>
                <w:szCs w:val="21"/>
              </w:rPr>
            </w:pPr>
            <w:r>
              <w:rPr>
                <w:rFonts w:hint="eastAsia"/>
                <w:szCs w:val="21"/>
              </w:rPr>
              <w:t>0</w:t>
            </w:r>
          </w:p>
        </w:tc>
        <w:tc>
          <w:tcPr>
            <w:tcW w:w="1276" w:type="dxa"/>
            <w:vAlign w:val="center"/>
          </w:tcPr>
          <w:p>
            <w:pPr>
              <w:pStyle w:val="68"/>
              <w:spacing w:line="320" w:lineRule="exact"/>
              <w:rPr>
                <w:szCs w:val="21"/>
              </w:rPr>
            </w:pPr>
            <w:r>
              <w:rPr>
                <w:rFonts w:hint="eastAsia"/>
                <w:szCs w:val="21"/>
              </w:rPr>
              <w:t>/</w:t>
            </w:r>
          </w:p>
        </w:tc>
        <w:tc>
          <w:tcPr>
            <w:tcW w:w="1701" w:type="dxa"/>
            <w:vAlign w:val="center"/>
          </w:tcPr>
          <w:p>
            <w:pPr>
              <w:pStyle w:val="68"/>
              <w:spacing w:line="320" w:lineRule="exact"/>
              <w:rPr>
                <w:szCs w:val="21"/>
              </w:rPr>
            </w:pPr>
            <w:r>
              <w:rPr>
                <w:rFonts w:hint="eastAsia"/>
                <w:szCs w:val="21"/>
              </w:rPr>
              <w:t>/</w:t>
            </w:r>
          </w:p>
        </w:tc>
        <w:tc>
          <w:tcPr>
            <w:tcW w:w="1559" w:type="dxa"/>
            <w:vAlign w:val="center"/>
          </w:tcPr>
          <w:p>
            <w:pPr>
              <w:pStyle w:val="68"/>
              <w:rPr>
                <w:szCs w:val="21"/>
              </w:rPr>
            </w:pPr>
            <w:r>
              <w:rPr>
                <w:rFonts w:hint="eastAsia"/>
                <w:szCs w:val="21"/>
              </w:rPr>
              <w:t>0.02t/a</w:t>
            </w:r>
          </w:p>
        </w:tc>
        <w:tc>
          <w:tcPr>
            <w:tcW w:w="1761" w:type="dxa"/>
            <w:vAlign w:val="center"/>
          </w:tcPr>
          <w:p>
            <w:pPr>
              <w:pStyle w:val="68"/>
              <w:spacing w:line="320" w:lineRule="exact"/>
              <w:rPr>
                <w:bCs/>
                <w:szCs w:val="21"/>
              </w:rPr>
            </w:pPr>
            <w:r>
              <w:rPr>
                <w:rFonts w:hint="eastAsia"/>
                <w:bCs/>
                <w:szCs w:val="21"/>
              </w:rPr>
              <w:t>/</w:t>
            </w:r>
          </w:p>
        </w:tc>
        <w:tc>
          <w:tcPr>
            <w:tcW w:w="1499" w:type="dxa"/>
            <w:vAlign w:val="center"/>
          </w:tcPr>
          <w:p>
            <w:pPr>
              <w:pStyle w:val="68"/>
              <w:rPr>
                <w:szCs w:val="21"/>
              </w:rPr>
            </w:pPr>
            <w:r>
              <w:rPr>
                <w:rFonts w:hint="eastAsia"/>
                <w:szCs w:val="21"/>
              </w:rPr>
              <w:t>0.02t/a</w:t>
            </w:r>
          </w:p>
        </w:tc>
        <w:tc>
          <w:tcPr>
            <w:tcW w:w="1286" w:type="dxa"/>
            <w:vAlign w:val="center"/>
          </w:tcPr>
          <w:p>
            <w:pPr>
              <w:pStyle w:val="68"/>
              <w:rPr>
                <w:szCs w:val="21"/>
              </w:rPr>
            </w:pPr>
            <w:r>
              <w:rPr>
                <w:rFonts w:hint="eastAsia"/>
                <w:szCs w:val="21"/>
              </w:rPr>
              <w:t>+0.02t/a</w:t>
            </w:r>
          </w:p>
        </w:tc>
      </w:tr>
    </w:tbl>
    <w:p>
      <w:pPr>
        <w:pStyle w:val="56"/>
        <w:spacing w:beforeLines="80" w:after="24"/>
        <w:jc w:val="left"/>
        <w:rPr>
          <w:rFonts w:hAnsi="宋体" w:eastAsia="黑体"/>
        </w:rPr>
      </w:pPr>
      <w:r>
        <w:rPr>
          <w:rFonts w:hAnsi="宋体"/>
          <w:snapToGrid w:val="0"/>
          <w:kern w:val="21"/>
          <w:szCs w:val="21"/>
        </w:rPr>
        <w:t>注：</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3 \* GB3 \* MERGEFORMAT </w:instrText>
      </w:r>
      <w:r>
        <w:rPr>
          <w:rFonts w:hAnsi="宋体"/>
          <w:snapToGrid w:val="0"/>
          <w:spacing w:val="-6"/>
          <w:kern w:val="21"/>
          <w:szCs w:val="21"/>
        </w:rPr>
        <w:fldChar w:fldCharType="separate"/>
      </w:r>
      <w:r>
        <w:rPr>
          <w:rFonts w:hint="eastAsia" w:hAnsi="宋体"/>
          <w:szCs w:val="21"/>
        </w:rPr>
        <w:t>③</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4 \* GB3 \* MERGEFORMAT </w:instrText>
      </w:r>
      <w:r>
        <w:rPr>
          <w:rFonts w:hAnsi="宋体"/>
          <w:snapToGrid w:val="0"/>
          <w:spacing w:val="-6"/>
          <w:kern w:val="21"/>
          <w:szCs w:val="21"/>
        </w:rPr>
        <w:fldChar w:fldCharType="separate"/>
      </w:r>
      <w:r>
        <w:rPr>
          <w:rFonts w:hint="eastAsia" w:hAnsi="宋体"/>
          <w:szCs w:val="21"/>
        </w:rPr>
        <w:t>④</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5 \* GB3 \* MERGEFORMAT </w:instrText>
      </w:r>
      <w:r>
        <w:rPr>
          <w:rFonts w:hAnsi="宋体"/>
          <w:snapToGrid w:val="0"/>
          <w:spacing w:val="-16"/>
          <w:kern w:val="21"/>
          <w:szCs w:val="21"/>
        </w:rPr>
        <w:fldChar w:fldCharType="separate"/>
      </w:r>
      <w:r>
        <w:rPr>
          <w:rFonts w:hint="eastAsia" w:hAnsi="宋体"/>
          <w:szCs w:val="21"/>
        </w:rPr>
        <w:t>⑤</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7 \* GB3 \* MERGEFORMAT </w:instrText>
      </w:r>
      <w:r>
        <w:rPr>
          <w:rFonts w:hAnsi="宋体"/>
          <w:snapToGrid w:val="0"/>
          <w:spacing w:val="-6"/>
          <w:kern w:val="21"/>
          <w:szCs w:val="21"/>
        </w:rPr>
        <w:fldChar w:fldCharType="separate"/>
      </w:r>
      <w:r>
        <w:rPr>
          <w:rFonts w:hint="eastAsia" w:hAnsi="宋体"/>
          <w:szCs w:val="21"/>
        </w:rPr>
        <w:t>⑦</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p>
    <w:sectPr>
      <w:footerReference r:id="rId6" w:type="default"/>
      <w:pgSz w:w="16838" w:h="11906" w:orient="landscape"/>
      <w:pgMar w:top="1531" w:right="1701" w:bottom="1531"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onsolas">
    <w:panose1 w:val="020B0609020204030204"/>
    <w:charset w:val="00"/>
    <w:family w:val="modern"/>
    <w:pitch w:val="default"/>
    <w:sig w:usb0="E10002FF" w:usb1="4000FCFF" w:usb2="00000009" w:usb3="00000000" w:csb0="600001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TimesNewRomanPSMT">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Noto Sans CJK JP Regular">
    <w:altName w:val="Arial"/>
    <w:panose1 w:val="00000000000000000000"/>
    <w:charset w:val="00"/>
    <w:family w:val="swiss"/>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6"/>
        <w:rFonts w:ascii="宋体" w:hAnsi="宋体"/>
        <w:sz w:val="28"/>
        <w:szCs w:val="28"/>
      </w:rPr>
    </w:pPr>
  </w:p>
  <w:p>
    <w:pPr>
      <w:pStyle w:val="15"/>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end"/>
    </w:r>
  </w:p>
  <w:p>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6"/>
        <w:rFonts w:ascii="宋体" w:hAnsi="宋体"/>
        <w:sz w:val="28"/>
        <w:szCs w:val="28"/>
      </w:rPr>
    </w:pPr>
    <w:r>
      <w:rPr>
        <w:rStyle w:val="26"/>
        <w:rFonts w:hint="eastAsia" w:ascii="宋体" w:hAnsi="宋体"/>
        <w:sz w:val="28"/>
        <w:szCs w:val="28"/>
      </w:rPr>
      <w:t>—</w:t>
    </w:r>
    <w:r>
      <w:rPr>
        <w:rStyle w:val="26"/>
        <w:rFonts w:hint="eastAsia" w:ascii="宋体" w:hAnsi="宋体"/>
        <w:sz w:val="20"/>
      </w:rPr>
      <w:t xml:space="preserve">  </w:t>
    </w:r>
    <w:r>
      <w:rPr>
        <w:rFonts w:ascii="宋体" w:hAnsi="宋体"/>
        <w:sz w:val="26"/>
        <w:szCs w:val="26"/>
      </w:rPr>
      <w:fldChar w:fldCharType="begin"/>
    </w:r>
    <w:r>
      <w:rPr>
        <w:rStyle w:val="26"/>
        <w:rFonts w:ascii="宋体" w:hAnsi="宋体"/>
        <w:sz w:val="26"/>
        <w:szCs w:val="26"/>
      </w:rPr>
      <w:instrText xml:space="preserve">PAGE  </w:instrText>
    </w:r>
    <w:r>
      <w:rPr>
        <w:rFonts w:ascii="宋体" w:hAnsi="宋体"/>
        <w:sz w:val="26"/>
        <w:szCs w:val="26"/>
      </w:rPr>
      <w:fldChar w:fldCharType="separate"/>
    </w:r>
    <w:r>
      <w:rPr>
        <w:rStyle w:val="26"/>
        <w:rFonts w:ascii="宋体" w:hAnsi="宋体"/>
        <w:sz w:val="26"/>
        <w:szCs w:val="26"/>
      </w:rPr>
      <w:t>6</w:t>
    </w:r>
    <w:r>
      <w:rPr>
        <w:rFonts w:ascii="宋体" w:hAnsi="宋体"/>
        <w:sz w:val="26"/>
        <w:szCs w:val="26"/>
      </w:rPr>
      <w:fldChar w:fldCharType="end"/>
    </w:r>
    <w:r>
      <w:rPr>
        <w:rStyle w:val="26"/>
        <w:rFonts w:hint="eastAsia" w:ascii="宋体" w:hAnsi="宋体"/>
        <w:sz w:val="20"/>
      </w:rPr>
      <w:t xml:space="preserve">  </w:t>
    </w:r>
    <w:r>
      <w:rPr>
        <w:rStyle w:val="26"/>
        <w:rFonts w:hint="eastAsia" w:ascii="宋体" w:hAnsi="宋体"/>
        <w:sz w:val="28"/>
        <w:szCs w:val="28"/>
      </w:rPr>
      <w:t>—</w:t>
    </w:r>
  </w:p>
  <w:p>
    <w:pPr>
      <w:pStyle w:val="15"/>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6"/>
        <w:rFonts w:ascii="宋体" w:hAnsi="宋体"/>
        <w:sz w:val="28"/>
        <w:szCs w:val="28"/>
      </w:rPr>
    </w:pPr>
    <w:r>
      <w:rPr>
        <w:rStyle w:val="26"/>
        <w:rFonts w:hint="eastAsia" w:ascii="宋体" w:hAnsi="宋体"/>
        <w:sz w:val="28"/>
        <w:szCs w:val="28"/>
      </w:rPr>
      <w:t>—</w:t>
    </w:r>
    <w:r>
      <w:rPr>
        <w:rStyle w:val="26"/>
        <w:rFonts w:hint="eastAsia" w:ascii="宋体" w:hAnsi="宋体"/>
        <w:sz w:val="20"/>
      </w:rPr>
      <w:t xml:space="preserve">  </w:t>
    </w:r>
    <w:r>
      <w:rPr>
        <w:rFonts w:ascii="宋体" w:hAnsi="宋体"/>
        <w:sz w:val="26"/>
        <w:szCs w:val="26"/>
      </w:rPr>
      <w:fldChar w:fldCharType="begin"/>
    </w:r>
    <w:r>
      <w:rPr>
        <w:rStyle w:val="26"/>
        <w:rFonts w:ascii="宋体" w:hAnsi="宋体"/>
        <w:sz w:val="26"/>
        <w:szCs w:val="26"/>
      </w:rPr>
      <w:instrText xml:space="preserve">PAGE  </w:instrText>
    </w:r>
    <w:r>
      <w:rPr>
        <w:rFonts w:ascii="宋体" w:hAnsi="宋体"/>
        <w:sz w:val="26"/>
        <w:szCs w:val="26"/>
      </w:rPr>
      <w:fldChar w:fldCharType="separate"/>
    </w:r>
    <w:r>
      <w:rPr>
        <w:rStyle w:val="26"/>
        <w:rFonts w:ascii="宋体" w:hAnsi="宋体"/>
        <w:sz w:val="26"/>
        <w:szCs w:val="26"/>
      </w:rPr>
      <w:t>63</w:t>
    </w:r>
    <w:r>
      <w:rPr>
        <w:rFonts w:ascii="宋体" w:hAnsi="宋体"/>
        <w:sz w:val="26"/>
        <w:szCs w:val="26"/>
      </w:rPr>
      <w:fldChar w:fldCharType="end"/>
    </w:r>
    <w:r>
      <w:rPr>
        <w:rStyle w:val="26"/>
        <w:rFonts w:hint="eastAsia" w:ascii="宋体" w:hAnsi="宋体"/>
        <w:sz w:val="20"/>
      </w:rPr>
      <w:t xml:space="preserve">  </w:t>
    </w:r>
    <w:r>
      <w:rPr>
        <w:rStyle w:val="26"/>
        <w:rFonts w:hint="eastAsia" w:ascii="宋体" w:hAnsi="宋体"/>
        <w:sz w:val="28"/>
        <w:szCs w:val="28"/>
      </w:rPr>
      <w:t>—</w:t>
    </w:r>
  </w:p>
  <w:p>
    <w:pPr>
      <w:pStyle w:val="15"/>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29DB9"/>
    <w:multiLevelType w:val="singleLevel"/>
    <w:tmpl w:val="A8829DB9"/>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dit="trackedChanges" w:enforcement="0"/>
  <w:defaultTabStop w:val="420"/>
  <w:doNotHyphenateCaps/>
  <w:drawingGridHorizontalSpacing w:val="105"/>
  <w:drawingGridVerticalSpacing w:val="156"/>
  <w:displayHorizont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RhMTgyNzM1ZjhjNzcwNjE3NDM5NDUxOWI5YTQzNDMifQ=="/>
  </w:docVars>
  <w:rsids>
    <w:rsidRoot w:val="00172A27"/>
    <w:rsid w:val="0000116A"/>
    <w:rsid w:val="000025D4"/>
    <w:rsid w:val="00002887"/>
    <w:rsid w:val="000030CC"/>
    <w:rsid w:val="00004C9E"/>
    <w:rsid w:val="000060B1"/>
    <w:rsid w:val="000060B3"/>
    <w:rsid w:val="00007FFB"/>
    <w:rsid w:val="00013B7A"/>
    <w:rsid w:val="00015E0F"/>
    <w:rsid w:val="00017372"/>
    <w:rsid w:val="00020F69"/>
    <w:rsid w:val="000214FC"/>
    <w:rsid w:val="00021A9A"/>
    <w:rsid w:val="00022C11"/>
    <w:rsid w:val="00022E06"/>
    <w:rsid w:val="00023747"/>
    <w:rsid w:val="00024251"/>
    <w:rsid w:val="000246A1"/>
    <w:rsid w:val="00025427"/>
    <w:rsid w:val="000271A5"/>
    <w:rsid w:val="00030833"/>
    <w:rsid w:val="00030D1D"/>
    <w:rsid w:val="00030EC7"/>
    <w:rsid w:val="00035098"/>
    <w:rsid w:val="000354CB"/>
    <w:rsid w:val="00035A96"/>
    <w:rsid w:val="00035D1B"/>
    <w:rsid w:val="000369EF"/>
    <w:rsid w:val="0003766F"/>
    <w:rsid w:val="00037773"/>
    <w:rsid w:val="00037B81"/>
    <w:rsid w:val="00041FC6"/>
    <w:rsid w:val="0004364B"/>
    <w:rsid w:val="00045D56"/>
    <w:rsid w:val="00055A7C"/>
    <w:rsid w:val="00061B1F"/>
    <w:rsid w:val="00064912"/>
    <w:rsid w:val="00066BEE"/>
    <w:rsid w:val="000672E1"/>
    <w:rsid w:val="00070AE9"/>
    <w:rsid w:val="00071116"/>
    <w:rsid w:val="000719E3"/>
    <w:rsid w:val="000733C4"/>
    <w:rsid w:val="00074783"/>
    <w:rsid w:val="00074A63"/>
    <w:rsid w:val="00074F68"/>
    <w:rsid w:val="00074F99"/>
    <w:rsid w:val="00075690"/>
    <w:rsid w:val="000804EC"/>
    <w:rsid w:val="0008070B"/>
    <w:rsid w:val="000809E4"/>
    <w:rsid w:val="000810AC"/>
    <w:rsid w:val="00081A02"/>
    <w:rsid w:val="00082231"/>
    <w:rsid w:val="00084548"/>
    <w:rsid w:val="00085D05"/>
    <w:rsid w:val="000860B3"/>
    <w:rsid w:val="00087A0E"/>
    <w:rsid w:val="00092A8D"/>
    <w:rsid w:val="00092D38"/>
    <w:rsid w:val="0009351D"/>
    <w:rsid w:val="0009377B"/>
    <w:rsid w:val="00095363"/>
    <w:rsid w:val="000A0C13"/>
    <w:rsid w:val="000A0CDF"/>
    <w:rsid w:val="000A1DD0"/>
    <w:rsid w:val="000A20C9"/>
    <w:rsid w:val="000B058F"/>
    <w:rsid w:val="000B087C"/>
    <w:rsid w:val="000B1977"/>
    <w:rsid w:val="000B2E57"/>
    <w:rsid w:val="000B4467"/>
    <w:rsid w:val="000B4DB9"/>
    <w:rsid w:val="000B5DE4"/>
    <w:rsid w:val="000B6242"/>
    <w:rsid w:val="000B6527"/>
    <w:rsid w:val="000B6F71"/>
    <w:rsid w:val="000C09AC"/>
    <w:rsid w:val="000C1FF9"/>
    <w:rsid w:val="000C2A5A"/>
    <w:rsid w:val="000C3E56"/>
    <w:rsid w:val="000C4AB6"/>
    <w:rsid w:val="000C4DAA"/>
    <w:rsid w:val="000C6075"/>
    <w:rsid w:val="000C66CD"/>
    <w:rsid w:val="000C6DB8"/>
    <w:rsid w:val="000C7308"/>
    <w:rsid w:val="000C767F"/>
    <w:rsid w:val="000D087F"/>
    <w:rsid w:val="000D34D7"/>
    <w:rsid w:val="000D3615"/>
    <w:rsid w:val="000D4DC8"/>
    <w:rsid w:val="000D5A44"/>
    <w:rsid w:val="000E0609"/>
    <w:rsid w:val="000E2541"/>
    <w:rsid w:val="000E3ED2"/>
    <w:rsid w:val="000E428D"/>
    <w:rsid w:val="000E73AA"/>
    <w:rsid w:val="000F1DBA"/>
    <w:rsid w:val="000F4124"/>
    <w:rsid w:val="000F487B"/>
    <w:rsid w:val="00100B75"/>
    <w:rsid w:val="00101E49"/>
    <w:rsid w:val="0010265B"/>
    <w:rsid w:val="00103CE9"/>
    <w:rsid w:val="00105907"/>
    <w:rsid w:val="00105EE3"/>
    <w:rsid w:val="00111902"/>
    <w:rsid w:val="001129AC"/>
    <w:rsid w:val="0011358A"/>
    <w:rsid w:val="00113DC6"/>
    <w:rsid w:val="00115FEE"/>
    <w:rsid w:val="00120234"/>
    <w:rsid w:val="0012145D"/>
    <w:rsid w:val="00123830"/>
    <w:rsid w:val="00126A48"/>
    <w:rsid w:val="00126BFE"/>
    <w:rsid w:val="001307F4"/>
    <w:rsid w:val="00130C1D"/>
    <w:rsid w:val="00131D06"/>
    <w:rsid w:val="00131F42"/>
    <w:rsid w:val="00132A78"/>
    <w:rsid w:val="0013354F"/>
    <w:rsid w:val="001357F1"/>
    <w:rsid w:val="001404FF"/>
    <w:rsid w:val="00140FA8"/>
    <w:rsid w:val="0014178C"/>
    <w:rsid w:val="00142ACE"/>
    <w:rsid w:val="00142FEB"/>
    <w:rsid w:val="001432DA"/>
    <w:rsid w:val="00143A2D"/>
    <w:rsid w:val="00144758"/>
    <w:rsid w:val="00145A41"/>
    <w:rsid w:val="00145EEA"/>
    <w:rsid w:val="00147D09"/>
    <w:rsid w:val="00151417"/>
    <w:rsid w:val="00151675"/>
    <w:rsid w:val="001521AA"/>
    <w:rsid w:val="0015568B"/>
    <w:rsid w:val="00157435"/>
    <w:rsid w:val="0016353D"/>
    <w:rsid w:val="001643FE"/>
    <w:rsid w:val="00164DD4"/>
    <w:rsid w:val="00164F80"/>
    <w:rsid w:val="001704C6"/>
    <w:rsid w:val="00170C3E"/>
    <w:rsid w:val="00171994"/>
    <w:rsid w:val="00172606"/>
    <w:rsid w:val="00172A27"/>
    <w:rsid w:val="00172AE3"/>
    <w:rsid w:val="0017324B"/>
    <w:rsid w:val="00173CDC"/>
    <w:rsid w:val="0017504D"/>
    <w:rsid w:val="0017521D"/>
    <w:rsid w:val="0017671A"/>
    <w:rsid w:val="00177422"/>
    <w:rsid w:val="00184590"/>
    <w:rsid w:val="001870D1"/>
    <w:rsid w:val="0018781E"/>
    <w:rsid w:val="00191079"/>
    <w:rsid w:val="0019262D"/>
    <w:rsid w:val="001A06D6"/>
    <w:rsid w:val="001A1B35"/>
    <w:rsid w:val="001A48A2"/>
    <w:rsid w:val="001A583F"/>
    <w:rsid w:val="001A6F61"/>
    <w:rsid w:val="001A7BA2"/>
    <w:rsid w:val="001B0967"/>
    <w:rsid w:val="001B3FBB"/>
    <w:rsid w:val="001B6E0C"/>
    <w:rsid w:val="001B72B8"/>
    <w:rsid w:val="001C1112"/>
    <w:rsid w:val="001C1468"/>
    <w:rsid w:val="001C69B3"/>
    <w:rsid w:val="001C6F31"/>
    <w:rsid w:val="001C741A"/>
    <w:rsid w:val="001D1746"/>
    <w:rsid w:val="001D1BCB"/>
    <w:rsid w:val="001D44D0"/>
    <w:rsid w:val="001D47A3"/>
    <w:rsid w:val="001D5595"/>
    <w:rsid w:val="001D7874"/>
    <w:rsid w:val="001D7914"/>
    <w:rsid w:val="001D7D62"/>
    <w:rsid w:val="001D7F22"/>
    <w:rsid w:val="001E1C34"/>
    <w:rsid w:val="001E264A"/>
    <w:rsid w:val="001E4114"/>
    <w:rsid w:val="001F053A"/>
    <w:rsid w:val="001F0F17"/>
    <w:rsid w:val="001F13EF"/>
    <w:rsid w:val="001F307A"/>
    <w:rsid w:val="001F3347"/>
    <w:rsid w:val="001F44EE"/>
    <w:rsid w:val="001F499B"/>
    <w:rsid w:val="001F5A93"/>
    <w:rsid w:val="001F69E4"/>
    <w:rsid w:val="001F70DF"/>
    <w:rsid w:val="0020101F"/>
    <w:rsid w:val="00201C37"/>
    <w:rsid w:val="002056E0"/>
    <w:rsid w:val="00211558"/>
    <w:rsid w:val="002125B4"/>
    <w:rsid w:val="00214236"/>
    <w:rsid w:val="00214DEC"/>
    <w:rsid w:val="002155B8"/>
    <w:rsid w:val="002205C8"/>
    <w:rsid w:val="00223210"/>
    <w:rsid w:val="0022349B"/>
    <w:rsid w:val="00223A15"/>
    <w:rsid w:val="00223F33"/>
    <w:rsid w:val="00224839"/>
    <w:rsid w:val="002249B2"/>
    <w:rsid w:val="00225792"/>
    <w:rsid w:val="00226574"/>
    <w:rsid w:val="002278EC"/>
    <w:rsid w:val="00227D26"/>
    <w:rsid w:val="002314E0"/>
    <w:rsid w:val="0023280E"/>
    <w:rsid w:val="00236095"/>
    <w:rsid w:val="00236D79"/>
    <w:rsid w:val="002377D1"/>
    <w:rsid w:val="00250487"/>
    <w:rsid w:val="002506BC"/>
    <w:rsid w:val="00251D0C"/>
    <w:rsid w:val="00254345"/>
    <w:rsid w:val="00254D98"/>
    <w:rsid w:val="00255C5A"/>
    <w:rsid w:val="0025641C"/>
    <w:rsid w:val="00257BD1"/>
    <w:rsid w:val="00260502"/>
    <w:rsid w:val="00262A8F"/>
    <w:rsid w:val="00262D4D"/>
    <w:rsid w:val="002631B1"/>
    <w:rsid w:val="00264557"/>
    <w:rsid w:val="00265EAC"/>
    <w:rsid w:val="002708B9"/>
    <w:rsid w:val="002732FC"/>
    <w:rsid w:val="00274267"/>
    <w:rsid w:val="00274920"/>
    <w:rsid w:val="0027506B"/>
    <w:rsid w:val="00275DBB"/>
    <w:rsid w:val="002763AB"/>
    <w:rsid w:val="002805AB"/>
    <w:rsid w:val="00284204"/>
    <w:rsid w:val="0028484F"/>
    <w:rsid w:val="00291773"/>
    <w:rsid w:val="002917F2"/>
    <w:rsid w:val="00294421"/>
    <w:rsid w:val="00294BBC"/>
    <w:rsid w:val="0029758A"/>
    <w:rsid w:val="002A168C"/>
    <w:rsid w:val="002A3DC7"/>
    <w:rsid w:val="002A5672"/>
    <w:rsid w:val="002A59D8"/>
    <w:rsid w:val="002A650C"/>
    <w:rsid w:val="002B1EAD"/>
    <w:rsid w:val="002B2510"/>
    <w:rsid w:val="002B32C8"/>
    <w:rsid w:val="002B3F81"/>
    <w:rsid w:val="002B41C5"/>
    <w:rsid w:val="002B49E2"/>
    <w:rsid w:val="002B5BCE"/>
    <w:rsid w:val="002B74AA"/>
    <w:rsid w:val="002B7B00"/>
    <w:rsid w:val="002B7C44"/>
    <w:rsid w:val="002C17DE"/>
    <w:rsid w:val="002C2B17"/>
    <w:rsid w:val="002C3990"/>
    <w:rsid w:val="002C5A73"/>
    <w:rsid w:val="002C6BD3"/>
    <w:rsid w:val="002D058D"/>
    <w:rsid w:val="002D1C5F"/>
    <w:rsid w:val="002D3DD0"/>
    <w:rsid w:val="002E0D16"/>
    <w:rsid w:val="002E1F3A"/>
    <w:rsid w:val="002E298A"/>
    <w:rsid w:val="002E67BE"/>
    <w:rsid w:val="002E7F6C"/>
    <w:rsid w:val="002F0391"/>
    <w:rsid w:val="002F0BAA"/>
    <w:rsid w:val="002F2541"/>
    <w:rsid w:val="002F37F5"/>
    <w:rsid w:val="002F43AD"/>
    <w:rsid w:val="002F57DF"/>
    <w:rsid w:val="003016C4"/>
    <w:rsid w:val="00301978"/>
    <w:rsid w:val="00301A1C"/>
    <w:rsid w:val="00301E43"/>
    <w:rsid w:val="0030332C"/>
    <w:rsid w:val="003051C2"/>
    <w:rsid w:val="003074D8"/>
    <w:rsid w:val="00307716"/>
    <w:rsid w:val="00312296"/>
    <w:rsid w:val="00313171"/>
    <w:rsid w:val="00314CEC"/>
    <w:rsid w:val="00314F0E"/>
    <w:rsid w:val="00315B15"/>
    <w:rsid w:val="00315C30"/>
    <w:rsid w:val="00316005"/>
    <w:rsid w:val="00320307"/>
    <w:rsid w:val="00321D8E"/>
    <w:rsid w:val="00323F75"/>
    <w:rsid w:val="00325928"/>
    <w:rsid w:val="003265CD"/>
    <w:rsid w:val="00326B63"/>
    <w:rsid w:val="00332863"/>
    <w:rsid w:val="00332960"/>
    <w:rsid w:val="00334FC3"/>
    <w:rsid w:val="003358A1"/>
    <w:rsid w:val="00335C43"/>
    <w:rsid w:val="0033684D"/>
    <w:rsid w:val="00337B42"/>
    <w:rsid w:val="00341B42"/>
    <w:rsid w:val="00341D58"/>
    <w:rsid w:val="00342496"/>
    <w:rsid w:val="0034348F"/>
    <w:rsid w:val="0034415E"/>
    <w:rsid w:val="003447B7"/>
    <w:rsid w:val="003461B0"/>
    <w:rsid w:val="003461CC"/>
    <w:rsid w:val="003462BD"/>
    <w:rsid w:val="00351C23"/>
    <w:rsid w:val="00352738"/>
    <w:rsid w:val="00352F77"/>
    <w:rsid w:val="003542CD"/>
    <w:rsid w:val="0035459E"/>
    <w:rsid w:val="00354C41"/>
    <w:rsid w:val="00356653"/>
    <w:rsid w:val="0035743F"/>
    <w:rsid w:val="00357441"/>
    <w:rsid w:val="00357BE2"/>
    <w:rsid w:val="00357C19"/>
    <w:rsid w:val="00360E24"/>
    <w:rsid w:val="00360F3A"/>
    <w:rsid w:val="0036170C"/>
    <w:rsid w:val="00361B60"/>
    <w:rsid w:val="00366E0F"/>
    <w:rsid w:val="00367891"/>
    <w:rsid w:val="003725D9"/>
    <w:rsid w:val="0037341A"/>
    <w:rsid w:val="00377FA5"/>
    <w:rsid w:val="00381A72"/>
    <w:rsid w:val="00384676"/>
    <w:rsid w:val="003860B0"/>
    <w:rsid w:val="00386A6F"/>
    <w:rsid w:val="00386E44"/>
    <w:rsid w:val="00390857"/>
    <w:rsid w:val="003933E6"/>
    <w:rsid w:val="00393641"/>
    <w:rsid w:val="00394093"/>
    <w:rsid w:val="00395606"/>
    <w:rsid w:val="00396FCB"/>
    <w:rsid w:val="003A3271"/>
    <w:rsid w:val="003A4BF3"/>
    <w:rsid w:val="003A5C8A"/>
    <w:rsid w:val="003A6BCF"/>
    <w:rsid w:val="003B420D"/>
    <w:rsid w:val="003B68C6"/>
    <w:rsid w:val="003B7EA6"/>
    <w:rsid w:val="003C08BB"/>
    <w:rsid w:val="003C09AD"/>
    <w:rsid w:val="003C2AC1"/>
    <w:rsid w:val="003C5B39"/>
    <w:rsid w:val="003C6135"/>
    <w:rsid w:val="003C6C16"/>
    <w:rsid w:val="003D0E9D"/>
    <w:rsid w:val="003D1849"/>
    <w:rsid w:val="003D22B1"/>
    <w:rsid w:val="003D5F20"/>
    <w:rsid w:val="003D64F0"/>
    <w:rsid w:val="003D73C4"/>
    <w:rsid w:val="003D794D"/>
    <w:rsid w:val="003E08FF"/>
    <w:rsid w:val="003E12C4"/>
    <w:rsid w:val="003E17F6"/>
    <w:rsid w:val="003E3058"/>
    <w:rsid w:val="003E3425"/>
    <w:rsid w:val="003E3D45"/>
    <w:rsid w:val="003E5987"/>
    <w:rsid w:val="003E76A9"/>
    <w:rsid w:val="003F0809"/>
    <w:rsid w:val="003F31D6"/>
    <w:rsid w:val="003F35FC"/>
    <w:rsid w:val="003F4EE9"/>
    <w:rsid w:val="003F6A8C"/>
    <w:rsid w:val="003F755C"/>
    <w:rsid w:val="003F79A7"/>
    <w:rsid w:val="004025BD"/>
    <w:rsid w:val="00403136"/>
    <w:rsid w:val="00406F01"/>
    <w:rsid w:val="004078D8"/>
    <w:rsid w:val="00410158"/>
    <w:rsid w:val="00411F52"/>
    <w:rsid w:val="0041686B"/>
    <w:rsid w:val="00416D50"/>
    <w:rsid w:val="00416FD5"/>
    <w:rsid w:val="004176E8"/>
    <w:rsid w:val="00417772"/>
    <w:rsid w:val="00420E6A"/>
    <w:rsid w:val="00421EEC"/>
    <w:rsid w:val="004243E6"/>
    <w:rsid w:val="00425A9E"/>
    <w:rsid w:val="00426D6B"/>
    <w:rsid w:val="00431E6C"/>
    <w:rsid w:val="00433A58"/>
    <w:rsid w:val="00433C20"/>
    <w:rsid w:val="00433CE7"/>
    <w:rsid w:val="00433D52"/>
    <w:rsid w:val="004358BB"/>
    <w:rsid w:val="00445909"/>
    <w:rsid w:val="00452738"/>
    <w:rsid w:val="00454073"/>
    <w:rsid w:val="004559E7"/>
    <w:rsid w:val="00456091"/>
    <w:rsid w:val="00456242"/>
    <w:rsid w:val="0046002B"/>
    <w:rsid w:val="004625AE"/>
    <w:rsid w:val="00466321"/>
    <w:rsid w:val="00467334"/>
    <w:rsid w:val="00470062"/>
    <w:rsid w:val="00470C17"/>
    <w:rsid w:val="00471216"/>
    <w:rsid w:val="00471DF8"/>
    <w:rsid w:val="00474D15"/>
    <w:rsid w:val="004751C8"/>
    <w:rsid w:val="004824D6"/>
    <w:rsid w:val="0048382D"/>
    <w:rsid w:val="00484B9B"/>
    <w:rsid w:val="004855F6"/>
    <w:rsid w:val="0048661E"/>
    <w:rsid w:val="00492A9A"/>
    <w:rsid w:val="00494670"/>
    <w:rsid w:val="0049523F"/>
    <w:rsid w:val="004A23C4"/>
    <w:rsid w:val="004A2843"/>
    <w:rsid w:val="004A2ED6"/>
    <w:rsid w:val="004A3823"/>
    <w:rsid w:val="004A5F2A"/>
    <w:rsid w:val="004B1385"/>
    <w:rsid w:val="004B3469"/>
    <w:rsid w:val="004B4383"/>
    <w:rsid w:val="004B4651"/>
    <w:rsid w:val="004B6063"/>
    <w:rsid w:val="004C01FC"/>
    <w:rsid w:val="004C0DF0"/>
    <w:rsid w:val="004C25C7"/>
    <w:rsid w:val="004C4959"/>
    <w:rsid w:val="004C5844"/>
    <w:rsid w:val="004C5DFB"/>
    <w:rsid w:val="004C61DD"/>
    <w:rsid w:val="004D19EE"/>
    <w:rsid w:val="004D326D"/>
    <w:rsid w:val="004D382E"/>
    <w:rsid w:val="004E0FF6"/>
    <w:rsid w:val="004E20C9"/>
    <w:rsid w:val="004E4903"/>
    <w:rsid w:val="004E6946"/>
    <w:rsid w:val="004E6CAF"/>
    <w:rsid w:val="004E73AD"/>
    <w:rsid w:val="004E7761"/>
    <w:rsid w:val="004F0303"/>
    <w:rsid w:val="004F1AD8"/>
    <w:rsid w:val="004F2228"/>
    <w:rsid w:val="004F32BB"/>
    <w:rsid w:val="004F4914"/>
    <w:rsid w:val="004F6C06"/>
    <w:rsid w:val="004F741C"/>
    <w:rsid w:val="005000B7"/>
    <w:rsid w:val="00500ACA"/>
    <w:rsid w:val="00501356"/>
    <w:rsid w:val="005039CB"/>
    <w:rsid w:val="00504A87"/>
    <w:rsid w:val="0050558F"/>
    <w:rsid w:val="00505795"/>
    <w:rsid w:val="005059B5"/>
    <w:rsid w:val="00506286"/>
    <w:rsid w:val="00506B66"/>
    <w:rsid w:val="005074E6"/>
    <w:rsid w:val="0050789E"/>
    <w:rsid w:val="00510813"/>
    <w:rsid w:val="00511990"/>
    <w:rsid w:val="00511DE0"/>
    <w:rsid w:val="00513AD5"/>
    <w:rsid w:val="005141D6"/>
    <w:rsid w:val="00514870"/>
    <w:rsid w:val="00514B9B"/>
    <w:rsid w:val="00517F02"/>
    <w:rsid w:val="00520B7A"/>
    <w:rsid w:val="005223F5"/>
    <w:rsid w:val="00522BDD"/>
    <w:rsid w:val="00524303"/>
    <w:rsid w:val="005258A2"/>
    <w:rsid w:val="00531851"/>
    <w:rsid w:val="00532CC6"/>
    <w:rsid w:val="005332C4"/>
    <w:rsid w:val="00533CD2"/>
    <w:rsid w:val="00535E7A"/>
    <w:rsid w:val="005401AE"/>
    <w:rsid w:val="00541E98"/>
    <w:rsid w:val="00542E07"/>
    <w:rsid w:val="005449A1"/>
    <w:rsid w:val="00545424"/>
    <w:rsid w:val="0054697C"/>
    <w:rsid w:val="00547C09"/>
    <w:rsid w:val="0055100C"/>
    <w:rsid w:val="00551AA1"/>
    <w:rsid w:val="005546CB"/>
    <w:rsid w:val="00554A7B"/>
    <w:rsid w:val="0055572C"/>
    <w:rsid w:val="005606CB"/>
    <w:rsid w:val="0056106A"/>
    <w:rsid w:val="00561B0F"/>
    <w:rsid w:val="00562B3A"/>
    <w:rsid w:val="0056521D"/>
    <w:rsid w:val="005710CC"/>
    <w:rsid w:val="00571786"/>
    <w:rsid w:val="005720AE"/>
    <w:rsid w:val="005728F1"/>
    <w:rsid w:val="005729D5"/>
    <w:rsid w:val="00573E7E"/>
    <w:rsid w:val="00573FB0"/>
    <w:rsid w:val="005743E1"/>
    <w:rsid w:val="00575162"/>
    <w:rsid w:val="0057570A"/>
    <w:rsid w:val="00580C71"/>
    <w:rsid w:val="00582BD0"/>
    <w:rsid w:val="0058389B"/>
    <w:rsid w:val="005855A3"/>
    <w:rsid w:val="005858E9"/>
    <w:rsid w:val="00586496"/>
    <w:rsid w:val="00591E8B"/>
    <w:rsid w:val="00592FA8"/>
    <w:rsid w:val="00592FE8"/>
    <w:rsid w:val="00593481"/>
    <w:rsid w:val="005944F6"/>
    <w:rsid w:val="00594D77"/>
    <w:rsid w:val="005969E4"/>
    <w:rsid w:val="00597688"/>
    <w:rsid w:val="005979CC"/>
    <w:rsid w:val="005A06B7"/>
    <w:rsid w:val="005A0E8D"/>
    <w:rsid w:val="005A1759"/>
    <w:rsid w:val="005A2198"/>
    <w:rsid w:val="005A2B28"/>
    <w:rsid w:val="005A2E82"/>
    <w:rsid w:val="005A2F7D"/>
    <w:rsid w:val="005A593F"/>
    <w:rsid w:val="005A68A7"/>
    <w:rsid w:val="005A778E"/>
    <w:rsid w:val="005B0F1E"/>
    <w:rsid w:val="005B20FF"/>
    <w:rsid w:val="005B4B2B"/>
    <w:rsid w:val="005B4B8B"/>
    <w:rsid w:val="005B6057"/>
    <w:rsid w:val="005C0370"/>
    <w:rsid w:val="005C12F8"/>
    <w:rsid w:val="005C3052"/>
    <w:rsid w:val="005C405B"/>
    <w:rsid w:val="005C722C"/>
    <w:rsid w:val="005D01CF"/>
    <w:rsid w:val="005D277F"/>
    <w:rsid w:val="005D2AD8"/>
    <w:rsid w:val="005D36AB"/>
    <w:rsid w:val="005E1404"/>
    <w:rsid w:val="005E2043"/>
    <w:rsid w:val="005E2F98"/>
    <w:rsid w:val="005E3B32"/>
    <w:rsid w:val="005E4A96"/>
    <w:rsid w:val="005E4FCF"/>
    <w:rsid w:val="005E6471"/>
    <w:rsid w:val="005E78C5"/>
    <w:rsid w:val="005F04D4"/>
    <w:rsid w:val="005F0EAE"/>
    <w:rsid w:val="005F17EF"/>
    <w:rsid w:val="005F3414"/>
    <w:rsid w:val="005F3902"/>
    <w:rsid w:val="005F4186"/>
    <w:rsid w:val="005F4F78"/>
    <w:rsid w:val="005F6887"/>
    <w:rsid w:val="00600B00"/>
    <w:rsid w:val="00600E84"/>
    <w:rsid w:val="006027CC"/>
    <w:rsid w:val="00602FEF"/>
    <w:rsid w:val="00607818"/>
    <w:rsid w:val="00613F3A"/>
    <w:rsid w:val="006140AF"/>
    <w:rsid w:val="00617AFF"/>
    <w:rsid w:val="00617CC3"/>
    <w:rsid w:val="006201F2"/>
    <w:rsid w:val="0062097B"/>
    <w:rsid w:val="00620A94"/>
    <w:rsid w:val="00626672"/>
    <w:rsid w:val="00631AB3"/>
    <w:rsid w:val="00633080"/>
    <w:rsid w:val="00633A0A"/>
    <w:rsid w:val="00634431"/>
    <w:rsid w:val="006377A6"/>
    <w:rsid w:val="0063782B"/>
    <w:rsid w:val="00637A3D"/>
    <w:rsid w:val="006411EF"/>
    <w:rsid w:val="0064130B"/>
    <w:rsid w:val="00642C18"/>
    <w:rsid w:val="00645819"/>
    <w:rsid w:val="006519FC"/>
    <w:rsid w:val="006526A6"/>
    <w:rsid w:val="00652F79"/>
    <w:rsid w:val="00653AA3"/>
    <w:rsid w:val="00655EF5"/>
    <w:rsid w:val="00660327"/>
    <w:rsid w:val="00661888"/>
    <w:rsid w:val="0066218A"/>
    <w:rsid w:val="00662857"/>
    <w:rsid w:val="00663F64"/>
    <w:rsid w:val="0066703A"/>
    <w:rsid w:val="006707A7"/>
    <w:rsid w:val="00672703"/>
    <w:rsid w:val="00673F47"/>
    <w:rsid w:val="006748B8"/>
    <w:rsid w:val="00675638"/>
    <w:rsid w:val="006775C3"/>
    <w:rsid w:val="0068062F"/>
    <w:rsid w:val="00680816"/>
    <w:rsid w:val="006809FC"/>
    <w:rsid w:val="00680B47"/>
    <w:rsid w:val="0068165B"/>
    <w:rsid w:val="006829FF"/>
    <w:rsid w:val="00690B1F"/>
    <w:rsid w:val="0069290A"/>
    <w:rsid w:val="00692B43"/>
    <w:rsid w:val="00694D86"/>
    <w:rsid w:val="00695518"/>
    <w:rsid w:val="0069775A"/>
    <w:rsid w:val="00697813"/>
    <w:rsid w:val="006A1084"/>
    <w:rsid w:val="006A1D4C"/>
    <w:rsid w:val="006A3EE8"/>
    <w:rsid w:val="006A72BF"/>
    <w:rsid w:val="006A7780"/>
    <w:rsid w:val="006A7F7D"/>
    <w:rsid w:val="006B03F2"/>
    <w:rsid w:val="006B074A"/>
    <w:rsid w:val="006B1DDB"/>
    <w:rsid w:val="006B28FF"/>
    <w:rsid w:val="006B37DC"/>
    <w:rsid w:val="006B3FE0"/>
    <w:rsid w:val="006B4B49"/>
    <w:rsid w:val="006B4F68"/>
    <w:rsid w:val="006B6BFB"/>
    <w:rsid w:val="006B6C26"/>
    <w:rsid w:val="006C0592"/>
    <w:rsid w:val="006C111F"/>
    <w:rsid w:val="006C272E"/>
    <w:rsid w:val="006C2A99"/>
    <w:rsid w:val="006C3CC7"/>
    <w:rsid w:val="006C492F"/>
    <w:rsid w:val="006C5479"/>
    <w:rsid w:val="006C600E"/>
    <w:rsid w:val="006D13B5"/>
    <w:rsid w:val="006D1935"/>
    <w:rsid w:val="006E12FF"/>
    <w:rsid w:val="006E1C3D"/>
    <w:rsid w:val="006E2003"/>
    <w:rsid w:val="006E3157"/>
    <w:rsid w:val="006E5D5D"/>
    <w:rsid w:val="006E607E"/>
    <w:rsid w:val="006E698A"/>
    <w:rsid w:val="006F3E09"/>
    <w:rsid w:val="00701124"/>
    <w:rsid w:val="0070218D"/>
    <w:rsid w:val="00706C5D"/>
    <w:rsid w:val="007111C6"/>
    <w:rsid w:val="0071412C"/>
    <w:rsid w:val="00715E8B"/>
    <w:rsid w:val="00716426"/>
    <w:rsid w:val="00721000"/>
    <w:rsid w:val="00723CA3"/>
    <w:rsid w:val="007265C2"/>
    <w:rsid w:val="00727C0B"/>
    <w:rsid w:val="00732922"/>
    <w:rsid w:val="00732B3F"/>
    <w:rsid w:val="00732F76"/>
    <w:rsid w:val="0073484B"/>
    <w:rsid w:val="00734E21"/>
    <w:rsid w:val="007358D1"/>
    <w:rsid w:val="00737F70"/>
    <w:rsid w:val="00740BD8"/>
    <w:rsid w:val="00741AA2"/>
    <w:rsid w:val="00744F1F"/>
    <w:rsid w:val="007466E0"/>
    <w:rsid w:val="0074674D"/>
    <w:rsid w:val="007474CE"/>
    <w:rsid w:val="0075162E"/>
    <w:rsid w:val="00751E46"/>
    <w:rsid w:val="00754034"/>
    <w:rsid w:val="00756556"/>
    <w:rsid w:val="007618C4"/>
    <w:rsid w:val="0076483C"/>
    <w:rsid w:val="00766B9C"/>
    <w:rsid w:val="00767980"/>
    <w:rsid w:val="00770B19"/>
    <w:rsid w:val="00770E5C"/>
    <w:rsid w:val="007713CA"/>
    <w:rsid w:val="0077194C"/>
    <w:rsid w:val="00774379"/>
    <w:rsid w:val="0077463F"/>
    <w:rsid w:val="00776696"/>
    <w:rsid w:val="00780FCF"/>
    <w:rsid w:val="007818DF"/>
    <w:rsid w:val="007836EA"/>
    <w:rsid w:val="00784CDA"/>
    <w:rsid w:val="007858C6"/>
    <w:rsid w:val="00785B05"/>
    <w:rsid w:val="00785F24"/>
    <w:rsid w:val="007906C4"/>
    <w:rsid w:val="007913B6"/>
    <w:rsid w:val="007935FA"/>
    <w:rsid w:val="007940EA"/>
    <w:rsid w:val="007967E8"/>
    <w:rsid w:val="007969C8"/>
    <w:rsid w:val="00796ABE"/>
    <w:rsid w:val="007A2170"/>
    <w:rsid w:val="007A22BF"/>
    <w:rsid w:val="007A27F2"/>
    <w:rsid w:val="007A32E8"/>
    <w:rsid w:val="007A3323"/>
    <w:rsid w:val="007A5432"/>
    <w:rsid w:val="007A6A10"/>
    <w:rsid w:val="007A6D7A"/>
    <w:rsid w:val="007B1932"/>
    <w:rsid w:val="007B29F2"/>
    <w:rsid w:val="007B4CE3"/>
    <w:rsid w:val="007B7094"/>
    <w:rsid w:val="007B72B8"/>
    <w:rsid w:val="007B7A58"/>
    <w:rsid w:val="007C21B5"/>
    <w:rsid w:val="007C3589"/>
    <w:rsid w:val="007C59D9"/>
    <w:rsid w:val="007D0D3B"/>
    <w:rsid w:val="007D40F0"/>
    <w:rsid w:val="007D4BF5"/>
    <w:rsid w:val="007D514A"/>
    <w:rsid w:val="007D5DCF"/>
    <w:rsid w:val="007D74E2"/>
    <w:rsid w:val="007E2AB6"/>
    <w:rsid w:val="007E42C1"/>
    <w:rsid w:val="007E42F9"/>
    <w:rsid w:val="007E4A0F"/>
    <w:rsid w:val="007E4BD2"/>
    <w:rsid w:val="007F288F"/>
    <w:rsid w:val="007F4B7D"/>
    <w:rsid w:val="007F5A7D"/>
    <w:rsid w:val="0080069E"/>
    <w:rsid w:val="00801393"/>
    <w:rsid w:val="00801A16"/>
    <w:rsid w:val="0080260E"/>
    <w:rsid w:val="00802F88"/>
    <w:rsid w:val="00806268"/>
    <w:rsid w:val="008102F1"/>
    <w:rsid w:val="00810F39"/>
    <w:rsid w:val="00811CD9"/>
    <w:rsid w:val="0081293E"/>
    <w:rsid w:val="0081517B"/>
    <w:rsid w:val="00815465"/>
    <w:rsid w:val="00817C70"/>
    <w:rsid w:val="00817CBD"/>
    <w:rsid w:val="00817E9A"/>
    <w:rsid w:val="008217B1"/>
    <w:rsid w:val="008247B0"/>
    <w:rsid w:val="00827C23"/>
    <w:rsid w:val="008306BD"/>
    <w:rsid w:val="00831A80"/>
    <w:rsid w:val="008331CF"/>
    <w:rsid w:val="00833743"/>
    <w:rsid w:val="008340A4"/>
    <w:rsid w:val="0083561E"/>
    <w:rsid w:val="00836879"/>
    <w:rsid w:val="008373A3"/>
    <w:rsid w:val="00837C03"/>
    <w:rsid w:val="0084084A"/>
    <w:rsid w:val="00840F7D"/>
    <w:rsid w:val="00841358"/>
    <w:rsid w:val="00843A43"/>
    <w:rsid w:val="00844231"/>
    <w:rsid w:val="00845C04"/>
    <w:rsid w:val="00852878"/>
    <w:rsid w:val="00853D77"/>
    <w:rsid w:val="00854D97"/>
    <w:rsid w:val="008554BA"/>
    <w:rsid w:val="008561B9"/>
    <w:rsid w:val="00857A1A"/>
    <w:rsid w:val="00862861"/>
    <w:rsid w:val="0086312E"/>
    <w:rsid w:val="00863741"/>
    <w:rsid w:val="00864A7E"/>
    <w:rsid w:val="0087135F"/>
    <w:rsid w:val="00872D94"/>
    <w:rsid w:val="008745FF"/>
    <w:rsid w:val="00875365"/>
    <w:rsid w:val="008754A4"/>
    <w:rsid w:val="00876493"/>
    <w:rsid w:val="00880364"/>
    <w:rsid w:val="0088325E"/>
    <w:rsid w:val="0088358D"/>
    <w:rsid w:val="008852F2"/>
    <w:rsid w:val="008866C1"/>
    <w:rsid w:val="00887841"/>
    <w:rsid w:val="00891592"/>
    <w:rsid w:val="008915FC"/>
    <w:rsid w:val="00891E9E"/>
    <w:rsid w:val="00892DF5"/>
    <w:rsid w:val="00893782"/>
    <w:rsid w:val="00893EC1"/>
    <w:rsid w:val="0089491B"/>
    <w:rsid w:val="00894E55"/>
    <w:rsid w:val="008951E6"/>
    <w:rsid w:val="0089774D"/>
    <w:rsid w:val="00897C26"/>
    <w:rsid w:val="008A0330"/>
    <w:rsid w:val="008A244B"/>
    <w:rsid w:val="008A2ABC"/>
    <w:rsid w:val="008A2F68"/>
    <w:rsid w:val="008A3A32"/>
    <w:rsid w:val="008A5EB5"/>
    <w:rsid w:val="008B0882"/>
    <w:rsid w:val="008B0E5D"/>
    <w:rsid w:val="008B4FA6"/>
    <w:rsid w:val="008B5282"/>
    <w:rsid w:val="008B6AE0"/>
    <w:rsid w:val="008B7C17"/>
    <w:rsid w:val="008C015E"/>
    <w:rsid w:val="008C2D01"/>
    <w:rsid w:val="008C40E6"/>
    <w:rsid w:val="008C5716"/>
    <w:rsid w:val="008C5887"/>
    <w:rsid w:val="008C5B91"/>
    <w:rsid w:val="008C6C34"/>
    <w:rsid w:val="008D025A"/>
    <w:rsid w:val="008D0F7A"/>
    <w:rsid w:val="008D1034"/>
    <w:rsid w:val="008D2C62"/>
    <w:rsid w:val="008D2CE8"/>
    <w:rsid w:val="008D310B"/>
    <w:rsid w:val="008D68E4"/>
    <w:rsid w:val="008E048A"/>
    <w:rsid w:val="008E0506"/>
    <w:rsid w:val="008E0CFF"/>
    <w:rsid w:val="008E5167"/>
    <w:rsid w:val="008E5948"/>
    <w:rsid w:val="008E5D6B"/>
    <w:rsid w:val="008E7027"/>
    <w:rsid w:val="008E76F0"/>
    <w:rsid w:val="008F15FE"/>
    <w:rsid w:val="008F2671"/>
    <w:rsid w:val="008F2D29"/>
    <w:rsid w:val="008F5187"/>
    <w:rsid w:val="008F60D8"/>
    <w:rsid w:val="008F6E91"/>
    <w:rsid w:val="008F7050"/>
    <w:rsid w:val="008F77F2"/>
    <w:rsid w:val="009012CD"/>
    <w:rsid w:val="00902727"/>
    <w:rsid w:val="0090312B"/>
    <w:rsid w:val="00903F1E"/>
    <w:rsid w:val="0090562D"/>
    <w:rsid w:val="009106DC"/>
    <w:rsid w:val="009130D4"/>
    <w:rsid w:val="009148D2"/>
    <w:rsid w:val="009154C9"/>
    <w:rsid w:val="0091736D"/>
    <w:rsid w:val="0092006A"/>
    <w:rsid w:val="009218A8"/>
    <w:rsid w:val="00924C5D"/>
    <w:rsid w:val="00924C89"/>
    <w:rsid w:val="009250A9"/>
    <w:rsid w:val="00927013"/>
    <w:rsid w:val="00930362"/>
    <w:rsid w:val="0093037A"/>
    <w:rsid w:val="00930DAB"/>
    <w:rsid w:val="00930E95"/>
    <w:rsid w:val="00935410"/>
    <w:rsid w:val="00936648"/>
    <w:rsid w:val="0094154D"/>
    <w:rsid w:val="00945F32"/>
    <w:rsid w:val="0095155F"/>
    <w:rsid w:val="0095337D"/>
    <w:rsid w:val="00954429"/>
    <w:rsid w:val="009563CE"/>
    <w:rsid w:val="00956ECA"/>
    <w:rsid w:val="00960206"/>
    <w:rsid w:val="00960398"/>
    <w:rsid w:val="00960671"/>
    <w:rsid w:val="00960745"/>
    <w:rsid w:val="009613DD"/>
    <w:rsid w:val="0096244A"/>
    <w:rsid w:val="009634C1"/>
    <w:rsid w:val="00963896"/>
    <w:rsid w:val="00966242"/>
    <w:rsid w:val="00967410"/>
    <w:rsid w:val="009700DE"/>
    <w:rsid w:val="0097042B"/>
    <w:rsid w:val="0097106B"/>
    <w:rsid w:val="00973029"/>
    <w:rsid w:val="009734CD"/>
    <w:rsid w:val="0097468A"/>
    <w:rsid w:val="00976328"/>
    <w:rsid w:val="0097680D"/>
    <w:rsid w:val="00980269"/>
    <w:rsid w:val="0098196A"/>
    <w:rsid w:val="00981BD0"/>
    <w:rsid w:val="00982438"/>
    <w:rsid w:val="009839AA"/>
    <w:rsid w:val="0098404C"/>
    <w:rsid w:val="00984CFB"/>
    <w:rsid w:val="00985283"/>
    <w:rsid w:val="00985687"/>
    <w:rsid w:val="0098796C"/>
    <w:rsid w:val="009920D4"/>
    <w:rsid w:val="00992D2A"/>
    <w:rsid w:val="0099343E"/>
    <w:rsid w:val="00994E12"/>
    <w:rsid w:val="00995992"/>
    <w:rsid w:val="00996C9E"/>
    <w:rsid w:val="00997DB4"/>
    <w:rsid w:val="009A03E5"/>
    <w:rsid w:val="009A04EA"/>
    <w:rsid w:val="009A0F3B"/>
    <w:rsid w:val="009A0FEB"/>
    <w:rsid w:val="009A1BB4"/>
    <w:rsid w:val="009A2628"/>
    <w:rsid w:val="009A3200"/>
    <w:rsid w:val="009A5754"/>
    <w:rsid w:val="009A674C"/>
    <w:rsid w:val="009A7356"/>
    <w:rsid w:val="009B0897"/>
    <w:rsid w:val="009B3DD9"/>
    <w:rsid w:val="009B7551"/>
    <w:rsid w:val="009B7BD9"/>
    <w:rsid w:val="009C0618"/>
    <w:rsid w:val="009C095F"/>
    <w:rsid w:val="009C6904"/>
    <w:rsid w:val="009C7DD5"/>
    <w:rsid w:val="009D2020"/>
    <w:rsid w:val="009D4C26"/>
    <w:rsid w:val="009E0D98"/>
    <w:rsid w:val="009E17CA"/>
    <w:rsid w:val="009E1BF1"/>
    <w:rsid w:val="009E227D"/>
    <w:rsid w:val="009E3064"/>
    <w:rsid w:val="009E5019"/>
    <w:rsid w:val="009F3ACD"/>
    <w:rsid w:val="00A005C1"/>
    <w:rsid w:val="00A0143D"/>
    <w:rsid w:val="00A04F1B"/>
    <w:rsid w:val="00A0501B"/>
    <w:rsid w:val="00A07824"/>
    <w:rsid w:val="00A11D84"/>
    <w:rsid w:val="00A125FF"/>
    <w:rsid w:val="00A14947"/>
    <w:rsid w:val="00A14B66"/>
    <w:rsid w:val="00A14EB8"/>
    <w:rsid w:val="00A15E24"/>
    <w:rsid w:val="00A163A9"/>
    <w:rsid w:val="00A23F9A"/>
    <w:rsid w:val="00A2539F"/>
    <w:rsid w:val="00A25580"/>
    <w:rsid w:val="00A25BC2"/>
    <w:rsid w:val="00A31D64"/>
    <w:rsid w:val="00A32A83"/>
    <w:rsid w:val="00A3381B"/>
    <w:rsid w:val="00A368DB"/>
    <w:rsid w:val="00A41E13"/>
    <w:rsid w:val="00A423AA"/>
    <w:rsid w:val="00A53EC6"/>
    <w:rsid w:val="00A54FD5"/>
    <w:rsid w:val="00A55C0F"/>
    <w:rsid w:val="00A571D1"/>
    <w:rsid w:val="00A65DFA"/>
    <w:rsid w:val="00A67D58"/>
    <w:rsid w:val="00A70701"/>
    <w:rsid w:val="00A73497"/>
    <w:rsid w:val="00A73631"/>
    <w:rsid w:val="00A748A8"/>
    <w:rsid w:val="00A75FE9"/>
    <w:rsid w:val="00A808D1"/>
    <w:rsid w:val="00A81D71"/>
    <w:rsid w:val="00A84B69"/>
    <w:rsid w:val="00A85859"/>
    <w:rsid w:val="00A8713F"/>
    <w:rsid w:val="00A90BA1"/>
    <w:rsid w:val="00A9320E"/>
    <w:rsid w:val="00A9458C"/>
    <w:rsid w:val="00A97A9A"/>
    <w:rsid w:val="00AA0671"/>
    <w:rsid w:val="00AA0C64"/>
    <w:rsid w:val="00AA1E6E"/>
    <w:rsid w:val="00AA2113"/>
    <w:rsid w:val="00AA21BF"/>
    <w:rsid w:val="00AA2531"/>
    <w:rsid w:val="00AA2D00"/>
    <w:rsid w:val="00AA2FE3"/>
    <w:rsid w:val="00AA3EAA"/>
    <w:rsid w:val="00AA6758"/>
    <w:rsid w:val="00AB1E09"/>
    <w:rsid w:val="00AB2FEC"/>
    <w:rsid w:val="00AB5330"/>
    <w:rsid w:val="00AB7747"/>
    <w:rsid w:val="00AC14CE"/>
    <w:rsid w:val="00AC2142"/>
    <w:rsid w:val="00AC25A6"/>
    <w:rsid w:val="00AC2A56"/>
    <w:rsid w:val="00AC33AC"/>
    <w:rsid w:val="00AC6FC3"/>
    <w:rsid w:val="00AC7F37"/>
    <w:rsid w:val="00AD04AF"/>
    <w:rsid w:val="00AD051E"/>
    <w:rsid w:val="00AD055E"/>
    <w:rsid w:val="00AD14DC"/>
    <w:rsid w:val="00AD27A7"/>
    <w:rsid w:val="00AD3603"/>
    <w:rsid w:val="00AD47A7"/>
    <w:rsid w:val="00AE10BB"/>
    <w:rsid w:val="00AE1CB8"/>
    <w:rsid w:val="00AE51C4"/>
    <w:rsid w:val="00AE6246"/>
    <w:rsid w:val="00AE7E07"/>
    <w:rsid w:val="00AF0633"/>
    <w:rsid w:val="00AF0CBF"/>
    <w:rsid w:val="00AF1721"/>
    <w:rsid w:val="00AF257F"/>
    <w:rsid w:val="00AF33CF"/>
    <w:rsid w:val="00AF38C9"/>
    <w:rsid w:val="00AF4D50"/>
    <w:rsid w:val="00AF6179"/>
    <w:rsid w:val="00AF630E"/>
    <w:rsid w:val="00AF786A"/>
    <w:rsid w:val="00B020BB"/>
    <w:rsid w:val="00B021CB"/>
    <w:rsid w:val="00B1295A"/>
    <w:rsid w:val="00B130C8"/>
    <w:rsid w:val="00B135A8"/>
    <w:rsid w:val="00B13820"/>
    <w:rsid w:val="00B156E5"/>
    <w:rsid w:val="00B20A45"/>
    <w:rsid w:val="00B22C5C"/>
    <w:rsid w:val="00B24F30"/>
    <w:rsid w:val="00B2599D"/>
    <w:rsid w:val="00B30C5C"/>
    <w:rsid w:val="00B31ABF"/>
    <w:rsid w:val="00B33BE3"/>
    <w:rsid w:val="00B34CF7"/>
    <w:rsid w:val="00B35C27"/>
    <w:rsid w:val="00B360C1"/>
    <w:rsid w:val="00B36B41"/>
    <w:rsid w:val="00B4048D"/>
    <w:rsid w:val="00B40E98"/>
    <w:rsid w:val="00B4121B"/>
    <w:rsid w:val="00B42875"/>
    <w:rsid w:val="00B430A5"/>
    <w:rsid w:val="00B44801"/>
    <w:rsid w:val="00B4480D"/>
    <w:rsid w:val="00B507C4"/>
    <w:rsid w:val="00B52468"/>
    <w:rsid w:val="00B535F7"/>
    <w:rsid w:val="00B53B5D"/>
    <w:rsid w:val="00B55E70"/>
    <w:rsid w:val="00B6055E"/>
    <w:rsid w:val="00B623B1"/>
    <w:rsid w:val="00B6251A"/>
    <w:rsid w:val="00B6317D"/>
    <w:rsid w:val="00B63E41"/>
    <w:rsid w:val="00B75DB4"/>
    <w:rsid w:val="00B76567"/>
    <w:rsid w:val="00B7723F"/>
    <w:rsid w:val="00B7757B"/>
    <w:rsid w:val="00B77899"/>
    <w:rsid w:val="00B80534"/>
    <w:rsid w:val="00B8054A"/>
    <w:rsid w:val="00B8433C"/>
    <w:rsid w:val="00B8537F"/>
    <w:rsid w:val="00B856DC"/>
    <w:rsid w:val="00B8608C"/>
    <w:rsid w:val="00B87491"/>
    <w:rsid w:val="00B87A8B"/>
    <w:rsid w:val="00B905C1"/>
    <w:rsid w:val="00B90B24"/>
    <w:rsid w:val="00B90E12"/>
    <w:rsid w:val="00B91B5D"/>
    <w:rsid w:val="00B93D45"/>
    <w:rsid w:val="00B97C0A"/>
    <w:rsid w:val="00BA021D"/>
    <w:rsid w:val="00BA27D7"/>
    <w:rsid w:val="00BA29E9"/>
    <w:rsid w:val="00BA570C"/>
    <w:rsid w:val="00BA6439"/>
    <w:rsid w:val="00BA6F5E"/>
    <w:rsid w:val="00BA7142"/>
    <w:rsid w:val="00BA7F37"/>
    <w:rsid w:val="00BB1A9E"/>
    <w:rsid w:val="00BB237C"/>
    <w:rsid w:val="00BB41A3"/>
    <w:rsid w:val="00BB6D21"/>
    <w:rsid w:val="00BC07DC"/>
    <w:rsid w:val="00BC0CD8"/>
    <w:rsid w:val="00BC32DC"/>
    <w:rsid w:val="00BC35B6"/>
    <w:rsid w:val="00BC4C26"/>
    <w:rsid w:val="00BC717B"/>
    <w:rsid w:val="00BC747C"/>
    <w:rsid w:val="00BD0164"/>
    <w:rsid w:val="00BD1B51"/>
    <w:rsid w:val="00BD3F7F"/>
    <w:rsid w:val="00BD4596"/>
    <w:rsid w:val="00BD67E2"/>
    <w:rsid w:val="00BD7DF5"/>
    <w:rsid w:val="00BE1405"/>
    <w:rsid w:val="00BE1FF6"/>
    <w:rsid w:val="00BE312D"/>
    <w:rsid w:val="00BE4E07"/>
    <w:rsid w:val="00BE4FCB"/>
    <w:rsid w:val="00BE5D3E"/>
    <w:rsid w:val="00BF0114"/>
    <w:rsid w:val="00BF181E"/>
    <w:rsid w:val="00BF18F4"/>
    <w:rsid w:val="00BF1C20"/>
    <w:rsid w:val="00BF2FF5"/>
    <w:rsid w:val="00BF7859"/>
    <w:rsid w:val="00C04D28"/>
    <w:rsid w:val="00C04F14"/>
    <w:rsid w:val="00C10395"/>
    <w:rsid w:val="00C10578"/>
    <w:rsid w:val="00C10716"/>
    <w:rsid w:val="00C111CF"/>
    <w:rsid w:val="00C135BC"/>
    <w:rsid w:val="00C13F75"/>
    <w:rsid w:val="00C15BC9"/>
    <w:rsid w:val="00C15C95"/>
    <w:rsid w:val="00C15E55"/>
    <w:rsid w:val="00C16CB0"/>
    <w:rsid w:val="00C177B7"/>
    <w:rsid w:val="00C2596A"/>
    <w:rsid w:val="00C26212"/>
    <w:rsid w:val="00C272AB"/>
    <w:rsid w:val="00C27537"/>
    <w:rsid w:val="00C27FD0"/>
    <w:rsid w:val="00C328FE"/>
    <w:rsid w:val="00C33507"/>
    <w:rsid w:val="00C34975"/>
    <w:rsid w:val="00C3687C"/>
    <w:rsid w:val="00C41D92"/>
    <w:rsid w:val="00C43137"/>
    <w:rsid w:val="00C4409D"/>
    <w:rsid w:val="00C44E72"/>
    <w:rsid w:val="00C45A06"/>
    <w:rsid w:val="00C46549"/>
    <w:rsid w:val="00C46BA6"/>
    <w:rsid w:val="00C47E5B"/>
    <w:rsid w:val="00C5000F"/>
    <w:rsid w:val="00C501D7"/>
    <w:rsid w:val="00C51D23"/>
    <w:rsid w:val="00C52168"/>
    <w:rsid w:val="00C57C4A"/>
    <w:rsid w:val="00C6020D"/>
    <w:rsid w:val="00C615E5"/>
    <w:rsid w:val="00C61673"/>
    <w:rsid w:val="00C61D63"/>
    <w:rsid w:val="00C61E4B"/>
    <w:rsid w:val="00C61F40"/>
    <w:rsid w:val="00C64BFF"/>
    <w:rsid w:val="00C64F07"/>
    <w:rsid w:val="00C65F87"/>
    <w:rsid w:val="00C67393"/>
    <w:rsid w:val="00C704E9"/>
    <w:rsid w:val="00C70FDA"/>
    <w:rsid w:val="00C733A9"/>
    <w:rsid w:val="00C75217"/>
    <w:rsid w:val="00C752CF"/>
    <w:rsid w:val="00C75C9A"/>
    <w:rsid w:val="00C763C9"/>
    <w:rsid w:val="00C77A8D"/>
    <w:rsid w:val="00C80057"/>
    <w:rsid w:val="00C80D0E"/>
    <w:rsid w:val="00C815D9"/>
    <w:rsid w:val="00C82232"/>
    <w:rsid w:val="00C823C4"/>
    <w:rsid w:val="00C82913"/>
    <w:rsid w:val="00C833E1"/>
    <w:rsid w:val="00C838A0"/>
    <w:rsid w:val="00C8393C"/>
    <w:rsid w:val="00C87275"/>
    <w:rsid w:val="00C902E1"/>
    <w:rsid w:val="00C902ED"/>
    <w:rsid w:val="00C90431"/>
    <w:rsid w:val="00C9347A"/>
    <w:rsid w:val="00C94D8F"/>
    <w:rsid w:val="00C95979"/>
    <w:rsid w:val="00C972B1"/>
    <w:rsid w:val="00CA09D6"/>
    <w:rsid w:val="00CA1ED8"/>
    <w:rsid w:val="00CA20C8"/>
    <w:rsid w:val="00CA2CCE"/>
    <w:rsid w:val="00CA43FD"/>
    <w:rsid w:val="00CA46FC"/>
    <w:rsid w:val="00CA5F38"/>
    <w:rsid w:val="00CA67C7"/>
    <w:rsid w:val="00CA75ED"/>
    <w:rsid w:val="00CA7EF8"/>
    <w:rsid w:val="00CB6046"/>
    <w:rsid w:val="00CB6867"/>
    <w:rsid w:val="00CC1024"/>
    <w:rsid w:val="00CC14D3"/>
    <w:rsid w:val="00CC2969"/>
    <w:rsid w:val="00CC37EC"/>
    <w:rsid w:val="00CC41B0"/>
    <w:rsid w:val="00CC489B"/>
    <w:rsid w:val="00CC728C"/>
    <w:rsid w:val="00CD2BCD"/>
    <w:rsid w:val="00CD3A4C"/>
    <w:rsid w:val="00CD6300"/>
    <w:rsid w:val="00CD730B"/>
    <w:rsid w:val="00CD77E3"/>
    <w:rsid w:val="00CE10E9"/>
    <w:rsid w:val="00CE20C6"/>
    <w:rsid w:val="00CE23F4"/>
    <w:rsid w:val="00CE26D0"/>
    <w:rsid w:val="00CE2910"/>
    <w:rsid w:val="00CE5393"/>
    <w:rsid w:val="00CE655C"/>
    <w:rsid w:val="00CF2894"/>
    <w:rsid w:val="00CF2B99"/>
    <w:rsid w:val="00CF344E"/>
    <w:rsid w:val="00CF36BE"/>
    <w:rsid w:val="00CF5500"/>
    <w:rsid w:val="00CF6000"/>
    <w:rsid w:val="00CF63BC"/>
    <w:rsid w:val="00D00227"/>
    <w:rsid w:val="00D003F3"/>
    <w:rsid w:val="00D0314D"/>
    <w:rsid w:val="00D0364F"/>
    <w:rsid w:val="00D04D58"/>
    <w:rsid w:val="00D06834"/>
    <w:rsid w:val="00D16106"/>
    <w:rsid w:val="00D175E9"/>
    <w:rsid w:val="00D17FD1"/>
    <w:rsid w:val="00D21B60"/>
    <w:rsid w:val="00D21EC0"/>
    <w:rsid w:val="00D308ED"/>
    <w:rsid w:val="00D31078"/>
    <w:rsid w:val="00D31F39"/>
    <w:rsid w:val="00D32B9A"/>
    <w:rsid w:val="00D34E04"/>
    <w:rsid w:val="00D36D86"/>
    <w:rsid w:val="00D428AA"/>
    <w:rsid w:val="00D42F2C"/>
    <w:rsid w:val="00D4468B"/>
    <w:rsid w:val="00D4638B"/>
    <w:rsid w:val="00D47865"/>
    <w:rsid w:val="00D50A34"/>
    <w:rsid w:val="00D5106D"/>
    <w:rsid w:val="00D51480"/>
    <w:rsid w:val="00D53EFA"/>
    <w:rsid w:val="00D5704F"/>
    <w:rsid w:val="00D60397"/>
    <w:rsid w:val="00D60DCB"/>
    <w:rsid w:val="00D62EFF"/>
    <w:rsid w:val="00D63C8F"/>
    <w:rsid w:val="00D64572"/>
    <w:rsid w:val="00D660DC"/>
    <w:rsid w:val="00D67E45"/>
    <w:rsid w:val="00D716A9"/>
    <w:rsid w:val="00D7290D"/>
    <w:rsid w:val="00D73B30"/>
    <w:rsid w:val="00D7781A"/>
    <w:rsid w:val="00D821B9"/>
    <w:rsid w:val="00D82A46"/>
    <w:rsid w:val="00D8485A"/>
    <w:rsid w:val="00D8701A"/>
    <w:rsid w:val="00D87BCB"/>
    <w:rsid w:val="00D90B7F"/>
    <w:rsid w:val="00D92D60"/>
    <w:rsid w:val="00D94928"/>
    <w:rsid w:val="00D94A7C"/>
    <w:rsid w:val="00D95696"/>
    <w:rsid w:val="00D95896"/>
    <w:rsid w:val="00DA2679"/>
    <w:rsid w:val="00DA3344"/>
    <w:rsid w:val="00DA388B"/>
    <w:rsid w:val="00DA3D60"/>
    <w:rsid w:val="00DA4E54"/>
    <w:rsid w:val="00DA6BAC"/>
    <w:rsid w:val="00DA6DB9"/>
    <w:rsid w:val="00DB0D93"/>
    <w:rsid w:val="00DB115C"/>
    <w:rsid w:val="00DB2983"/>
    <w:rsid w:val="00DB4962"/>
    <w:rsid w:val="00DB602A"/>
    <w:rsid w:val="00DB663C"/>
    <w:rsid w:val="00DC0110"/>
    <w:rsid w:val="00DC11D1"/>
    <w:rsid w:val="00DC1257"/>
    <w:rsid w:val="00DC1938"/>
    <w:rsid w:val="00DC257E"/>
    <w:rsid w:val="00DC316E"/>
    <w:rsid w:val="00DC33BE"/>
    <w:rsid w:val="00DC3DC0"/>
    <w:rsid w:val="00DC5656"/>
    <w:rsid w:val="00DC5886"/>
    <w:rsid w:val="00DC5B2B"/>
    <w:rsid w:val="00DC6AA9"/>
    <w:rsid w:val="00DD0BEA"/>
    <w:rsid w:val="00DD318D"/>
    <w:rsid w:val="00DD5636"/>
    <w:rsid w:val="00DD60F0"/>
    <w:rsid w:val="00DE3BEA"/>
    <w:rsid w:val="00DE421D"/>
    <w:rsid w:val="00DE423D"/>
    <w:rsid w:val="00DE67B6"/>
    <w:rsid w:val="00DE67C3"/>
    <w:rsid w:val="00DE6D62"/>
    <w:rsid w:val="00DE787C"/>
    <w:rsid w:val="00DF06EE"/>
    <w:rsid w:val="00DF0D02"/>
    <w:rsid w:val="00DF10D6"/>
    <w:rsid w:val="00DF2E12"/>
    <w:rsid w:val="00DF3695"/>
    <w:rsid w:val="00DF3AE0"/>
    <w:rsid w:val="00DF3E9A"/>
    <w:rsid w:val="00DF514A"/>
    <w:rsid w:val="00DF6228"/>
    <w:rsid w:val="00DF6690"/>
    <w:rsid w:val="00DF679D"/>
    <w:rsid w:val="00DF6804"/>
    <w:rsid w:val="00E01ACB"/>
    <w:rsid w:val="00E02FF6"/>
    <w:rsid w:val="00E0358D"/>
    <w:rsid w:val="00E042F4"/>
    <w:rsid w:val="00E04323"/>
    <w:rsid w:val="00E070A2"/>
    <w:rsid w:val="00E109BC"/>
    <w:rsid w:val="00E13512"/>
    <w:rsid w:val="00E13C43"/>
    <w:rsid w:val="00E13F2E"/>
    <w:rsid w:val="00E1613D"/>
    <w:rsid w:val="00E17144"/>
    <w:rsid w:val="00E208F2"/>
    <w:rsid w:val="00E20EE7"/>
    <w:rsid w:val="00E20F29"/>
    <w:rsid w:val="00E22E13"/>
    <w:rsid w:val="00E231AA"/>
    <w:rsid w:val="00E25D95"/>
    <w:rsid w:val="00E2656A"/>
    <w:rsid w:val="00E27D00"/>
    <w:rsid w:val="00E31FFE"/>
    <w:rsid w:val="00E36254"/>
    <w:rsid w:val="00E36A37"/>
    <w:rsid w:val="00E36F52"/>
    <w:rsid w:val="00E37089"/>
    <w:rsid w:val="00E37803"/>
    <w:rsid w:val="00E40E7D"/>
    <w:rsid w:val="00E412D0"/>
    <w:rsid w:val="00E43B63"/>
    <w:rsid w:val="00E44FA1"/>
    <w:rsid w:val="00E45C56"/>
    <w:rsid w:val="00E46314"/>
    <w:rsid w:val="00E5394F"/>
    <w:rsid w:val="00E53FBF"/>
    <w:rsid w:val="00E56322"/>
    <w:rsid w:val="00E60982"/>
    <w:rsid w:val="00E60C1B"/>
    <w:rsid w:val="00E62C62"/>
    <w:rsid w:val="00E63575"/>
    <w:rsid w:val="00E654C1"/>
    <w:rsid w:val="00E65D97"/>
    <w:rsid w:val="00E66998"/>
    <w:rsid w:val="00E66B6C"/>
    <w:rsid w:val="00E679EB"/>
    <w:rsid w:val="00E708D7"/>
    <w:rsid w:val="00E712BC"/>
    <w:rsid w:val="00E72A5A"/>
    <w:rsid w:val="00E73354"/>
    <w:rsid w:val="00E74C3B"/>
    <w:rsid w:val="00E75C79"/>
    <w:rsid w:val="00E772E3"/>
    <w:rsid w:val="00E8144C"/>
    <w:rsid w:val="00E82E01"/>
    <w:rsid w:val="00E83DED"/>
    <w:rsid w:val="00E8499A"/>
    <w:rsid w:val="00E91E95"/>
    <w:rsid w:val="00E9242D"/>
    <w:rsid w:val="00E93050"/>
    <w:rsid w:val="00E96520"/>
    <w:rsid w:val="00E97207"/>
    <w:rsid w:val="00E974CA"/>
    <w:rsid w:val="00EA33EC"/>
    <w:rsid w:val="00EA6BA7"/>
    <w:rsid w:val="00EA7E9D"/>
    <w:rsid w:val="00EB1DC2"/>
    <w:rsid w:val="00EB2711"/>
    <w:rsid w:val="00EB45A9"/>
    <w:rsid w:val="00EB47D2"/>
    <w:rsid w:val="00EB4938"/>
    <w:rsid w:val="00EB5255"/>
    <w:rsid w:val="00EB5C47"/>
    <w:rsid w:val="00EC117E"/>
    <w:rsid w:val="00ED0639"/>
    <w:rsid w:val="00ED06C5"/>
    <w:rsid w:val="00ED62E2"/>
    <w:rsid w:val="00EE1197"/>
    <w:rsid w:val="00EE2206"/>
    <w:rsid w:val="00EE7D0E"/>
    <w:rsid w:val="00EF008A"/>
    <w:rsid w:val="00EF032F"/>
    <w:rsid w:val="00EF1124"/>
    <w:rsid w:val="00EF1E73"/>
    <w:rsid w:val="00EF2D4F"/>
    <w:rsid w:val="00EF43AE"/>
    <w:rsid w:val="00EF4755"/>
    <w:rsid w:val="00EF489B"/>
    <w:rsid w:val="00EF49FF"/>
    <w:rsid w:val="00EF7135"/>
    <w:rsid w:val="00F008EA"/>
    <w:rsid w:val="00F016B7"/>
    <w:rsid w:val="00F025F7"/>
    <w:rsid w:val="00F027DB"/>
    <w:rsid w:val="00F02EC2"/>
    <w:rsid w:val="00F066BE"/>
    <w:rsid w:val="00F131D3"/>
    <w:rsid w:val="00F14A7A"/>
    <w:rsid w:val="00F22985"/>
    <w:rsid w:val="00F23EAB"/>
    <w:rsid w:val="00F245CC"/>
    <w:rsid w:val="00F3383E"/>
    <w:rsid w:val="00F34458"/>
    <w:rsid w:val="00F44ABE"/>
    <w:rsid w:val="00F465A7"/>
    <w:rsid w:val="00F50B7C"/>
    <w:rsid w:val="00F50E92"/>
    <w:rsid w:val="00F519B7"/>
    <w:rsid w:val="00F52098"/>
    <w:rsid w:val="00F5388B"/>
    <w:rsid w:val="00F550E6"/>
    <w:rsid w:val="00F56CF7"/>
    <w:rsid w:val="00F57DB6"/>
    <w:rsid w:val="00F61B93"/>
    <w:rsid w:val="00F63CC4"/>
    <w:rsid w:val="00F7077E"/>
    <w:rsid w:val="00F71E5F"/>
    <w:rsid w:val="00F74345"/>
    <w:rsid w:val="00F743CD"/>
    <w:rsid w:val="00F7622F"/>
    <w:rsid w:val="00F777AB"/>
    <w:rsid w:val="00F80108"/>
    <w:rsid w:val="00F80A0A"/>
    <w:rsid w:val="00F82B19"/>
    <w:rsid w:val="00F84AC7"/>
    <w:rsid w:val="00F8518D"/>
    <w:rsid w:val="00F85E8C"/>
    <w:rsid w:val="00F86286"/>
    <w:rsid w:val="00F86F0F"/>
    <w:rsid w:val="00F8728F"/>
    <w:rsid w:val="00F903F3"/>
    <w:rsid w:val="00F91A64"/>
    <w:rsid w:val="00F9212D"/>
    <w:rsid w:val="00F965DA"/>
    <w:rsid w:val="00FA068C"/>
    <w:rsid w:val="00FA3338"/>
    <w:rsid w:val="00FA3843"/>
    <w:rsid w:val="00FA384A"/>
    <w:rsid w:val="00FA3B9C"/>
    <w:rsid w:val="00FA406A"/>
    <w:rsid w:val="00FA4868"/>
    <w:rsid w:val="00FA5FF4"/>
    <w:rsid w:val="00FA7841"/>
    <w:rsid w:val="00FB1CA0"/>
    <w:rsid w:val="00FB25C3"/>
    <w:rsid w:val="00FB3C4C"/>
    <w:rsid w:val="00FB41E4"/>
    <w:rsid w:val="00FB4AA3"/>
    <w:rsid w:val="00FB503A"/>
    <w:rsid w:val="00FB516C"/>
    <w:rsid w:val="00FB7E99"/>
    <w:rsid w:val="00FC053A"/>
    <w:rsid w:val="00FC28F2"/>
    <w:rsid w:val="00FC3526"/>
    <w:rsid w:val="00FC4B28"/>
    <w:rsid w:val="00FD0236"/>
    <w:rsid w:val="00FD0A82"/>
    <w:rsid w:val="00FD104F"/>
    <w:rsid w:val="00FD18F4"/>
    <w:rsid w:val="00FD4752"/>
    <w:rsid w:val="00FD4C92"/>
    <w:rsid w:val="00FD54DB"/>
    <w:rsid w:val="00FD55DE"/>
    <w:rsid w:val="00FD5E42"/>
    <w:rsid w:val="00FD619F"/>
    <w:rsid w:val="00FE0C26"/>
    <w:rsid w:val="00FE13DD"/>
    <w:rsid w:val="00FE1AAB"/>
    <w:rsid w:val="00FE292E"/>
    <w:rsid w:val="00FE4940"/>
    <w:rsid w:val="00FF0F45"/>
    <w:rsid w:val="00FF3743"/>
    <w:rsid w:val="00FF3947"/>
    <w:rsid w:val="00FF617C"/>
    <w:rsid w:val="00FF79FE"/>
    <w:rsid w:val="01010971"/>
    <w:rsid w:val="01066BCF"/>
    <w:rsid w:val="010C77FA"/>
    <w:rsid w:val="01104ABD"/>
    <w:rsid w:val="0112116D"/>
    <w:rsid w:val="01126C05"/>
    <w:rsid w:val="01144273"/>
    <w:rsid w:val="01161100"/>
    <w:rsid w:val="011D2710"/>
    <w:rsid w:val="0123584C"/>
    <w:rsid w:val="01273BB1"/>
    <w:rsid w:val="01290F7E"/>
    <w:rsid w:val="012D313D"/>
    <w:rsid w:val="014061A0"/>
    <w:rsid w:val="01522475"/>
    <w:rsid w:val="015A2E23"/>
    <w:rsid w:val="015B6D94"/>
    <w:rsid w:val="015D1E09"/>
    <w:rsid w:val="015E2E3F"/>
    <w:rsid w:val="01624BF7"/>
    <w:rsid w:val="01637FFA"/>
    <w:rsid w:val="016536E6"/>
    <w:rsid w:val="01717EBC"/>
    <w:rsid w:val="0178291D"/>
    <w:rsid w:val="018A2791"/>
    <w:rsid w:val="018C5850"/>
    <w:rsid w:val="01913EA8"/>
    <w:rsid w:val="019D6832"/>
    <w:rsid w:val="019E1925"/>
    <w:rsid w:val="01AB3C12"/>
    <w:rsid w:val="01B11599"/>
    <w:rsid w:val="01B315B0"/>
    <w:rsid w:val="01BF5430"/>
    <w:rsid w:val="01C0412E"/>
    <w:rsid w:val="01C2321E"/>
    <w:rsid w:val="01CB7CE5"/>
    <w:rsid w:val="01CC6934"/>
    <w:rsid w:val="01CD595A"/>
    <w:rsid w:val="01D47284"/>
    <w:rsid w:val="01E142E2"/>
    <w:rsid w:val="01F340A4"/>
    <w:rsid w:val="01F52DC0"/>
    <w:rsid w:val="01F907C5"/>
    <w:rsid w:val="01FF3BC3"/>
    <w:rsid w:val="01FF4DCF"/>
    <w:rsid w:val="02011047"/>
    <w:rsid w:val="020254D7"/>
    <w:rsid w:val="02076F1C"/>
    <w:rsid w:val="02097A73"/>
    <w:rsid w:val="020C35A9"/>
    <w:rsid w:val="020D6F0C"/>
    <w:rsid w:val="02127C2B"/>
    <w:rsid w:val="02145195"/>
    <w:rsid w:val="02163A95"/>
    <w:rsid w:val="02182ED7"/>
    <w:rsid w:val="021C0BE1"/>
    <w:rsid w:val="022035A8"/>
    <w:rsid w:val="02274EC8"/>
    <w:rsid w:val="022B2AEE"/>
    <w:rsid w:val="022E6257"/>
    <w:rsid w:val="023264B4"/>
    <w:rsid w:val="02435828"/>
    <w:rsid w:val="02467EA5"/>
    <w:rsid w:val="02487385"/>
    <w:rsid w:val="02697903"/>
    <w:rsid w:val="026B3007"/>
    <w:rsid w:val="026E691B"/>
    <w:rsid w:val="02777BFD"/>
    <w:rsid w:val="027D2D3A"/>
    <w:rsid w:val="02810A7C"/>
    <w:rsid w:val="02862D10"/>
    <w:rsid w:val="028E4F47"/>
    <w:rsid w:val="02956606"/>
    <w:rsid w:val="029C4653"/>
    <w:rsid w:val="029F0882"/>
    <w:rsid w:val="02A10A0A"/>
    <w:rsid w:val="02AE555A"/>
    <w:rsid w:val="02B50121"/>
    <w:rsid w:val="02B93F4D"/>
    <w:rsid w:val="02BB1F00"/>
    <w:rsid w:val="02BD703C"/>
    <w:rsid w:val="02CB7033"/>
    <w:rsid w:val="02D55D2F"/>
    <w:rsid w:val="02DE5ECF"/>
    <w:rsid w:val="02F56D74"/>
    <w:rsid w:val="02F72AEC"/>
    <w:rsid w:val="02F860FF"/>
    <w:rsid w:val="02F96569"/>
    <w:rsid w:val="030505F3"/>
    <w:rsid w:val="030C2356"/>
    <w:rsid w:val="030C4863"/>
    <w:rsid w:val="030D2310"/>
    <w:rsid w:val="03102888"/>
    <w:rsid w:val="031513B3"/>
    <w:rsid w:val="031A0802"/>
    <w:rsid w:val="031F602B"/>
    <w:rsid w:val="03202D48"/>
    <w:rsid w:val="032226A1"/>
    <w:rsid w:val="03232CF9"/>
    <w:rsid w:val="03250B0A"/>
    <w:rsid w:val="032A03DC"/>
    <w:rsid w:val="032A66EF"/>
    <w:rsid w:val="032E5B67"/>
    <w:rsid w:val="03321C57"/>
    <w:rsid w:val="033D07BE"/>
    <w:rsid w:val="03404493"/>
    <w:rsid w:val="0341020B"/>
    <w:rsid w:val="0341645D"/>
    <w:rsid w:val="034554B0"/>
    <w:rsid w:val="03476116"/>
    <w:rsid w:val="03483348"/>
    <w:rsid w:val="034E6807"/>
    <w:rsid w:val="0356175A"/>
    <w:rsid w:val="035A128D"/>
    <w:rsid w:val="035D3D95"/>
    <w:rsid w:val="03617601"/>
    <w:rsid w:val="03677907"/>
    <w:rsid w:val="03697A39"/>
    <w:rsid w:val="038800C2"/>
    <w:rsid w:val="038B6C5D"/>
    <w:rsid w:val="03971679"/>
    <w:rsid w:val="03A04F32"/>
    <w:rsid w:val="03A70735"/>
    <w:rsid w:val="03A82039"/>
    <w:rsid w:val="03AC2AD9"/>
    <w:rsid w:val="03AD0D43"/>
    <w:rsid w:val="03B10EED"/>
    <w:rsid w:val="03C52DC8"/>
    <w:rsid w:val="03C76963"/>
    <w:rsid w:val="03D26D87"/>
    <w:rsid w:val="03E700BE"/>
    <w:rsid w:val="03E7758F"/>
    <w:rsid w:val="03E82390"/>
    <w:rsid w:val="03EA3C99"/>
    <w:rsid w:val="03EA7B21"/>
    <w:rsid w:val="03EC45E0"/>
    <w:rsid w:val="03EF0329"/>
    <w:rsid w:val="03FB2E23"/>
    <w:rsid w:val="04024C95"/>
    <w:rsid w:val="0402799B"/>
    <w:rsid w:val="0405748B"/>
    <w:rsid w:val="04077375"/>
    <w:rsid w:val="040D04C6"/>
    <w:rsid w:val="041B0996"/>
    <w:rsid w:val="04211186"/>
    <w:rsid w:val="042C0304"/>
    <w:rsid w:val="042D7414"/>
    <w:rsid w:val="043700D9"/>
    <w:rsid w:val="04403CF5"/>
    <w:rsid w:val="04406AFF"/>
    <w:rsid w:val="044121BD"/>
    <w:rsid w:val="04417874"/>
    <w:rsid w:val="044955CA"/>
    <w:rsid w:val="044D443C"/>
    <w:rsid w:val="044F6377"/>
    <w:rsid w:val="044F6426"/>
    <w:rsid w:val="04550316"/>
    <w:rsid w:val="04566C62"/>
    <w:rsid w:val="045A0055"/>
    <w:rsid w:val="04617CA4"/>
    <w:rsid w:val="04697A1A"/>
    <w:rsid w:val="047136A3"/>
    <w:rsid w:val="0474543F"/>
    <w:rsid w:val="047733BC"/>
    <w:rsid w:val="047D5088"/>
    <w:rsid w:val="048B618A"/>
    <w:rsid w:val="04931BC3"/>
    <w:rsid w:val="049A6DEF"/>
    <w:rsid w:val="04A012D1"/>
    <w:rsid w:val="04A171B4"/>
    <w:rsid w:val="04A336CB"/>
    <w:rsid w:val="04A652D6"/>
    <w:rsid w:val="04AE3E0C"/>
    <w:rsid w:val="04AE633E"/>
    <w:rsid w:val="04B9687D"/>
    <w:rsid w:val="04C42EA2"/>
    <w:rsid w:val="04CB540A"/>
    <w:rsid w:val="04CD61FB"/>
    <w:rsid w:val="04DA4E66"/>
    <w:rsid w:val="04DC4690"/>
    <w:rsid w:val="04E00664"/>
    <w:rsid w:val="04E161A8"/>
    <w:rsid w:val="04E17B93"/>
    <w:rsid w:val="04EC1561"/>
    <w:rsid w:val="04EC4193"/>
    <w:rsid w:val="04F22E59"/>
    <w:rsid w:val="04FA4E91"/>
    <w:rsid w:val="04FA7ECD"/>
    <w:rsid w:val="05030BEB"/>
    <w:rsid w:val="050877D1"/>
    <w:rsid w:val="050E6C48"/>
    <w:rsid w:val="05130784"/>
    <w:rsid w:val="051931EE"/>
    <w:rsid w:val="05193919"/>
    <w:rsid w:val="051E6A56"/>
    <w:rsid w:val="05246231"/>
    <w:rsid w:val="052A4ADC"/>
    <w:rsid w:val="0532600A"/>
    <w:rsid w:val="0534489A"/>
    <w:rsid w:val="053E2C54"/>
    <w:rsid w:val="05441E7E"/>
    <w:rsid w:val="054933A7"/>
    <w:rsid w:val="05512AE0"/>
    <w:rsid w:val="05532BAB"/>
    <w:rsid w:val="0556363A"/>
    <w:rsid w:val="05590C4F"/>
    <w:rsid w:val="05691E62"/>
    <w:rsid w:val="05740424"/>
    <w:rsid w:val="057448C8"/>
    <w:rsid w:val="057A73D1"/>
    <w:rsid w:val="057C1AD5"/>
    <w:rsid w:val="058076BC"/>
    <w:rsid w:val="05813B36"/>
    <w:rsid w:val="058152BF"/>
    <w:rsid w:val="058640B2"/>
    <w:rsid w:val="0588692A"/>
    <w:rsid w:val="058E0D57"/>
    <w:rsid w:val="0593602E"/>
    <w:rsid w:val="05952B9F"/>
    <w:rsid w:val="05962A91"/>
    <w:rsid w:val="05A76A4C"/>
    <w:rsid w:val="05AC5838"/>
    <w:rsid w:val="05B40180"/>
    <w:rsid w:val="05B42F0C"/>
    <w:rsid w:val="05B922DB"/>
    <w:rsid w:val="05BA3DDB"/>
    <w:rsid w:val="05C23886"/>
    <w:rsid w:val="05C3130B"/>
    <w:rsid w:val="05CC69B3"/>
    <w:rsid w:val="05D37841"/>
    <w:rsid w:val="05D47115"/>
    <w:rsid w:val="05E14091"/>
    <w:rsid w:val="05E271B9"/>
    <w:rsid w:val="05EC3247"/>
    <w:rsid w:val="05ED1C7A"/>
    <w:rsid w:val="05ED1DAD"/>
    <w:rsid w:val="05F455AB"/>
    <w:rsid w:val="05F83EAE"/>
    <w:rsid w:val="05FC55CD"/>
    <w:rsid w:val="05FD2B10"/>
    <w:rsid w:val="06021ED4"/>
    <w:rsid w:val="06077589"/>
    <w:rsid w:val="060A78C0"/>
    <w:rsid w:val="060E0381"/>
    <w:rsid w:val="061751AC"/>
    <w:rsid w:val="06213E65"/>
    <w:rsid w:val="062546E9"/>
    <w:rsid w:val="06255BC2"/>
    <w:rsid w:val="06304C93"/>
    <w:rsid w:val="06323F12"/>
    <w:rsid w:val="06384DA2"/>
    <w:rsid w:val="063E7D85"/>
    <w:rsid w:val="064D2DBE"/>
    <w:rsid w:val="06556FE0"/>
    <w:rsid w:val="0658243F"/>
    <w:rsid w:val="06605CCB"/>
    <w:rsid w:val="06636422"/>
    <w:rsid w:val="06666C42"/>
    <w:rsid w:val="0671566E"/>
    <w:rsid w:val="06734B80"/>
    <w:rsid w:val="06736366"/>
    <w:rsid w:val="067C7094"/>
    <w:rsid w:val="06813E13"/>
    <w:rsid w:val="068E6A92"/>
    <w:rsid w:val="06902672"/>
    <w:rsid w:val="0696086E"/>
    <w:rsid w:val="069B7C33"/>
    <w:rsid w:val="06A34A96"/>
    <w:rsid w:val="06A37BAC"/>
    <w:rsid w:val="06AB19D4"/>
    <w:rsid w:val="06AC2F7C"/>
    <w:rsid w:val="06AE08BF"/>
    <w:rsid w:val="06B0631C"/>
    <w:rsid w:val="06B14F4B"/>
    <w:rsid w:val="06B2558D"/>
    <w:rsid w:val="06BB6EFC"/>
    <w:rsid w:val="06C51C2E"/>
    <w:rsid w:val="06C8113A"/>
    <w:rsid w:val="06D72796"/>
    <w:rsid w:val="06D77152"/>
    <w:rsid w:val="06E55540"/>
    <w:rsid w:val="06E87121"/>
    <w:rsid w:val="06FB42F4"/>
    <w:rsid w:val="070515F1"/>
    <w:rsid w:val="070724A4"/>
    <w:rsid w:val="07080093"/>
    <w:rsid w:val="070D0427"/>
    <w:rsid w:val="07100621"/>
    <w:rsid w:val="07157D30"/>
    <w:rsid w:val="07174EC6"/>
    <w:rsid w:val="071970CB"/>
    <w:rsid w:val="071C5C88"/>
    <w:rsid w:val="071D23FC"/>
    <w:rsid w:val="071F2612"/>
    <w:rsid w:val="072036B4"/>
    <w:rsid w:val="07293586"/>
    <w:rsid w:val="07294568"/>
    <w:rsid w:val="07295285"/>
    <w:rsid w:val="072A4D4B"/>
    <w:rsid w:val="0730481F"/>
    <w:rsid w:val="073325CA"/>
    <w:rsid w:val="07357C95"/>
    <w:rsid w:val="073C0EB3"/>
    <w:rsid w:val="07433728"/>
    <w:rsid w:val="07481B68"/>
    <w:rsid w:val="074B2A19"/>
    <w:rsid w:val="074D3B65"/>
    <w:rsid w:val="07523055"/>
    <w:rsid w:val="0758646F"/>
    <w:rsid w:val="07636392"/>
    <w:rsid w:val="076E419F"/>
    <w:rsid w:val="077159E1"/>
    <w:rsid w:val="07727F9D"/>
    <w:rsid w:val="07770C56"/>
    <w:rsid w:val="077A4F53"/>
    <w:rsid w:val="077B3364"/>
    <w:rsid w:val="078723F4"/>
    <w:rsid w:val="07A00B3E"/>
    <w:rsid w:val="07A01A45"/>
    <w:rsid w:val="07A56FBB"/>
    <w:rsid w:val="07A67102"/>
    <w:rsid w:val="07AF4C69"/>
    <w:rsid w:val="07B062D9"/>
    <w:rsid w:val="07C20A62"/>
    <w:rsid w:val="07C5387F"/>
    <w:rsid w:val="07C833C4"/>
    <w:rsid w:val="07CA20FE"/>
    <w:rsid w:val="07CE18C5"/>
    <w:rsid w:val="07D21D7A"/>
    <w:rsid w:val="07D66961"/>
    <w:rsid w:val="07E8334B"/>
    <w:rsid w:val="07E85FE1"/>
    <w:rsid w:val="07F10452"/>
    <w:rsid w:val="080B5976"/>
    <w:rsid w:val="08117E20"/>
    <w:rsid w:val="0813553A"/>
    <w:rsid w:val="08224E9A"/>
    <w:rsid w:val="08253C58"/>
    <w:rsid w:val="0837398B"/>
    <w:rsid w:val="083835D6"/>
    <w:rsid w:val="084445BD"/>
    <w:rsid w:val="084677DA"/>
    <w:rsid w:val="084A1910"/>
    <w:rsid w:val="084D1513"/>
    <w:rsid w:val="084E5DED"/>
    <w:rsid w:val="08581DC5"/>
    <w:rsid w:val="08594298"/>
    <w:rsid w:val="08626C5A"/>
    <w:rsid w:val="0864470F"/>
    <w:rsid w:val="086E1342"/>
    <w:rsid w:val="0871684C"/>
    <w:rsid w:val="08763495"/>
    <w:rsid w:val="087A38BA"/>
    <w:rsid w:val="087B6CA5"/>
    <w:rsid w:val="087C45DA"/>
    <w:rsid w:val="087E057F"/>
    <w:rsid w:val="087F0656"/>
    <w:rsid w:val="08887C98"/>
    <w:rsid w:val="088E72D2"/>
    <w:rsid w:val="088F4648"/>
    <w:rsid w:val="089063C8"/>
    <w:rsid w:val="08964429"/>
    <w:rsid w:val="08996528"/>
    <w:rsid w:val="08A052C0"/>
    <w:rsid w:val="08A82588"/>
    <w:rsid w:val="08A93AD4"/>
    <w:rsid w:val="08AD556B"/>
    <w:rsid w:val="08BE4BE5"/>
    <w:rsid w:val="08C96CD9"/>
    <w:rsid w:val="08CD4030"/>
    <w:rsid w:val="08DD6040"/>
    <w:rsid w:val="08DE7BBE"/>
    <w:rsid w:val="08DF474E"/>
    <w:rsid w:val="08F13031"/>
    <w:rsid w:val="0900410E"/>
    <w:rsid w:val="090708A4"/>
    <w:rsid w:val="090F3082"/>
    <w:rsid w:val="09151243"/>
    <w:rsid w:val="091A1C05"/>
    <w:rsid w:val="091A6685"/>
    <w:rsid w:val="091A7535"/>
    <w:rsid w:val="092217DD"/>
    <w:rsid w:val="09223C51"/>
    <w:rsid w:val="092B4DD5"/>
    <w:rsid w:val="09303E93"/>
    <w:rsid w:val="093A7294"/>
    <w:rsid w:val="093C1D16"/>
    <w:rsid w:val="09440A55"/>
    <w:rsid w:val="09492B2B"/>
    <w:rsid w:val="094A3D57"/>
    <w:rsid w:val="09511F94"/>
    <w:rsid w:val="09512920"/>
    <w:rsid w:val="095662C7"/>
    <w:rsid w:val="0957192A"/>
    <w:rsid w:val="095742E5"/>
    <w:rsid w:val="095B2AF6"/>
    <w:rsid w:val="095E7BDD"/>
    <w:rsid w:val="09603CD0"/>
    <w:rsid w:val="096128B0"/>
    <w:rsid w:val="096E614B"/>
    <w:rsid w:val="09720784"/>
    <w:rsid w:val="097243DA"/>
    <w:rsid w:val="097974A8"/>
    <w:rsid w:val="09797A35"/>
    <w:rsid w:val="097D1872"/>
    <w:rsid w:val="097F1E2A"/>
    <w:rsid w:val="09867EF2"/>
    <w:rsid w:val="09880942"/>
    <w:rsid w:val="098E3A7F"/>
    <w:rsid w:val="099066F6"/>
    <w:rsid w:val="09930459"/>
    <w:rsid w:val="09946F0C"/>
    <w:rsid w:val="0999176A"/>
    <w:rsid w:val="099E6B56"/>
    <w:rsid w:val="09A714E6"/>
    <w:rsid w:val="09A776DD"/>
    <w:rsid w:val="09A81FE9"/>
    <w:rsid w:val="09AF5188"/>
    <w:rsid w:val="09B36F96"/>
    <w:rsid w:val="09BE6EE6"/>
    <w:rsid w:val="09C3290E"/>
    <w:rsid w:val="09C35E1E"/>
    <w:rsid w:val="09C661BA"/>
    <w:rsid w:val="09C82CB5"/>
    <w:rsid w:val="09CA084E"/>
    <w:rsid w:val="09CD321D"/>
    <w:rsid w:val="09D022E6"/>
    <w:rsid w:val="09D35B98"/>
    <w:rsid w:val="09D76B07"/>
    <w:rsid w:val="09D8654B"/>
    <w:rsid w:val="09DB182A"/>
    <w:rsid w:val="09E3201C"/>
    <w:rsid w:val="09EC06FD"/>
    <w:rsid w:val="09EF276F"/>
    <w:rsid w:val="09F61F99"/>
    <w:rsid w:val="09F751C6"/>
    <w:rsid w:val="09F86821"/>
    <w:rsid w:val="0A0333CD"/>
    <w:rsid w:val="0A132D7C"/>
    <w:rsid w:val="0A1701B6"/>
    <w:rsid w:val="0A1812DE"/>
    <w:rsid w:val="0A1E7107"/>
    <w:rsid w:val="0A1F2AF0"/>
    <w:rsid w:val="0A263993"/>
    <w:rsid w:val="0A2C5D9B"/>
    <w:rsid w:val="0A2D3AC2"/>
    <w:rsid w:val="0A2F2B23"/>
    <w:rsid w:val="0A315CC1"/>
    <w:rsid w:val="0A375AC8"/>
    <w:rsid w:val="0A45155B"/>
    <w:rsid w:val="0A515450"/>
    <w:rsid w:val="0A5A4BA5"/>
    <w:rsid w:val="0A5D3853"/>
    <w:rsid w:val="0A621396"/>
    <w:rsid w:val="0A64315D"/>
    <w:rsid w:val="0A656ED5"/>
    <w:rsid w:val="0A666CC6"/>
    <w:rsid w:val="0A73573F"/>
    <w:rsid w:val="0A741EC5"/>
    <w:rsid w:val="0A7560ED"/>
    <w:rsid w:val="0A7A5C9D"/>
    <w:rsid w:val="0A7E421B"/>
    <w:rsid w:val="0A8A693C"/>
    <w:rsid w:val="0A8C49A0"/>
    <w:rsid w:val="0A973A6B"/>
    <w:rsid w:val="0A9C34D0"/>
    <w:rsid w:val="0AA43EEE"/>
    <w:rsid w:val="0AA755DF"/>
    <w:rsid w:val="0AB15C77"/>
    <w:rsid w:val="0AB47E10"/>
    <w:rsid w:val="0AB57B2B"/>
    <w:rsid w:val="0AB97E03"/>
    <w:rsid w:val="0ABA2D7D"/>
    <w:rsid w:val="0AC70723"/>
    <w:rsid w:val="0ACA0AE6"/>
    <w:rsid w:val="0ADD7F80"/>
    <w:rsid w:val="0ADF0A36"/>
    <w:rsid w:val="0AE40963"/>
    <w:rsid w:val="0AE93662"/>
    <w:rsid w:val="0AF02C43"/>
    <w:rsid w:val="0AF43524"/>
    <w:rsid w:val="0AFC46E7"/>
    <w:rsid w:val="0B120D44"/>
    <w:rsid w:val="0B1D7C8D"/>
    <w:rsid w:val="0B1F52D6"/>
    <w:rsid w:val="0B274735"/>
    <w:rsid w:val="0B293A5F"/>
    <w:rsid w:val="0B2D17C2"/>
    <w:rsid w:val="0B2E72C7"/>
    <w:rsid w:val="0B325753"/>
    <w:rsid w:val="0B352404"/>
    <w:rsid w:val="0B3B23A2"/>
    <w:rsid w:val="0B3E0AD5"/>
    <w:rsid w:val="0B493958"/>
    <w:rsid w:val="0B4A3F7D"/>
    <w:rsid w:val="0B4C3573"/>
    <w:rsid w:val="0B4D0264"/>
    <w:rsid w:val="0B557E09"/>
    <w:rsid w:val="0B664C30"/>
    <w:rsid w:val="0B68565E"/>
    <w:rsid w:val="0B76267A"/>
    <w:rsid w:val="0B772F9A"/>
    <w:rsid w:val="0B7A40D7"/>
    <w:rsid w:val="0B824A13"/>
    <w:rsid w:val="0B8415DD"/>
    <w:rsid w:val="0B886AD3"/>
    <w:rsid w:val="0B893197"/>
    <w:rsid w:val="0B8D40B4"/>
    <w:rsid w:val="0B9D6498"/>
    <w:rsid w:val="0B9F3D21"/>
    <w:rsid w:val="0BA23F0D"/>
    <w:rsid w:val="0BA32B53"/>
    <w:rsid w:val="0BA32C98"/>
    <w:rsid w:val="0BA453FF"/>
    <w:rsid w:val="0BAD28F8"/>
    <w:rsid w:val="0BB53545"/>
    <w:rsid w:val="0BB64B14"/>
    <w:rsid w:val="0BBE01FD"/>
    <w:rsid w:val="0BC1013B"/>
    <w:rsid w:val="0BC15C58"/>
    <w:rsid w:val="0BC41E59"/>
    <w:rsid w:val="0BD27BF6"/>
    <w:rsid w:val="0BD658F3"/>
    <w:rsid w:val="0BEE36CF"/>
    <w:rsid w:val="0BF82CEB"/>
    <w:rsid w:val="0BF91683"/>
    <w:rsid w:val="0BFE313E"/>
    <w:rsid w:val="0BFF3449"/>
    <w:rsid w:val="0C01506F"/>
    <w:rsid w:val="0C022E00"/>
    <w:rsid w:val="0C0E0ED3"/>
    <w:rsid w:val="0C0F6CB0"/>
    <w:rsid w:val="0C160487"/>
    <w:rsid w:val="0C247EB2"/>
    <w:rsid w:val="0C2E2E30"/>
    <w:rsid w:val="0C2F32F7"/>
    <w:rsid w:val="0C325230"/>
    <w:rsid w:val="0C3439E4"/>
    <w:rsid w:val="0C376F8C"/>
    <w:rsid w:val="0C3B3C7D"/>
    <w:rsid w:val="0C4009A3"/>
    <w:rsid w:val="0C427140"/>
    <w:rsid w:val="0C467275"/>
    <w:rsid w:val="0C4F2CD6"/>
    <w:rsid w:val="0C4F708E"/>
    <w:rsid w:val="0C561362"/>
    <w:rsid w:val="0C57284E"/>
    <w:rsid w:val="0C5E046C"/>
    <w:rsid w:val="0C610B15"/>
    <w:rsid w:val="0C637A86"/>
    <w:rsid w:val="0C6D1EB8"/>
    <w:rsid w:val="0C774FDC"/>
    <w:rsid w:val="0C7B29E0"/>
    <w:rsid w:val="0C825B1D"/>
    <w:rsid w:val="0C8C7153"/>
    <w:rsid w:val="0C967A01"/>
    <w:rsid w:val="0C9A7529"/>
    <w:rsid w:val="0C9D4705"/>
    <w:rsid w:val="0CA35A93"/>
    <w:rsid w:val="0CA65BAA"/>
    <w:rsid w:val="0CA833EB"/>
    <w:rsid w:val="0CAB2EAE"/>
    <w:rsid w:val="0CAD06C0"/>
    <w:rsid w:val="0CAD264B"/>
    <w:rsid w:val="0CBD1FA2"/>
    <w:rsid w:val="0CC27359"/>
    <w:rsid w:val="0CCF1A98"/>
    <w:rsid w:val="0CD345CA"/>
    <w:rsid w:val="0CD42D92"/>
    <w:rsid w:val="0CD45858"/>
    <w:rsid w:val="0CD64E0B"/>
    <w:rsid w:val="0CDD2001"/>
    <w:rsid w:val="0CE02197"/>
    <w:rsid w:val="0CEC743A"/>
    <w:rsid w:val="0CFD33F5"/>
    <w:rsid w:val="0D04561B"/>
    <w:rsid w:val="0D047417"/>
    <w:rsid w:val="0D064B32"/>
    <w:rsid w:val="0D0E54D2"/>
    <w:rsid w:val="0D1150F2"/>
    <w:rsid w:val="0D1159A0"/>
    <w:rsid w:val="0D23604C"/>
    <w:rsid w:val="0D275785"/>
    <w:rsid w:val="0D2C0954"/>
    <w:rsid w:val="0D3271FC"/>
    <w:rsid w:val="0D343C0C"/>
    <w:rsid w:val="0D3C58EC"/>
    <w:rsid w:val="0D4169F7"/>
    <w:rsid w:val="0D457C33"/>
    <w:rsid w:val="0D4D4D38"/>
    <w:rsid w:val="0D5A6340"/>
    <w:rsid w:val="0D5F5E5E"/>
    <w:rsid w:val="0D621C7D"/>
    <w:rsid w:val="0D6F4CF6"/>
    <w:rsid w:val="0D714E7C"/>
    <w:rsid w:val="0D7A491F"/>
    <w:rsid w:val="0D7D2581"/>
    <w:rsid w:val="0D8B6BF6"/>
    <w:rsid w:val="0D926A4A"/>
    <w:rsid w:val="0D931E3E"/>
    <w:rsid w:val="0D9A6371"/>
    <w:rsid w:val="0DAD6BC9"/>
    <w:rsid w:val="0DB21168"/>
    <w:rsid w:val="0DB22432"/>
    <w:rsid w:val="0DB31D06"/>
    <w:rsid w:val="0DB563F1"/>
    <w:rsid w:val="0DC9704D"/>
    <w:rsid w:val="0DCD2DC7"/>
    <w:rsid w:val="0DD35320"/>
    <w:rsid w:val="0DD84FC2"/>
    <w:rsid w:val="0DDC1F2E"/>
    <w:rsid w:val="0DDC6F4B"/>
    <w:rsid w:val="0DE0368F"/>
    <w:rsid w:val="0DFC545B"/>
    <w:rsid w:val="0E032E0C"/>
    <w:rsid w:val="0E111420"/>
    <w:rsid w:val="0E127C3D"/>
    <w:rsid w:val="0E152353"/>
    <w:rsid w:val="0E2D4B31"/>
    <w:rsid w:val="0E2F4015"/>
    <w:rsid w:val="0E2F75DE"/>
    <w:rsid w:val="0E301B74"/>
    <w:rsid w:val="0E341099"/>
    <w:rsid w:val="0E3678AD"/>
    <w:rsid w:val="0E417FB0"/>
    <w:rsid w:val="0E4456DF"/>
    <w:rsid w:val="0E504A80"/>
    <w:rsid w:val="0E5E7485"/>
    <w:rsid w:val="0E5F629E"/>
    <w:rsid w:val="0E6059EA"/>
    <w:rsid w:val="0E653000"/>
    <w:rsid w:val="0E6954CC"/>
    <w:rsid w:val="0E6C0832"/>
    <w:rsid w:val="0E6D321F"/>
    <w:rsid w:val="0E73034D"/>
    <w:rsid w:val="0E805C8B"/>
    <w:rsid w:val="0E8361DA"/>
    <w:rsid w:val="0E8F41E7"/>
    <w:rsid w:val="0E901C03"/>
    <w:rsid w:val="0E963B01"/>
    <w:rsid w:val="0E9D7D05"/>
    <w:rsid w:val="0EA10147"/>
    <w:rsid w:val="0EA93573"/>
    <w:rsid w:val="0EAA3109"/>
    <w:rsid w:val="0EB15ECE"/>
    <w:rsid w:val="0EB43F87"/>
    <w:rsid w:val="0EB86496"/>
    <w:rsid w:val="0EBC4BEA"/>
    <w:rsid w:val="0EC03B43"/>
    <w:rsid w:val="0ED23EEC"/>
    <w:rsid w:val="0ED67375"/>
    <w:rsid w:val="0ED73E5A"/>
    <w:rsid w:val="0ED85903"/>
    <w:rsid w:val="0EE6308A"/>
    <w:rsid w:val="0EE720DB"/>
    <w:rsid w:val="0EE77605"/>
    <w:rsid w:val="0EF31635"/>
    <w:rsid w:val="0F072309"/>
    <w:rsid w:val="0F093DB1"/>
    <w:rsid w:val="0F0A2587"/>
    <w:rsid w:val="0F0C0363"/>
    <w:rsid w:val="0F0C791F"/>
    <w:rsid w:val="0F0D1FB0"/>
    <w:rsid w:val="0F1374AE"/>
    <w:rsid w:val="0F13775A"/>
    <w:rsid w:val="0F155428"/>
    <w:rsid w:val="0F1715D8"/>
    <w:rsid w:val="0F2044B8"/>
    <w:rsid w:val="0F220671"/>
    <w:rsid w:val="0F276507"/>
    <w:rsid w:val="0F2A41C6"/>
    <w:rsid w:val="0F2C4566"/>
    <w:rsid w:val="0F315141"/>
    <w:rsid w:val="0F397263"/>
    <w:rsid w:val="0F3B1FB3"/>
    <w:rsid w:val="0F3D5B01"/>
    <w:rsid w:val="0F3D6C20"/>
    <w:rsid w:val="0F485732"/>
    <w:rsid w:val="0F522C33"/>
    <w:rsid w:val="0F551602"/>
    <w:rsid w:val="0F560CAB"/>
    <w:rsid w:val="0F58735D"/>
    <w:rsid w:val="0F5F45FE"/>
    <w:rsid w:val="0F6B2287"/>
    <w:rsid w:val="0F732C2B"/>
    <w:rsid w:val="0F7336FA"/>
    <w:rsid w:val="0F737498"/>
    <w:rsid w:val="0F825E34"/>
    <w:rsid w:val="0F88102E"/>
    <w:rsid w:val="0F8C280E"/>
    <w:rsid w:val="0F8D495C"/>
    <w:rsid w:val="0F916077"/>
    <w:rsid w:val="0F917E25"/>
    <w:rsid w:val="0F976527"/>
    <w:rsid w:val="0F994788"/>
    <w:rsid w:val="0F9A112B"/>
    <w:rsid w:val="0F9E06C3"/>
    <w:rsid w:val="0FA37C36"/>
    <w:rsid w:val="0FA6792B"/>
    <w:rsid w:val="0FA77F54"/>
    <w:rsid w:val="0FA84471"/>
    <w:rsid w:val="0FAE0BB2"/>
    <w:rsid w:val="0FAE6C29"/>
    <w:rsid w:val="0FB12275"/>
    <w:rsid w:val="0FC226D4"/>
    <w:rsid w:val="0FC31646"/>
    <w:rsid w:val="0FC40ED0"/>
    <w:rsid w:val="0FCE7F21"/>
    <w:rsid w:val="0FCF7FFE"/>
    <w:rsid w:val="0FD51D8B"/>
    <w:rsid w:val="0FDF5034"/>
    <w:rsid w:val="0FE0016D"/>
    <w:rsid w:val="0FE24D6B"/>
    <w:rsid w:val="0FE4264A"/>
    <w:rsid w:val="0FEA268E"/>
    <w:rsid w:val="0FEF3EE0"/>
    <w:rsid w:val="0FF24D67"/>
    <w:rsid w:val="0FFA00C0"/>
    <w:rsid w:val="10042CED"/>
    <w:rsid w:val="10046849"/>
    <w:rsid w:val="10066189"/>
    <w:rsid w:val="100A3726"/>
    <w:rsid w:val="10101691"/>
    <w:rsid w:val="10121024"/>
    <w:rsid w:val="10172994"/>
    <w:rsid w:val="10196798"/>
    <w:rsid w:val="101C7C0B"/>
    <w:rsid w:val="101E0C87"/>
    <w:rsid w:val="10240C99"/>
    <w:rsid w:val="10246EEB"/>
    <w:rsid w:val="102D2243"/>
    <w:rsid w:val="10326F5D"/>
    <w:rsid w:val="103A3BDA"/>
    <w:rsid w:val="103D460F"/>
    <w:rsid w:val="104850C0"/>
    <w:rsid w:val="104A0A84"/>
    <w:rsid w:val="105021CD"/>
    <w:rsid w:val="1052579D"/>
    <w:rsid w:val="105535D4"/>
    <w:rsid w:val="10561781"/>
    <w:rsid w:val="105627FE"/>
    <w:rsid w:val="10610580"/>
    <w:rsid w:val="106D0892"/>
    <w:rsid w:val="106D2F64"/>
    <w:rsid w:val="107514F4"/>
    <w:rsid w:val="10757746"/>
    <w:rsid w:val="10792801"/>
    <w:rsid w:val="107E484D"/>
    <w:rsid w:val="10833C11"/>
    <w:rsid w:val="10893249"/>
    <w:rsid w:val="108A7143"/>
    <w:rsid w:val="108F7413"/>
    <w:rsid w:val="10A142E3"/>
    <w:rsid w:val="10A51DDA"/>
    <w:rsid w:val="10B04CC5"/>
    <w:rsid w:val="10B2297D"/>
    <w:rsid w:val="10B522F3"/>
    <w:rsid w:val="10B63710"/>
    <w:rsid w:val="10B96B13"/>
    <w:rsid w:val="10BF6655"/>
    <w:rsid w:val="10C5422A"/>
    <w:rsid w:val="10CC559A"/>
    <w:rsid w:val="10CF3F1B"/>
    <w:rsid w:val="10D54AC3"/>
    <w:rsid w:val="10D814A5"/>
    <w:rsid w:val="10DC6B08"/>
    <w:rsid w:val="10DD481D"/>
    <w:rsid w:val="10E37684"/>
    <w:rsid w:val="10E76E35"/>
    <w:rsid w:val="10F10820"/>
    <w:rsid w:val="10F649F3"/>
    <w:rsid w:val="10FB6B46"/>
    <w:rsid w:val="10FE598E"/>
    <w:rsid w:val="11052878"/>
    <w:rsid w:val="1109325D"/>
    <w:rsid w:val="110C501E"/>
    <w:rsid w:val="11102DA3"/>
    <w:rsid w:val="111156C1"/>
    <w:rsid w:val="1117086B"/>
    <w:rsid w:val="111C2F7A"/>
    <w:rsid w:val="112B52E9"/>
    <w:rsid w:val="112D4D3E"/>
    <w:rsid w:val="112E6912"/>
    <w:rsid w:val="113C40A4"/>
    <w:rsid w:val="114321E4"/>
    <w:rsid w:val="114801B9"/>
    <w:rsid w:val="114857C3"/>
    <w:rsid w:val="114E421F"/>
    <w:rsid w:val="1158343F"/>
    <w:rsid w:val="115D5282"/>
    <w:rsid w:val="11665CA1"/>
    <w:rsid w:val="11677E7A"/>
    <w:rsid w:val="116D6B49"/>
    <w:rsid w:val="116F2521"/>
    <w:rsid w:val="11744B2C"/>
    <w:rsid w:val="117533D2"/>
    <w:rsid w:val="118447F4"/>
    <w:rsid w:val="11850D9D"/>
    <w:rsid w:val="11875507"/>
    <w:rsid w:val="118B7FB5"/>
    <w:rsid w:val="11954F90"/>
    <w:rsid w:val="1198193E"/>
    <w:rsid w:val="11A618DD"/>
    <w:rsid w:val="11AD0DED"/>
    <w:rsid w:val="11B23646"/>
    <w:rsid w:val="11BD77FC"/>
    <w:rsid w:val="11C444E1"/>
    <w:rsid w:val="11C74BAF"/>
    <w:rsid w:val="11C7582B"/>
    <w:rsid w:val="11CA6938"/>
    <w:rsid w:val="11CE2F90"/>
    <w:rsid w:val="11D44ADF"/>
    <w:rsid w:val="11DA1F57"/>
    <w:rsid w:val="11E903EC"/>
    <w:rsid w:val="11EA5152"/>
    <w:rsid w:val="11F254F3"/>
    <w:rsid w:val="11F42DB6"/>
    <w:rsid w:val="11FE416C"/>
    <w:rsid w:val="1209283C"/>
    <w:rsid w:val="121D3CFD"/>
    <w:rsid w:val="1221190D"/>
    <w:rsid w:val="122907E8"/>
    <w:rsid w:val="122B472C"/>
    <w:rsid w:val="123A047A"/>
    <w:rsid w:val="123C31EC"/>
    <w:rsid w:val="123F1738"/>
    <w:rsid w:val="124145AC"/>
    <w:rsid w:val="1243163F"/>
    <w:rsid w:val="124509EB"/>
    <w:rsid w:val="12472E2C"/>
    <w:rsid w:val="124C49AD"/>
    <w:rsid w:val="125563D1"/>
    <w:rsid w:val="12592272"/>
    <w:rsid w:val="125D0350"/>
    <w:rsid w:val="125E4B0E"/>
    <w:rsid w:val="126B2BAF"/>
    <w:rsid w:val="126E51C9"/>
    <w:rsid w:val="12727ADD"/>
    <w:rsid w:val="12731A33"/>
    <w:rsid w:val="1277621D"/>
    <w:rsid w:val="12865C3B"/>
    <w:rsid w:val="12875174"/>
    <w:rsid w:val="12893B13"/>
    <w:rsid w:val="128A1376"/>
    <w:rsid w:val="128E689D"/>
    <w:rsid w:val="12993BC0"/>
    <w:rsid w:val="12A16FFF"/>
    <w:rsid w:val="12A26BF7"/>
    <w:rsid w:val="12AD31C8"/>
    <w:rsid w:val="12AD71D4"/>
    <w:rsid w:val="12B227E8"/>
    <w:rsid w:val="12B6732D"/>
    <w:rsid w:val="12B802FD"/>
    <w:rsid w:val="12B937DE"/>
    <w:rsid w:val="12B97FE8"/>
    <w:rsid w:val="12BA7692"/>
    <w:rsid w:val="12C30C3D"/>
    <w:rsid w:val="12C513AB"/>
    <w:rsid w:val="12C911D6"/>
    <w:rsid w:val="12D116C5"/>
    <w:rsid w:val="12DD05D2"/>
    <w:rsid w:val="12E4798B"/>
    <w:rsid w:val="12E749E4"/>
    <w:rsid w:val="12EC0194"/>
    <w:rsid w:val="12EC24B0"/>
    <w:rsid w:val="12F76ACD"/>
    <w:rsid w:val="12FE3A23"/>
    <w:rsid w:val="12FE6A03"/>
    <w:rsid w:val="13050CDE"/>
    <w:rsid w:val="130C7E87"/>
    <w:rsid w:val="1313163A"/>
    <w:rsid w:val="13157CDC"/>
    <w:rsid w:val="1325625F"/>
    <w:rsid w:val="13271B5C"/>
    <w:rsid w:val="13273CB1"/>
    <w:rsid w:val="13320680"/>
    <w:rsid w:val="13357DBD"/>
    <w:rsid w:val="13394A5B"/>
    <w:rsid w:val="1343436F"/>
    <w:rsid w:val="134F24D1"/>
    <w:rsid w:val="1353405C"/>
    <w:rsid w:val="135B64D0"/>
    <w:rsid w:val="136753BB"/>
    <w:rsid w:val="13677AFC"/>
    <w:rsid w:val="136B4516"/>
    <w:rsid w:val="136E1102"/>
    <w:rsid w:val="13716245"/>
    <w:rsid w:val="137651C6"/>
    <w:rsid w:val="137D7E64"/>
    <w:rsid w:val="137F4B39"/>
    <w:rsid w:val="13896391"/>
    <w:rsid w:val="139252E8"/>
    <w:rsid w:val="13951726"/>
    <w:rsid w:val="139F1E83"/>
    <w:rsid w:val="13B10A95"/>
    <w:rsid w:val="13BE389F"/>
    <w:rsid w:val="13BF2454"/>
    <w:rsid w:val="13C22CA3"/>
    <w:rsid w:val="13C7650B"/>
    <w:rsid w:val="13CC1D73"/>
    <w:rsid w:val="13CE4985"/>
    <w:rsid w:val="13D21FCB"/>
    <w:rsid w:val="13D35BD5"/>
    <w:rsid w:val="13EE1920"/>
    <w:rsid w:val="13EE4301"/>
    <w:rsid w:val="13F144B2"/>
    <w:rsid w:val="13F83074"/>
    <w:rsid w:val="13F90275"/>
    <w:rsid w:val="14067033"/>
    <w:rsid w:val="140870E9"/>
    <w:rsid w:val="14087FD8"/>
    <w:rsid w:val="140D6614"/>
    <w:rsid w:val="14135983"/>
    <w:rsid w:val="141369DE"/>
    <w:rsid w:val="14157BDD"/>
    <w:rsid w:val="141825E5"/>
    <w:rsid w:val="141F1EA3"/>
    <w:rsid w:val="142179C9"/>
    <w:rsid w:val="14236357"/>
    <w:rsid w:val="14297D18"/>
    <w:rsid w:val="1437286B"/>
    <w:rsid w:val="143846F9"/>
    <w:rsid w:val="14396509"/>
    <w:rsid w:val="143C2A55"/>
    <w:rsid w:val="143D0535"/>
    <w:rsid w:val="143E22D4"/>
    <w:rsid w:val="143E6061"/>
    <w:rsid w:val="14524026"/>
    <w:rsid w:val="14553B17"/>
    <w:rsid w:val="145B45E1"/>
    <w:rsid w:val="14634486"/>
    <w:rsid w:val="14670743"/>
    <w:rsid w:val="146D11D1"/>
    <w:rsid w:val="147100CF"/>
    <w:rsid w:val="147A2F0D"/>
    <w:rsid w:val="14854E30"/>
    <w:rsid w:val="14896D79"/>
    <w:rsid w:val="149A777C"/>
    <w:rsid w:val="149F46DF"/>
    <w:rsid w:val="14A20B39"/>
    <w:rsid w:val="14A371C5"/>
    <w:rsid w:val="14A64372"/>
    <w:rsid w:val="14A979BF"/>
    <w:rsid w:val="14B01E52"/>
    <w:rsid w:val="14B77948"/>
    <w:rsid w:val="14BC404C"/>
    <w:rsid w:val="14C60571"/>
    <w:rsid w:val="14CF3A41"/>
    <w:rsid w:val="14D507B4"/>
    <w:rsid w:val="14D5389E"/>
    <w:rsid w:val="14D73E9E"/>
    <w:rsid w:val="14DD2C3C"/>
    <w:rsid w:val="14DF37B1"/>
    <w:rsid w:val="14E81FD2"/>
    <w:rsid w:val="14EC1306"/>
    <w:rsid w:val="14FC3CEB"/>
    <w:rsid w:val="14FF410B"/>
    <w:rsid w:val="15070492"/>
    <w:rsid w:val="1510485B"/>
    <w:rsid w:val="15143EA7"/>
    <w:rsid w:val="151635C4"/>
    <w:rsid w:val="15177F3A"/>
    <w:rsid w:val="151B1CB5"/>
    <w:rsid w:val="152C2AC9"/>
    <w:rsid w:val="152D6842"/>
    <w:rsid w:val="153100E0"/>
    <w:rsid w:val="15333E2B"/>
    <w:rsid w:val="15381149"/>
    <w:rsid w:val="153F4DAC"/>
    <w:rsid w:val="15422F4C"/>
    <w:rsid w:val="15466EC7"/>
    <w:rsid w:val="15482EBC"/>
    <w:rsid w:val="1548367B"/>
    <w:rsid w:val="154878EA"/>
    <w:rsid w:val="154E5E6F"/>
    <w:rsid w:val="156601F3"/>
    <w:rsid w:val="157157FF"/>
    <w:rsid w:val="1572238D"/>
    <w:rsid w:val="15724781"/>
    <w:rsid w:val="157A2432"/>
    <w:rsid w:val="158C5EDB"/>
    <w:rsid w:val="15986698"/>
    <w:rsid w:val="15A07D67"/>
    <w:rsid w:val="15A9411A"/>
    <w:rsid w:val="15AC3C0A"/>
    <w:rsid w:val="15AF4FFA"/>
    <w:rsid w:val="15B523C9"/>
    <w:rsid w:val="15B64A89"/>
    <w:rsid w:val="15B66837"/>
    <w:rsid w:val="15BB5BFB"/>
    <w:rsid w:val="15C90418"/>
    <w:rsid w:val="15C96C5C"/>
    <w:rsid w:val="15CD507F"/>
    <w:rsid w:val="15D24F7F"/>
    <w:rsid w:val="15D25215"/>
    <w:rsid w:val="15D51837"/>
    <w:rsid w:val="15D905C6"/>
    <w:rsid w:val="15D936DF"/>
    <w:rsid w:val="15DD3CC5"/>
    <w:rsid w:val="15EA2F61"/>
    <w:rsid w:val="15EB4733"/>
    <w:rsid w:val="16087E1D"/>
    <w:rsid w:val="1609105D"/>
    <w:rsid w:val="16171CEA"/>
    <w:rsid w:val="16241E46"/>
    <w:rsid w:val="16291193"/>
    <w:rsid w:val="162D0574"/>
    <w:rsid w:val="162E314E"/>
    <w:rsid w:val="16353C00"/>
    <w:rsid w:val="16377978"/>
    <w:rsid w:val="163855EA"/>
    <w:rsid w:val="163B16C3"/>
    <w:rsid w:val="16404D77"/>
    <w:rsid w:val="164D5DC6"/>
    <w:rsid w:val="16544F29"/>
    <w:rsid w:val="16545A9F"/>
    <w:rsid w:val="165841FB"/>
    <w:rsid w:val="16594096"/>
    <w:rsid w:val="165C1C83"/>
    <w:rsid w:val="166F5729"/>
    <w:rsid w:val="16837C9D"/>
    <w:rsid w:val="16866209"/>
    <w:rsid w:val="168B3820"/>
    <w:rsid w:val="16903752"/>
    <w:rsid w:val="169052DA"/>
    <w:rsid w:val="16935A9B"/>
    <w:rsid w:val="16970417"/>
    <w:rsid w:val="16973420"/>
    <w:rsid w:val="16A82624"/>
    <w:rsid w:val="16B56AEF"/>
    <w:rsid w:val="16C16D95"/>
    <w:rsid w:val="16C35B6B"/>
    <w:rsid w:val="16C41A34"/>
    <w:rsid w:val="16CB650D"/>
    <w:rsid w:val="16CD5B16"/>
    <w:rsid w:val="16D06DDD"/>
    <w:rsid w:val="16D5392B"/>
    <w:rsid w:val="16DA02A8"/>
    <w:rsid w:val="16DA1C2B"/>
    <w:rsid w:val="16DE0A26"/>
    <w:rsid w:val="16DE1BD0"/>
    <w:rsid w:val="16E6314C"/>
    <w:rsid w:val="16E73A61"/>
    <w:rsid w:val="16ED63A6"/>
    <w:rsid w:val="16EF2001"/>
    <w:rsid w:val="16F13FCB"/>
    <w:rsid w:val="16F23DFD"/>
    <w:rsid w:val="16F85567"/>
    <w:rsid w:val="16F87BE6"/>
    <w:rsid w:val="170257AD"/>
    <w:rsid w:val="170440FC"/>
    <w:rsid w:val="17063316"/>
    <w:rsid w:val="17164820"/>
    <w:rsid w:val="17207C40"/>
    <w:rsid w:val="17215593"/>
    <w:rsid w:val="172F68A1"/>
    <w:rsid w:val="1738121D"/>
    <w:rsid w:val="173C091E"/>
    <w:rsid w:val="173E76FF"/>
    <w:rsid w:val="17421C72"/>
    <w:rsid w:val="17435273"/>
    <w:rsid w:val="1744517E"/>
    <w:rsid w:val="174D31CB"/>
    <w:rsid w:val="17506C4B"/>
    <w:rsid w:val="17511E09"/>
    <w:rsid w:val="17542DA9"/>
    <w:rsid w:val="175F7195"/>
    <w:rsid w:val="1762700E"/>
    <w:rsid w:val="176559A2"/>
    <w:rsid w:val="17690784"/>
    <w:rsid w:val="176B635F"/>
    <w:rsid w:val="176E67C0"/>
    <w:rsid w:val="17701D14"/>
    <w:rsid w:val="17712A16"/>
    <w:rsid w:val="17735226"/>
    <w:rsid w:val="17793FC0"/>
    <w:rsid w:val="17795D6E"/>
    <w:rsid w:val="177C5BEA"/>
    <w:rsid w:val="177D3FFD"/>
    <w:rsid w:val="178502B5"/>
    <w:rsid w:val="17865A01"/>
    <w:rsid w:val="17946704"/>
    <w:rsid w:val="179B6F5A"/>
    <w:rsid w:val="17A23766"/>
    <w:rsid w:val="17AC08C2"/>
    <w:rsid w:val="17B80644"/>
    <w:rsid w:val="17C70029"/>
    <w:rsid w:val="17DD366C"/>
    <w:rsid w:val="17DD62FD"/>
    <w:rsid w:val="17DE138E"/>
    <w:rsid w:val="17E63F61"/>
    <w:rsid w:val="17E86A50"/>
    <w:rsid w:val="17F025E2"/>
    <w:rsid w:val="17F605D9"/>
    <w:rsid w:val="17F6116D"/>
    <w:rsid w:val="17FB49D5"/>
    <w:rsid w:val="18001AC2"/>
    <w:rsid w:val="180950F8"/>
    <w:rsid w:val="18095344"/>
    <w:rsid w:val="180C0521"/>
    <w:rsid w:val="181A5674"/>
    <w:rsid w:val="181A568A"/>
    <w:rsid w:val="183925B7"/>
    <w:rsid w:val="18394A9B"/>
    <w:rsid w:val="183D4BB3"/>
    <w:rsid w:val="184A0112"/>
    <w:rsid w:val="185C5859"/>
    <w:rsid w:val="185D743E"/>
    <w:rsid w:val="18616F2E"/>
    <w:rsid w:val="18641CF4"/>
    <w:rsid w:val="1866111B"/>
    <w:rsid w:val="186C7D00"/>
    <w:rsid w:val="187D188E"/>
    <w:rsid w:val="187D53EA"/>
    <w:rsid w:val="18826019"/>
    <w:rsid w:val="188E7AB5"/>
    <w:rsid w:val="18955A02"/>
    <w:rsid w:val="1899586E"/>
    <w:rsid w:val="189F624C"/>
    <w:rsid w:val="18A80012"/>
    <w:rsid w:val="18B41C07"/>
    <w:rsid w:val="18BC1B84"/>
    <w:rsid w:val="18C179CD"/>
    <w:rsid w:val="18C205AA"/>
    <w:rsid w:val="18CA7868"/>
    <w:rsid w:val="18CB084B"/>
    <w:rsid w:val="18CD0120"/>
    <w:rsid w:val="18D771F0"/>
    <w:rsid w:val="18D91696"/>
    <w:rsid w:val="18DF35D3"/>
    <w:rsid w:val="18E50049"/>
    <w:rsid w:val="18E50883"/>
    <w:rsid w:val="18E5190D"/>
    <w:rsid w:val="18EE3791"/>
    <w:rsid w:val="18F36966"/>
    <w:rsid w:val="18F97167"/>
    <w:rsid w:val="19006677"/>
    <w:rsid w:val="19080C81"/>
    <w:rsid w:val="190B5CC0"/>
    <w:rsid w:val="19130410"/>
    <w:rsid w:val="191903A4"/>
    <w:rsid w:val="191E50F8"/>
    <w:rsid w:val="19201CDC"/>
    <w:rsid w:val="19243F4A"/>
    <w:rsid w:val="192D0782"/>
    <w:rsid w:val="192E6911"/>
    <w:rsid w:val="193A7BAD"/>
    <w:rsid w:val="194128BC"/>
    <w:rsid w:val="194C6234"/>
    <w:rsid w:val="19586BEC"/>
    <w:rsid w:val="196024F0"/>
    <w:rsid w:val="19670979"/>
    <w:rsid w:val="1967648C"/>
    <w:rsid w:val="196E56A6"/>
    <w:rsid w:val="197B5DCD"/>
    <w:rsid w:val="19856C4C"/>
    <w:rsid w:val="1987683E"/>
    <w:rsid w:val="198823C7"/>
    <w:rsid w:val="198A5E93"/>
    <w:rsid w:val="198F3627"/>
    <w:rsid w:val="19997436"/>
    <w:rsid w:val="19A45EA5"/>
    <w:rsid w:val="19A76C83"/>
    <w:rsid w:val="19A96994"/>
    <w:rsid w:val="19AC79A3"/>
    <w:rsid w:val="19B95FB5"/>
    <w:rsid w:val="19BC7DDD"/>
    <w:rsid w:val="19C052A4"/>
    <w:rsid w:val="19C827D2"/>
    <w:rsid w:val="19CA465F"/>
    <w:rsid w:val="19CF6119"/>
    <w:rsid w:val="19D84200"/>
    <w:rsid w:val="19DB1B78"/>
    <w:rsid w:val="19DB5056"/>
    <w:rsid w:val="19EC6CCB"/>
    <w:rsid w:val="19EF6A61"/>
    <w:rsid w:val="19F17E3E"/>
    <w:rsid w:val="19F41335"/>
    <w:rsid w:val="1A0A7151"/>
    <w:rsid w:val="1A0E07B9"/>
    <w:rsid w:val="1A1678A4"/>
    <w:rsid w:val="1A1A02C9"/>
    <w:rsid w:val="1A1B097B"/>
    <w:rsid w:val="1A1C66C0"/>
    <w:rsid w:val="1A271D12"/>
    <w:rsid w:val="1A286823"/>
    <w:rsid w:val="1A2975D8"/>
    <w:rsid w:val="1A2B4857"/>
    <w:rsid w:val="1A2D5842"/>
    <w:rsid w:val="1A340E0C"/>
    <w:rsid w:val="1A356BED"/>
    <w:rsid w:val="1A3B2C54"/>
    <w:rsid w:val="1A3D312A"/>
    <w:rsid w:val="1A40719B"/>
    <w:rsid w:val="1A416FA0"/>
    <w:rsid w:val="1A420699"/>
    <w:rsid w:val="1A42393B"/>
    <w:rsid w:val="1A5A5072"/>
    <w:rsid w:val="1A5F2F86"/>
    <w:rsid w:val="1A613215"/>
    <w:rsid w:val="1A6523A2"/>
    <w:rsid w:val="1A680BD7"/>
    <w:rsid w:val="1A6A275A"/>
    <w:rsid w:val="1A6E09E3"/>
    <w:rsid w:val="1A6E5932"/>
    <w:rsid w:val="1A7073C8"/>
    <w:rsid w:val="1A732F49"/>
    <w:rsid w:val="1A78230D"/>
    <w:rsid w:val="1A7C7E04"/>
    <w:rsid w:val="1A7F0894"/>
    <w:rsid w:val="1A832FC0"/>
    <w:rsid w:val="1A8F5147"/>
    <w:rsid w:val="1A90440A"/>
    <w:rsid w:val="1AA7769F"/>
    <w:rsid w:val="1AAC4C0B"/>
    <w:rsid w:val="1AAC4E15"/>
    <w:rsid w:val="1AAD45DE"/>
    <w:rsid w:val="1AAE000D"/>
    <w:rsid w:val="1AAF1A69"/>
    <w:rsid w:val="1ABB3621"/>
    <w:rsid w:val="1ABC044C"/>
    <w:rsid w:val="1AC33924"/>
    <w:rsid w:val="1AC6751C"/>
    <w:rsid w:val="1AC90DBB"/>
    <w:rsid w:val="1ACE573C"/>
    <w:rsid w:val="1AE26406"/>
    <w:rsid w:val="1AE37956"/>
    <w:rsid w:val="1AEC4640"/>
    <w:rsid w:val="1AF20311"/>
    <w:rsid w:val="1AF4236A"/>
    <w:rsid w:val="1AF478A3"/>
    <w:rsid w:val="1AFB6E22"/>
    <w:rsid w:val="1AFD0B32"/>
    <w:rsid w:val="1B046F80"/>
    <w:rsid w:val="1B0B0921"/>
    <w:rsid w:val="1B0B4734"/>
    <w:rsid w:val="1B177252"/>
    <w:rsid w:val="1B195CB1"/>
    <w:rsid w:val="1B2304CB"/>
    <w:rsid w:val="1B2338EB"/>
    <w:rsid w:val="1B285561"/>
    <w:rsid w:val="1B28788F"/>
    <w:rsid w:val="1B2D6F98"/>
    <w:rsid w:val="1B2E5B8D"/>
    <w:rsid w:val="1B311B4A"/>
    <w:rsid w:val="1B3267B5"/>
    <w:rsid w:val="1B34714F"/>
    <w:rsid w:val="1B3B1B1A"/>
    <w:rsid w:val="1B3B2E4A"/>
    <w:rsid w:val="1B3F44BB"/>
    <w:rsid w:val="1B40161D"/>
    <w:rsid w:val="1B430B6D"/>
    <w:rsid w:val="1B441859"/>
    <w:rsid w:val="1B46240B"/>
    <w:rsid w:val="1B487F31"/>
    <w:rsid w:val="1B4D60C4"/>
    <w:rsid w:val="1B581188"/>
    <w:rsid w:val="1B58337E"/>
    <w:rsid w:val="1B6606B1"/>
    <w:rsid w:val="1B6805D3"/>
    <w:rsid w:val="1B6978F5"/>
    <w:rsid w:val="1B7539B8"/>
    <w:rsid w:val="1B8A3D22"/>
    <w:rsid w:val="1B8E64F0"/>
    <w:rsid w:val="1B906420"/>
    <w:rsid w:val="1B942767"/>
    <w:rsid w:val="1B95576F"/>
    <w:rsid w:val="1B973096"/>
    <w:rsid w:val="1B9A1530"/>
    <w:rsid w:val="1BA01B1B"/>
    <w:rsid w:val="1BA07C43"/>
    <w:rsid w:val="1BA8139B"/>
    <w:rsid w:val="1BAF627C"/>
    <w:rsid w:val="1BB202B1"/>
    <w:rsid w:val="1BB43819"/>
    <w:rsid w:val="1BB455C7"/>
    <w:rsid w:val="1BB92199"/>
    <w:rsid w:val="1BCA29EA"/>
    <w:rsid w:val="1BCF2401"/>
    <w:rsid w:val="1BD85033"/>
    <w:rsid w:val="1BDB6FF7"/>
    <w:rsid w:val="1BE33E6B"/>
    <w:rsid w:val="1BE91714"/>
    <w:rsid w:val="1BEB084C"/>
    <w:rsid w:val="1BF86D47"/>
    <w:rsid w:val="1BFB237A"/>
    <w:rsid w:val="1BFF77E8"/>
    <w:rsid w:val="1C017D1B"/>
    <w:rsid w:val="1C027006"/>
    <w:rsid w:val="1C085539"/>
    <w:rsid w:val="1C0D4F0E"/>
    <w:rsid w:val="1C1567AC"/>
    <w:rsid w:val="1C244174"/>
    <w:rsid w:val="1C2A5889"/>
    <w:rsid w:val="1C3618E0"/>
    <w:rsid w:val="1C387246"/>
    <w:rsid w:val="1C3D62DB"/>
    <w:rsid w:val="1C3E298A"/>
    <w:rsid w:val="1C4701E9"/>
    <w:rsid w:val="1C4F1099"/>
    <w:rsid w:val="1C553017"/>
    <w:rsid w:val="1C5E7925"/>
    <w:rsid w:val="1C69685B"/>
    <w:rsid w:val="1C6A23C5"/>
    <w:rsid w:val="1C746B04"/>
    <w:rsid w:val="1C7C596A"/>
    <w:rsid w:val="1C8036FB"/>
    <w:rsid w:val="1C891396"/>
    <w:rsid w:val="1C907CCB"/>
    <w:rsid w:val="1C93290D"/>
    <w:rsid w:val="1C986960"/>
    <w:rsid w:val="1C9E073D"/>
    <w:rsid w:val="1CA13ABD"/>
    <w:rsid w:val="1CB86F5D"/>
    <w:rsid w:val="1CBC702C"/>
    <w:rsid w:val="1CC01D49"/>
    <w:rsid w:val="1CC950A2"/>
    <w:rsid w:val="1CCA7F60"/>
    <w:rsid w:val="1CCB2BC8"/>
    <w:rsid w:val="1CCD083A"/>
    <w:rsid w:val="1CD72D00"/>
    <w:rsid w:val="1CE134A1"/>
    <w:rsid w:val="1CE249B0"/>
    <w:rsid w:val="1CE4012E"/>
    <w:rsid w:val="1CE7397B"/>
    <w:rsid w:val="1CF12B01"/>
    <w:rsid w:val="1CF82381"/>
    <w:rsid w:val="1CFD070F"/>
    <w:rsid w:val="1D013B8D"/>
    <w:rsid w:val="1D015934"/>
    <w:rsid w:val="1D0D31E0"/>
    <w:rsid w:val="1D165881"/>
    <w:rsid w:val="1D176ED8"/>
    <w:rsid w:val="1D1D2CEE"/>
    <w:rsid w:val="1D1D5605"/>
    <w:rsid w:val="1D200D93"/>
    <w:rsid w:val="1D2176C9"/>
    <w:rsid w:val="1D224B81"/>
    <w:rsid w:val="1D240F8A"/>
    <w:rsid w:val="1D242378"/>
    <w:rsid w:val="1D293D92"/>
    <w:rsid w:val="1D392EE9"/>
    <w:rsid w:val="1D395A62"/>
    <w:rsid w:val="1D3E7793"/>
    <w:rsid w:val="1D426954"/>
    <w:rsid w:val="1D4A76E4"/>
    <w:rsid w:val="1D4B092D"/>
    <w:rsid w:val="1D4F600B"/>
    <w:rsid w:val="1D574E4F"/>
    <w:rsid w:val="1D5C6FD7"/>
    <w:rsid w:val="1D5F6196"/>
    <w:rsid w:val="1D6132A5"/>
    <w:rsid w:val="1D7A5DBE"/>
    <w:rsid w:val="1D7D4E3E"/>
    <w:rsid w:val="1D7E1102"/>
    <w:rsid w:val="1D840FC9"/>
    <w:rsid w:val="1D873420"/>
    <w:rsid w:val="1D8C5EF8"/>
    <w:rsid w:val="1D8E56D5"/>
    <w:rsid w:val="1D9B4C90"/>
    <w:rsid w:val="1DA164B8"/>
    <w:rsid w:val="1DA5166B"/>
    <w:rsid w:val="1DA833BC"/>
    <w:rsid w:val="1DAD0520"/>
    <w:rsid w:val="1DB131F6"/>
    <w:rsid w:val="1DB418AE"/>
    <w:rsid w:val="1DB42FB2"/>
    <w:rsid w:val="1DB4365C"/>
    <w:rsid w:val="1DB500D1"/>
    <w:rsid w:val="1DBB26B6"/>
    <w:rsid w:val="1DC51D0D"/>
    <w:rsid w:val="1DCD4104"/>
    <w:rsid w:val="1DD0678C"/>
    <w:rsid w:val="1DD41F50"/>
    <w:rsid w:val="1DD75FFA"/>
    <w:rsid w:val="1DDB7F1F"/>
    <w:rsid w:val="1DDC4E69"/>
    <w:rsid w:val="1DDF501C"/>
    <w:rsid w:val="1DE026A3"/>
    <w:rsid w:val="1DE55C5A"/>
    <w:rsid w:val="1DEA6983"/>
    <w:rsid w:val="1DED1C27"/>
    <w:rsid w:val="1DFE521F"/>
    <w:rsid w:val="1E010CC6"/>
    <w:rsid w:val="1E074431"/>
    <w:rsid w:val="1E0A614C"/>
    <w:rsid w:val="1E0C312E"/>
    <w:rsid w:val="1E145AE8"/>
    <w:rsid w:val="1E1B5D56"/>
    <w:rsid w:val="1E1F6282"/>
    <w:rsid w:val="1E2E25B8"/>
    <w:rsid w:val="1E2F1DFF"/>
    <w:rsid w:val="1E3B0EAD"/>
    <w:rsid w:val="1E3D4F3E"/>
    <w:rsid w:val="1E45419C"/>
    <w:rsid w:val="1E490E8A"/>
    <w:rsid w:val="1E4911B0"/>
    <w:rsid w:val="1E4B1AFB"/>
    <w:rsid w:val="1E4C0D55"/>
    <w:rsid w:val="1E503BC5"/>
    <w:rsid w:val="1E52406B"/>
    <w:rsid w:val="1E622D62"/>
    <w:rsid w:val="1E6C5F31"/>
    <w:rsid w:val="1E7A43DA"/>
    <w:rsid w:val="1E8219AC"/>
    <w:rsid w:val="1E881701"/>
    <w:rsid w:val="1E904A7F"/>
    <w:rsid w:val="1E9120F1"/>
    <w:rsid w:val="1E9B582D"/>
    <w:rsid w:val="1EA86447"/>
    <w:rsid w:val="1EAC07D7"/>
    <w:rsid w:val="1EB2529D"/>
    <w:rsid w:val="1EC85F06"/>
    <w:rsid w:val="1ECA3253"/>
    <w:rsid w:val="1ECE2E43"/>
    <w:rsid w:val="1ED146E2"/>
    <w:rsid w:val="1ED3423C"/>
    <w:rsid w:val="1EDD6BD2"/>
    <w:rsid w:val="1EE241F9"/>
    <w:rsid w:val="1EE47F71"/>
    <w:rsid w:val="1EFE3169"/>
    <w:rsid w:val="1F020A21"/>
    <w:rsid w:val="1F085BC2"/>
    <w:rsid w:val="1F2E0D54"/>
    <w:rsid w:val="1F3016DC"/>
    <w:rsid w:val="1F311BFF"/>
    <w:rsid w:val="1F39006C"/>
    <w:rsid w:val="1F4F0D6E"/>
    <w:rsid w:val="1F557570"/>
    <w:rsid w:val="1F58794B"/>
    <w:rsid w:val="1F6410B2"/>
    <w:rsid w:val="1F65294C"/>
    <w:rsid w:val="1F660C61"/>
    <w:rsid w:val="1F6A1E76"/>
    <w:rsid w:val="1F6E7612"/>
    <w:rsid w:val="1F7319C7"/>
    <w:rsid w:val="1F735D1F"/>
    <w:rsid w:val="1F7A7DC9"/>
    <w:rsid w:val="1F7D7C2A"/>
    <w:rsid w:val="1F890B18"/>
    <w:rsid w:val="1F8A7BC6"/>
    <w:rsid w:val="1F8C28BE"/>
    <w:rsid w:val="1F8D18C1"/>
    <w:rsid w:val="1F8F7A4E"/>
    <w:rsid w:val="1F951924"/>
    <w:rsid w:val="1F9A79C4"/>
    <w:rsid w:val="1FB06622"/>
    <w:rsid w:val="1FB262C1"/>
    <w:rsid w:val="1FB40951"/>
    <w:rsid w:val="1FB738D7"/>
    <w:rsid w:val="1FB913FE"/>
    <w:rsid w:val="1FBF4B2F"/>
    <w:rsid w:val="1FC424B8"/>
    <w:rsid w:val="1FCD5906"/>
    <w:rsid w:val="1FD34294"/>
    <w:rsid w:val="1FD83DA3"/>
    <w:rsid w:val="1FE336FD"/>
    <w:rsid w:val="1FE45DC9"/>
    <w:rsid w:val="1FE7539E"/>
    <w:rsid w:val="1FF23AB1"/>
    <w:rsid w:val="1FF36BE4"/>
    <w:rsid w:val="1FFA39FD"/>
    <w:rsid w:val="1FFE320F"/>
    <w:rsid w:val="200630FC"/>
    <w:rsid w:val="201145E1"/>
    <w:rsid w:val="201218BD"/>
    <w:rsid w:val="20126D60"/>
    <w:rsid w:val="20145261"/>
    <w:rsid w:val="201F312E"/>
    <w:rsid w:val="202465D6"/>
    <w:rsid w:val="202C0BC5"/>
    <w:rsid w:val="202E0A44"/>
    <w:rsid w:val="20305EFE"/>
    <w:rsid w:val="203141A8"/>
    <w:rsid w:val="20362A4E"/>
    <w:rsid w:val="203A01F9"/>
    <w:rsid w:val="203B6C76"/>
    <w:rsid w:val="203C0854"/>
    <w:rsid w:val="203C2AF2"/>
    <w:rsid w:val="204038CD"/>
    <w:rsid w:val="2055663F"/>
    <w:rsid w:val="20571B67"/>
    <w:rsid w:val="20575A67"/>
    <w:rsid w:val="205B1434"/>
    <w:rsid w:val="206027BC"/>
    <w:rsid w:val="20610C51"/>
    <w:rsid w:val="20630ABB"/>
    <w:rsid w:val="206329A4"/>
    <w:rsid w:val="2066133F"/>
    <w:rsid w:val="20671BE0"/>
    <w:rsid w:val="206A3014"/>
    <w:rsid w:val="206C021E"/>
    <w:rsid w:val="208F0026"/>
    <w:rsid w:val="20943C19"/>
    <w:rsid w:val="20957FF9"/>
    <w:rsid w:val="20963CB8"/>
    <w:rsid w:val="20980D1F"/>
    <w:rsid w:val="20992FDD"/>
    <w:rsid w:val="209B4FA7"/>
    <w:rsid w:val="209B75A5"/>
    <w:rsid w:val="20A81A1B"/>
    <w:rsid w:val="20B07FB6"/>
    <w:rsid w:val="20B31366"/>
    <w:rsid w:val="20B3409F"/>
    <w:rsid w:val="20B64181"/>
    <w:rsid w:val="20B646FB"/>
    <w:rsid w:val="20C0380D"/>
    <w:rsid w:val="20D34741"/>
    <w:rsid w:val="20D61B56"/>
    <w:rsid w:val="20D76E04"/>
    <w:rsid w:val="20DA06E7"/>
    <w:rsid w:val="20DB35F6"/>
    <w:rsid w:val="20E029BA"/>
    <w:rsid w:val="20E6692E"/>
    <w:rsid w:val="20E73D48"/>
    <w:rsid w:val="20E74AD9"/>
    <w:rsid w:val="20ED0BEE"/>
    <w:rsid w:val="20F868AB"/>
    <w:rsid w:val="20FF72E4"/>
    <w:rsid w:val="21026E44"/>
    <w:rsid w:val="21092836"/>
    <w:rsid w:val="210963B5"/>
    <w:rsid w:val="210A10FD"/>
    <w:rsid w:val="21156B08"/>
    <w:rsid w:val="211F5003"/>
    <w:rsid w:val="211F5A12"/>
    <w:rsid w:val="21257C1C"/>
    <w:rsid w:val="212674CF"/>
    <w:rsid w:val="2129610F"/>
    <w:rsid w:val="212A0153"/>
    <w:rsid w:val="212B42B6"/>
    <w:rsid w:val="212B5F86"/>
    <w:rsid w:val="213211B2"/>
    <w:rsid w:val="21322057"/>
    <w:rsid w:val="213760C2"/>
    <w:rsid w:val="213845A4"/>
    <w:rsid w:val="213B74B1"/>
    <w:rsid w:val="21401371"/>
    <w:rsid w:val="214E5B76"/>
    <w:rsid w:val="21506F55"/>
    <w:rsid w:val="215238B8"/>
    <w:rsid w:val="2157022D"/>
    <w:rsid w:val="215840E5"/>
    <w:rsid w:val="215869F4"/>
    <w:rsid w:val="215A2310"/>
    <w:rsid w:val="215D324B"/>
    <w:rsid w:val="21600B9F"/>
    <w:rsid w:val="2164585C"/>
    <w:rsid w:val="21667C5A"/>
    <w:rsid w:val="21672238"/>
    <w:rsid w:val="21690C01"/>
    <w:rsid w:val="216D75A7"/>
    <w:rsid w:val="2174438E"/>
    <w:rsid w:val="21762DE7"/>
    <w:rsid w:val="21880AC7"/>
    <w:rsid w:val="218F18FD"/>
    <w:rsid w:val="21912C77"/>
    <w:rsid w:val="21922907"/>
    <w:rsid w:val="219807BD"/>
    <w:rsid w:val="21AF1962"/>
    <w:rsid w:val="21B07007"/>
    <w:rsid w:val="21B55BF5"/>
    <w:rsid w:val="21B85B1A"/>
    <w:rsid w:val="21C170DC"/>
    <w:rsid w:val="21CF40FC"/>
    <w:rsid w:val="21DC37D4"/>
    <w:rsid w:val="21DE318A"/>
    <w:rsid w:val="21E464DA"/>
    <w:rsid w:val="21E67457"/>
    <w:rsid w:val="21EF5B80"/>
    <w:rsid w:val="21F26E49"/>
    <w:rsid w:val="21F80652"/>
    <w:rsid w:val="22014364"/>
    <w:rsid w:val="221B26FB"/>
    <w:rsid w:val="221C1A9C"/>
    <w:rsid w:val="22271B3B"/>
    <w:rsid w:val="22342557"/>
    <w:rsid w:val="223530A9"/>
    <w:rsid w:val="223757F4"/>
    <w:rsid w:val="22384C79"/>
    <w:rsid w:val="22391C11"/>
    <w:rsid w:val="223C1907"/>
    <w:rsid w:val="2245341D"/>
    <w:rsid w:val="2247367C"/>
    <w:rsid w:val="22484CBB"/>
    <w:rsid w:val="225122EC"/>
    <w:rsid w:val="22576990"/>
    <w:rsid w:val="225B1185"/>
    <w:rsid w:val="225F4DA8"/>
    <w:rsid w:val="22600256"/>
    <w:rsid w:val="22711995"/>
    <w:rsid w:val="22731946"/>
    <w:rsid w:val="2276513C"/>
    <w:rsid w:val="22837AA1"/>
    <w:rsid w:val="22907EAF"/>
    <w:rsid w:val="229D76CF"/>
    <w:rsid w:val="22A16A26"/>
    <w:rsid w:val="22AE0D9A"/>
    <w:rsid w:val="22AE23A3"/>
    <w:rsid w:val="22B14D91"/>
    <w:rsid w:val="22BB723B"/>
    <w:rsid w:val="22BD7457"/>
    <w:rsid w:val="22BE4F7D"/>
    <w:rsid w:val="22C146E6"/>
    <w:rsid w:val="22C55983"/>
    <w:rsid w:val="22CD087D"/>
    <w:rsid w:val="22D4705E"/>
    <w:rsid w:val="22E03145"/>
    <w:rsid w:val="22E03577"/>
    <w:rsid w:val="22E140DF"/>
    <w:rsid w:val="22E27E1A"/>
    <w:rsid w:val="22ED394A"/>
    <w:rsid w:val="22EF6F3D"/>
    <w:rsid w:val="22F06CBD"/>
    <w:rsid w:val="22F17100"/>
    <w:rsid w:val="22F47480"/>
    <w:rsid w:val="22F5313C"/>
    <w:rsid w:val="22F60431"/>
    <w:rsid w:val="22F95E5A"/>
    <w:rsid w:val="22F95FB5"/>
    <w:rsid w:val="22FA000D"/>
    <w:rsid w:val="22FA4207"/>
    <w:rsid w:val="22FD7D70"/>
    <w:rsid w:val="22FF539A"/>
    <w:rsid w:val="230445C6"/>
    <w:rsid w:val="230B7F08"/>
    <w:rsid w:val="230E2253"/>
    <w:rsid w:val="231F3448"/>
    <w:rsid w:val="23264FFC"/>
    <w:rsid w:val="2327575A"/>
    <w:rsid w:val="23332CA9"/>
    <w:rsid w:val="23374378"/>
    <w:rsid w:val="233D40F4"/>
    <w:rsid w:val="234372A2"/>
    <w:rsid w:val="234A68AD"/>
    <w:rsid w:val="234E4430"/>
    <w:rsid w:val="2354704C"/>
    <w:rsid w:val="23557FF7"/>
    <w:rsid w:val="235D02F2"/>
    <w:rsid w:val="23614555"/>
    <w:rsid w:val="237327CB"/>
    <w:rsid w:val="23745719"/>
    <w:rsid w:val="23766BE2"/>
    <w:rsid w:val="237B4DD4"/>
    <w:rsid w:val="2383244E"/>
    <w:rsid w:val="23861122"/>
    <w:rsid w:val="238B6072"/>
    <w:rsid w:val="239749CE"/>
    <w:rsid w:val="23A67EEB"/>
    <w:rsid w:val="23AA7C68"/>
    <w:rsid w:val="23AB62D5"/>
    <w:rsid w:val="23BF270A"/>
    <w:rsid w:val="23BF47C0"/>
    <w:rsid w:val="23C245F9"/>
    <w:rsid w:val="23C5066F"/>
    <w:rsid w:val="23C50DBD"/>
    <w:rsid w:val="23C93DBF"/>
    <w:rsid w:val="23CC1925"/>
    <w:rsid w:val="23CC24B1"/>
    <w:rsid w:val="23CE2F54"/>
    <w:rsid w:val="23D22A8E"/>
    <w:rsid w:val="23D410A3"/>
    <w:rsid w:val="23D448DB"/>
    <w:rsid w:val="23DC27A5"/>
    <w:rsid w:val="23DE1C48"/>
    <w:rsid w:val="23E34C9B"/>
    <w:rsid w:val="23E4139E"/>
    <w:rsid w:val="23E655C6"/>
    <w:rsid w:val="23EC2834"/>
    <w:rsid w:val="23F445E5"/>
    <w:rsid w:val="23FD3261"/>
    <w:rsid w:val="24003A9F"/>
    <w:rsid w:val="24013925"/>
    <w:rsid w:val="24014B3E"/>
    <w:rsid w:val="240210CD"/>
    <w:rsid w:val="24154E65"/>
    <w:rsid w:val="2417474E"/>
    <w:rsid w:val="2418246B"/>
    <w:rsid w:val="241D3F64"/>
    <w:rsid w:val="241E5CD3"/>
    <w:rsid w:val="242435C6"/>
    <w:rsid w:val="24247931"/>
    <w:rsid w:val="242F49E0"/>
    <w:rsid w:val="244A6AC8"/>
    <w:rsid w:val="24561911"/>
    <w:rsid w:val="245C4A4D"/>
    <w:rsid w:val="24656E8D"/>
    <w:rsid w:val="246A0F18"/>
    <w:rsid w:val="246D1F9D"/>
    <w:rsid w:val="247B696B"/>
    <w:rsid w:val="24823B0C"/>
    <w:rsid w:val="24852341"/>
    <w:rsid w:val="24875324"/>
    <w:rsid w:val="248B428B"/>
    <w:rsid w:val="24A267F8"/>
    <w:rsid w:val="24A3267C"/>
    <w:rsid w:val="24A46663"/>
    <w:rsid w:val="24AC3F40"/>
    <w:rsid w:val="24B341B7"/>
    <w:rsid w:val="24B37C49"/>
    <w:rsid w:val="24B93C4E"/>
    <w:rsid w:val="24BC709D"/>
    <w:rsid w:val="24BF09F7"/>
    <w:rsid w:val="24C90335"/>
    <w:rsid w:val="24D109B1"/>
    <w:rsid w:val="24D62AFF"/>
    <w:rsid w:val="24DB5972"/>
    <w:rsid w:val="24E57ADC"/>
    <w:rsid w:val="24E63832"/>
    <w:rsid w:val="24E65CB8"/>
    <w:rsid w:val="24EB140F"/>
    <w:rsid w:val="24EC4023"/>
    <w:rsid w:val="24EC7478"/>
    <w:rsid w:val="24F564F2"/>
    <w:rsid w:val="24F63A5D"/>
    <w:rsid w:val="24FD1D8D"/>
    <w:rsid w:val="24FF1818"/>
    <w:rsid w:val="25135D2E"/>
    <w:rsid w:val="251554AE"/>
    <w:rsid w:val="251C627C"/>
    <w:rsid w:val="25207829"/>
    <w:rsid w:val="252612F0"/>
    <w:rsid w:val="252860C7"/>
    <w:rsid w:val="252D3885"/>
    <w:rsid w:val="252D53FE"/>
    <w:rsid w:val="25507F5E"/>
    <w:rsid w:val="25533831"/>
    <w:rsid w:val="255417E7"/>
    <w:rsid w:val="25592D3B"/>
    <w:rsid w:val="255B5A58"/>
    <w:rsid w:val="25600F79"/>
    <w:rsid w:val="256D083C"/>
    <w:rsid w:val="256D156A"/>
    <w:rsid w:val="256F255E"/>
    <w:rsid w:val="25781413"/>
    <w:rsid w:val="257B0268"/>
    <w:rsid w:val="257C35F5"/>
    <w:rsid w:val="258401AA"/>
    <w:rsid w:val="258A03BF"/>
    <w:rsid w:val="258E6E89"/>
    <w:rsid w:val="258F2250"/>
    <w:rsid w:val="25922C5F"/>
    <w:rsid w:val="25936F7D"/>
    <w:rsid w:val="2595558D"/>
    <w:rsid w:val="25A2022A"/>
    <w:rsid w:val="25B67607"/>
    <w:rsid w:val="25B85CB3"/>
    <w:rsid w:val="25BF4D9E"/>
    <w:rsid w:val="25CB441A"/>
    <w:rsid w:val="25D2706E"/>
    <w:rsid w:val="25D46F85"/>
    <w:rsid w:val="25DA0320"/>
    <w:rsid w:val="25DA4CB7"/>
    <w:rsid w:val="25DA599B"/>
    <w:rsid w:val="25DC4FAE"/>
    <w:rsid w:val="25E22D30"/>
    <w:rsid w:val="25E72643"/>
    <w:rsid w:val="25E9094C"/>
    <w:rsid w:val="25EB79C5"/>
    <w:rsid w:val="25EC2D81"/>
    <w:rsid w:val="25F0544D"/>
    <w:rsid w:val="25F63857"/>
    <w:rsid w:val="25FE400E"/>
    <w:rsid w:val="260F0C21"/>
    <w:rsid w:val="26106D8A"/>
    <w:rsid w:val="261455E0"/>
    <w:rsid w:val="261868BD"/>
    <w:rsid w:val="26284BE7"/>
    <w:rsid w:val="26286CA3"/>
    <w:rsid w:val="262B46D7"/>
    <w:rsid w:val="26321F0A"/>
    <w:rsid w:val="26333636"/>
    <w:rsid w:val="263C5D64"/>
    <w:rsid w:val="263E3982"/>
    <w:rsid w:val="26412040"/>
    <w:rsid w:val="26415CA9"/>
    <w:rsid w:val="26484C80"/>
    <w:rsid w:val="264A2E12"/>
    <w:rsid w:val="26551933"/>
    <w:rsid w:val="2659347F"/>
    <w:rsid w:val="26597496"/>
    <w:rsid w:val="265C2AE3"/>
    <w:rsid w:val="2671601B"/>
    <w:rsid w:val="267E60FE"/>
    <w:rsid w:val="268838D8"/>
    <w:rsid w:val="268F2EB8"/>
    <w:rsid w:val="26954CBC"/>
    <w:rsid w:val="269668C9"/>
    <w:rsid w:val="26997893"/>
    <w:rsid w:val="269D000F"/>
    <w:rsid w:val="269E30FB"/>
    <w:rsid w:val="269E6F9F"/>
    <w:rsid w:val="26A51520"/>
    <w:rsid w:val="26A51C87"/>
    <w:rsid w:val="26A52BB1"/>
    <w:rsid w:val="26A54FDA"/>
    <w:rsid w:val="26AC5A3F"/>
    <w:rsid w:val="26B0315B"/>
    <w:rsid w:val="26B07A73"/>
    <w:rsid w:val="26B46A7E"/>
    <w:rsid w:val="26B556D9"/>
    <w:rsid w:val="26B566FC"/>
    <w:rsid w:val="26C861F2"/>
    <w:rsid w:val="26CD2B19"/>
    <w:rsid w:val="26CF1195"/>
    <w:rsid w:val="26CF7759"/>
    <w:rsid w:val="26E3179A"/>
    <w:rsid w:val="26EC2227"/>
    <w:rsid w:val="26EF6E5F"/>
    <w:rsid w:val="26F45853"/>
    <w:rsid w:val="26F50464"/>
    <w:rsid w:val="26F64CE5"/>
    <w:rsid w:val="26FD7866"/>
    <w:rsid w:val="27062280"/>
    <w:rsid w:val="270D2049"/>
    <w:rsid w:val="27155488"/>
    <w:rsid w:val="2715566D"/>
    <w:rsid w:val="27174C5C"/>
    <w:rsid w:val="271A196A"/>
    <w:rsid w:val="271F4DE6"/>
    <w:rsid w:val="27213BF9"/>
    <w:rsid w:val="27346CA7"/>
    <w:rsid w:val="27351CB2"/>
    <w:rsid w:val="27387112"/>
    <w:rsid w:val="274243CE"/>
    <w:rsid w:val="274C301E"/>
    <w:rsid w:val="27535CCB"/>
    <w:rsid w:val="27565784"/>
    <w:rsid w:val="275B2D9A"/>
    <w:rsid w:val="275D6B12"/>
    <w:rsid w:val="275E288B"/>
    <w:rsid w:val="27602AA7"/>
    <w:rsid w:val="27635C0F"/>
    <w:rsid w:val="276A122F"/>
    <w:rsid w:val="277057A2"/>
    <w:rsid w:val="277214C4"/>
    <w:rsid w:val="27745F6A"/>
    <w:rsid w:val="27795EE3"/>
    <w:rsid w:val="277A2226"/>
    <w:rsid w:val="277A5916"/>
    <w:rsid w:val="278D7C08"/>
    <w:rsid w:val="27911FF1"/>
    <w:rsid w:val="27962DAF"/>
    <w:rsid w:val="279B763B"/>
    <w:rsid w:val="279D33B3"/>
    <w:rsid w:val="279F537D"/>
    <w:rsid w:val="27A361F0"/>
    <w:rsid w:val="27A3627F"/>
    <w:rsid w:val="27A84F15"/>
    <w:rsid w:val="27A86AA0"/>
    <w:rsid w:val="27AB59CD"/>
    <w:rsid w:val="27AF2273"/>
    <w:rsid w:val="27B8643F"/>
    <w:rsid w:val="27BB435A"/>
    <w:rsid w:val="27BF6244"/>
    <w:rsid w:val="27C22E19"/>
    <w:rsid w:val="27C744F6"/>
    <w:rsid w:val="27D17F9A"/>
    <w:rsid w:val="27D75D8F"/>
    <w:rsid w:val="27D81040"/>
    <w:rsid w:val="27E87576"/>
    <w:rsid w:val="27ED433A"/>
    <w:rsid w:val="27ED6BF9"/>
    <w:rsid w:val="27EF52BF"/>
    <w:rsid w:val="27F26592"/>
    <w:rsid w:val="27F31354"/>
    <w:rsid w:val="27FA30C3"/>
    <w:rsid w:val="2802590C"/>
    <w:rsid w:val="2808468C"/>
    <w:rsid w:val="28117A15"/>
    <w:rsid w:val="28210C32"/>
    <w:rsid w:val="2824061B"/>
    <w:rsid w:val="282633A8"/>
    <w:rsid w:val="282868CD"/>
    <w:rsid w:val="282E6701"/>
    <w:rsid w:val="282F60DE"/>
    <w:rsid w:val="28345680"/>
    <w:rsid w:val="28482B4A"/>
    <w:rsid w:val="284952E9"/>
    <w:rsid w:val="284B2515"/>
    <w:rsid w:val="284E2D31"/>
    <w:rsid w:val="285C5D2C"/>
    <w:rsid w:val="28613874"/>
    <w:rsid w:val="286931C6"/>
    <w:rsid w:val="28722A91"/>
    <w:rsid w:val="287A77B8"/>
    <w:rsid w:val="28817BE4"/>
    <w:rsid w:val="28885A9A"/>
    <w:rsid w:val="28996270"/>
    <w:rsid w:val="289A29B6"/>
    <w:rsid w:val="289A78F2"/>
    <w:rsid w:val="289E31C0"/>
    <w:rsid w:val="28B52A63"/>
    <w:rsid w:val="28B60BD0"/>
    <w:rsid w:val="28C01AD3"/>
    <w:rsid w:val="28C037FD"/>
    <w:rsid w:val="28C258C6"/>
    <w:rsid w:val="28C526DA"/>
    <w:rsid w:val="28C76B60"/>
    <w:rsid w:val="28C93D98"/>
    <w:rsid w:val="28CC7A6D"/>
    <w:rsid w:val="28CE4E44"/>
    <w:rsid w:val="28CF1C92"/>
    <w:rsid w:val="28EC6074"/>
    <w:rsid w:val="28EF3107"/>
    <w:rsid w:val="28F567C0"/>
    <w:rsid w:val="28FC70D7"/>
    <w:rsid w:val="29015BC3"/>
    <w:rsid w:val="29021A48"/>
    <w:rsid w:val="290A5FBD"/>
    <w:rsid w:val="29131495"/>
    <w:rsid w:val="291661B8"/>
    <w:rsid w:val="29177195"/>
    <w:rsid w:val="291825E3"/>
    <w:rsid w:val="29206EB8"/>
    <w:rsid w:val="29260218"/>
    <w:rsid w:val="29273F7B"/>
    <w:rsid w:val="292766AC"/>
    <w:rsid w:val="292C2C40"/>
    <w:rsid w:val="292D0766"/>
    <w:rsid w:val="292E45DB"/>
    <w:rsid w:val="29353AE8"/>
    <w:rsid w:val="29363DE4"/>
    <w:rsid w:val="293A3626"/>
    <w:rsid w:val="293D09B1"/>
    <w:rsid w:val="2946095E"/>
    <w:rsid w:val="294A57BC"/>
    <w:rsid w:val="294C791C"/>
    <w:rsid w:val="295108F9"/>
    <w:rsid w:val="295403E9"/>
    <w:rsid w:val="2958146F"/>
    <w:rsid w:val="29595666"/>
    <w:rsid w:val="295D104C"/>
    <w:rsid w:val="296630CE"/>
    <w:rsid w:val="296754A9"/>
    <w:rsid w:val="296A4312"/>
    <w:rsid w:val="29754FD3"/>
    <w:rsid w:val="297906C6"/>
    <w:rsid w:val="298455D5"/>
    <w:rsid w:val="2986797B"/>
    <w:rsid w:val="29874881"/>
    <w:rsid w:val="298F2687"/>
    <w:rsid w:val="299A1C95"/>
    <w:rsid w:val="299B7DC6"/>
    <w:rsid w:val="29A153FC"/>
    <w:rsid w:val="29A76497"/>
    <w:rsid w:val="29AC7826"/>
    <w:rsid w:val="29B7744D"/>
    <w:rsid w:val="29BD7ACF"/>
    <w:rsid w:val="29BF5862"/>
    <w:rsid w:val="29C343F5"/>
    <w:rsid w:val="29C5147D"/>
    <w:rsid w:val="29C67F11"/>
    <w:rsid w:val="29C77857"/>
    <w:rsid w:val="29C87862"/>
    <w:rsid w:val="29C9048F"/>
    <w:rsid w:val="29C90FD2"/>
    <w:rsid w:val="29CA59E3"/>
    <w:rsid w:val="29CE3CF8"/>
    <w:rsid w:val="29CE5CD0"/>
    <w:rsid w:val="29D74A0E"/>
    <w:rsid w:val="29D972D3"/>
    <w:rsid w:val="29DA269C"/>
    <w:rsid w:val="29DA5A8A"/>
    <w:rsid w:val="29DA6B40"/>
    <w:rsid w:val="29DC33B7"/>
    <w:rsid w:val="29E03413"/>
    <w:rsid w:val="29E277A3"/>
    <w:rsid w:val="29E31A75"/>
    <w:rsid w:val="29E325E0"/>
    <w:rsid w:val="29EB1B1C"/>
    <w:rsid w:val="29ED3601"/>
    <w:rsid w:val="29EE2466"/>
    <w:rsid w:val="29F23E8A"/>
    <w:rsid w:val="29FA4969"/>
    <w:rsid w:val="2A110088"/>
    <w:rsid w:val="2A1F1E7D"/>
    <w:rsid w:val="2A23116D"/>
    <w:rsid w:val="2A2411D9"/>
    <w:rsid w:val="2A36189D"/>
    <w:rsid w:val="2A375D41"/>
    <w:rsid w:val="2A3A0DC5"/>
    <w:rsid w:val="2A3E6349"/>
    <w:rsid w:val="2A4144C9"/>
    <w:rsid w:val="2A434677"/>
    <w:rsid w:val="2A452503"/>
    <w:rsid w:val="2A4915D0"/>
    <w:rsid w:val="2A495221"/>
    <w:rsid w:val="2A49724E"/>
    <w:rsid w:val="2A4D10C0"/>
    <w:rsid w:val="2A4E3DC4"/>
    <w:rsid w:val="2A5D0A55"/>
    <w:rsid w:val="2A5F7C93"/>
    <w:rsid w:val="2A6428AE"/>
    <w:rsid w:val="2A651FF4"/>
    <w:rsid w:val="2A736A5B"/>
    <w:rsid w:val="2A767725"/>
    <w:rsid w:val="2A79759D"/>
    <w:rsid w:val="2A7D73CB"/>
    <w:rsid w:val="2A8F7845"/>
    <w:rsid w:val="2A937B99"/>
    <w:rsid w:val="2A9A1E86"/>
    <w:rsid w:val="2A9E17E3"/>
    <w:rsid w:val="2A9E5867"/>
    <w:rsid w:val="2AB0164F"/>
    <w:rsid w:val="2ABF7AE4"/>
    <w:rsid w:val="2AC9022F"/>
    <w:rsid w:val="2AE00186"/>
    <w:rsid w:val="2AEB3048"/>
    <w:rsid w:val="2AF14DBB"/>
    <w:rsid w:val="2AF21C68"/>
    <w:rsid w:val="2AF43C32"/>
    <w:rsid w:val="2AF53506"/>
    <w:rsid w:val="2AF552B4"/>
    <w:rsid w:val="2AF94DA4"/>
    <w:rsid w:val="2AFA26F0"/>
    <w:rsid w:val="2B001316"/>
    <w:rsid w:val="2B072463"/>
    <w:rsid w:val="2B0C5B0A"/>
    <w:rsid w:val="2B0F78F2"/>
    <w:rsid w:val="2B235C9F"/>
    <w:rsid w:val="2B25203D"/>
    <w:rsid w:val="2B252A75"/>
    <w:rsid w:val="2B2F5B8A"/>
    <w:rsid w:val="2B3B300F"/>
    <w:rsid w:val="2B436066"/>
    <w:rsid w:val="2B461926"/>
    <w:rsid w:val="2B463C20"/>
    <w:rsid w:val="2B4E1792"/>
    <w:rsid w:val="2B5727CE"/>
    <w:rsid w:val="2B580A70"/>
    <w:rsid w:val="2B614135"/>
    <w:rsid w:val="2B656863"/>
    <w:rsid w:val="2B656AA6"/>
    <w:rsid w:val="2B6D4D9E"/>
    <w:rsid w:val="2B700659"/>
    <w:rsid w:val="2B71332A"/>
    <w:rsid w:val="2B727377"/>
    <w:rsid w:val="2B74115A"/>
    <w:rsid w:val="2B786611"/>
    <w:rsid w:val="2B7D07AF"/>
    <w:rsid w:val="2B907F10"/>
    <w:rsid w:val="2B917F64"/>
    <w:rsid w:val="2B9F1FCE"/>
    <w:rsid w:val="2BA6305A"/>
    <w:rsid w:val="2BA936A8"/>
    <w:rsid w:val="2BB84AF6"/>
    <w:rsid w:val="2BC051AF"/>
    <w:rsid w:val="2BC5737C"/>
    <w:rsid w:val="2BDD2F1A"/>
    <w:rsid w:val="2BE21CDC"/>
    <w:rsid w:val="2BE40C92"/>
    <w:rsid w:val="2BE920FB"/>
    <w:rsid w:val="2BED6A56"/>
    <w:rsid w:val="2BFA72A0"/>
    <w:rsid w:val="2BFF2131"/>
    <w:rsid w:val="2BFF288E"/>
    <w:rsid w:val="2C022A42"/>
    <w:rsid w:val="2C072EB0"/>
    <w:rsid w:val="2C11436F"/>
    <w:rsid w:val="2C123D8E"/>
    <w:rsid w:val="2C131E96"/>
    <w:rsid w:val="2C1469F5"/>
    <w:rsid w:val="2C190BF9"/>
    <w:rsid w:val="2C2A71DF"/>
    <w:rsid w:val="2C2D6CEC"/>
    <w:rsid w:val="2C315A5A"/>
    <w:rsid w:val="2C365B84"/>
    <w:rsid w:val="2C385DA0"/>
    <w:rsid w:val="2C44322E"/>
    <w:rsid w:val="2C484235"/>
    <w:rsid w:val="2C4B1C25"/>
    <w:rsid w:val="2C596AA1"/>
    <w:rsid w:val="2C5A1872"/>
    <w:rsid w:val="2C7F5B27"/>
    <w:rsid w:val="2C842D2D"/>
    <w:rsid w:val="2C873CC6"/>
    <w:rsid w:val="2C9006C9"/>
    <w:rsid w:val="2C923702"/>
    <w:rsid w:val="2C9254B0"/>
    <w:rsid w:val="2C937AFA"/>
    <w:rsid w:val="2CA26EF3"/>
    <w:rsid w:val="2CA90A4C"/>
    <w:rsid w:val="2CB531A0"/>
    <w:rsid w:val="2CB71B2D"/>
    <w:rsid w:val="2CBD7F0D"/>
    <w:rsid w:val="2CC22456"/>
    <w:rsid w:val="2CC31B0E"/>
    <w:rsid w:val="2CCC5E19"/>
    <w:rsid w:val="2CCE7AE1"/>
    <w:rsid w:val="2CD36DF7"/>
    <w:rsid w:val="2CDB5284"/>
    <w:rsid w:val="2CDB79D3"/>
    <w:rsid w:val="2CDD4252"/>
    <w:rsid w:val="2CDF2442"/>
    <w:rsid w:val="2CE0661E"/>
    <w:rsid w:val="2CE30036"/>
    <w:rsid w:val="2CF04D7C"/>
    <w:rsid w:val="2CF14624"/>
    <w:rsid w:val="2CF8430B"/>
    <w:rsid w:val="2CFA5B57"/>
    <w:rsid w:val="2CFC455C"/>
    <w:rsid w:val="2CFD0AEF"/>
    <w:rsid w:val="2CFD27B0"/>
    <w:rsid w:val="2D022E39"/>
    <w:rsid w:val="2D0B2762"/>
    <w:rsid w:val="2D0C7368"/>
    <w:rsid w:val="2D0E7B29"/>
    <w:rsid w:val="2D150EB4"/>
    <w:rsid w:val="2D25704F"/>
    <w:rsid w:val="2D2D4762"/>
    <w:rsid w:val="2D475E89"/>
    <w:rsid w:val="2D4D1BF9"/>
    <w:rsid w:val="2D522E91"/>
    <w:rsid w:val="2D5269EE"/>
    <w:rsid w:val="2D5A73F9"/>
    <w:rsid w:val="2D5F4CC2"/>
    <w:rsid w:val="2D5F5748"/>
    <w:rsid w:val="2D632428"/>
    <w:rsid w:val="2D64477B"/>
    <w:rsid w:val="2D6F134E"/>
    <w:rsid w:val="2D7566C9"/>
    <w:rsid w:val="2D8004C8"/>
    <w:rsid w:val="2D88276B"/>
    <w:rsid w:val="2D8B6E41"/>
    <w:rsid w:val="2D962D7E"/>
    <w:rsid w:val="2D9729EC"/>
    <w:rsid w:val="2D9A01B4"/>
    <w:rsid w:val="2D9E56F5"/>
    <w:rsid w:val="2DA61FA1"/>
    <w:rsid w:val="2DB1627D"/>
    <w:rsid w:val="2DB564F6"/>
    <w:rsid w:val="2DB671D0"/>
    <w:rsid w:val="2DBB5DA2"/>
    <w:rsid w:val="2DC10366"/>
    <w:rsid w:val="2DC378EB"/>
    <w:rsid w:val="2DCD482F"/>
    <w:rsid w:val="2DCF003E"/>
    <w:rsid w:val="2DCF44E2"/>
    <w:rsid w:val="2DD544F1"/>
    <w:rsid w:val="2DD613CD"/>
    <w:rsid w:val="2DD64AEF"/>
    <w:rsid w:val="2DD80C21"/>
    <w:rsid w:val="2E0164AE"/>
    <w:rsid w:val="2E027D1E"/>
    <w:rsid w:val="2E0668B0"/>
    <w:rsid w:val="2E1528BF"/>
    <w:rsid w:val="2E1E4F65"/>
    <w:rsid w:val="2E1F2A03"/>
    <w:rsid w:val="2E2C36E3"/>
    <w:rsid w:val="2E345243"/>
    <w:rsid w:val="2E3A7BAD"/>
    <w:rsid w:val="2E4037AE"/>
    <w:rsid w:val="2E494294"/>
    <w:rsid w:val="2E4E5407"/>
    <w:rsid w:val="2E5B5049"/>
    <w:rsid w:val="2E5C2585"/>
    <w:rsid w:val="2E667F96"/>
    <w:rsid w:val="2E676DFF"/>
    <w:rsid w:val="2E7512B1"/>
    <w:rsid w:val="2E765AFE"/>
    <w:rsid w:val="2E7A6F77"/>
    <w:rsid w:val="2E7D155E"/>
    <w:rsid w:val="2E8226AB"/>
    <w:rsid w:val="2E825C96"/>
    <w:rsid w:val="2E8928E3"/>
    <w:rsid w:val="2E8B5D59"/>
    <w:rsid w:val="2E902065"/>
    <w:rsid w:val="2E93499A"/>
    <w:rsid w:val="2EA94D33"/>
    <w:rsid w:val="2EB84F76"/>
    <w:rsid w:val="2EB85803"/>
    <w:rsid w:val="2EC126B7"/>
    <w:rsid w:val="2EC664DB"/>
    <w:rsid w:val="2ECD19ED"/>
    <w:rsid w:val="2ECF46D2"/>
    <w:rsid w:val="2ED2428A"/>
    <w:rsid w:val="2ED32935"/>
    <w:rsid w:val="2ED6303C"/>
    <w:rsid w:val="2EDC6EB7"/>
    <w:rsid w:val="2EEC417F"/>
    <w:rsid w:val="2EEE59C9"/>
    <w:rsid w:val="2EEE7485"/>
    <w:rsid w:val="2EF26E71"/>
    <w:rsid w:val="2F01703E"/>
    <w:rsid w:val="2F084D15"/>
    <w:rsid w:val="2F1575BE"/>
    <w:rsid w:val="2F171013"/>
    <w:rsid w:val="2F1B1366"/>
    <w:rsid w:val="2F2B5748"/>
    <w:rsid w:val="2F2C30E8"/>
    <w:rsid w:val="2F2E5FE3"/>
    <w:rsid w:val="2F325933"/>
    <w:rsid w:val="2F362005"/>
    <w:rsid w:val="2F364819"/>
    <w:rsid w:val="2F3960B7"/>
    <w:rsid w:val="2F3D0B6A"/>
    <w:rsid w:val="2F3F57E0"/>
    <w:rsid w:val="2F50269F"/>
    <w:rsid w:val="2F510491"/>
    <w:rsid w:val="2F5B0B8A"/>
    <w:rsid w:val="2F5F616B"/>
    <w:rsid w:val="2F6058CE"/>
    <w:rsid w:val="2F631386"/>
    <w:rsid w:val="2F644D0B"/>
    <w:rsid w:val="2F6A001E"/>
    <w:rsid w:val="2F6D4DC1"/>
    <w:rsid w:val="2F795AC8"/>
    <w:rsid w:val="2F7C0CC1"/>
    <w:rsid w:val="2F7D7D6E"/>
    <w:rsid w:val="2F880204"/>
    <w:rsid w:val="2F8D2841"/>
    <w:rsid w:val="2F8D3FA1"/>
    <w:rsid w:val="2F8E22C2"/>
    <w:rsid w:val="2F914C6D"/>
    <w:rsid w:val="2F973DAE"/>
    <w:rsid w:val="2FA06013"/>
    <w:rsid w:val="2FA77F0B"/>
    <w:rsid w:val="2FA96899"/>
    <w:rsid w:val="2FBA34E7"/>
    <w:rsid w:val="2FBB38A9"/>
    <w:rsid w:val="2FC4760C"/>
    <w:rsid w:val="2FCA35CA"/>
    <w:rsid w:val="2FCA429B"/>
    <w:rsid w:val="2FCD031E"/>
    <w:rsid w:val="2FD065E6"/>
    <w:rsid w:val="2FD83005"/>
    <w:rsid w:val="2FD96870"/>
    <w:rsid w:val="2FDC36CA"/>
    <w:rsid w:val="2FE90D34"/>
    <w:rsid w:val="2FFF10AF"/>
    <w:rsid w:val="30032D1E"/>
    <w:rsid w:val="30091E11"/>
    <w:rsid w:val="3011196B"/>
    <w:rsid w:val="30183213"/>
    <w:rsid w:val="30187880"/>
    <w:rsid w:val="301D58DA"/>
    <w:rsid w:val="30205CF8"/>
    <w:rsid w:val="30362946"/>
    <w:rsid w:val="30395E85"/>
    <w:rsid w:val="303F66E2"/>
    <w:rsid w:val="305409AF"/>
    <w:rsid w:val="30580BC9"/>
    <w:rsid w:val="305A7872"/>
    <w:rsid w:val="305D46A9"/>
    <w:rsid w:val="30670A02"/>
    <w:rsid w:val="306B0BCC"/>
    <w:rsid w:val="30760604"/>
    <w:rsid w:val="30772BF2"/>
    <w:rsid w:val="307B5036"/>
    <w:rsid w:val="308642BA"/>
    <w:rsid w:val="3091203C"/>
    <w:rsid w:val="309A6FD0"/>
    <w:rsid w:val="309F1F4A"/>
    <w:rsid w:val="30A401CB"/>
    <w:rsid w:val="30A97AC8"/>
    <w:rsid w:val="30AA331F"/>
    <w:rsid w:val="30AE1272"/>
    <w:rsid w:val="30B9756B"/>
    <w:rsid w:val="30C419B0"/>
    <w:rsid w:val="30C809BA"/>
    <w:rsid w:val="30CE3766"/>
    <w:rsid w:val="30D047F9"/>
    <w:rsid w:val="30D2231F"/>
    <w:rsid w:val="30D93E08"/>
    <w:rsid w:val="30DB728A"/>
    <w:rsid w:val="30E31097"/>
    <w:rsid w:val="30E53630"/>
    <w:rsid w:val="30EB1633"/>
    <w:rsid w:val="30F03669"/>
    <w:rsid w:val="30F63F86"/>
    <w:rsid w:val="30FC70F6"/>
    <w:rsid w:val="30FE7A91"/>
    <w:rsid w:val="31017B1F"/>
    <w:rsid w:val="3103697D"/>
    <w:rsid w:val="310D6C3C"/>
    <w:rsid w:val="310E426C"/>
    <w:rsid w:val="311346E6"/>
    <w:rsid w:val="311A0DC3"/>
    <w:rsid w:val="311D0813"/>
    <w:rsid w:val="311E2ED7"/>
    <w:rsid w:val="31341352"/>
    <w:rsid w:val="31352B82"/>
    <w:rsid w:val="31356ABC"/>
    <w:rsid w:val="313C4FBD"/>
    <w:rsid w:val="313F372D"/>
    <w:rsid w:val="31407C1D"/>
    <w:rsid w:val="31470365"/>
    <w:rsid w:val="31481F95"/>
    <w:rsid w:val="3148438F"/>
    <w:rsid w:val="314C0C43"/>
    <w:rsid w:val="314E3655"/>
    <w:rsid w:val="31526472"/>
    <w:rsid w:val="315619EE"/>
    <w:rsid w:val="31564A69"/>
    <w:rsid w:val="31570B0C"/>
    <w:rsid w:val="315B0955"/>
    <w:rsid w:val="315C449C"/>
    <w:rsid w:val="31611467"/>
    <w:rsid w:val="3163566D"/>
    <w:rsid w:val="31654E9F"/>
    <w:rsid w:val="317B30F5"/>
    <w:rsid w:val="317C3452"/>
    <w:rsid w:val="317F1D7B"/>
    <w:rsid w:val="317F3B29"/>
    <w:rsid w:val="31806C14"/>
    <w:rsid w:val="31837ABD"/>
    <w:rsid w:val="31914D13"/>
    <w:rsid w:val="319A72B7"/>
    <w:rsid w:val="319B1D2A"/>
    <w:rsid w:val="319F2734"/>
    <w:rsid w:val="31A41A00"/>
    <w:rsid w:val="31A53E21"/>
    <w:rsid w:val="31A61F35"/>
    <w:rsid w:val="31A710FA"/>
    <w:rsid w:val="31A767A3"/>
    <w:rsid w:val="31AD0696"/>
    <w:rsid w:val="31AF2C6E"/>
    <w:rsid w:val="31B15B58"/>
    <w:rsid w:val="31B516C2"/>
    <w:rsid w:val="31B82709"/>
    <w:rsid w:val="31BD304A"/>
    <w:rsid w:val="31C61DFB"/>
    <w:rsid w:val="31C67AAB"/>
    <w:rsid w:val="31C854D0"/>
    <w:rsid w:val="31C9702F"/>
    <w:rsid w:val="31CA60F3"/>
    <w:rsid w:val="31CF4347"/>
    <w:rsid w:val="31D05482"/>
    <w:rsid w:val="31D11B94"/>
    <w:rsid w:val="31D123C6"/>
    <w:rsid w:val="31D33C7A"/>
    <w:rsid w:val="31D75BF7"/>
    <w:rsid w:val="31E2000E"/>
    <w:rsid w:val="31E24767"/>
    <w:rsid w:val="31E365B8"/>
    <w:rsid w:val="31E450AB"/>
    <w:rsid w:val="31E56082"/>
    <w:rsid w:val="31EE3BE3"/>
    <w:rsid w:val="31EF618E"/>
    <w:rsid w:val="320B66E3"/>
    <w:rsid w:val="320D4C8B"/>
    <w:rsid w:val="322860F2"/>
    <w:rsid w:val="323A75AF"/>
    <w:rsid w:val="323F1C36"/>
    <w:rsid w:val="32400B34"/>
    <w:rsid w:val="3249545A"/>
    <w:rsid w:val="324A05DB"/>
    <w:rsid w:val="324B12DD"/>
    <w:rsid w:val="325439CC"/>
    <w:rsid w:val="32562ADC"/>
    <w:rsid w:val="32675C94"/>
    <w:rsid w:val="32741004"/>
    <w:rsid w:val="327862B2"/>
    <w:rsid w:val="327C286F"/>
    <w:rsid w:val="328D64C4"/>
    <w:rsid w:val="32976B4F"/>
    <w:rsid w:val="329E6876"/>
    <w:rsid w:val="32A42FEE"/>
    <w:rsid w:val="32A67374"/>
    <w:rsid w:val="32A76BEB"/>
    <w:rsid w:val="32BD580C"/>
    <w:rsid w:val="32C87AD6"/>
    <w:rsid w:val="32C9272A"/>
    <w:rsid w:val="32C959A4"/>
    <w:rsid w:val="32CD0AA3"/>
    <w:rsid w:val="32CD1308"/>
    <w:rsid w:val="32CE1FA0"/>
    <w:rsid w:val="32D76427"/>
    <w:rsid w:val="32D95AFA"/>
    <w:rsid w:val="32E26A66"/>
    <w:rsid w:val="32E91BA2"/>
    <w:rsid w:val="32FA39E9"/>
    <w:rsid w:val="32FB3683"/>
    <w:rsid w:val="33033B16"/>
    <w:rsid w:val="330576C5"/>
    <w:rsid w:val="3308295F"/>
    <w:rsid w:val="330A4598"/>
    <w:rsid w:val="33113808"/>
    <w:rsid w:val="33172D3A"/>
    <w:rsid w:val="331C1F78"/>
    <w:rsid w:val="33253F74"/>
    <w:rsid w:val="332901F1"/>
    <w:rsid w:val="333015F2"/>
    <w:rsid w:val="33313D21"/>
    <w:rsid w:val="33361EE9"/>
    <w:rsid w:val="333F7A14"/>
    <w:rsid w:val="334421AC"/>
    <w:rsid w:val="334424D1"/>
    <w:rsid w:val="33480529"/>
    <w:rsid w:val="33484B1B"/>
    <w:rsid w:val="334B6320"/>
    <w:rsid w:val="334E2354"/>
    <w:rsid w:val="335028FE"/>
    <w:rsid w:val="335A2AA0"/>
    <w:rsid w:val="335F3C12"/>
    <w:rsid w:val="3361454C"/>
    <w:rsid w:val="336851BD"/>
    <w:rsid w:val="336B394D"/>
    <w:rsid w:val="336B6A5B"/>
    <w:rsid w:val="33770A97"/>
    <w:rsid w:val="337D19C8"/>
    <w:rsid w:val="337F7E84"/>
    <w:rsid w:val="33835B53"/>
    <w:rsid w:val="33883169"/>
    <w:rsid w:val="338A4DD3"/>
    <w:rsid w:val="338E1470"/>
    <w:rsid w:val="338F6F5E"/>
    <w:rsid w:val="33913895"/>
    <w:rsid w:val="33AA7583"/>
    <w:rsid w:val="33AD6FCF"/>
    <w:rsid w:val="33B47C4F"/>
    <w:rsid w:val="33B613E2"/>
    <w:rsid w:val="33B67B26"/>
    <w:rsid w:val="33BC4F0D"/>
    <w:rsid w:val="33BC5886"/>
    <w:rsid w:val="33C077CD"/>
    <w:rsid w:val="33C759BC"/>
    <w:rsid w:val="33C85C5B"/>
    <w:rsid w:val="33CE1A98"/>
    <w:rsid w:val="33D934D4"/>
    <w:rsid w:val="33D95773"/>
    <w:rsid w:val="33DA6982"/>
    <w:rsid w:val="33E365F1"/>
    <w:rsid w:val="33E500B5"/>
    <w:rsid w:val="33E7174E"/>
    <w:rsid w:val="33EA50E8"/>
    <w:rsid w:val="33F24E97"/>
    <w:rsid w:val="33F56325"/>
    <w:rsid w:val="33FA232F"/>
    <w:rsid w:val="33FE2F6A"/>
    <w:rsid w:val="33FF23A7"/>
    <w:rsid w:val="340824FC"/>
    <w:rsid w:val="340D6E72"/>
    <w:rsid w:val="340D7C9F"/>
    <w:rsid w:val="340E07E5"/>
    <w:rsid w:val="34185BC6"/>
    <w:rsid w:val="341B0B22"/>
    <w:rsid w:val="341D3BD8"/>
    <w:rsid w:val="342310E4"/>
    <w:rsid w:val="34235BF7"/>
    <w:rsid w:val="34275F10"/>
    <w:rsid w:val="342A2472"/>
    <w:rsid w:val="343D21A6"/>
    <w:rsid w:val="34424D05"/>
    <w:rsid w:val="34474BE6"/>
    <w:rsid w:val="345564FE"/>
    <w:rsid w:val="345A332E"/>
    <w:rsid w:val="345D2F82"/>
    <w:rsid w:val="347831DE"/>
    <w:rsid w:val="34801360"/>
    <w:rsid w:val="34831DCB"/>
    <w:rsid w:val="348576A9"/>
    <w:rsid w:val="349255C1"/>
    <w:rsid w:val="34930017"/>
    <w:rsid w:val="34951957"/>
    <w:rsid w:val="34A246FE"/>
    <w:rsid w:val="34A55F9D"/>
    <w:rsid w:val="34B73D80"/>
    <w:rsid w:val="34B8284C"/>
    <w:rsid w:val="34BA161A"/>
    <w:rsid w:val="34C71A6F"/>
    <w:rsid w:val="34C84D8D"/>
    <w:rsid w:val="34C9405F"/>
    <w:rsid w:val="34C957E7"/>
    <w:rsid w:val="34DC7624"/>
    <w:rsid w:val="34DD74E5"/>
    <w:rsid w:val="34E7163C"/>
    <w:rsid w:val="34EA4CEC"/>
    <w:rsid w:val="34EC65F3"/>
    <w:rsid w:val="34F11CC9"/>
    <w:rsid w:val="34F6663B"/>
    <w:rsid w:val="34F7159F"/>
    <w:rsid w:val="34FB796B"/>
    <w:rsid w:val="350A41FF"/>
    <w:rsid w:val="350A730B"/>
    <w:rsid w:val="350B5E00"/>
    <w:rsid w:val="350C69DB"/>
    <w:rsid w:val="35131158"/>
    <w:rsid w:val="35140747"/>
    <w:rsid w:val="352C63F3"/>
    <w:rsid w:val="352F4B12"/>
    <w:rsid w:val="353318E4"/>
    <w:rsid w:val="353B650D"/>
    <w:rsid w:val="353E2488"/>
    <w:rsid w:val="35561B18"/>
    <w:rsid w:val="355A1631"/>
    <w:rsid w:val="355B7D15"/>
    <w:rsid w:val="355D696A"/>
    <w:rsid w:val="35655F19"/>
    <w:rsid w:val="356C74B2"/>
    <w:rsid w:val="357065AB"/>
    <w:rsid w:val="357878AF"/>
    <w:rsid w:val="357F5FC5"/>
    <w:rsid w:val="358C5FA8"/>
    <w:rsid w:val="358F7648"/>
    <w:rsid w:val="35904F00"/>
    <w:rsid w:val="359C6770"/>
    <w:rsid w:val="359D0C4F"/>
    <w:rsid w:val="35A00430"/>
    <w:rsid w:val="35A61FCC"/>
    <w:rsid w:val="35A95619"/>
    <w:rsid w:val="35AD5109"/>
    <w:rsid w:val="35B556F2"/>
    <w:rsid w:val="35B838D0"/>
    <w:rsid w:val="35B917FD"/>
    <w:rsid w:val="35BE5455"/>
    <w:rsid w:val="35C15DF1"/>
    <w:rsid w:val="35C52207"/>
    <w:rsid w:val="35CA5C8E"/>
    <w:rsid w:val="35CB407B"/>
    <w:rsid w:val="35D121D3"/>
    <w:rsid w:val="35D64779"/>
    <w:rsid w:val="35D72186"/>
    <w:rsid w:val="35D95EFE"/>
    <w:rsid w:val="35E25E22"/>
    <w:rsid w:val="35ED754F"/>
    <w:rsid w:val="35F34BBB"/>
    <w:rsid w:val="36071768"/>
    <w:rsid w:val="36074A7F"/>
    <w:rsid w:val="361371FF"/>
    <w:rsid w:val="3619279E"/>
    <w:rsid w:val="361C0574"/>
    <w:rsid w:val="361C403D"/>
    <w:rsid w:val="3622657F"/>
    <w:rsid w:val="36252EF1"/>
    <w:rsid w:val="3627254C"/>
    <w:rsid w:val="3628478F"/>
    <w:rsid w:val="362C6D48"/>
    <w:rsid w:val="36470C98"/>
    <w:rsid w:val="365537C4"/>
    <w:rsid w:val="3655404E"/>
    <w:rsid w:val="365B60C2"/>
    <w:rsid w:val="365C578E"/>
    <w:rsid w:val="366213E2"/>
    <w:rsid w:val="3664334F"/>
    <w:rsid w:val="366D5A96"/>
    <w:rsid w:val="366E5BDF"/>
    <w:rsid w:val="36730100"/>
    <w:rsid w:val="367774C5"/>
    <w:rsid w:val="367B7254"/>
    <w:rsid w:val="36806FED"/>
    <w:rsid w:val="368A6E0C"/>
    <w:rsid w:val="369104C3"/>
    <w:rsid w:val="36923549"/>
    <w:rsid w:val="36927E20"/>
    <w:rsid w:val="369D23B3"/>
    <w:rsid w:val="369D47CD"/>
    <w:rsid w:val="36A416E8"/>
    <w:rsid w:val="36A75E84"/>
    <w:rsid w:val="36A858D0"/>
    <w:rsid w:val="36AB46AD"/>
    <w:rsid w:val="36B154F6"/>
    <w:rsid w:val="36B222AC"/>
    <w:rsid w:val="36B75FBF"/>
    <w:rsid w:val="36BC1409"/>
    <w:rsid w:val="36BD0C45"/>
    <w:rsid w:val="36BD77BD"/>
    <w:rsid w:val="36CC15BF"/>
    <w:rsid w:val="36D177B0"/>
    <w:rsid w:val="36D5676A"/>
    <w:rsid w:val="36DF5796"/>
    <w:rsid w:val="36E073FA"/>
    <w:rsid w:val="36E26BBE"/>
    <w:rsid w:val="36E31698"/>
    <w:rsid w:val="36EA554C"/>
    <w:rsid w:val="36EB2629"/>
    <w:rsid w:val="36F02134"/>
    <w:rsid w:val="36F330D6"/>
    <w:rsid w:val="36F52A3C"/>
    <w:rsid w:val="36FE6869"/>
    <w:rsid w:val="371145C5"/>
    <w:rsid w:val="371277C4"/>
    <w:rsid w:val="372D1C56"/>
    <w:rsid w:val="373158C6"/>
    <w:rsid w:val="37353608"/>
    <w:rsid w:val="373830F8"/>
    <w:rsid w:val="373D070E"/>
    <w:rsid w:val="374865CF"/>
    <w:rsid w:val="374C4F41"/>
    <w:rsid w:val="374E433A"/>
    <w:rsid w:val="37523EA3"/>
    <w:rsid w:val="37560FD1"/>
    <w:rsid w:val="37623183"/>
    <w:rsid w:val="37630E8D"/>
    <w:rsid w:val="376573F0"/>
    <w:rsid w:val="377D54CA"/>
    <w:rsid w:val="377E16A1"/>
    <w:rsid w:val="37851E4F"/>
    <w:rsid w:val="378651CF"/>
    <w:rsid w:val="378906B0"/>
    <w:rsid w:val="378B147A"/>
    <w:rsid w:val="37995FF9"/>
    <w:rsid w:val="37A23CF5"/>
    <w:rsid w:val="37AA371A"/>
    <w:rsid w:val="37B274F9"/>
    <w:rsid w:val="37B54749"/>
    <w:rsid w:val="37B835C4"/>
    <w:rsid w:val="37BA13F7"/>
    <w:rsid w:val="37C22172"/>
    <w:rsid w:val="37C27D1E"/>
    <w:rsid w:val="37C31689"/>
    <w:rsid w:val="37C40B36"/>
    <w:rsid w:val="37C62277"/>
    <w:rsid w:val="37CF580A"/>
    <w:rsid w:val="37CF7E4E"/>
    <w:rsid w:val="37D30AA3"/>
    <w:rsid w:val="37D316B5"/>
    <w:rsid w:val="37D3697D"/>
    <w:rsid w:val="37D61804"/>
    <w:rsid w:val="37DD77A1"/>
    <w:rsid w:val="37DE77FC"/>
    <w:rsid w:val="37E00298"/>
    <w:rsid w:val="37EC0328"/>
    <w:rsid w:val="37F426D8"/>
    <w:rsid w:val="37F74639"/>
    <w:rsid w:val="37F85656"/>
    <w:rsid w:val="38020B1E"/>
    <w:rsid w:val="38081FCB"/>
    <w:rsid w:val="38137537"/>
    <w:rsid w:val="38144C16"/>
    <w:rsid w:val="38186BFF"/>
    <w:rsid w:val="381E409C"/>
    <w:rsid w:val="38325D99"/>
    <w:rsid w:val="38373449"/>
    <w:rsid w:val="38401054"/>
    <w:rsid w:val="38481119"/>
    <w:rsid w:val="38497299"/>
    <w:rsid w:val="38521F98"/>
    <w:rsid w:val="38615AF8"/>
    <w:rsid w:val="387243E8"/>
    <w:rsid w:val="38871C41"/>
    <w:rsid w:val="388A177A"/>
    <w:rsid w:val="38954119"/>
    <w:rsid w:val="389A30CC"/>
    <w:rsid w:val="389B2ADD"/>
    <w:rsid w:val="389B616C"/>
    <w:rsid w:val="38A30A45"/>
    <w:rsid w:val="38A63509"/>
    <w:rsid w:val="38B13162"/>
    <w:rsid w:val="38B16CBE"/>
    <w:rsid w:val="38B302F9"/>
    <w:rsid w:val="38C67318"/>
    <w:rsid w:val="38CF514E"/>
    <w:rsid w:val="38CF5396"/>
    <w:rsid w:val="38D436F7"/>
    <w:rsid w:val="38DD535E"/>
    <w:rsid w:val="38E23B0E"/>
    <w:rsid w:val="38E279D0"/>
    <w:rsid w:val="38E469F5"/>
    <w:rsid w:val="38E9671A"/>
    <w:rsid w:val="38EB33AC"/>
    <w:rsid w:val="38F12CD3"/>
    <w:rsid w:val="38F253B3"/>
    <w:rsid w:val="38F35F31"/>
    <w:rsid w:val="38F52EE9"/>
    <w:rsid w:val="38F70F79"/>
    <w:rsid w:val="38F848ED"/>
    <w:rsid w:val="38F94775"/>
    <w:rsid w:val="38FD0EBA"/>
    <w:rsid w:val="38FD63A7"/>
    <w:rsid w:val="39012DA3"/>
    <w:rsid w:val="3905136C"/>
    <w:rsid w:val="390D1BDC"/>
    <w:rsid w:val="390F7E89"/>
    <w:rsid w:val="391F199B"/>
    <w:rsid w:val="39293733"/>
    <w:rsid w:val="392971ED"/>
    <w:rsid w:val="392A2712"/>
    <w:rsid w:val="393040BD"/>
    <w:rsid w:val="39325651"/>
    <w:rsid w:val="39357F86"/>
    <w:rsid w:val="39380804"/>
    <w:rsid w:val="393A21F1"/>
    <w:rsid w:val="393B6E8F"/>
    <w:rsid w:val="393D4317"/>
    <w:rsid w:val="394025EC"/>
    <w:rsid w:val="39437C06"/>
    <w:rsid w:val="394418E0"/>
    <w:rsid w:val="394B309E"/>
    <w:rsid w:val="394E275F"/>
    <w:rsid w:val="394F385D"/>
    <w:rsid w:val="395D4DC4"/>
    <w:rsid w:val="395F3115"/>
    <w:rsid w:val="3967795C"/>
    <w:rsid w:val="396B40CD"/>
    <w:rsid w:val="397559C9"/>
    <w:rsid w:val="39766450"/>
    <w:rsid w:val="397951B0"/>
    <w:rsid w:val="399875C6"/>
    <w:rsid w:val="399B1D9D"/>
    <w:rsid w:val="39A16E1B"/>
    <w:rsid w:val="39A818B8"/>
    <w:rsid w:val="39A924F4"/>
    <w:rsid w:val="39AB009B"/>
    <w:rsid w:val="39AD3929"/>
    <w:rsid w:val="39B10C12"/>
    <w:rsid w:val="39BD11EE"/>
    <w:rsid w:val="39BE4E97"/>
    <w:rsid w:val="39C1107B"/>
    <w:rsid w:val="39CA43D5"/>
    <w:rsid w:val="39DE1D35"/>
    <w:rsid w:val="39E6508D"/>
    <w:rsid w:val="39E726D9"/>
    <w:rsid w:val="39E906DA"/>
    <w:rsid w:val="39EB43FB"/>
    <w:rsid w:val="39F13922"/>
    <w:rsid w:val="39F453B2"/>
    <w:rsid w:val="39FA6443"/>
    <w:rsid w:val="3A053765"/>
    <w:rsid w:val="3A071AD2"/>
    <w:rsid w:val="3A136E26"/>
    <w:rsid w:val="3A1F6E14"/>
    <w:rsid w:val="3A214C83"/>
    <w:rsid w:val="3A2643A8"/>
    <w:rsid w:val="3A26548A"/>
    <w:rsid w:val="3A2668B3"/>
    <w:rsid w:val="3A267238"/>
    <w:rsid w:val="3A3005D4"/>
    <w:rsid w:val="3A312B6A"/>
    <w:rsid w:val="3A3D7EB7"/>
    <w:rsid w:val="3A414CE4"/>
    <w:rsid w:val="3A43454E"/>
    <w:rsid w:val="3A4B6C9E"/>
    <w:rsid w:val="3A4D2160"/>
    <w:rsid w:val="3A4F2FF6"/>
    <w:rsid w:val="3A540249"/>
    <w:rsid w:val="3A57630A"/>
    <w:rsid w:val="3A5D4BFE"/>
    <w:rsid w:val="3A5F7F65"/>
    <w:rsid w:val="3A6A181A"/>
    <w:rsid w:val="3A6F5083"/>
    <w:rsid w:val="3A6F6C0B"/>
    <w:rsid w:val="3A712BA9"/>
    <w:rsid w:val="3A872856"/>
    <w:rsid w:val="3A8B6359"/>
    <w:rsid w:val="3A8D72A0"/>
    <w:rsid w:val="3A8D75FB"/>
    <w:rsid w:val="3A9A3AC8"/>
    <w:rsid w:val="3AAA0582"/>
    <w:rsid w:val="3AB71973"/>
    <w:rsid w:val="3AB844F0"/>
    <w:rsid w:val="3AB932F1"/>
    <w:rsid w:val="3ACA050B"/>
    <w:rsid w:val="3AE46157"/>
    <w:rsid w:val="3AEF376B"/>
    <w:rsid w:val="3AF406F9"/>
    <w:rsid w:val="3AF64E5C"/>
    <w:rsid w:val="3AFC01E0"/>
    <w:rsid w:val="3AFC4897"/>
    <w:rsid w:val="3B030DCC"/>
    <w:rsid w:val="3B03379A"/>
    <w:rsid w:val="3B0A59CD"/>
    <w:rsid w:val="3B0B1725"/>
    <w:rsid w:val="3B0D5E89"/>
    <w:rsid w:val="3B1566C5"/>
    <w:rsid w:val="3B170F84"/>
    <w:rsid w:val="3B190B4B"/>
    <w:rsid w:val="3B2319C9"/>
    <w:rsid w:val="3B3224BA"/>
    <w:rsid w:val="3B344D21"/>
    <w:rsid w:val="3B3763D1"/>
    <w:rsid w:val="3B39238D"/>
    <w:rsid w:val="3B3B59BC"/>
    <w:rsid w:val="3B3D36E5"/>
    <w:rsid w:val="3B3F4403"/>
    <w:rsid w:val="3B44717B"/>
    <w:rsid w:val="3B496ED2"/>
    <w:rsid w:val="3B4A33FA"/>
    <w:rsid w:val="3B513DB8"/>
    <w:rsid w:val="3B5E509E"/>
    <w:rsid w:val="3B676118"/>
    <w:rsid w:val="3B6A0197"/>
    <w:rsid w:val="3B6C4510"/>
    <w:rsid w:val="3B7C5A62"/>
    <w:rsid w:val="3B85425A"/>
    <w:rsid w:val="3B876465"/>
    <w:rsid w:val="3B8D58EB"/>
    <w:rsid w:val="3B977FD2"/>
    <w:rsid w:val="3B9A5C80"/>
    <w:rsid w:val="3BA90120"/>
    <w:rsid w:val="3BAA4C74"/>
    <w:rsid w:val="3BB134AE"/>
    <w:rsid w:val="3BB14951"/>
    <w:rsid w:val="3BB427CA"/>
    <w:rsid w:val="3BBA69BD"/>
    <w:rsid w:val="3BC13519"/>
    <w:rsid w:val="3BC91EF6"/>
    <w:rsid w:val="3BCB62E9"/>
    <w:rsid w:val="3BCC56A6"/>
    <w:rsid w:val="3BD038FF"/>
    <w:rsid w:val="3BD148F7"/>
    <w:rsid w:val="3BD877D3"/>
    <w:rsid w:val="3BDA29D0"/>
    <w:rsid w:val="3BDE00B4"/>
    <w:rsid w:val="3BE124C3"/>
    <w:rsid w:val="3BE23632"/>
    <w:rsid w:val="3BE30694"/>
    <w:rsid w:val="3BE33E21"/>
    <w:rsid w:val="3BE97564"/>
    <w:rsid w:val="3BF01EF4"/>
    <w:rsid w:val="3BFA4E20"/>
    <w:rsid w:val="3C0277A7"/>
    <w:rsid w:val="3C0B3BAC"/>
    <w:rsid w:val="3C131A3E"/>
    <w:rsid w:val="3C141A89"/>
    <w:rsid w:val="3C147A6B"/>
    <w:rsid w:val="3C17184B"/>
    <w:rsid w:val="3C1A20F4"/>
    <w:rsid w:val="3C2459F9"/>
    <w:rsid w:val="3C266223"/>
    <w:rsid w:val="3C291261"/>
    <w:rsid w:val="3C2F6E1E"/>
    <w:rsid w:val="3C326368"/>
    <w:rsid w:val="3C351BA9"/>
    <w:rsid w:val="3C357C06"/>
    <w:rsid w:val="3C3B1C44"/>
    <w:rsid w:val="3C406CD7"/>
    <w:rsid w:val="3C463BC1"/>
    <w:rsid w:val="3C49590D"/>
    <w:rsid w:val="3C4F64BA"/>
    <w:rsid w:val="3C553B4D"/>
    <w:rsid w:val="3C584836"/>
    <w:rsid w:val="3C5B0735"/>
    <w:rsid w:val="3C757E1F"/>
    <w:rsid w:val="3C7A0F6E"/>
    <w:rsid w:val="3C8565ED"/>
    <w:rsid w:val="3C8F37BA"/>
    <w:rsid w:val="3C9424C2"/>
    <w:rsid w:val="3C990195"/>
    <w:rsid w:val="3C9B3F0D"/>
    <w:rsid w:val="3CA25539"/>
    <w:rsid w:val="3CA70DDA"/>
    <w:rsid w:val="3CAB3899"/>
    <w:rsid w:val="3CB626E5"/>
    <w:rsid w:val="3CB63B18"/>
    <w:rsid w:val="3CB660A4"/>
    <w:rsid w:val="3CC47B4E"/>
    <w:rsid w:val="3CCA73AE"/>
    <w:rsid w:val="3CCD570F"/>
    <w:rsid w:val="3CCF1E09"/>
    <w:rsid w:val="3CDA245A"/>
    <w:rsid w:val="3CE1212F"/>
    <w:rsid w:val="3CE764CA"/>
    <w:rsid w:val="3CEA615B"/>
    <w:rsid w:val="3CEA72BE"/>
    <w:rsid w:val="3CEF384F"/>
    <w:rsid w:val="3CF11C3A"/>
    <w:rsid w:val="3D0126B3"/>
    <w:rsid w:val="3D071837"/>
    <w:rsid w:val="3D0A7413"/>
    <w:rsid w:val="3D1153C9"/>
    <w:rsid w:val="3D145A6E"/>
    <w:rsid w:val="3D1B0088"/>
    <w:rsid w:val="3D1B090A"/>
    <w:rsid w:val="3D1B2745"/>
    <w:rsid w:val="3D1E06B7"/>
    <w:rsid w:val="3D281FDF"/>
    <w:rsid w:val="3D2A0F53"/>
    <w:rsid w:val="3D357DF0"/>
    <w:rsid w:val="3D3757C1"/>
    <w:rsid w:val="3D3779F1"/>
    <w:rsid w:val="3D3B25CA"/>
    <w:rsid w:val="3D3F26A2"/>
    <w:rsid w:val="3D4F6AA6"/>
    <w:rsid w:val="3D616F36"/>
    <w:rsid w:val="3D6318F7"/>
    <w:rsid w:val="3D6764E5"/>
    <w:rsid w:val="3D6E21B4"/>
    <w:rsid w:val="3D6F5C2E"/>
    <w:rsid w:val="3D736A6C"/>
    <w:rsid w:val="3D7829F6"/>
    <w:rsid w:val="3D7B789B"/>
    <w:rsid w:val="3D7E57BE"/>
    <w:rsid w:val="3D8B7A2A"/>
    <w:rsid w:val="3D9B462A"/>
    <w:rsid w:val="3D9F5C7F"/>
    <w:rsid w:val="3DA9265A"/>
    <w:rsid w:val="3DAD1DAB"/>
    <w:rsid w:val="3DB967AE"/>
    <w:rsid w:val="3DB974EE"/>
    <w:rsid w:val="3DBF3C2B"/>
    <w:rsid w:val="3DC0241E"/>
    <w:rsid w:val="3DD930B1"/>
    <w:rsid w:val="3DDB185A"/>
    <w:rsid w:val="3DDF3677"/>
    <w:rsid w:val="3DDF5D4B"/>
    <w:rsid w:val="3DDF7E2A"/>
    <w:rsid w:val="3DE43692"/>
    <w:rsid w:val="3DE443F4"/>
    <w:rsid w:val="3DEE4511"/>
    <w:rsid w:val="3DF54AFC"/>
    <w:rsid w:val="3E05174B"/>
    <w:rsid w:val="3E0C7637"/>
    <w:rsid w:val="3E1A5907"/>
    <w:rsid w:val="3E1C107E"/>
    <w:rsid w:val="3E1F0B6E"/>
    <w:rsid w:val="3E2833DF"/>
    <w:rsid w:val="3E295134"/>
    <w:rsid w:val="3E29643B"/>
    <w:rsid w:val="3E396437"/>
    <w:rsid w:val="3E4203B8"/>
    <w:rsid w:val="3E42660A"/>
    <w:rsid w:val="3E431A46"/>
    <w:rsid w:val="3E46023E"/>
    <w:rsid w:val="3E4615C8"/>
    <w:rsid w:val="3E4A7A59"/>
    <w:rsid w:val="3E4F5F4D"/>
    <w:rsid w:val="3E551650"/>
    <w:rsid w:val="3E5E366E"/>
    <w:rsid w:val="3E62700F"/>
    <w:rsid w:val="3E693B97"/>
    <w:rsid w:val="3E697EA4"/>
    <w:rsid w:val="3E6D1023"/>
    <w:rsid w:val="3E724B3A"/>
    <w:rsid w:val="3E843C96"/>
    <w:rsid w:val="3E8525CF"/>
    <w:rsid w:val="3E8B4A20"/>
    <w:rsid w:val="3E8D3D29"/>
    <w:rsid w:val="3E8D62BB"/>
    <w:rsid w:val="3E9042AA"/>
    <w:rsid w:val="3E970704"/>
    <w:rsid w:val="3E9A01F4"/>
    <w:rsid w:val="3EA1433B"/>
    <w:rsid w:val="3EA148B3"/>
    <w:rsid w:val="3EA72ECC"/>
    <w:rsid w:val="3EA77E39"/>
    <w:rsid w:val="3EA867EA"/>
    <w:rsid w:val="3EAC2FE7"/>
    <w:rsid w:val="3EC32CF9"/>
    <w:rsid w:val="3EC52A9C"/>
    <w:rsid w:val="3EC77626"/>
    <w:rsid w:val="3ECA71EC"/>
    <w:rsid w:val="3ECD65C2"/>
    <w:rsid w:val="3ED100BA"/>
    <w:rsid w:val="3EDA0523"/>
    <w:rsid w:val="3EDC61EF"/>
    <w:rsid w:val="3EE469D8"/>
    <w:rsid w:val="3EE6168C"/>
    <w:rsid w:val="3EE871B2"/>
    <w:rsid w:val="3EF24506"/>
    <w:rsid w:val="3EFF17D5"/>
    <w:rsid w:val="3EFF7584"/>
    <w:rsid w:val="3F0264C5"/>
    <w:rsid w:val="3F051A9E"/>
    <w:rsid w:val="3F0D6C18"/>
    <w:rsid w:val="3F10346B"/>
    <w:rsid w:val="3F16297F"/>
    <w:rsid w:val="3F1C2D8B"/>
    <w:rsid w:val="3F264D72"/>
    <w:rsid w:val="3F302A1C"/>
    <w:rsid w:val="3F324A1E"/>
    <w:rsid w:val="3F3B48FE"/>
    <w:rsid w:val="3F3B5FBB"/>
    <w:rsid w:val="3F4B16D8"/>
    <w:rsid w:val="3F4C23A1"/>
    <w:rsid w:val="3F5033B0"/>
    <w:rsid w:val="3F5509F1"/>
    <w:rsid w:val="3F5675F7"/>
    <w:rsid w:val="3F594FBA"/>
    <w:rsid w:val="3F5D16E2"/>
    <w:rsid w:val="3F690F10"/>
    <w:rsid w:val="3F6B235E"/>
    <w:rsid w:val="3F6E5909"/>
    <w:rsid w:val="3F7D1D0C"/>
    <w:rsid w:val="3F817A20"/>
    <w:rsid w:val="3F865323"/>
    <w:rsid w:val="3F926548"/>
    <w:rsid w:val="3F9E1743"/>
    <w:rsid w:val="3FA043B9"/>
    <w:rsid w:val="3FAA6B41"/>
    <w:rsid w:val="3FB156B7"/>
    <w:rsid w:val="3FB6105E"/>
    <w:rsid w:val="3FBB32C3"/>
    <w:rsid w:val="3FC74EC7"/>
    <w:rsid w:val="3FCC5DF6"/>
    <w:rsid w:val="3FD00372"/>
    <w:rsid w:val="3FD32EC4"/>
    <w:rsid w:val="3FE152F1"/>
    <w:rsid w:val="3FEF771F"/>
    <w:rsid w:val="3FF5110B"/>
    <w:rsid w:val="3FF522EF"/>
    <w:rsid w:val="3FFC4B13"/>
    <w:rsid w:val="3FFC7930"/>
    <w:rsid w:val="40117577"/>
    <w:rsid w:val="40152228"/>
    <w:rsid w:val="401A060A"/>
    <w:rsid w:val="401A211B"/>
    <w:rsid w:val="402113BA"/>
    <w:rsid w:val="40344BEC"/>
    <w:rsid w:val="40354B3F"/>
    <w:rsid w:val="40356427"/>
    <w:rsid w:val="403D6729"/>
    <w:rsid w:val="403E4687"/>
    <w:rsid w:val="40415103"/>
    <w:rsid w:val="404922D2"/>
    <w:rsid w:val="40495EF1"/>
    <w:rsid w:val="404B1DD5"/>
    <w:rsid w:val="404F315E"/>
    <w:rsid w:val="40514C69"/>
    <w:rsid w:val="405C55AD"/>
    <w:rsid w:val="405D6B7B"/>
    <w:rsid w:val="405D772B"/>
    <w:rsid w:val="405E502D"/>
    <w:rsid w:val="40616D98"/>
    <w:rsid w:val="40667CFB"/>
    <w:rsid w:val="40692574"/>
    <w:rsid w:val="406F1ED6"/>
    <w:rsid w:val="40766079"/>
    <w:rsid w:val="40777CB6"/>
    <w:rsid w:val="407956C3"/>
    <w:rsid w:val="407A6407"/>
    <w:rsid w:val="40823C32"/>
    <w:rsid w:val="40860A30"/>
    <w:rsid w:val="409B43BF"/>
    <w:rsid w:val="40A47108"/>
    <w:rsid w:val="40AC610C"/>
    <w:rsid w:val="40AE6CEA"/>
    <w:rsid w:val="40AE6F8D"/>
    <w:rsid w:val="40AF442B"/>
    <w:rsid w:val="40B4567C"/>
    <w:rsid w:val="40C340C6"/>
    <w:rsid w:val="40D4199E"/>
    <w:rsid w:val="40D55F3B"/>
    <w:rsid w:val="40D62FA6"/>
    <w:rsid w:val="40D94361"/>
    <w:rsid w:val="40D97653"/>
    <w:rsid w:val="40E045E4"/>
    <w:rsid w:val="40E57E4D"/>
    <w:rsid w:val="40EA25C4"/>
    <w:rsid w:val="40EB4EB8"/>
    <w:rsid w:val="40F11FF2"/>
    <w:rsid w:val="40F14704"/>
    <w:rsid w:val="40F6063A"/>
    <w:rsid w:val="40FB247D"/>
    <w:rsid w:val="410127AD"/>
    <w:rsid w:val="4106252D"/>
    <w:rsid w:val="410A0DD3"/>
    <w:rsid w:val="410B4E42"/>
    <w:rsid w:val="410B53D9"/>
    <w:rsid w:val="410D2D85"/>
    <w:rsid w:val="4111285C"/>
    <w:rsid w:val="41151DB4"/>
    <w:rsid w:val="41164303"/>
    <w:rsid w:val="4117544D"/>
    <w:rsid w:val="411C7C91"/>
    <w:rsid w:val="41271873"/>
    <w:rsid w:val="413B181B"/>
    <w:rsid w:val="413B4941"/>
    <w:rsid w:val="413B797F"/>
    <w:rsid w:val="41422238"/>
    <w:rsid w:val="41476614"/>
    <w:rsid w:val="4148218A"/>
    <w:rsid w:val="41577346"/>
    <w:rsid w:val="41593EF4"/>
    <w:rsid w:val="415B2523"/>
    <w:rsid w:val="4164444B"/>
    <w:rsid w:val="417255CF"/>
    <w:rsid w:val="41801BCC"/>
    <w:rsid w:val="4186141C"/>
    <w:rsid w:val="41887A05"/>
    <w:rsid w:val="41913B31"/>
    <w:rsid w:val="41970A1B"/>
    <w:rsid w:val="41990C37"/>
    <w:rsid w:val="419B0788"/>
    <w:rsid w:val="419D0A96"/>
    <w:rsid w:val="419D3163"/>
    <w:rsid w:val="419E7FFC"/>
    <w:rsid w:val="41AF3FB7"/>
    <w:rsid w:val="41B23EC9"/>
    <w:rsid w:val="41B34B7F"/>
    <w:rsid w:val="41BC0943"/>
    <w:rsid w:val="41C07AE7"/>
    <w:rsid w:val="41C55588"/>
    <w:rsid w:val="41C56873"/>
    <w:rsid w:val="41C81A16"/>
    <w:rsid w:val="41CA5B23"/>
    <w:rsid w:val="41CC3178"/>
    <w:rsid w:val="41D118CA"/>
    <w:rsid w:val="41D122D2"/>
    <w:rsid w:val="41D23AD4"/>
    <w:rsid w:val="41D50D59"/>
    <w:rsid w:val="41D75434"/>
    <w:rsid w:val="41E719A3"/>
    <w:rsid w:val="41E938A4"/>
    <w:rsid w:val="41FB5908"/>
    <w:rsid w:val="4200449D"/>
    <w:rsid w:val="42047A10"/>
    <w:rsid w:val="420631BD"/>
    <w:rsid w:val="421F4F76"/>
    <w:rsid w:val="42214916"/>
    <w:rsid w:val="423546E2"/>
    <w:rsid w:val="423A3BCC"/>
    <w:rsid w:val="423D15C3"/>
    <w:rsid w:val="423E661A"/>
    <w:rsid w:val="42437547"/>
    <w:rsid w:val="424E57D2"/>
    <w:rsid w:val="42506A95"/>
    <w:rsid w:val="42510C71"/>
    <w:rsid w:val="42531029"/>
    <w:rsid w:val="425A017F"/>
    <w:rsid w:val="42641644"/>
    <w:rsid w:val="426A216F"/>
    <w:rsid w:val="426E5C20"/>
    <w:rsid w:val="42721C3C"/>
    <w:rsid w:val="42730A78"/>
    <w:rsid w:val="427D40B5"/>
    <w:rsid w:val="4281050D"/>
    <w:rsid w:val="42880A33"/>
    <w:rsid w:val="42995053"/>
    <w:rsid w:val="429B1A32"/>
    <w:rsid w:val="429D65B3"/>
    <w:rsid w:val="42A077C8"/>
    <w:rsid w:val="42A15CF0"/>
    <w:rsid w:val="42A45AE6"/>
    <w:rsid w:val="42AF31C1"/>
    <w:rsid w:val="42B26C49"/>
    <w:rsid w:val="42C16B1A"/>
    <w:rsid w:val="42C24C04"/>
    <w:rsid w:val="42C43A92"/>
    <w:rsid w:val="42C47F35"/>
    <w:rsid w:val="42C60866"/>
    <w:rsid w:val="42CF1256"/>
    <w:rsid w:val="42D02437"/>
    <w:rsid w:val="42D70F51"/>
    <w:rsid w:val="42DC702D"/>
    <w:rsid w:val="42E2479D"/>
    <w:rsid w:val="42E43A78"/>
    <w:rsid w:val="42F81AAA"/>
    <w:rsid w:val="42FF2D1C"/>
    <w:rsid w:val="42FF63AF"/>
    <w:rsid w:val="43042E51"/>
    <w:rsid w:val="43090296"/>
    <w:rsid w:val="430949C2"/>
    <w:rsid w:val="43112BF4"/>
    <w:rsid w:val="431D6D9F"/>
    <w:rsid w:val="432052D8"/>
    <w:rsid w:val="432851D1"/>
    <w:rsid w:val="433636F6"/>
    <w:rsid w:val="43370BFC"/>
    <w:rsid w:val="433A6FE6"/>
    <w:rsid w:val="43480868"/>
    <w:rsid w:val="434D7F2B"/>
    <w:rsid w:val="4350713C"/>
    <w:rsid w:val="43522E47"/>
    <w:rsid w:val="43545B98"/>
    <w:rsid w:val="4354654F"/>
    <w:rsid w:val="435724EB"/>
    <w:rsid w:val="435C48DA"/>
    <w:rsid w:val="435C4EC8"/>
    <w:rsid w:val="43605713"/>
    <w:rsid w:val="436444B0"/>
    <w:rsid w:val="43655D09"/>
    <w:rsid w:val="436653E0"/>
    <w:rsid w:val="436822FE"/>
    <w:rsid w:val="437234EE"/>
    <w:rsid w:val="43765FE9"/>
    <w:rsid w:val="438316A7"/>
    <w:rsid w:val="43880D41"/>
    <w:rsid w:val="43880F63"/>
    <w:rsid w:val="438A3408"/>
    <w:rsid w:val="438B0844"/>
    <w:rsid w:val="438C32BB"/>
    <w:rsid w:val="438E724F"/>
    <w:rsid w:val="439C46C4"/>
    <w:rsid w:val="439E42E3"/>
    <w:rsid w:val="439F367D"/>
    <w:rsid w:val="439F6131"/>
    <w:rsid w:val="43A01E09"/>
    <w:rsid w:val="43A649F6"/>
    <w:rsid w:val="43AB019B"/>
    <w:rsid w:val="43AC2EA4"/>
    <w:rsid w:val="43B1255A"/>
    <w:rsid w:val="43B42A47"/>
    <w:rsid w:val="43B6317F"/>
    <w:rsid w:val="43B65E6B"/>
    <w:rsid w:val="43B66B2B"/>
    <w:rsid w:val="43C4431A"/>
    <w:rsid w:val="43C547DA"/>
    <w:rsid w:val="43C82C0A"/>
    <w:rsid w:val="43D46490"/>
    <w:rsid w:val="43D536EE"/>
    <w:rsid w:val="43DE2931"/>
    <w:rsid w:val="43E85FE3"/>
    <w:rsid w:val="43EC32A0"/>
    <w:rsid w:val="43EF2D90"/>
    <w:rsid w:val="43F522A1"/>
    <w:rsid w:val="43FC36AC"/>
    <w:rsid w:val="43FF1315"/>
    <w:rsid w:val="440305EA"/>
    <w:rsid w:val="440839CA"/>
    <w:rsid w:val="44094977"/>
    <w:rsid w:val="440F448D"/>
    <w:rsid w:val="440F671E"/>
    <w:rsid w:val="441236D8"/>
    <w:rsid w:val="4413634F"/>
    <w:rsid w:val="441C2A57"/>
    <w:rsid w:val="441C33DA"/>
    <w:rsid w:val="44200438"/>
    <w:rsid w:val="44202502"/>
    <w:rsid w:val="442C035A"/>
    <w:rsid w:val="442E6C46"/>
    <w:rsid w:val="44313472"/>
    <w:rsid w:val="443548A2"/>
    <w:rsid w:val="443A2ECE"/>
    <w:rsid w:val="444E4CDA"/>
    <w:rsid w:val="44521863"/>
    <w:rsid w:val="4455661B"/>
    <w:rsid w:val="445B301F"/>
    <w:rsid w:val="445D6175"/>
    <w:rsid w:val="44697F28"/>
    <w:rsid w:val="44701105"/>
    <w:rsid w:val="44703ED1"/>
    <w:rsid w:val="4473372D"/>
    <w:rsid w:val="447F1294"/>
    <w:rsid w:val="44854936"/>
    <w:rsid w:val="448C0D8A"/>
    <w:rsid w:val="44933AA9"/>
    <w:rsid w:val="4494067F"/>
    <w:rsid w:val="449420E1"/>
    <w:rsid w:val="44983428"/>
    <w:rsid w:val="449D4AE3"/>
    <w:rsid w:val="44A025FE"/>
    <w:rsid w:val="44A16740"/>
    <w:rsid w:val="44A17D52"/>
    <w:rsid w:val="44A4069C"/>
    <w:rsid w:val="44A75419"/>
    <w:rsid w:val="44A91191"/>
    <w:rsid w:val="44A973E3"/>
    <w:rsid w:val="44B6157B"/>
    <w:rsid w:val="44B62C45"/>
    <w:rsid w:val="44B951CC"/>
    <w:rsid w:val="44C573B6"/>
    <w:rsid w:val="44CD14E0"/>
    <w:rsid w:val="44CF23CF"/>
    <w:rsid w:val="44D60C12"/>
    <w:rsid w:val="44D928EC"/>
    <w:rsid w:val="44E57685"/>
    <w:rsid w:val="44E65F41"/>
    <w:rsid w:val="44EC2DBF"/>
    <w:rsid w:val="44EC4531"/>
    <w:rsid w:val="44F02B77"/>
    <w:rsid w:val="44F20B0B"/>
    <w:rsid w:val="44F91D32"/>
    <w:rsid w:val="44F97887"/>
    <w:rsid w:val="44FC0068"/>
    <w:rsid w:val="450828EC"/>
    <w:rsid w:val="45086A21"/>
    <w:rsid w:val="450E5498"/>
    <w:rsid w:val="451508BD"/>
    <w:rsid w:val="451A0E52"/>
    <w:rsid w:val="451E038D"/>
    <w:rsid w:val="452A22D2"/>
    <w:rsid w:val="452C5A49"/>
    <w:rsid w:val="452E1696"/>
    <w:rsid w:val="452E5F4C"/>
    <w:rsid w:val="45363A87"/>
    <w:rsid w:val="45422C9B"/>
    <w:rsid w:val="4543182E"/>
    <w:rsid w:val="454328B5"/>
    <w:rsid w:val="45462E84"/>
    <w:rsid w:val="454A4722"/>
    <w:rsid w:val="4552383D"/>
    <w:rsid w:val="45553C3D"/>
    <w:rsid w:val="45581E4B"/>
    <w:rsid w:val="45612018"/>
    <w:rsid w:val="45635EE9"/>
    <w:rsid w:val="456450B8"/>
    <w:rsid w:val="456F1FC2"/>
    <w:rsid w:val="456F23DB"/>
    <w:rsid w:val="457111F2"/>
    <w:rsid w:val="4574142D"/>
    <w:rsid w:val="457E261E"/>
    <w:rsid w:val="458946E9"/>
    <w:rsid w:val="458F0932"/>
    <w:rsid w:val="4590777A"/>
    <w:rsid w:val="45940503"/>
    <w:rsid w:val="45992FB4"/>
    <w:rsid w:val="459E05CA"/>
    <w:rsid w:val="45A007E6"/>
    <w:rsid w:val="45A47C0E"/>
    <w:rsid w:val="45A870D7"/>
    <w:rsid w:val="45A94648"/>
    <w:rsid w:val="45B21913"/>
    <w:rsid w:val="45B222C8"/>
    <w:rsid w:val="45C502A1"/>
    <w:rsid w:val="45C81D2D"/>
    <w:rsid w:val="45CC7359"/>
    <w:rsid w:val="45DC10F2"/>
    <w:rsid w:val="45DF4918"/>
    <w:rsid w:val="45E13863"/>
    <w:rsid w:val="45E83F3B"/>
    <w:rsid w:val="45EF63DD"/>
    <w:rsid w:val="46030808"/>
    <w:rsid w:val="460C3285"/>
    <w:rsid w:val="461D098F"/>
    <w:rsid w:val="461D1E37"/>
    <w:rsid w:val="461D5993"/>
    <w:rsid w:val="46200FBD"/>
    <w:rsid w:val="46206575"/>
    <w:rsid w:val="46250CEB"/>
    <w:rsid w:val="462D12C1"/>
    <w:rsid w:val="46313BA0"/>
    <w:rsid w:val="463351B6"/>
    <w:rsid w:val="4634365D"/>
    <w:rsid w:val="46386C71"/>
    <w:rsid w:val="463B20CB"/>
    <w:rsid w:val="463B406B"/>
    <w:rsid w:val="464A0752"/>
    <w:rsid w:val="464C0737"/>
    <w:rsid w:val="46511AE0"/>
    <w:rsid w:val="46555E19"/>
    <w:rsid w:val="46577FD6"/>
    <w:rsid w:val="46593427"/>
    <w:rsid w:val="465C4F43"/>
    <w:rsid w:val="465E592E"/>
    <w:rsid w:val="46623651"/>
    <w:rsid w:val="46623CEE"/>
    <w:rsid w:val="4662784A"/>
    <w:rsid w:val="4669507C"/>
    <w:rsid w:val="466B0C86"/>
    <w:rsid w:val="466B478B"/>
    <w:rsid w:val="46704FD2"/>
    <w:rsid w:val="46737DE1"/>
    <w:rsid w:val="467A1F0B"/>
    <w:rsid w:val="467D5DA6"/>
    <w:rsid w:val="46877AB8"/>
    <w:rsid w:val="468F6460"/>
    <w:rsid w:val="46A8737E"/>
    <w:rsid w:val="46A9646E"/>
    <w:rsid w:val="46AA028E"/>
    <w:rsid w:val="46AF65B4"/>
    <w:rsid w:val="46B15579"/>
    <w:rsid w:val="46BA1434"/>
    <w:rsid w:val="46BD1EED"/>
    <w:rsid w:val="46D955A7"/>
    <w:rsid w:val="46DB3E98"/>
    <w:rsid w:val="46DF533E"/>
    <w:rsid w:val="46DF5F78"/>
    <w:rsid w:val="46EB106C"/>
    <w:rsid w:val="46EE47EA"/>
    <w:rsid w:val="46EF6ABE"/>
    <w:rsid w:val="46F82969"/>
    <w:rsid w:val="4700220D"/>
    <w:rsid w:val="47017513"/>
    <w:rsid w:val="4703211D"/>
    <w:rsid w:val="47032546"/>
    <w:rsid w:val="47087853"/>
    <w:rsid w:val="470E4C34"/>
    <w:rsid w:val="470E79D1"/>
    <w:rsid w:val="471171C7"/>
    <w:rsid w:val="47133957"/>
    <w:rsid w:val="47134FE8"/>
    <w:rsid w:val="47211BA0"/>
    <w:rsid w:val="4724251D"/>
    <w:rsid w:val="47275A5D"/>
    <w:rsid w:val="472D7266"/>
    <w:rsid w:val="472F1E22"/>
    <w:rsid w:val="473614B6"/>
    <w:rsid w:val="47373ABA"/>
    <w:rsid w:val="47376F28"/>
    <w:rsid w:val="4738617F"/>
    <w:rsid w:val="473E2065"/>
    <w:rsid w:val="47411913"/>
    <w:rsid w:val="47422AD1"/>
    <w:rsid w:val="4748011B"/>
    <w:rsid w:val="47526AA6"/>
    <w:rsid w:val="47533695"/>
    <w:rsid w:val="47570AD9"/>
    <w:rsid w:val="4757706A"/>
    <w:rsid w:val="47664F1C"/>
    <w:rsid w:val="47774857"/>
    <w:rsid w:val="4778083C"/>
    <w:rsid w:val="477851A4"/>
    <w:rsid w:val="477E5A0D"/>
    <w:rsid w:val="477E5D3B"/>
    <w:rsid w:val="47841A42"/>
    <w:rsid w:val="478B23DE"/>
    <w:rsid w:val="47947ED7"/>
    <w:rsid w:val="47977F99"/>
    <w:rsid w:val="4799781B"/>
    <w:rsid w:val="479F77AE"/>
    <w:rsid w:val="47A07E0C"/>
    <w:rsid w:val="47A72344"/>
    <w:rsid w:val="47AB54F0"/>
    <w:rsid w:val="47C353C3"/>
    <w:rsid w:val="47CF339A"/>
    <w:rsid w:val="47D02FB4"/>
    <w:rsid w:val="47D97FDF"/>
    <w:rsid w:val="47DA2F34"/>
    <w:rsid w:val="47DD44D1"/>
    <w:rsid w:val="47E4435F"/>
    <w:rsid w:val="47E5100D"/>
    <w:rsid w:val="47E65384"/>
    <w:rsid w:val="47EC1D01"/>
    <w:rsid w:val="47F05F6A"/>
    <w:rsid w:val="47FA0C9E"/>
    <w:rsid w:val="47FB7F56"/>
    <w:rsid w:val="47FE35A2"/>
    <w:rsid w:val="48006E83"/>
    <w:rsid w:val="480225ED"/>
    <w:rsid w:val="480F0D85"/>
    <w:rsid w:val="48164D90"/>
    <w:rsid w:val="48197BCA"/>
    <w:rsid w:val="481E1E96"/>
    <w:rsid w:val="482458FC"/>
    <w:rsid w:val="482C6361"/>
    <w:rsid w:val="482D7338"/>
    <w:rsid w:val="482E032B"/>
    <w:rsid w:val="48435459"/>
    <w:rsid w:val="484F1305"/>
    <w:rsid w:val="485052AE"/>
    <w:rsid w:val="485338EE"/>
    <w:rsid w:val="48590782"/>
    <w:rsid w:val="485C0410"/>
    <w:rsid w:val="486E45C4"/>
    <w:rsid w:val="4870272E"/>
    <w:rsid w:val="487A4C53"/>
    <w:rsid w:val="48874506"/>
    <w:rsid w:val="48893532"/>
    <w:rsid w:val="489109A7"/>
    <w:rsid w:val="48A3720D"/>
    <w:rsid w:val="48A51F83"/>
    <w:rsid w:val="48A57EC2"/>
    <w:rsid w:val="48A979B2"/>
    <w:rsid w:val="48AB464E"/>
    <w:rsid w:val="48BE4914"/>
    <w:rsid w:val="48C12F4D"/>
    <w:rsid w:val="48C55C29"/>
    <w:rsid w:val="48D11FAA"/>
    <w:rsid w:val="48D915E8"/>
    <w:rsid w:val="48E72288"/>
    <w:rsid w:val="48E916E9"/>
    <w:rsid w:val="48EA3DC4"/>
    <w:rsid w:val="48F74BC1"/>
    <w:rsid w:val="490050F8"/>
    <w:rsid w:val="49012CE1"/>
    <w:rsid w:val="4907292A"/>
    <w:rsid w:val="49086FE6"/>
    <w:rsid w:val="490966A2"/>
    <w:rsid w:val="49172B6D"/>
    <w:rsid w:val="492019B5"/>
    <w:rsid w:val="4921356B"/>
    <w:rsid w:val="49276A1D"/>
    <w:rsid w:val="492E6109"/>
    <w:rsid w:val="492F2E15"/>
    <w:rsid w:val="49323B97"/>
    <w:rsid w:val="49362A5E"/>
    <w:rsid w:val="4949469F"/>
    <w:rsid w:val="494F67AB"/>
    <w:rsid w:val="49507E46"/>
    <w:rsid w:val="49552025"/>
    <w:rsid w:val="4957691F"/>
    <w:rsid w:val="49617148"/>
    <w:rsid w:val="496338C1"/>
    <w:rsid w:val="49640164"/>
    <w:rsid w:val="49730777"/>
    <w:rsid w:val="49782504"/>
    <w:rsid w:val="49855392"/>
    <w:rsid w:val="498701CE"/>
    <w:rsid w:val="498C77DF"/>
    <w:rsid w:val="498D1D8D"/>
    <w:rsid w:val="499B6CB4"/>
    <w:rsid w:val="49A131D2"/>
    <w:rsid w:val="49A308A5"/>
    <w:rsid w:val="49AA39E1"/>
    <w:rsid w:val="49B22896"/>
    <w:rsid w:val="49B47147"/>
    <w:rsid w:val="49B50549"/>
    <w:rsid w:val="49B52386"/>
    <w:rsid w:val="49BD07A3"/>
    <w:rsid w:val="49C50680"/>
    <w:rsid w:val="49C73E01"/>
    <w:rsid w:val="49C8030C"/>
    <w:rsid w:val="49C825AC"/>
    <w:rsid w:val="49C857D0"/>
    <w:rsid w:val="49CB336D"/>
    <w:rsid w:val="49CB6D11"/>
    <w:rsid w:val="49CE10C5"/>
    <w:rsid w:val="49CE7686"/>
    <w:rsid w:val="49D7016C"/>
    <w:rsid w:val="49DB49DA"/>
    <w:rsid w:val="49DC7715"/>
    <w:rsid w:val="49DD1A3F"/>
    <w:rsid w:val="49DE510E"/>
    <w:rsid w:val="49DF11B1"/>
    <w:rsid w:val="49E46351"/>
    <w:rsid w:val="49E8355F"/>
    <w:rsid w:val="49EB1F92"/>
    <w:rsid w:val="49EF748D"/>
    <w:rsid w:val="49F23EEB"/>
    <w:rsid w:val="49F35390"/>
    <w:rsid w:val="49F9169C"/>
    <w:rsid w:val="49F96717"/>
    <w:rsid w:val="49FB248F"/>
    <w:rsid w:val="49FF318B"/>
    <w:rsid w:val="4A023139"/>
    <w:rsid w:val="4A031344"/>
    <w:rsid w:val="4A0350A7"/>
    <w:rsid w:val="4A061299"/>
    <w:rsid w:val="4A0B78CC"/>
    <w:rsid w:val="4A0D5D1E"/>
    <w:rsid w:val="4A0F7CE8"/>
    <w:rsid w:val="4A111CB3"/>
    <w:rsid w:val="4A180EEE"/>
    <w:rsid w:val="4A1832F4"/>
    <w:rsid w:val="4A1D5FC4"/>
    <w:rsid w:val="4A272834"/>
    <w:rsid w:val="4A275968"/>
    <w:rsid w:val="4A2977F2"/>
    <w:rsid w:val="4A2A68D0"/>
    <w:rsid w:val="4A2B1588"/>
    <w:rsid w:val="4A2F3EE7"/>
    <w:rsid w:val="4A352241"/>
    <w:rsid w:val="4A396B13"/>
    <w:rsid w:val="4A3A7F71"/>
    <w:rsid w:val="4A3D2AA8"/>
    <w:rsid w:val="4A4221ED"/>
    <w:rsid w:val="4A461D43"/>
    <w:rsid w:val="4A4B61BB"/>
    <w:rsid w:val="4A4C02A6"/>
    <w:rsid w:val="4A4E6A63"/>
    <w:rsid w:val="4A511C92"/>
    <w:rsid w:val="4A52737E"/>
    <w:rsid w:val="4A680C2A"/>
    <w:rsid w:val="4A722025"/>
    <w:rsid w:val="4A7B576F"/>
    <w:rsid w:val="4A914380"/>
    <w:rsid w:val="4A985F30"/>
    <w:rsid w:val="4A9D453A"/>
    <w:rsid w:val="4A9D7AFB"/>
    <w:rsid w:val="4A9F106C"/>
    <w:rsid w:val="4AB96B3E"/>
    <w:rsid w:val="4ABB39CC"/>
    <w:rsid w:val="4AC27530"/>
    <w:rsid w:val="4AC60B3E"/>
    <w:rsid w:val="4AC7114E"/>
    <w:rsid w:val="4AC7411F"/>
    <w:rsid w:val="4ACF6446"/>
    <w:rsid w:val="4AD37A76"/>
    <w:rsid w:val="4AD44459"/>
    <w:rsid w:val="4ADA0A37"/>
    <w:rsid w:val="4AE07FC5"/>
    <w:rsid w:val="4AF22DE6"/>
    <w:rsid w:val="4AF307A8"/>
    <w:rsid w:val="4AF561A9"/>
    <w:rsid w:val="4AF71A7A"/>
    <w:rsid w:val="4AFC0B89"/>
    <w:rsid w:val="4AFD3015"/>
    <w:rsid w:val="4AFF5FAF"/>
    <w:rsid w:val="4B014447"/>
    <w:rsid w:val="4B016D6B"/>
    <w:rsid w:val="4B1437BE"/>
    <w:rsid w:val="4B1E2548"/>
    <w:rsid w:val="4B277D53"/>
    <w:rsid w:val="4B28581B"/>
    <w:rsid w:val="4B2F2D92"/>
    <w:rsid w:val="4B342BB8"/>
    <w:rsid w:val="4B3C2864"/>
    <w:rsid w:val="4B3F61A6"/>
    <w:rsid w:val="4B453473"/>
    <w:rsid w:val="4B4E5D5E"/>
    <w:rsid w:val="4B4E6AF2"/>
    <w:rsid w:val="4B502367"/>
    <w:rsid w:val="4B525424"/>
    <w:rsid w:val="4B531E57"/>
    <w:rsid w:val="4B580AC3"/>
    <w:rsid w:val="4B652037"/>
    <w:rsid w:val="4B667A4F"/>
    <w:rsid w:val="4B6E61CE"/>
    <w:rsid w:val="4B701AE5"/>
    <w:rsid w:val="4B736055"/>
    <w:rsid w:val="4B786581"/>
    <w:rsid w:val="4B7B4139"/>
    <w:rsid w:val="4B7C7600"/>
    <w:rsid w:val="4B8006FE"/>
    <w:rsid w:val="4B814C16"/>
    <w:rsid w:val="4B866C9A"/>
    <w:rsid w:val="4B9E6FFB"/>
    <w:rsid w:val="4BAF792D"/>
    <w:rsid w:val="4BB026F2"/>
    <w:rsid w:val="4BB71BAD"/>
    <w:rsid w:val="4BB72EA9"/>
    <w:rsid w:val="4BB83F82"/>
    <w:rsid w:val="4BB870CF"/>
    <w:rsid w:val="4BC40B96"/>
    <w:rsid w:val="4BCC050A"/>
    <w:rsid w:val="4BCD1D9E"/>
    <w:rsid w:val="4BD161E2"/>
    <w:rsid w:val="4BD443A8"/>
    <w:rsid w:val="4BD81AAA"/>
    <w:rsid w:val="4BDB2578"/>
    <w:rsid w:val="4BDC71CD"/>
    <w:rsid w:val="4BE86A43"/>
    <w:rsid w:val="4BF37A2C"/>
    <w:rsid w:val="4BFB6DBC"/>
    <w:rsid w:val="4BFD34A2"/>
    <w:rsid w:val="4C072617"/>
    <w:rsid w:val="4C0A4C0B"/>
    <w:rsid w:val="4C0F50C6"/>
    <w:rsid w:val="4C135EE6"/>
    <w:rsid w:val="4C1A1D8D"/>
    <w:rsid w:val="4C1B6558"/>
    <w:rsid w:val="4C1E29CF"/>
    <w:rsid w:val="4C1F7F47"/>
    <w:rsid w:val="4C26558F"/>
    <w:rsid w:val="4C37194B"/>
    <w:rsid w:val="4C3D7E1F"/>
    <w:rsid w:val="4C480922"/>
    <w:rsid w:val="4C486B77"/>
    <w:rsid w:val="4C4A0649"/>
    <w:rsid w:val="4C4E630A"/>
    <w:rsid w:val="4C5365B2"/>
    <w:rsid w:val="4C59349D"/>
    <w:rsid w:val="4C5F3EFB"/>
    <w:rsid w:val="4C645F76"/>
    <w:rsid w:val="4C681799"/>
    <w:rsid w:val="4C6B4F7E"/>
    <w:rsid w:val="4C6D519A"/>
    <w:rsid w:val="4C6E07A5"/>
    <w:rsid w:val="4C71626B"/>
    <w:rsid w:val="4C75199E"/>
    <w:rsid w:val="4C7D212F"/>
    <w:rsid w:val="4C7E5ECA"/>
    <w:rsid w:val="4C813FDB"/>
    <w:rsid w:val="4C876AA5"/>
    <w:rsid w:val="4C885B30"/>
    <w:rsid w:val="4C945C42"/>
    <w:rsid w:val="4C963BEC"/>
    <w:rsid w:val="4C9D782D"/>
    <w:rsid w:val="4CA53F74"/>
    <w:rsid w:val="4CB4194E"/>
    <w:rsid w:val="4CB51E97"/>
    <w:rsid w:val="4CBA5628"/>
    <w:rsid w:val="4CBC68A2"/>
    <w:rsid w:val="4CBD26A5"/>
    <w:rsid w:val="4CC2715F"/>
    <w:rsid w:val="4CC92EED"/>
    <w:rsid w:val="4CDF18C0"/>
    <w:rsid w:val="4CE21AD4"/>
    <w:rsid w:val="4CEC4D57"/>
    <w:rsid w:val="4CF907DC"/>
    <w:rsid w:val="4CFA4C80"/>
    <w:rsid w:val="4CFC5627"/>
    <w:rsid w:val="4CFC748C"/>
    <w:rsid w:val="4D034085"/>
    <w:rsid w:val="4D0843B5"/>
    <w:rsid w:val="4D0E00FB"/>
    <w:rsid w:val="4D176606"/>
    <w:rsid w:val="4D197E75"/>
    <w:rsid w:val="4D1D271C"/>
    <w:rsid w:val="4D1E4B11"/>
    <w:rsid w:val="4D1F6557"/>
    <w:rsid w:val="4D216CE8"/>
    <w:rsid w:val="4D2F71E7"/>
    <w:rsid w:val="4D3A7EC5"/>
    <w:rsid w:val="4D3B2BA3"/>
    <w:rsid w:val="4D3C435D"/>
    <w:rsid w:val="4D3D7270"/>
    <w:rsid w:val="4D425AF0"/>
    <w:rsid w:val="4D43247E"/>
    <w:rsid w:val="4D444572"/>
    <w:rsid w:val="4D447C6F"/>
    <w:rsid w:val="4D455D8B"/>
    <w:rsid w:val="4D471D72"/>
    <w:rsid w:val="4D4A4D92"/>
    <w:rsid w:val="4D4F4767"/>
    <w:rsid w:val="4D5122F9"/>
    <w:rsid w:val="4D54239D"/>
    <w:rsid w:val="4D5525D0"/>
    <w:rsid w:val="4D5716EC"/>
    <w:rsid w:val="4D582A6D"/>
    <w:rsid w:val="4D5D6734"/>
    <w:rsid w:val="4D603EAE"/>
    <w:rsid w:val="4D610A86"/>
    <w:rsid w:val="4D64659D"/>
    <w:rsid w:val="4D7D3E59"/>
    <w:rsid w:val="4D805135"/>
    <w:rsid w:val="4D892D0F"/>
    <w:rsid w:val="4D8F1577"/>
    <w:rsid w:val="4DA248D1"/>
    <w:rsid w:val="4DA44BEC"/>
    <w:rsid w:val="4DA644C0"/>
    <w:rsid w:val="4DB900DD"/>
    <w:rsid w:val="4DB9034C"/>
    <w:rsid w:val="4DBA440F"/>
    <w:rsid w:val="4DBC0FDF"/>
    <w:rsid w:val="4DC137C3"/>
    <w:rsid w:val="4DC92CD7"/>
    <w:rsid w:val="4DD020B0"/>
    <w:rsid w:val="4DD54DA5"/>
    <w:rsid w:val="4DE3533E"/>
    <w:rsid w:val="4DE35AB5"/>
    <w:rsid w:val="4DE65421"/>
    <w:rsid w:val="4DE7312E"/>
    <w:rsid w:val="4DE85B26"/>
    <w:rsid w:val="4DE97778"/>
    <w:rsid w:val="4DEC4FB0"/>
    <w:rsid w:val="4DFA3796"/>
    <w:rsid w:val="4E054D44"/>
    <w:rsid w:val="4E075D8A"/>
    <w:rsid w:val="4E0F7C93"/>
    <w:rsid w:val="4E156D83"/>
    <w:rsid w:val="4E170FBF"/>
    <w:rsid w:val="4E2E45F5"/>
    <w:rsid w:val="4E344512"/>
    <w:rsid w:val="4E375A60"/>
    <w:rsid w:val="4E3C1F00"/>
    <w:rsid w:val="4E451AC7"/>
    <w:rsid w:val="4E451F2B"/>
    <w:rsid w:val="4E606D65"/>
    <w:rsid w:val="4E61189A"/>
    <w:rsid w:val="4E685C19"/>
    <w:rsid w:val="4E7F41F5"/>
    <w:rsid w:val="4E832A53"/>
    <w:rsid w:val="4E846B43"/>
    <w:rsid w:val="4E8F13F8"/>
    <w:rsid w:val="4E934EB6"/>
    <w:rsid w:val="4EA50FCD"/>
    <w:rsid w:val="4EA60C26"/>
    <w:rsid w:val="4EB41866"/>
    <w:rsid w:val="4EC00FAD"/>
    <w:rsid w:val="4ECC7F56"/>
    <w:rsid w:val="4ECF7A46"/>
    <w:rsid w:val="4ED46299"/>
    <w:rsid w:val="4ED86D5A"/>
    <w:rsid w:val="4EDB3B5F"/>
    <w:rsid w:val="4EDD0492"/>
    <w:rsid w:val="4EEA1AEB"/>
    <w:rsid w:val="4EEC05F8"/>
    <w:rsid w:val="4F096C72"/>
    <w:rsid w:val="4F0F39C4"/>
    <w:rsid w:val="4F0F406E"/>
    <w:rsid w:val="4F122F7D"/>
    <w:rsid w:val="4F1366B0"/>
    <w:rsid w:val="4F155DA1"/>
    <w:rsid w:val="4F1C556F"/>
    <w:rsid w:val="4F2204BE"/>
    <w:rsid w:val="4F3059B6"/>
    <w:rsid w:val="4F36326B"/>
    <w:rsid w:val="4F430E07"/>
    <w:rsid w:val="4F45114D"/>
    <w:rsid w:val="4F482299"/>
    <w:rsid w:val="4F4A3571"/>
    <w:rsid w:val="4F512B51"/>
    <w:rsid w:val="4F585C8E"/>
    <w:rsid w:val="4F5D5052"/>
    <w:rsid w:val="4F6D08ED"/>
    <w:rsid w:val="4F6D543E"/>
    <w:rsid w:val="4F6E54B1"/>
    <w:rsid w:val="4F757208"/>
    <w:rsid w:val="4F7A3845"/>
    <w:rsid w:val="4F7B372A"/>
    <w:rsid w:val="4F7F3F85"/>
    <w:rsid w:val="4F814DA5"/>
    <w:rsid w:val="4F8703A9"/>
    <w:rsid w:val="4F914FFB"/>
    <w:rsid w:val="4F950B0E"/>
    <w:rsid w:val="4F980780"/>
    <w:rsid w:val="4F9843DC"/>
    <w:rsid w:val="4F9B70FB"/>
    <w:rsid w:val="4F9E4A0E"/>
    <w:rsid w:val="4FA9473B"/>
    <w:rsid w:val="4FAC20D6"/>
    <w:rsid w:val="4FB059D7"/>
    <w:rsid w:val="4FB34950"/>
    <w:rsid w:val="4FB56C3C"/>
    <w:rsid w:val="4FB61066"/>
    <w:rsid w:val="4FBA06F6"/>
    <w:rsid w:val="4FBB2958"/>
    <w:rsid w:val="4FBB5330"/>
    <w:rsid w:val="4FBF626F"/>
    <w:rsid w:val="4FC23829"/>
    <w:rsid w:val="4FC62A8C"/>
    <w:rsid w:val="4FC74BC1"/>
    <w:rsid w:val="4FCB2904"/>
    <w:rsid w:val="4FDD0C1A"/>
    <w:rsid w:val="4FE04075"/>
    <w:rsid w:val="4FE20F0D"/>
    <w:rsid w:val="4FE51552"/>
    <w:rsid w:val="4FEC2623"/>
    <w:rsid w:val="4FEE54DC"/>
    <w:rsid w:val="4FF97471"/>
    <w:rsid w:val="50000D7C"/>
    <w:rsid w:val="50036373"/>
    <w:rsid w:val="50050665"/>
    <w:rsid w:val="50083210"/>
    <w:rsid w:val="50102193"/>
    <w:rsid w:val="50113443"/>
    <w:rsid w:val="501758B8"/>
    <w:rsid w:val="502D46E8"/>
    <w:rsid w:val="503A5BF0"/>
    <w:rsid w:val="50407F60"/>
    <w:rsid w:val="50486963"/>
    <w:rsid w:val="50504C4B"/>
    <w:rsid w:val="50610B72"/>
    <w:rsid w:val="5065064A"/>
    <w:rsid w:val="506748D8"/>
    <w:rsid w:val="506901BC"/>
    <w:rsid w:val="506A6C36"/>
    <w:rsid w:val="506F146D"/>
    <w:rsid w:val="50713669"/>
    <w:rsid w:val="5072229B"/>
    <w:rsid w:val="5079269B"/>
    <w:rsid w:val="5087628A"/>
    <w:rsid w:val="508807F5"/>
    <w:rsid w:val="509B3642"/>
    <w:rsid w:val="509C6E7C"/>
    <w:rsid w:val="509F5B37"/>
    <w:rsid w:val="50B91D35"/>
    <w:rsid w:val="50B937AC"/>
    <w:rsid w:val="50BB4726"/>
    <w:rsid w:val="50BD214C"/>
    <w:rsid w:val="50BD38C3"/>
    <w:rsid w:val="50BD6410"/>
    <w:rsid w:val="50C01707"/>
    <w:rsid w:val="50C55616"/>
    <w:rsid w:val="50C730CB"/>
    <w:rsid w:val="50D57252"/>
    <w:rsid w:val="50D604D9"/>
    <w:rsid w:val="50DE7E54"/>
    <w:rsid w:val="50E04A13"/>
    <w:rsid w:val="50E72459"/>
    <w:rsid w:val="50E812DD"/>
    <w:rsid w:val="50E84758"/>
    <w:rsid w:val="50EA13CB"/>
    <w:rsid w:val="50EB6E99"/>
    <w:rsid w:val="50EC6093"/>
    <w:rsid w:val="50F25151"/>
    <w:rsid w:val="50FA4E39"/>
    <w:rsid w:val="50FA5A0E"/>
    <w:rsid w:val="510D2ABC"/>
    <w:rsid w:val="510F13CA"/>
    <w:rsid w:val="5110722B"/>
    <w:rsid w:val="51284136"/>
    <w:rsid w:val="512A5408"/>
    <w:rsid w:val="512D2241"/>
    <w:rsid w:val="512F6EC2"/>
    <w:rsid w:val="513277ED"/>
    <w:rsid w:val="51333EA4"/>
    <w:rsid w:val="51385E3B"/>
    <w:rsid w:val="51390C40"/>
    <w:rsid w:val="514C2B88"/>
    <w:rsid w:val="51520A53"/>
    <w:rsid w:val="51544054"/>
    <w:rsid w:val="51547416"/>
    <w:rsid w:val="51557B61"/>
    <w:rsid w:val="515A1CDD"/>
    <w:rsid w:val="515A3EE3"/>
    <w:rsid w:val="51602E4A"/>
    <w:rsid w:val="5162104E"/>
    <w:rsid w:val="516743E0"/>
    <w:rsid w:val="51692F0C"/>
    <w:rsid w:val="516B1C47"/>
    <w:rsid w:val="5172070E"/>
    <w:rsid w:val="517A31F8"/>
    <w:rsid w:val="517C5B13"/>
    <w:rsid w:val="517F613A"/>
    <w:rsid w:val="517F6EA4"/>
    <w:rsid w:val="518212FF"/>
    <w:rsid w:val="518965D2"/>
    <w:rsid w:val="518A5DC7"/>
    <w:rsid w:val="518D6BCD"/>
    <w:rsid w:val="518E7897"/>
    <w:rsid w:val="519022FD"/>
    <w:rsid w:val="519311E6"/>
    <w:rsid w:val="519558F0"/>
    <w:rsid w:val="519803CC"/>
    <w:rsid w:val="519846C7"/>
    <w:rsid w:val="51986FD8"/>
    <w:rsid w:val="519B6306"/>
    <w:rsid w:val="519C6183"/>
    <w:rsid w:val="51A303AA"/>
    <w:rsid w:val="51AE7DE7"/>
    <w:rsid w:val="51B1799A"/>
    <w:rsid w:val="51B37244"/>
    <w:rsid w:val="51B61C99"/>
    <w:rsid w:val="51B86EB8"/>
    <w:rsid w:val="51CD5349"/>
    <w:rsid w:val="51ED1C87"/>
    <w:rsid w:val="51F11789"/>
    <w:rsid w:val="51F603D3"/>
    <w:rsid w:val="52003278"/>
    <w:rsid w:val="5204560E"/>
    <w:rsid w:val="520519D8"/>
    <w:rsid w:val="52065E75"/>
    <w:rsid w:val="52171E30"/>
    <w:rsid w:val="521E5E5F"/>
    <w:rsid w:val="52293911"/>
    <w:rsid w:val="522D34DA"/>
    <w:rsid w:val="5234392B"/>
    <w:rsid w:val="523A5B1F"/>
    <w:rsid w:val="52403A5F"/>
    <w:rsid w:val="524B1ADA"/>
    <w:rsid w:val="524C34B2"/>
    <w:rsid w:val="524D2553"/>
    <w:rsid w:val="52570CB9"/>
    <w:rsid w:val="525835BD"/>
    <w:rsid w:val="525E2C35"/>
    <w:rsid w:val="52626E2A"/>
    <w:rsid w:val="527B72D6"/>
    <w:rsid w:val="528D3EA0"/>
    <w:rsid w:val="528E2A1A"/>
    <w:rsid w:val="529175F8"/>
    <w:rsid w:val="52953EDE"/>
    <w:rsid w:val="52974808"/>
    <w:rsid w:val="52A31F39"/>
    <w:rsid w:val="52A44405"/>
    <w:rsid w:val="52A763DE"/>
    <w:rsid w:val="52A94646"/>
    <w:rsid w:val="52B70F1D"/>
    <w:rsid w:val="52B710FA"/>
    <w:rsid w:val="52B9118F"/>
    <w:rsid w:val="52BF7522"/>
    <w:rsid w:val="52C30EE5"/>
    <w:rsid w:val="52C5188C"/>
    <w:rsid w:val="52CF74ED"/>
    <w:rsid w:val="52D37DFE"/>
    <w:rsid w:val="52E014E9"/>
    <w:rsid w:val="52E564A3"/>
    <w:rsid w:val="52E628B2"/>
    <w:rsid w:val="52EF6909"/>
    <w:rsid w:val="52F14922"/>
    <w:rsid w:val="52F32E25"/>
    <w:rsid w:val="52F61A46"/>
    <w:rsid w:val="52F921CB"/>
    <w:rsid w:val="52F97788"/>
    <w:rsid w:val="52FA7468"/>
    <w:rsid w:val="53070AC1"/>
    <w:rsid w:val="53167C62"/>
    <w:rsid w:val="531A7B91"/>
    <w:rsid w:val="531B308B"/>
    <w:rsid w:val="531C45F2"/>
    <w:rsid w:val="531C7ECA"/>
    <w:rsid w:val="53234805"/>
    <w:rsid w:val="5325232B"/>
    <w:rsid w:val="533D23FD"/>
    <w:rsid w:val="53420DCF"/>
    <w:rsid w:val="534327B1"/>
    <w:rsid w:val="53482A8F"/>
    <w:rsid w:val="53530C46"/>
    <w:rsid w:val="53540C24"/>
    <w:rsid w:val="535F3A8F"/>
    <w:rsid w:val="53614FC0"/>
    <w:rsid w:val="536343E4"/>
    <w:rsid w:val="536B1667"/>
    <w:rsid w:val="537149E2"/>
    <w:rsid w:val="53742101"/>
    <w:rsid w:val="5384318A"/>
    <w:rsid w:val="53852DC9"/>
    <w:rsid w:val="538543C3"/>
    <w:rsid w:val="53875695"/>
    <w:rsid w:val="538821F4"/>
    <w:rsid w:val="539138A0"/>
    <w:rsid w:val="539B68E6"/>
    <w:rsid w:val="53A039CC"/>
    <w:rsid w:val="53A1505A"/>
    <w:rsid w:val="53A64547"/>
    <w:rsid w:val="53AB2B29"/>
    <w:rsid w:val="53AD7605"/>
    <w:rsid w:val="53AE40CE"/>
    <w:rsid w:val="53BA0481"/>
    <w:rsid w:val="53C004A6"/>
    <w:rsid w:val="53C22532"/>
    <w:rsid w:val="53C423F1"/>
    <w:rsid w:val="53D306D6"/>
    <w:rsid w:val="53D87451"/>
    <w:rsid w:val="53DD284B"/>
    <w:rsid w:val="53EA158E"/>
    <w:rsid w:val="53F53B77"/>
    <w:rsid w:val="53F87799"/>
    <w:rsid w:val="54026AE9"/>
    <w:rsid w:val="54041CA1"/>
    <w:rsid w:val="54063E08"/>
    <w:rsid w:val="54080B72"/>
    <w:rsid w:val="54095339"/>
    <w:rsid w:val="540F56CB"/>
    <w:rsid w:val="54200DD9"/>
    <w:rsid w:val="54261154"/>
    <w:rsid w:val="542C63D3"/>
    <w:rsid w:val="542E1471"/>
    <w:rsid w:val="543437E8"/>
    <w:rsid w:val="5435659E"/>
    <w:rsid w:val="54372DFC"/>
    <w:rsid w:val="5439325B"/>
    <w:rsid w:val="54497EBD"/>
    <w:rsid w:val="54515DE3"/>
    <w:rsid w:val="5455279C"/>
    <w:rsid w:val="545B6D16"/>
    <w:rsid w:val="545F5B35"/>
    <w:rsid w:val="546A5F72"/>
    <w:rsid w:val="546B1280"/>
    <w:rsid w:val="546E0BCF"/>
    <w:rsid w:val="54785A20"/>
    <w:rsid w:val="54816A6B"/>
    <w:rsid w:val="5484281F"/>
    <w:rsid w:val="548748D1"/>
    <w:rsid w:val="548C0371"/>
    <w:rsid w:val="548D0F33"/>
    <w:rsid w:val="54950C65"/>
    <w:rsid w:val="549B4952"/>
    <w:rsid w:val="54BE2A37"/>
    <w:rsid w:val="54C05A6E"/>
    <w:rsid w:val="54D648A1"/>
    <w:rsid w:val="54D85C85"/>
    <w:rsid w:val="54E51D72"/>
    <w:rsid w:val="54E65AEA"/>
    <w:rsid w:val="54ED0148"/>
    <w:rsid w:val="54F356FA"/>
    <w:rsid w:val="54F552EB"/>
    <w:rsid w:val="54F73313"/>
    <w:rsid w:val="54F80955"/>
    <w:rsid w:val="5509628E"/>
    <w:rsid w:val="550E7B69"/>
    <w:rsid w:val="551B75C5"/>
    <w:rsid w:val="55270529"/>
    <w:rsid w:val="553C2084"/>
    <w:rsid w:val="555170A7"/>
    <w:rsid w:val="55565974"/>
    <w:rsid w:val="5558425F"/>
    <w:rsid w:val="555A3C53"/>
    <w:rsid w:val="5561442F"/>
    <w:rsid w:val="55614691"/>
    <w:rsid w:val="55645FC3"/>
    <w:rsid w:val="55674E7D"/>
    <w:rsid w:val="556D1D67"/>
    <w:rsid w:val="556E620B"/>
    <w:rsid w:val="557356F5"/>
    <w:rsid w:val="557D0725"/>
    <w:rsid w:val="557E75A3"/>
    <w:rsid w:val="557F772C"/>
    <w:rsid w:val="5587107B"/>
    <w:rsid w:val="5587536D"/>
    <w:rsid w:val="558768F8"/>
    <w:rsid w:val="559307F3"/>
    <w:rsid w:val="55934A26"/>
    <w:rsid w:val="55961E7F"/>
    <w:rsid w:val="55963EF8"/>
    <w:rsid w:val="559B174B"/>
    <w:rsid w:val="559F4A1F"/>
    <w:rsid w:val="55A15447"/>
    <w:rsid w:val="55A462CF"/>
    <w:rsid w:val="55A559A5"/>
    <w:rsid w:val="55AA2FBB"/>
    <w:rsid w:val="55AB37EA"/>
    <w:rsid w:val="55B30ED9"/>
    <w:rsid w:val="55B66D97"/>
    <w:rsid w:val="55BB40D8"/>
    <w:rsid w:val="55BC3C9D"/>
    <w:rsid w:val="55C45E2B"/>
    <w:rsid w:val="55C5661D"/>
    <w:rsid w:val="55CE0CF4"/>
    <w:rsid w:val="55D13C4F"/>
    <w:rsid w:val="55DB4F23"/>
    <w:rsid w:val="55DF4A13"/>
    <w:rsid w:val="55E01E0F"/>
    <w:rsid w:val="55E9250B"/>
    <w:rsid w:val="55EC44CE"/>
    <w:rsid w:val="55F1173D"/>
    <w:rsid w:val="55F2673B"/>
    <w:rsid w:val="55FD758F"/>
    <w:rsid w:val="55FF1D1A"/>
    <w:rsid w:val="56060652"/>
    <w:rsid w:val="560B4834"/>
    <w:rsid w:val="56101815"/>
    <w:rsid w:val="56101D09"/>
    <w:rsid w:val="561323C1"/>
    <w:rsid w:val="56171238"/>
    <w:rsid w:val="56171DD2"/>
    <w:rsid w:val="561D378D"/>
    <w:rsid w:val="56283E63"/>
    <w:rsid w:val="562E7748"/>
    <w:rsid w:val="56303300"/>
    <w:rsid w:val="56392851"/>
    <w:rsid w:val="564707DB"/>
    <w:rsid w:val="5647381E"/>
    <w:rsid w:val="564D39B3"/>
    <w:rsid w:val="56521689"/>
    <w:rsid w:val="56543C6F"/>
    <w:rsid w:val="56586573"/>
    <w:rsid w:val="565C4AA8"/>
    <w:rsid w:val="566B0C68"/>
    <w:rsid w:val="56743603"/>
    <w:rsid w:val="56833B7E"/>
    <w:rsid w:val="568A1759"/>
    <w:rsid w:val="56905E67"/>
    <w:rsid w:val="5697353F"/>
    <w:rsid w:val="569849E4"/>
    <w:rsid w:val="569B1FBF"/>
    <w:rsid w:val="569E2C7A"/>
    <w:rsid w:val="56A12478"/>
    <w:rsid w:val="56A1279C"/>
    <w:rsid w:val="56B22A9C"/>
    <w:rsid w:val="56C41E5B"/>
    <w:rsid w:val="56CE5EE3"/>
    <w:rsid w:val="56DF0A43"/>
    <w:rsid w:val="56E17F19"/>
    <w:rsid w:val="56E85B49"/>
    <w:rsid w:val="56EA413E"/>
    <w:rsid w:val="56ED4736"/>
    <w:rsid w:val="56F3657C"/>
    <w:rsid w:val="56F8780F"/>
    <w:rsid w:val="570109B9"/>
    <w:rsid w:val="57044DDE"/>
    <w:rsid w:val="57062B99"/>
    <w:rsid w:val="57102AC7"/>
    <w:rsid w:val="571B7CCD"/>
    <w:rsid w:val="57361328"/>
    <w:rsid w:val="5737087F"/>
    <w:rsid w:val="573C6640"/>
    <w:rsid w:val="573D73E7"/>
    <w:rsid w:val="573F1363"/>
    <w:rsid w:val="5748004A"/>
    <w:rsid w:val="574B6BBD"/>
    <w:rsid w:val="574D1C90"/>
    <w:rsid w:val="5753390A"/>
    <w:rsid w:val="575D6941"/>
    <w:rsid w:val="575E412E"/>
    <w:rsid w:val="57671533"/>
    <w:rsid w:val="5774783B"/>
    <w:rsid w:val="577613A7"/>
    <w:rsid w:val="577830F9"/>
    <w:rsid w:val="57802FFC"/>
    <w:rsid w:val="5781413E"/>
    <w:rsid w:val="5785229F"/>
    <w:rsid w:val="5788678F"/>
    <w:rsid w:val="578D049F"/>
    <w:rsid w:val="57914433"/>
    <w:rsid w:val="57917E07"/>
    <w:rsid w:val="57A464A1"/>
    <w:rsid w:val="57AC527C"/>
    <w:rsid w:val="57B04EF5"/>
    <w:rsid w:val="57B7137C"/>
    <w:rsid w:val="57B72A76"/>
    <w:rsid w:val="57BB6E0C"/>
    <w:rsid w:val="57BD2062"/>
    <w:rsid w:val="57C3426C"/>
    <w:rsid w:val="57C40364"/>
    <w:rsid w:val="57CE1F93"/>
    <w:rsid w:val="57D165DD"/>
    <w:rsid w:val="57DA71EA"/>
    <w:rsid w:val="57DB5068"/>
    <w:rsid w:val="57DF6437"/>
    <w:rsid w:val="57E6452B"/>
    <w:rsid w:val="57E83665"/>
    <w:rsid w:val="57EF2F07"/>
    <w:rsid w:val="57F37A9D"/>
    <w:rsid w:val="57F743AB"/>
    <w:rsid w:val="57F870D9"/>
    <w:rsid w:val="57FA3D86"/>
    <w:rsid w:val="57FD7170"/>
    <w:rsid w:val="57FE5E77"/>
    <w:rsid w:val="58055C4A"/>
    <w:rsid w:val="58064856"/>
    <w:rsid w:val="58083D7C"/>
    <w:rsid w:val="5808512A"/>
    <w:rsid w:val="580F331A"/>
    <w:rsid w:val="582726A1"/>
    <w:rsid w:val="5827468E"/>
    <w:rsid w:val="58310C72"/>
    <w:rsid w:val="58353010"/>
    <w:rsid w:val="58372323"/>
    <w:rsid w:val="584274DB"/>
    <w:rsid w:val="58440F0E"/>
    <w:rsid w:val="58442AB7"/>
    <w:rsid w:val="58460DDA"/>
    <w:rsid w:val="58476D1B"/>
    <w:rsid w:val="584F0183"/>
    <w:rsid w:val="585119A0"/>
    <w:rsid w:val="58537370"/>
    <w:rsid w:val="58537AF7"/>
    <w:rsid w:val="58542F01"/>
    <w:rsid w:val="585E5D01"/>
    <w:rsid w:val="585F363B"/>
    <w:rsid w:val="586503D5"/>
    <w:rsid w:val="586B1ACF"/>
    <w:rsid w:val="58825B29"/>
    <w:rsid w:val="58862492"/>
    <w:rsid w:val="588743D1"/>
    <w:rsid w:val="5887701A"/>
    <w:rsid w:val="58880E01"/>
    <w:rsid w:val="588E389E"/>
    <w:rsid w:val="588F6515"/>
    <w:rsid w:val="58910AA0"/>
    <w:rsid w:val="5891493F"/>
    <w:rsid w:val="5892676B"/>
    <w:rsid w:val="5894149F"/>
    <w:rsid w:val="5898041F"/>
    <w:rsid w:val="58A0439D"/>
    <w:rsid w:val="58A310D0"/>
    <w:rsid w:val="58A43CF2"/>
    <w:rsid w:val="58AA6674"/>
    <w:rsid w:val="58B56106"/>
    <w:rsid w:val="58B73E7A"/>
    <w:rsid w:val="58D0221D"/>
    <w:rsid w:val="58D02E43"/>
    <w:rsid w:val="58D5034F"/>
    <w:rsid w:val="58D93361"/>
    <w:rsid w:val="58EF1411"/>
    <w:rsid w:val="58EF444D"/>
    <w:rsid w:val="58F4327E"/>
    <w:rsid w:val="58F60266"/>
    <w:rsid w:val="58F85DEC"/>
    <w:rsid w:val="58FD5888"/>
    <w:rsid w:val="590B1FC3"/>
    <w:rsid w:val="590D0510"/>
    <w:rsid w:val="59101C65"/>
    <w:rsid w:val="59231ECA"/>
    <w:rsid w:val="592F3F03"/>
    <w:rsid w:val="5931666F"/>
    <w:rsid w:val="593A085E"/>
    <w:rsid w:val="593D2262"/>
    <w:rsid w:val="59466DD2"/>
    <w:rsid w:val="5947135C"/>
    <w:rsid w:val="59486432"/>
    <w:rsid w:val="594A4899"/>
    <w:rsid w:val="59552A2D"/>
    <w:rsid w:val="595869A2"/>
    <w:rsid w:val="5963138A"/>
    <w:rsid w:val="596551E9"/>
    <w:rsid w:val="59677AF7"/>
    <w:rsid w:val="59695E10"/>
    <w:rsid w:val="59697595"/>
    <w:rsid w:val="59713324"/>
    <w:rsid w:val="597B55AD"/>
    <w:rsid w:val="597C6A1D"/>
    <w:rsid w:val="597D679B"/>
    <w:rsid w:val="59812ACC"/>
    <w:rsid w:val="59934C48"/>
    <w:rsid w:val="59A37620"/>
    <w:rsid w:val="59A72662"/>
    <w:rsid w:val="59A815C0"/>
    <w:rsid w:val="59AA17DC"/>
    <w:rsid w:val="59AE1E33"/>
    <w:rsid w:val="59AE7B20"/>
    <w:rsid w:val="59AF353F"/>
    <w:rsid w:val="59B22615"/>
    <w:rsid w:val="59B46EE2"/>
    <w:rsid w:val="59B922A4"/>
    <w:rsid w:val="59BA7EB2"/>
    <w:rsid w:val="59C0439F"/>
    <w:rsid w:val="59C04B5B"/>
    <w:rsid w:val="59C346F1"/>
    <w:rsid w:val="59D05081"/>
    <w:rsid w:val="59D33AF5"/>
    <w:rsid w:val="59D51A4A"/>
    <w:rsid w:val="59D70FAC"/>
    <w:rsid w:val="59D80DBD"/>
    <w:rsid w:val="59DA22DC"/>
    <w:rsid w:val="59E36A9C"/>
    <w:rsid w:val="59EE07F0"/>
    <w:rsid w:val="59F90EA3"/>
    <w:rsid w:val="59FB22EC"/>
    <w:rsid w:val="5A115E1B"/>
    <w:rsid w:val="5A134BEF"/>
    <w:rsid w:val="5A1530F9"/>
    <w:rsid w:val="5A17016A"/>
    <w:rsid w:val="5A1A26FE"/>
    <w:rsid w:val="5A1A276A"/>
    <w:rsid w:val="5A1C2158"/>
    <w:rsid w:val="5A203456"/>
    <w:rsid w:val="5A2055FA"/>
    <w:rsid w:val="5A2E7D17"/>
    <w:rsid w:val="5A311054"/>
    <w:rsid w:val="5A3317D1"/>
    <w:rsid w:val="5A346A04"/>
    <w:rsid w:val="5A3E1D2C"/>
    <w:rsid w:val="5A464C5F"/>
    <w:rsid w:val="5A504621"/>
    <w:rsid w:val="5A517EA9"/>
    <w:rsid w:val="5A56726E"/>
    <w:rsid w:val="5A587B93"/>
    <w:rsid w:val="5A5B6CF9"/>
    <w:rsid w:val="5A5E40F1"/>
    <w:rsid w:val="5A656A98"/>
    <w:rsid w:val="5A692118"/>
    <w:rsid w:val="5A696463"/>
    <w:rsid w:val="5A6C4CE3"/>
    <w:rsid w:val="5A720D92"/>
    <w:rsid w:val="5A7233A5"/>
    <w:rsid w:val="5A733D9F"/>
    <w:rsid w:val="5A755946"/>
    <w:rsid w:val="5A79183D"/>
    <w:rsid w:val="5A7D1249"/>
    <w:rsid w:val="5A7F3E5E"/>
    <w:rsid w:val="5A80527F"/>
    <w:rsid w:val="5A897643"/>
    <w:rsid w:val="5A910455"/>
    <w:rsid w:val="5A955FE8"/>
    <w:rsid w:val="5AA72C26"/>
    <w:rsid w:val="5AA7343E"/>
    <w:rsid w:val="5AB31E91"/>
    <w:rsid w:val="5AB71B1E"/>
    <w:rsid w:val="5AB92244"/>
    <w:rsid w:val="5AB9617F"/>
    <w:rsid w:val="5ABE2233"/>
    <w:rsid w:val="5AC329A4"/>
    <w:rsid w:val="5AC62645"/>
    <w:rsid w:val="5AC90CD9"/>
    <w:rsid w:val="5ACA3C8D"/>
    <w:rsid w:val="5ACC741C"/>
    <w:rsid w:val="5ADD173D"/>
    <w:rsid w:val="5ADE719E"/>
    <w:rsid w:val="5AE36AFF"/>
    <w:rsid w:val="5AE52718"/>
    <w:rsid w:val="5AE851B2"/>
    <w:rsid w:val="5AE91F9F"/>
    <w:rsid w:val="5AED1980"/>
    <w:rsid w:val="5AEE6ED6"/>
    <w:rsid w:val="5AF254A3"/>
    <w:rsid w:val="5AF411C1"/>
    <w:rsid w:val="5AF4605C"/>
    <w:rsid w:val="5AF63124"/>
    <w:rsid w:val="5AFA6F68"/>
    <w:rsid w:val="5B022F52"/>
    <w:rsid w:val="5B0F24DD"/>
    <w:rsid w:val="5B135E20"/>
    <w:rsid w:val="5B157129"/>
    <w:rsid w:val="5B2308F9"/>
    <w:rsid w:val="5B2F1F99"/>
    <w:rsid w:val="5B312664"/>
    <w:rsid w:val="5B3422A2"/>
    <w:rsid w:val="5B346FAD"/>
    <w:rsid w:val="5B3C4689"/>
    <w:rsid w:val="5B4041A6"/>
    <w:rsid w:val="5B456855"/>
    <w:rsid w:val="5B4A52D3"/>
    <w:rsid w:val="5B4D0F8C"/>
    <w:rsid w:val="5B4E1F26"/>
    <w:rsid w:val="5B5A2D8E"/>
    <w:rsid w:val="5B5B4DF1"/>
    <w:rsid w:val="5B6C1377"/>
    <w:rsid w:val="5B6F6839"/>
    <w:rsid w:val="5B737120"/>
    <w:rsid w:val="5B74034D"/>
    <w:rsid w:val="5B834092"/>
    <w:rsid w:val="5B903E6F"/>
    <w:rsid w:val="5B914CB9"/>
    <w:rsid w:val="5B995488"/>
    <w:rsid w:val="5B9A7362"/>
    <w:rsid w:val="5BA4601B"/>
    <w:rsid w:val="5BAD110F"/>
    <w:rsid w:val="5BB10BFF"/>
    <w:rsid w:val="5BB11AFE"/>
    <w:rsid w:val="5BB14675"/>
    <w:rsid w:val="5BB909FA"/>
    <w:rsid w:val="5BBB15C4"/>
    <w:rsid w:val="5BBF4D0E"/>
    <w:rsid w:val="5BC54DF4"/>
    <w:rsid w:val="5BCD608A"/>
    <w:rsid w:val="5BD27C0A"/>
    <w:rsid w:val="5BDA0D77"/>
    <w:rsid w:val="5BDF5D95"/>
    <w:rsid w:val="5BE578CD"/>
    <w:rsid w:val="5BE76C6E"/>
    <w:rsid w:val="5BE97CAE"/>
    <w:rsid w:val="5BEC1C38"/>
    <w:rsid w:val="5BED775E"/>
    <w:rsid w:val="5BEE4E5E"/>
    <w:rsid w:val="5BFC13EE"/>
    <w:rsid w:val="5BFE7528"/>
    <w:rsid w:val="5C014971"/>
    <w:rsid w:val="5C042999"/>
    <w:rsid w:val="5C0623F9"/>
    <w:rsid w:val="5C100807"/>
    <w:rsid w:val="5C123C82"/>
    <w:rsid w:val="5C1C0D87"/>
    <w:rsid w:val="5C1D6295"/>
    <w:rsid w:val="5C207E3A"/>
    <w:rsid w:val="5C216065"/>
    <w:rsid w:val="5C2313D1"/>
    <w:rsid w:val="5C24397E"/>
    <w:rsid w:val="5C290C97"/>
    <w:rsid w:val="5C2A07AC"/>
    <w:rsid w:val="5C303D44"/>
    <w:rsid w:val="5C3844DC"/>
    <w:rsid w:val="5C3A1938"/>
    <w:rsid w:val="5C401F83"/>
    <w:rsid w:val="5C4607C1"/>
    <w:rsid w:val="5C465CE6"/>
    <w:rsid w:val="5C475EAA"/>
    <w:rsid w:val="5C4A09A7"/>
    <w:rsid w:val="5C4A5D4C"/>
    <w:rsid w:val="5C4C6B7A"/>
    <w:rsid w:val="5C4D49C6"/>
    <w:rsid w:val="5C4E4D8B"/>
    <w:rsid w:val="5C4E7DC1"/>
    <w:rsid w:val="5C583771"/>
    <w:rsid w:val="5C593045"/>
    <w:rsid w:val="5C5B1E2C"/>
    <w:rsid w:val="5C611514"/>
    <w:rsid w:val="5C6475AA"/>
    <w:rsid w:val="5C6743AA"/>
    <w:rsid w:val="5C715DA6"/>
    <w:rsid w:val="5C725A03"/>
    <w:rsid w:val="5C7E485A"/>
    <w:rsid w:val="5CA16EBA"/>
    <w:rsid w:val="5CA45B49"/>
    <w:rsid w:val="5CA91236"/>
    <w:rsid w:val="5CAF2287"/>
    <w:rsid w:val="5CB0535B"/>
    <w:rsid w:val="5CBA0D0D"/>
    <w:rsid w:val="5CC53886"/>
    <w:rsid w:val="5CC65B7A"/>
    <w:rsid w:val="5CCF4B36"/>
    <w:rsid w:val="5CD57027"/>
    <w:rsid w:val="5CD70B8F"/>
    <w:rsid w:val="5CD735C1"/>
    <w:rsid w:val="5CD741D3"/>
    <w:rsid w:val="5CDD64C9"/>
    <w:rsid w:val="5CE052BF"/>
    <w:rsid w:val="5CE774F4"/>
    <w:rsid w:val="5CEB4A45"/>
    <w:rsid w:val="5CEE4ACE"/>
    <w:rsid w:val="5CF34971"/>
    <w:rsid w:val="5CF8460C"/>
    <w:rsid w:val="5CFA1A9B"/>
    <w:rsid w:val="5D06275B"/>
    <w:rsid w:val="5D0C1829"/>
    <w:rsid w:val="5D0D0501"/>
    <w:rsid w:val="5D0D6CB1"/>
    <w:rsid w:val="5D17287F"/>
    <w:rsid w:val="5D1911FE"/>
    <w:rsid w:val="5D1E4725"/>
    <w:rsid w:val="5D235E60"/>
    <w:rsid w:val="5D270118"/>
    <w:rsid w:val="5D3F1A0D"/>
    <w:rsid w:val="5D3F79B0"/>
    <w:rsid w:val="5D445AA3"/>
    <w:rsid w:val="5D4A1CA3"/>
    <w:rsid w:val="5D4B5084"/>
    <w:rsid w:val="5D4B7F9F"/>
    <w:rsid w:val="5D4C62D7"/>
    <w:rsid w:val="5D4E0742"/>
    <w:rsid w:val="5D4F162C"/>
    <w:rsid w:val="5D555E04"/>
    <w:rsid w:val="5D5C7BC9"/>
    <w:rsid w:val="5D71136B"/>
    <w:rsid w:val="5D71776B"/>
    <w:rsid w:val="5D7B58EC"/>
    <w:rsid w:val="5D7E321E"/>
    <w:rsid w:val="5D8113B9"/>
    <w:rsid w:val="5D925596"/>
    <w:rsid w:val="5D9541A2"/>
    <w:rsid w:val="5D9603BA"/>
    <w:rsid w:val="5D97701D"/>
    <w:rsid w:val="5D9A7EF9"/>
    <w:rsid w:val="5D9B6B7C"/>
    <w:rsid w:val="5D9D6FC5"/>
    <w:rsid w:val="5DA74DA3"/>
    <w:rsid w:val="5DAA60AF"/>
    <w:rsid w:val="5DB46BFD"/>
    <w:rsid w:val="5DB54C2C"/>
    <w:rsid w:val="5DBE3658"/>
    <w:rsid w:val="5DC664B8"/>
    <w:rsid w:val="5DC818BB"/>
    <w:rsid w:val="5DCE7B0B"/>
    <w:rsid w:val="5DD55085"/>
    <w:rsid w:val="5DD90485"/>
    <w:rsid w:val="5DDC5CDC"/>
    <w:rsid w:val="5DDE3B57"/>
    <w:rsid w:val="5DDE64A3"/>
    <w:rsid w:val="5DDF6561"/>
    <w:rsid w:val="5DFE6FEF"/>
    <w:rsid w:val="5E037100"/>
    <w:rsid w:val="5E1130B1"/>
    <w:rsid w:val="5E145476"/>
    <w:rsid w:val="5E174F66"/>
    <w:rsid w:val="5E1E4546"/>
    <w:rsid w:val="5E2467F1"/>
    <w:rsid w:val="5E2D4605"/>
    <w:rsid w:val="5E31797C"/>
    <w:rsid w:val="5E343D6A"/>
    <w:rsid w:val="5E375D2D"/>
    <w:rsid w:val="5E3B2A02"/>
    <w:rsid w:val="5E3F64CF"/>
    <w:rsid w:val="5E402DCE"/>
    <w:rsid w:val="5E420198"/>
    <w:rsid w:val="5E4C1DF4"/>
    <w:rsid w:val="5E4F66D3"/>
    <w:rsid w:val="5E5341F0"/>
    <w:rsid w:val="5E542090"/>
    <w:rsid w:val="5E5600F7"/>
    <w:rsid w:val="5E596405"/>
    <w:rsid w:val="5E5D506F"/>
    <w:rsid w:val="5E5E337D"/>
    <w:rsid w:val="5E667E6A"/>
    <w:rsid w:val="5E693A13"/>
    <w:rsid w:val="5E785A05"/>
    <w:rsid w:val="5E791B8F"/>
    <w:rsid w:val="5E8805EB"/>
    <w:rsid w:val="5E8B37F3"/>
    <w:rsid w:val="5EA11ABC"/>
    <w:rsid w:val="5EAA7148"/>
    <w:rsid w:val="5EB60261"/>
    <w:rsid w:val="5EBA15E6"/>
    <w:rsid w:val="5EBA426F"/>
    <w:rsid w:val="5EBC55EC"/>
    <w:rsid w:val="5EC16F01"/>
    <w:rsid w:val="5EC724E8"/>
    <w:rsid w:val="5ECF04DE"/>
    <w:rsid w:val="5ECF75EF"/>
    <w:rsid w:val="5ED45FB3"/>
    <w:rsid w:val="5EDD61AF"/>
    <w:rsid w:val="5EDF528B"/>
    <w:rsid w:val="5EE07E04"/>
    <w:rsid w:val="5EE24701"/>
    <w:rsid w:val="5EEA4F1C"/>
    <w:rsid w:val="5EEB48B7"/>
    <w:rsid w:val="5EF01A3F"/>
    <w:rsid w:val="5EF13A09"/>
    <w:rsid w:val="5EFA0450"/>
    <w:rsid w:val="5EFA0B0F"/>
    <w:rsid w:val="5F043D60"/>
    <w:rsid w:val="5F062D3D"/>
    <w:rsid w:val="5F0D68E3"/>
    <w:rsid w:val="5F0F2BAA"/>
    <w:rsid w:val="5F1A2B43"/>
    <w:rsid w:val="5F2027C6"/>
    <w:rsid w:val="5F225970"/>
    <w:rsid w:val="5F26484A"/>
    <w:rsid w:val="5F2662BC"/>
    <w:rsid w:val="5F2B03F9"/>
    <w:rsid w:val="5F2C2DD7"/>
    <w:rsid w:val="5F2C38D6"/>
    <w:rsid w:val="5F3223FF"/>
    <w:rsid w:val="5F327ACC"/>
    <w:rsid w:val="5F335DCF"/>
    <w:rsid w:val="5F3B0A76"/>
    <w:rsid w:val="5F3C1128"/>
    <w:rsid w:val="5F434264"/>
    <w:rsid w:val="5F493603"/>
    <w:rsid w:val="5F515A95"/>
    <w:rsid w:val="5F522027"/>
    <w:rsid w:val="5F5521EA"/>
    <w:rsid w:val="5F552A60"/>
    <w:rsid w:val="5F5A15AE"/>
    <w:rsid w:val="5F5B4C59"/>
    <w:rsid w:val="5F5F0972"/>
    <w:rsid w:val="5F5F3116"/>
    <w:rsid w:val="5F657792"/>
    <w:rsid w:val="5F6E7756"/>
    <w:rsid w:val="5F77522D"/>
    <w:rsid w:val="5F776EB5"/>
    <w:rsid w:val="5F796DB8"/>
    <w:rsid w:val="5F7B63BC"/>
    <w:rsid w:val="5F880203"/>
    <w:rsid w:val="5F8C6C68"/>
    <w:rsid w:val="5F8F74AA"/>
    <w:rsid w:val="5F9543D0"/>
    <w:rsid w:val="5F961D31"/>
    <w:rsid w:val="5F973ABD"/>
    <w:rsid w:val="5F9E4B14"/>
    <w:rsid w:val="5F9F63E4"/>
    <w:rsid w:val="5FA32F55"/>
    <w:rsid w:val="5FAE5C6F"/>
    <w:rsid w:val="5FB34B23"/>
    <w:rsid w:val="5FB837BB"/>
    <w:rsid w:val="5FB85ADB"/>
    <w:rsid w:val="5FBC5DC5"/>
    <w:rsid w:val="5FC04E02"/>
    <w:rsid w:val="5FC8231E"/>
    <w:rsid w:val="5FCA3AC6"/>
    <w:rsid w:val="5FCB425A"/>
    <w:rsid w:val="5FCE3C74"/>
    <w:rsid w:val="5FD47752"/>
    <w:rsid w:val="5FD9013C"/>
    <w:rsid w:val="5FE01C28"/>
    <w:rsid w:val="5FE10C81"/>
    <w:rsid w:val="5FE570CA"/>
    <w:rsid w:val="5FEA3FF3"/>
    <w:rsid w:val="5FED7E96"/>
    <w:rsid w:val="60024CAB"/>
    <w:rsid w:val="600960D7"/>
    <w:rsid w:val="600A5DD1"/>
    <w:rsid w:val="601427ED"/>
    <w:rsid w:val="60171DAE"/>
    <w:rsid w:val="601D06BB"/>
    <w:rsid w:val="60243EFE"/>
    <w:rsid w:val="602A71D2"/>
    <w:rsid w:val="602C0934"/>
    <w:rsid w:val="6038303C"/>
    <w:rsid w:val="604A517F"/>
    <w:rsid w:val="604F62BE"/>
    <w:rsid w:val="605024B2"/>
    <w:rsid w:val="60567FC7"/>
    <w:rsid w:val="60581792"/>
    <w:rsid w:val="60590FB1"/>
    <w:rsid w:val="605D0A48"/>
    <w:rsid w:val="605F4CDA"/>
    <w:rsid w:val="605F5AB2"/>
    <w:rsid w:val="60603BC1"/>
    <w:rsid w:val="6062696C"/>
    <w:rsid w:val="60661E16"/>
    <w:rsid w:val="60737233"/>
    <w:rsid w:val="607873E9"/>
    <w:rsid w:val="607C7302"/>
    <w:rsid w:val="6098413C"/>
    <w:rsid w:val="609B59DA"/>
    <w:rsid w:val="609D79A4"/>
    <w:rsid w:val="60A26D69"/>
    <w:rsid w:val="60AB78C8"/>
    <w:rsid w:val="60AC29E3"/>
    <w:rsid w:val="60AC7BE7"/>
    <w:rsid w:val="60BF4BE6"/>
    <w:rsid w:val="60C07CAD"/>
    <w:rsid w:val="60CB656A"/>
    <w:rsid w:val="60CC405A"/>
    <w:rsid w:val="60D158A0"/>
    <w:rsid w:val="60DB1624"/>
    <w:rsid w:val="60E70ABE"/>
    <w:rsid w:val="60E94998"/>
    <w:rsid w:val="61020F83"/>
    <w:rsid w:val="610C68D8"/>
    <w:rsid w:val="61244377"/>
    <w:rsid w:val="613610E3"/>
    <w:rsid w:val="61362161"/>
    <w:rsid w:val="613E3AF2"/>
    <w:rsid w:val="615D7134"/>
    <w:rsid w:val="61657A2D"/>
    <w:rsid w:val="616B3C58"/>
    <w:rsid w:val="616F7A26"/>
    <w:rsid w:val="617821BF"/>
    <w:rsid w:val="617F0EF3"/>
    <w:rsid w:val="617F2763"/>
    <w:rsid w:val="618344E7"/>
    <w:rsid w:val="61930DA7"/>
    <w:rsid w:val="61946FF9"/>
    <w:rsid w:val="61966C46"/>
    <w:rsid w:val="619D0CA0"/>
    <w:rsid w:val="619E3096"/>
    <w:rsid w:val="619F599E"/>
    <w:rsid w:val="61A2418B"/>
    <w:rsid w:val="61A32E4B"/>
    <w:rsid w:val="61AB7E9F"/>
    <w:rsid w:val="61B4195B"/>
    <w:rsid w:val="61B52ACC"/>
    <w:rsid w:val="61BF497D"/>
    <w:rsid w:val="61D4389A"/>
    <w:rsid w:val="61D51B4B"/>
    <w:rsid w:val="61D71D47"/>
    <w:rsid w:val="61DE366B"/>
    <w:rsid w:val="61E155AC"/>
    <w:rsid w:val="61E215D8"/>
    <w:rsid w:val="61E52235"/>
    <w:rsid w:val="61E82EA1"/>
    <w:rsid w:val="61ED4A28"/>
    <w:rsid w:val="61FA5EE6"/>
    <w:rsid w:val="61FD6BEB"/>
    <w:rsid w:val="61FE66A4"/>
    <w:rsid w:val="620317D3"/>
    <w:rsid w:val="62041A2D"/>
    <w:rsid w:val="62070849"/>
    <w:rsid w:val="620718E4"/>
    <w:rsid w:val="620720D0"/>
    <w:rsid w:val="6210563F"/>
    <w:rsid w:val="621719D8"/>
    <w:rsid w:val="621B3775"/>
    <w:rsid w:val="621B6573"/>
    <w:rsid w:val="621F30AE"/>
    <w:rsid w:val="621F3113"/>
    <w:rsid w:val="6221122B"/>
    <w:rsid w:val="622E41BA"/>
    <w:rsid w:val="622F299E"/>
    <w:rsid w:val="622F6D22"/>
    <w:rsid w:val="62364782"/>
    <w:rsid w:val="62396E5F"/>
    <w:rsid w:val="62400F9F"/>
    <w:rsid w:val="624E3552"/>
    <w:rsid w:val="62506772"/>
    <w:rsid w:val="625607BF"/>
    <w:rsid w:val="6259554E"/>
    <w:rsid w:val="625E5A11"/>
    <w:rsid w:val="625E65D6"/>
    <w:rsid w:val="62613C17"/>
    <w:rsid w:val="6263241F"/>
    <w:rsid w:val="62667C95"/>
    <w:rsid w:val="62721757"/>
    <w:rsid w:val="627525E5"/>
    <w:rsid w:val="627F1C57"/>
    <w:rsid w:val="629069CA"/>
    <w:rsid w:val="6298419F"/>
    <w:rsid w:val="6299063F"/>
    <w:rsid w:val="62A0765A"/>
    <w:rsid w:val="62A414BE"/>
    <w:rsid w:val="62A92273"/>
    <w:rsid w:val="62B30852"/>
    <w:rsid w:val="62B44030"/>
    <w:rsid w:val="62B47629"/>
    <w:rsid w:val="62B9483E"/>
    <w:rsid w:val="62C029B4"/>
    <w:rsid w:val="62D13935"/>
    <w:rsid w:val="62DB4BA9"/>
    <w:rsid w:val="62DF7B45"/>
    <w:rsid w:val="62E05EC7"/>
    <w:rsid w:val="62E278F0"/>
    <w:rsid w:val="62E40F6C"/>
    <w:rsid w:val="62E53885"/>
    <w:rsid w:val="62E623AE"/>
    <w:rsid w:val="62EB0A72"/>
    <w:rsid w:val="62EC076F"/>
    <w:rsid w:val="62ED02ED"/>
    <w:rsid w:val="62EE40B5"/>
    <w:rsid w:val="62F17B37"/>
    <w:rsid w:val="62FA1B60"/>
    <w:rsid w:val="62FD0BCE"/>
    <w:rsid w:val="62FF7D60"/>
    <w:rsid w:val="63001FEB"/>
    <w:rsid w:val="630F0D8A"/>
    <w:rsid w:val="631524FE"/>
    <w:rsid w:val="63176805"/>
    <w:rsid w:val="63193E10"/>
    <w:rsid w:val="631B156D"/>
    <w:rsid w:val="631C13E1"/>
    <w:rsid w:val="63220B4B"/>
    <w:rsid w:val="632443AD"/>
    <w:rsid w:val="63291EC9"/>
    <w:rsid w:val="632E5E74"/>
    <w:rsid w:val="63304B00"/>
    <w:rsid w:val="63327586"/>
    <w:rsid w:val="63333DE5"/>
    <w:rsid w:val="633A597E"/>
    <w:rsid w:val="633B1BC3"/>
    <w:rsid w:val="633F2F95"/>
    <w:rsid w:val="63422A85"/>
    <w:rsid w:val="634712D9"/>
    <w:rsid w:val="63471E49"/>
    <w:rsid w:val="634F4E9E"/>
    <w:rsid w:val="635307EE"/>
    <w:rsid w:val="63546F6A"/>
    <w:rsid w:val="6356367E"/>
    <w:rsid w:val="63594103"/>
    <w:rsid w:val="635E50AA"/>
    <w:rsid w:val="6368042B"/>
    <w:rsid w:val="636B513E"/>
    <w:rsid w:val="63735A12"/>
    <w:rsid w:val="6378111F"/>
    <w:rsid w:val="637B2EDF"/>
    <w:rsid w:val="637D5CA1"/>
    <w:rsid w:val="638157A9"/>
    <w:rsid w:val="63844E4C"/>
    <w:rsid w:val="63880E5E"/>
    <w:rsid w:val="6394356A"/>
    <w:rsid w:val="639B0958"/>
    <w:rsid w:val="63A27AA9"/>
    <w:rsid w:val="63AD2A2F"/>
    <w:rsid w:val="63B55005"/>
    <w:rsid w:val="63C33BC6"/>
    <w:rsid w:val="63C61B2C"/>
    <w:rsid w:val="63D25045"/>
    <w:rsid w:val="63D40BE9"/>
    <w:rsid w:val="63E06ADF"/>
    <w:rsid w:val="63E30AB6"/>
    <w:rsid w:val="63E31B72"/>
    <w:rsid w:val="63E37DC4"/>
    <w:rsid w:val="63E82410"/>
    <w:rsid w:val="63EF08D9"/>
    <w:rsid w:val="63F549A4"/>
    <w:rsid w:val="63F95A6F"/>
    <w:rsid w:val="640A22B8"/>
    <w:rsid w:val="640F1003"/>
    <w:rsid w:val="64100F23"/>
    <w:rsid w:val="64102431"/>
    <w:rsid w:val="641E6741"/>
    <w:rsid w:val="642F125B"/>
    <w:rsid w:val="64326BA0"/>
    <w:rsid w:val="643D5C89"/>
    <w:rsid w:val="643F475C"/>
    <w:rsid w:val="644A7E43"/>
    <w:rsid w:val="644B5334"/>
    <w:rsid w:val="645D57B6"/>
    <w:rsid w:val="64711BEB"/>
    <w:rsid w:val="647D7D7E"/>
    <w:rsid w:val="648770A3"/>
    <w:rsid w:val="648A5905"/>
    <w:rsid w:val="648F3AA8"/>
    <w:rsid w:val="64A2346D"/>
    <w:rsid w:val="64A5243A"/>
    <w:rsid w:val="64A713F4"/>
    <w:rsid w:val="64AD6C40"/>
    <w:rsid w:val="64B47E26"/>
    <w:rsid w:val="64B654D9"/>
    <w:rsid w:val="64B92BF6"/>
    <w:rsid w:val="64C532B8"/>
    <w:rsid w:val="64CA4AE0"/>
    <w:rsid w:val="64CC62FF"/>
    <w:rsid w:val="64CE0D28"/>
    <w:rsid w:val="64CE3286"/>
    <w:rsid w:val="64DE0538"/>
    <w:rsid w:val="64DF4A2F"/>
    <w:rsid w:val="64E33DF4"/>
    <w:rsid w:val="64F016F5"/>
    <w:rsid w:val="64F531DE"/>
    <w:rsid w:val="65077C3D"/>
    <w:rsid w:val="650B6C80"/>
    <w:rsid w:val="650E1412"/>
    <w:rsid w:val="650F7DA0"/>
    <w:rsid w:val="651A1EAC"/>
    <w:rsid w:val="65265AA2"/>
    <w:rsid w:val="652B0B12"/>
    <w:rsid w:val="652F7039"/>
    <w:rsid w:val="65322E16"/>
    <w:rsid w:val="65373578"/>
    <w:rsid w:val="653D21B0"/>
    <w:rsid w:val="653F727C"/>
    <w:rsid w:val="65493C57"/>
    <w:rsid w:val="654F4E0C"/>
    <w:rsid w:val="65511C7D"/>
    <w:rsid w:val="65544C7D"/>
    <w:rsid w:val="65586590"/>
    <w:rsid w:val="656703E2"/>
    <w:rsid w:val="65711400"/>
    <w:rsid w:val="657A5522"/>
    <w:rsid w:val="657A6506"/>
    <w:rsid w:val="657B7181"/>
    <w:rsid w:val="657D381B"/>
    <w:rsid w:val="657F1C49"/>
    <w:rsid w:val="6582360D"/>
    <w:rsid w:val="658379F1"/>
    <w:rsid w:val="6584343C"/>
    <w:rsid w:val="65867617"/>
    <w:rsid w:val="658A16B9"/>
    <w:rsid w:val="6595596B"/>
    <w:rsid w:val="659F41BF"/>
    <w:rsid w:val="65A07692"/>
    <w:rsid w:val="65A417D5"/>
    <w:rsid w:val="65A54254"/>
    <w:rsid w:val="65A73073"/>
    <w:rsid w:val="65A90B99"/>
    <w:rsid w:val="65AF1289"/>
    <w:rsid w:val="65CE525C"/>
    <w:rsid w:val="65CF7EB5"/>
    <w:rsid w:val="65D638E0"/>
    <w:rsid w:val="65DF1E7D"/>
    <w:rsid w:val="65E65247"/>
    <w:rsid w:val="65EC0855"/>
    <w:rsid w:val="65EE0471"/>
    <w:rsid w:val="65F13DA4"/>
    <w:rsid w:val="660D425B"/>
    <w:rsid w:val="6616148A"/>
    <w:rsid w:val="66171FA7"/>
    <w:rsid w:val="66180732"/>
    <w:rsid w:val="661A55F3"/>
    <w:rsid w:val="66215F90"/>
    <w:rsid w:val="662A34CA"/>
    <w:rsid w:val="6630396D"/>
    <w:rsid w:val="66374BDA"/>
    <w:rsid w:val="663E65EC"/>
    <w:rsid w:val="663E7534"/>
    <w:rsid w:val="663F505A"/>
    <w:rsid w:val="66417024"/>
    <w:rsid w:val="66544FA9"/>
    <w:rsid w:val="665A00E6"/>
    <w:rsid w:val="665B2255"/>
    <w:rsid w:val="665B6338"/>
    <w:rsid w:val="665F5F74"/>
    <w:rsid w:val="66611474"/>
    <w:rsid w:val="66650F64"/>
    <w:rsid w:val="666A657B"/>
    <w:rsid w:val="666E52D8"/>
    <w:rsid w:val="666E7A9D"/>
    <w:rsid w:val="666F41AD"/>
    <w:rsid w:val="666F593F"/>
    <w:rsid w:val="667642A9"/>
    <w:rsid w:val="66772F7A"/>
    <w:rsid w:val="66780B66"/>
    <w:rsid w:val="667F326C"/>
    <w:rsid w:val="66812ECD"/>
    <w:rsid w:val="6686111C"/>
    <w:rsid w:val="66990C0E"/>
    <w:rsid w:val="6699548E"/>
    <w:rsid w:val="669B2BD8"/>
    <w:rsid w:val="669D40E2"/>
    <w:rsid w:val="66A044A9"/>
    <w:rsid w:val="66AC1B17"/>
    <w:rsid w:val="66B41B81"/>
    <w:rsid w:val="66BA4536"/>
    <w:rsid w:val="66BA7C9F"/>
    <w:rsid w:val="66C60DE4"/>
    <w:rsid w:val="66C82E78"/>
    <w:rsid w:val="66CC2D91"/>
    <w:rsid w:val="66CC5946"/>
    <w:rsid w:val="66D751B5"/>
    <w:rsid w:val="66DC2EB3"/>
    <w:rsid w:val="66DD449A"/>
    <w:rsid w:val="66E55C01"/>
    <w:rsid w:val="66F14651"/>
    <w:rsid w:val="66F72553"/>
    <w:rsid w:val="66F77EAB"/>
    <w:rsid w:val="66FE0A44"/>
    <w:rsid w:val="67013CE1"/>
    <w:rsid w:val="67023330"/>
    <w:rsid w:val="6702498F"/>
    <w:rsid w:val="670A38BA"/>
    <w:rsid w:val="670B26B5"/>
    <w:rsid w:val="670F79FA"/>
    <w:rsid w:val="67126DA3"/>
    <w:rsid w:val="67136C12"/>
    <w:rsid w:val="67193896"/>
    <w:rsid w:val="671F124A"/>
    <w:rsid w:val="671F2706"/>
    <w:rsid w:val="671F3873"/>
    <w:rsid w:val="67224D5F"/>
    <w:rsid w:val="67230F95"/>
    <w:rsid w:val="672A1360"/>
    <w:rsid w:val="672A1521"/>
    <w:rsid w:val="672C3250"/>
    <w:rsid w:val="672E2927"/>
    <w:rsid w:val="673058C6"/>
    <w:rsid w:val="673A5A9F"/>
    <w:rsid w:val="6745285C"/>
    <w:rsid w:val="674A1F08"/>
    <w:rsid w:val="674C5E3B"/>
    <w:rsid w:val="674F144E"/>
    <w:rsid w:val="675473DA"/>
    <w:rsid w:val="675911AB"/>
    <w:rsid w:val="67627252"/>
    <w:rsid w:val="67662ACB"/>
    <w:rsid w:val="67682A88"/>
    <w:rsid w:val="676832EE"/>
    <w:rsid w:val="67696289"/>
    <w:rsid w:val="676C52F4"/>
    <w:rsid w:val="67703603"/>
    <w:rsid w:val="677A33C6"/>
    <w:rsid w:val="677B7B84"/>
    <w:rsid w:val="679C5B0A"/>
    <w:rsid w:val="67A2687C"/>
    <w:rsid w:val="67B57A09"/>
    <w:rsid w:val="67B64C01"/>
    <w:rsid w:val="67B83316"/>
    <w:rsid w:val="67BE143B"/>
    <w:rsid w:val="67BF181D"/>
    <w:rsid w:val="67C516FE"/>
    <w:rsid w:val="67C972D1"/>
    <w:rsid w:val="67CB3049"/>
    <w:rsid w:val="67DA20F1"/>
    <w:rsid w:val="67DB6498"/>
    <w:rsid w:val="67DE7C36"/>
    <w:rsid w:val="67DF4D46"/>
    <w:rsid w:val="67E40B1A"/>
    <w:rsid w:val="67E64DCA"/>
    <w:rsid w:val="67EB30ED"/>
    <w:rsid w:val="67EE1666"/>
    <w:rsid w:val="67EE4F89"/>
    <w:rsid w:val="67F83ABD"/>
    <w:rsid w:val="67F97AD9"/>
    <w:rsid w:val="67FA2D0A"/>
    <w:rsid w:val="67FB002E"/>
    <w:rsid w:val="67FE576B"/>
    <w:rsid w:val="680824B8"/>
    <w:rsid w:val="68111632"/>
    <w:rsid w:val="68112A26"/>
    <w:rsid w:val="681F15E7"/>
    <w:rsid w:val="681F6961"/>
    <w:rsid w:val="68250E60"/>
    <w:rsid w:val="682D5AB2"/>
    <w:rsid w:val="68316D28"/>
    <w:rsid w:val="68464DC5"/>
    <w:rsid w:val="684A4454"/>
    <w:rsid w:val="685E3EBD"/>
    <w:rsid w:val="686076C4"/>
    <w:rsid w:val="68610A2F"/>
    <w:rsid w:val="686771F9"/>
    <w:rsid w:val="686D3D08"/>
    <w:rsid w:val="68801EDA"/>
    <w:rsid w:val="68805514"/>
    <w:rsid w:val="688109F7"/>
    <w:rsid w:val="688151A6"/>
    <w:rsid w:val="688E0885"/>
    <w:rsid w:val="688F623A"/>
    <w:rsid w:val="689701CE"/>
    <w:rsid w:val="68A90724"/>
    <w:rsid w:val="68AD61A1"/>
    <w:rsid w:val="68B1189A"/>
    <w:rsid w:val="68B37F7B"/>
    <w:rsid w:val="68B41D2F"/>
    <w:rsid w:val="68B80636"/>
    <w:rsid w:val="68BB5441"/>
    <w:rsid w:val="68C06101"/>
    <w:rsid w:val="68CA77A4"/>
    <w:rsid w:val="68DE20DD"/>
    <w:rsid w:val="68E11F79"/>
    <w:rsid w:val="68E24AEE"/>
    <w:rsid w:val="68E51EE8"/>
    <w:rsid w:val="68E5454A"/>
    <w:rsid w:val="68E87C2B"/>
    <w:rsid w:val="68EF2D67"/>
    <w:rsid w:val="68F33F8B"/>
    <w:rsid w:val="68F4269F"/>
    <w:rsid w:val="68F42D75"/>
    <w:rsid w:val="68F4457C"/>
    <w:rsid w:val="690029E7"/>
    <w:rsid w:val="690207DE"/>
    <w:rsid w:val="691725DD"/>
    <w:rsid w:val="691B58D9"/>
    <w:rsid w:val="691E3221"/>
    <w:rsid w:val="69222494"/>
    <w:rsid w:val="69231358"/>
    <w:rsid w:val="69316BBB"/>
    <w:rsid w:val="69316E2F"/>
    <w:rsid w:val="69386A23"/>
    <w:rsid w:val="693D1D24"/>
    <w:rsid w:val="694E2071"/>
    <w:rsid w:val="6954706E"/>
    <w:rsid w:val="696077C1"/>
    <w:rsid w:val="69610C0B"/>
    <w:rsid w:val="69660B38"/>
    <w:rsid w:val="696866A8"/>
    <w:rsid w:val="696B4C40"/>
    <w:rsid w:val="69744EB2"/>
    <w:rsid w:val="69766163"/>
    <w:rsid w:val="69792F70"/>
    <w:rsid w:val="697A3B33"/>
    <w:rsid w:val="697D3F0C"/>
    <w:rsid w:val="69820094"/>
    <w:rsid w:val="6989120F"/>
    <w:rsid w:val="698B4E5C"/>
    <w:rsid w:val="69A41DA4"/>
    <w:rsid w:val="69AC0C58"/>
    <w:rsid w:val="69AE7A85"/>
    <w:rsid w:val="69C53789"/>
    <w:rsid w:val="69C543FF"/>
    <w:rsid w:val="69CC12FA"/>
    <w:rsid w:val="69CC6B46"/>
    <w:rsid w:val="69D44760"/>
    <w:rsid w:val="69DD4DCA"/>
    <w:rsid w:val="69E0538F"/>
    <w:rsid w:val="69E4743C"/>
    <w:rsid w:val="69F043E5"/>
    <w:rsid w:val="69F87E3A"/>
    <w:rsid w:val="6A002AFF"/>
    <w:rsid w:val="6A002D52"/>
    <w:rsid w:val="6A0171F6"/>
    <w:rsid w:val="6A1370E4"/>
    <w:rsid w:val="6A293B5F"/>
    <w:rsid w:val="6A38073E"/>
    <w:rsid w:val="6A3D63C5"/>
    <w:rsid w:val="6A3D6D1A"/>
    <w:rsid w:val="6A42336B"/>
    <w:rsid w:val="6A464C09"/>
    <w:rsid w:val="6A4A0059"/>
    <w:rsid w:val="6A4A44C2"/>
    <w:rsid w:val="6A505B30"/>
    <w:rsid w:val="6A520EC7"/>
    <w:rsid w:val="6A5365EF"/>
    <w:rsid w:val="6A5A2F49"/>
    <w:rsid w:val="6A5F516B"/>
    <w:rsid w:val="6A635A56"/>
    <w:rsid w:val="6A6713F1"/>
    <w:rsid w:val="6A6D03E7"/>
    <w:rsid w:val="6A815135"/>
    <w:rsid w:val="6A821001"/>
    <w:rsid w:val="6A831A08"/>
    <w:rsid w:val="6A854511"/>
    <w:rsid w:val="6A8B6AC0"/>
    <w:rsid w:val="6A8F1230"/>
    <w:rsid w:val="6A955B90"/>
    <w:rsid w:val="6AA675F4"/>
    <w:rsid w:val="6AA82B72"/>
    <w:rsid w:val="6AB26742"/>
    <w:rsid w:val="6AB53B3C"/>
    <w:rsid w:val="6ABE50E7"/>
    <w:rsid w:val="6AC20357"/>
    <w:rsid w:val="6AC42AC8"/>
    <w:rsid w:val="6ACB3360"/>
    <w:rsid w:val="6AD060A4"/>
    <w:rsid w:val="6ADB61EC"/>
    <w:rsid w:val="6AE342D7"/>
    <w:rsid w:val="6AED32D6"/>
    <w:rsid w:val="6AF51572"/>
    <w:rsid w:val="6AF60B5D"/>
    <w:rsid w:val="6AF87E20"/>
    <w:rsid w:val="6AF91C7B"/>
    <w:rsid w:val="6B032AFA"/>
    <w:rsid w:val="6B0A032C"/>
    <w:rsid w:val="6B0A5C6F"/>
    <w:rsid w:val="6B0B0CBA"/>
    <w:rsid w:val="6B0C71AC"/>
    <w:rsid w:val="6B146AB5"/>
    <w:rsid w:val="6B152326"/>
    <w:rsid w:val="6B1C1E0E"/>
    <w:rsid w:val="6B1C459A"/>
    <w:rsid w:val="6B1F47E9"/>
    <w:rsid w:val="6B230079"/>
    <w:rsid w:val="6B245E78"/>
    <w:rsid w:val="6B2B1AA0"/>
    <w:rsid w:val="6B322639"/>
    <w:rsid w:val="6B364202"/>
    <w:rsid w:val="6B3E1D84"/>
    <w:rsid w:val="6B417365"/>
    <w:rsid w:val="6B462A33"/>
    <w:rsid w:val="6B4D1AC1"/>
    <w:rsid w:val="6B5001A9"/>
    <w:rsid w:val="6B50456D"/>
    <w:rsid w:val="6B5578A2"/>
    <w:rsid w:val="6B5908AC"/>
    <w:rsid w:val="6B5A42EE"/>
    <w:rsid w:val="6B5B3B53"/>
    <w:rsid w:val="6B5E5F82"/>
    <w:rsid w:val="6B600D5D"/>
    <w:rsid w:val="6B627B44"/>
    <w:rsid w:val="6B6C2F83"/>
    <w:rsid w:val="6B797F1B"/>
    <w:rsid w:val="6B7D0AFE"/>
    <w:rsid w:val="6B827FE1"/>
    <w:rsid w:val="6B8F25DF"/>
    <w:rsid w:val="6B930322"/>
    <w:rsid w:val="6B977660"/>
    <w:rsid w:val="6B990069"/>
    <w:rsid w:val="6B9D11E6"/>
    <w:rsid w:val="6BA51DA3"/>
    <w:rsid w:val="6BA93342"/>
    <w:rsid w:val="6BAA55ED"/>
    <w:rsid w:val="6BAB3B2D"/>
    <w:rsid w:val="6BB12556"/>
    <w:rsid w:val="6BB169FA"/>
    <w:rsid w:val="6BB174E6"/>
    <w:rsid w:val="6BB34520"/>
    <w:rsid w:val="6BB67692"/>
    <w:rsid w:val="6BBB1626"/>
    <w:rsid w:val="6BC232A1"/>
    <w:rsid w:val="6BD239CF"/>
    <w:rsid w:val="6BD3322C"/>
    <w:rsid w:val="6BD350CE"/>
    <w:rsid w:val="6BD44496"/>
    <w:rsid w:val="6BD86A6C"/>
    <w:rsid w:val="6BE966F2"/>
    <w:rsid w:val="6BF0181F"/>
    <w:rsid w:val="6BF377C7"/>
    <w:rsid w:val="6BFD2FD9"/>
    <w:rsid w:val="6BFD3618"/>
    <w:rsid w:val="6C0532B1"/>
    <w:rsid w:val="6C0B61E7"/>
    <w:rsid w:val="6C0C4239"/>
    <w:rsid w:val="6C155F65"/>
    <w:rsid w:val="6C280A8C"/>
    <w:rsid w:val="6C29005D"/>
    <w:rsid w:val="6C2A4B84"/>
    <w:rsid w:val="6C2C53CF"/>
    <w:rsid w:val="6C2D5504"/>
    <w:rsid w:val="6C3F709E"/>
    <w:rsid w:val="6C467142"/>
    <w:rsid w:val="6C4A6831"/>
    <w:rsid w:val="6C4E2B8B"/>
    <w:rsid w:val="6C5B75B1"/>
    <w:rsid w:val="6C636C38"/>
    <w:rsid w:val="6C6628BD"/>
    <w:rsid w:val="6C691001"/>
    <w:rsid w:val="6C6C7807"/>
    <w:rsid w:val="6C6E6699"/>
    <w:rsid w:val="6C703EF9"/>
    <w:rsid w:val="6C757348"/>
    <w:rsid w:val="6C7B0AA5"/>
    <w:rsid w:val="6C7D7FD2"/>
    <w:rsid w:val="6C823D70"/>
    <w:rsid w:val="6C860260"/>
    <w:rsid w:val="6C8E1383"/>
    <w:rsid w:val="6C9110BB"/>
    <w:rsid w:val="6C922A82"/>
    <w:rsid w:val="6C947250"/>
    <w:rsid w:val="6C9F26C9"/>
    <w:rsid w:val="6CA43A39"/>
    <w:rsid w:val="6CBD5E76"/>
    <w:rsid w:val="6CBD6D37"/>
    <w:rsid w:val="6CC25E91"/>
    <w:rsid w:val="6CC43DE8"/>
    <w:rsid w:val="6CC50F4A"/>
    <w:rsid w:val="6CD7423E"/>
    <w:rsid w:val="6CE539B7"/>
    <w:rsid w:val="6CF44DF0"/>
    <w:rsid w:val="6CFC2298"/>
    <w:rsid w:val="6D0163AF"/>
    <w:rsid w:val="6D020337"/>
    <w:rsid w:val="6D036DE1"/>
    <w:rsid w:val="6D06067F"/>
    <w:rsid w:val="6D06071E"/>
    <w:rsid w:val="6D085B10"/>
    <w:rsid w:val="6D1014FE"/>
    <w:rsid w:val="6D1504AB"/>
    <w:rsid w:val="6D17149A"/>
    <w:rsid w:val="6D1D180E"/>
    <w:rsid w:val="6D227C85"/>
    <w:rsid w:val="6D2A25C0"/>
    <w:rsid w:val="6D2A5418"/>
    <w:rsid w:val="6D2D6865"/>
    <w:rsid w:val="6D2F407A"/>
    <w:rsid w:val="6D3431D1"/>
    <w:rsid w:val="6D372F2F"/>
    <w:rsid w:val="6D3821A2"/>
    <w:rsid w:val="6D3D6435"/>
    <w:rsid w:val="6D3E2CF3"/>
    <w:rsid w:val="6D415B41"/>
    <w:rsid w:val="6D4F08D0"/>
    <w:rsid w:val="6D5B3752"/>
    <w:rsid w:val="6D5C3508"/>
    <w:rsid w:val="6D5D2876"/>
    <w:rsid w:val="6D674333"/>
    <w:rsid w:val="6D6E56B8"/>
    <w:rsid w:val="6D702A7D"/>
    <w:rsid w:val="6D736E0F"/>
    <w:rsid w:val="6D7647B3"/>
    <w:rsid w:val="6D782D75"/>
    <w:rsid w:val="6D817557"/>
    <w:rsid w:val="6D821E3B"/>
    <w:rsid w:val="6D890FF5"/>
    <w:rsid w:val="6D8F7E69"/>
    <w:rsid w:val="6DA30E69"/>
    <w:rsid w:val="6DA6368F"/>
    <w:rsid w:val="6DAC1227"/>
    <w:rsid w:val="6DB34098"/>
    <w:rsid w:val="6DB353D5"/>
    <w:rsid w:val="6DB545B6"/>
    <w:rsid w:val="6DC17B39"/>
    <w:rsid w:val="6DC67763"/>
    <w:rsid w:val="6DCD2CD4"/>
    <w:rsid w:val="6DCE26CE"/>
    <w:rsid w:val="6DD33FC3"/>
    <w:rsid w:val="6DD84A0A"/>
    <w:rsid w:val="6DDF5493"/>
    <w:rsid w:val="6DE02FB4"/>
    <w:rsid w:val="6DE611E8"/>
    <w:rsid w:val="6E002423"/>
    <w:rsid w:val="6E054DDB"/>
    <w:rsid w:val="6E0C170B"/>
    <w:rsid w:val="6E104CE8"/>
    <w:rsid w:val="6E1128E7"/>
    <w:rsid w:val="6E115094"/>
    <w:rsid w:val="6E1B39E0"/>
    <w:rsid w:val="6E211A07"/>
    <w:rsid w:val="6E22598D"/>
    <w:rsid w:val="6E245EB2"/>
    <w:rsid w:val="6E2551EB"/>
    <w:rsid w:val="6E2F55C6"/>
    <w:rsid w:val="6E3253D7"/>
    <w:rsid w:val="6E325925"/>
    <w:rsid w:val="6E357B39"/>
    <w:rsid w:val="6E380D0C"/>
    <w:rsid w:val="6E3A7F52"/>
    <w:rsid w:val="6E3D27C7"/>
    <w:rsid w:val="6E3D33F0"/>
    <w:rsid w:val="6E3F3BA1"/>
    <w:rsid w:val="6E4266A1"/>
    <w:rsid w:val="6E446416"/>
    <w:rsid w:val="6E4678CD"/>
    <w:rsid w:val="6E4868B3"/>
    <w:rsid w:val="6E4A371F"/>
    <w:rsid w:val="6E500775"/>
    <w:rsid w:val="6E514CED"/>
    <w:rsid w:val="6E5A3B6D"/>
    <w:rsid w:val="6E5A6A6D"/>
    <w:rsid w:val="6E5B4EFA"/>
    <w:rsid w:val="6E5D25E8"/>
    <w:rsid w:val="6E601C3D"/>
    <w:rsid w:val="6E640F6D"/>
    <w:rsid w:val="6E646B5E"/>
    <w:rsid w:val="6E6A3F37"/>
    <w:rsid w:val="6E761593"/>
    <w:rsid w:val="6E7E7CA1"/>
    <w:rsid w:val="6E804E08"/>
    <w:rsid w:val="6E860357"/>
    <w:rsid w:val="6E87439F"/>
    <w:rsid w:val="6E891169"/>
    <w:rsid w:val="6E947E46"/>
    <w:rsid w:val="6E964EF7"/>
    <w:rsid w:val="6EA47AC0"/>
    <w:rsid w:val="6EA52BA2"/>
    <w:rsid w:val="6EAF7543"/>
    <w:rsid w:val="6EB02F99"/>
    <w:rsid w:val="6EB32A89"/>
    <w:rsid w:val="6EB41174"/>
    <w:rsid w:val="6EB563D5"/>
    <w:rsid w:val="6EB968C8"/>
    <w:rsid w:val="6EBE3907"/>
    <w:rsid w:val="6EC24A7A"/>
    <w:rsid w:val="6EC80EA7"/>
    <w:rsid w:val="6ECB7463"/>
    <w:rsid w:val="6ECC6B03"/>
    <w:rsid w:val="6ECE2D4F"/>
    <w:rsid w:val="6ECF3C5C"/>
    <w:rsid w:val="6ED70525"/>
    <w:rsid w:val="6ED722D3"/>
    <w:rsid w:val="6ED77B28"/>
    <w:rsid w:val="6ED87935"/>
    <w:rsid w:val="6ED92677"/>
    <w:rsid w:val="6EDB6678"/>
    <w:rsid w:val="6EE02EAE"/>
    <w:rsid w:val="6EE175F6"/>
    <w:rsid w:val="6EE45BEE"/>
    <w:rsid w:val="6EF8049C"/>
    <w:rsid w:val="6EFC3CD8"/>
    <w:rsid w:val="6F044770"/>
    <w:rsid w:val="6F103A37"/>
    <w:rsid w:val="6F176B74"/>
    <w:rsid w:val="6F1C1FDC"/>
    <w:rsid w:val="6F1C7499"/>
    <w:rsid w:val="6F1D1E36"/>
    <w:rsid w:val="6F1D79C8"/>
    <w:rsid w:val="6F225983"/>
    <w:rsid w:val="6F250B0B"/>
    <w:rsid w:val="6F262B32"/>
    <w:rsid w:val="6F2C6CEF"/>
    <w:rsid w:val="6F521B01"/>
    <w:rsid w:val="6F6231AE"/>
    <w:rsid w:val="6F6561FB"/>
    <w:rsid w:val="6F660B27"/>
    <w:rsid w:val="6F6E4190"/>
    <w:rsid w:val="6F72024E"/>
    <w:rsid w:val="6F741C1C"/>
    <w:rsid w:val="6F79567C"/>
    <w:rsid w:val="6F7D1B88"/>
    <w:rsid w:val="6F955AE3"/>
    <w:rsid w:val="6F957109"/>
    <w:rsid w:val="6F967FDD"/>
    <w:rsid w:val="6FA059FB"/>
    <w:rsid w:val="6FA104FB"/>
    <w:rsid w:val="6FA711B6"/>
    <w:rsid w:val="6FA926F7"/>
    <w:rsid w:val="6FAC39ED"/>
    <w:rsid w:val="6FB07482"/>
    <w:rsid w:val="6FB42615"/>
    <w:rsid w:val="6FB46AB9"/>
    <w:rsid w:val="6FC67295"/>
    <w:rsid w:val="6FCA008A"/>
    <w:rsid w:val="6FCB5B0A"/>
    <w:rsid w:val="6FD1780F"/>
    <w:rsid w:val="6FD27877"/>
    <w:rsid w:val="6FEC1DAE"/>
    <w:rsid w:val="6FEF4E3B"/>
    <w:rsid w:val="6FF0585F"/>
    <w:rsid w:val="6FF761F7"/>
    <w:rsid w:val="6FFC5590"/>
    <w:rsid w:val="70001CFE"/>
    <w:rsid w:val="70010967"/>
    <w:rsid w:val="70051BAB"/>
    <w:rsid w:val="700F0193"/>
    <w:rsid w:val="70113C31"/>
    <w:rsid w:val="701C7E23"/>
    <w:rsid w:val="701D28B0"/>
    <w:rsid w:val="701E6613"/>
    <w:rsid w:val="702B1403"/>
    <w:rsid w:val="70366FEF"/>
    <w:rsid w:val="703F3146"/>
    <w:rsid w:val="70402F96"/>
    <w:rsid w:val="70457015"/>
    <w:rsid w:val="70487E36"/>
    <w:rsid w:val="704A4DD1"/>
    <w:rsid w:val="704C43D3"/>
    <w:rsid w:val="704F1613"/>
    <w:rsid w:val="7050603E"/>
    <w:rsid w:val="70591269"/>
    <w:rsid w:val="70596D82"/>
    <w:rsid w:val="705A7115"/>
    <w:rsid w:val="705D4A5A"/>
    <w:rsid w:val="70614B2D"/>
    <w:rsid w:val="70626515"/>
    <w:rsid w:val="706461C9"/>
    <w:rsid w:val="706D1DD0"/>
    <w:rsid w:val="707B59DB"/>
    <w:rsid w:val="707C31C8"/>
    <w:rsid w:val="707D5372"/>
    <w:rsid w:val="7080699B"/>
    <w:rsid w:val="70844A10"/>
    <w:rsid w:val="70856B87"/>
    <w:rsid w:val="708B7892"/>
    <w:rsid w:val="708C71DE"/>
    <w:rsid w:val="70952446"/>
    <w:rsid w:val="709541F4"/>
    <w:rsid w:val="70A80670"/>
    <w:rsid w:val="70A9331A"/>
    <w:rsid w:val="70AC7790"/>
    <w:rsid w:val="70AE1FCB"/>
    <w:rsid w:val="70AF0D7E"/>
    <w:rsid w:val="70B25A9A"/>
    <w:rsid w:val="70BE28AC"/>
    <w:rsid w:val="70D02CF9"/>
    <w:rsid w:val="70D527EE"/>
    <w:rsid w:val="70D641BB"/>
    <w:rsid w:val="70D705C8"/>
    <w:rsid w:val="70D76E01"/>
    <w:rsid w:val="70DD1184"/>
    <w:rsid w:val="70E269F8"/>
    <w:rsid w:val="70E61857"/>
    <w:rsid w:val="70F203AC"/>
    <w:rsid w:val="70F51137"/>
    <w:rsid w:val="710634BE"/>
    <w:rsid w:val="71067F0D"/>
    <w:rsid w:val="710B4808"/>
    <w:rsid w:val="710B7F20"/>
    <w:rsid w:val="711E44E7"/>
    <w:rsid w:val="71223A73"/>
    <w:rsid w:val="71254302"/>
    <w:rsid w:val="712911D5"/>
    <w:rsid w:val="71436346"/>
    <w:rsid w:val="71494FDF"/>
    <w:rsid w:val="71500A63"/>
    <w:rsid w:val="715045BF"/>
    <w:rsid w:val="71505F27"/>
    <w:rsid w:val="7156374D"/>
    <w:rsid w:val="715722E5"/>
    <w:rsid w:val="715A4798"/>
    <w:rsid w:val="715B5300"/>
    <w:rsid w:val="715E4353"/>
    <w:rsid w:val="716B13F9"/>
    <w:rsid w:val="71714110"/>
    <w:rsid w:val="717577BF"/>
    <w:rsid w:val="717C3606"/>
    <w:rsid w:val="718304F0"/>
    <w:rsid w:val="718F158B"/>
    <w:rsid w:val="71914188"/>
    <w:rsid w:val="719313BB"/>
    <w:rsid w:val="719C372A"/>
    <w:rsid w:val="71A62B86"/>
    <w:rsid w:val="71B44B4E"/>
    <w:rsid w:val="71C307FC"/>
    <w:rsid w:val="71C815FF"/>
    <w:rsid w:val="71CA30A8"/>
    <w:rsid w:val="71D27F8A"/>
    <w:rsid w:val="71D64AC4"/>
    <w:rsid w:val="71DB657E"/>
    <w:rsid w:val="71DF7053"/>
    <w:rsid w:val="71E074FF"/>
    <w:rsid w:val="71E24EDD"/>
    <w:rsid w:val="71E55CDB"/>
    <w:rsid w:val="71E975D0"/>
    <w:rsid w:val="71EC2F0F"/>
    <w:rsid w:val="71ED5A6A"/>
    <w:rsid w:val="71ED7581"/>
    <w:rsid w:val="71F12BDE"/>
    <w:rsid w:val="71FF3707"/>
    <w:rsid w:val="72005FE5"/>
    <w:rsid w:val="720D7FBB"/>
    <w:rsid w:val="721C17CC"/>
    <w:rsid w:val="721E6107"/>
    <w:rsid w:val="72207836"/>
    <w:rsid w:val="72261FA8"/>
    <w:rsid w:val="722B48A7"/>
    <w:rsid w:val="72366EF7"/>
    <w:rsid w:val="723B04D8"/>
    <w:rsid w:val="723E08BB"/>
    <w:rsid w:val="7242215A"/>
    <w:rsid w:val="724B7271"/>
    <w:rsid w:val="72553024"/>
    <w:rsid w:val="72613417"/>
    <w:rsid w:val="727C14DD"/>
    <w:rsid w:val="728F2DFD"/>
    <w:rsid w:val="72935C35"/>
    <w:rsid w:val="72B73936"/>
    <w:rsid w:val="72C4106B"/>
    <w:rsid w:val="72C82FB9"/>
    <w:rsid w:val="72CC1F5C"/>
    <w:rsid w:val="72CC2B2E"/>
    <w:rsid w:val="72D670AF"/>
    <w:rsid w:val="72DA1EE8"/>
    <w:rsid w:val="72DE39B3"/>
    <w:rsid w:val="72DE55FF"/>
    <w:rsid w:val="72DF5BFA"/>
    <w:rsid w:val="72E208FB"/>
    <w:rsid w:val="72E334FD"/>
    <w:rsid w:val="72E8347E"/>
    <w:rsid w:val="72FB3AAF"/>
    <w:rsid w:val="73060E0F"/>
    <w:rsid w:val="730C3354"/>
    <w:rsid w:val="73100899"/>
    <w:rsid w:val="73122968"/>
    <w:rsid w:val="731253C6"/>
    <w:rsid w:val="731C6E4F"/>
    <w:rsid w:val="731F5D5E"/>
    <w:rsid w:val="732A69DB"/>
    <w:rsid w:val="73331484"/>
    <w:rsid w:val="73351B15"/>
    <w:rsid w:val="73366C23"/>
    <w:rsid w:val="73383726"/>
    <w:rsid w:val="733D59B1"/>
    <w:rsid w:val="7340774D"/>
    <w:rsid w:val="73412411"/>
    <w:rsid w:val="7344657D"/>
    <w:rsid w:val="734B5353"/>
    <w:rsid w:val="734C372D"/>
    <w:rsid w:val="734D2E95"/>
    <w:rsid w:val="735A1C79"/>
    <w:rsid w:val="73644352"/>
    <w:rsid w:val="73651F63"/>
    <w:rsid w:val="73680895"/>
    <w:rsid w:val="736B748E"/>
    <w:rsid w:val="736C4032"/>
    <w:rsid w:val="7370719A"/>
    <w:rsid w:val="73723496"/>
    <w:rsid w:val="73751BAB"/>
    <w:rsid w:val="737D11FC"/>
    <w:rsid w:val="738242B7"/>
    <w:rsid w:val="738467A2"/>
    <w:rsid w:val="73862CFA"/>
    <w:rsid w:val="738B03F5"/>
    <w:rsid w:val="73905147"/>
    <w:rsid w:val="739469F5"/>
    <w:rsid w:val="7396585D"/>
    <w:rsid w:val="739778BD"/>
    <w:rsid w:val="739B291F"/>
    <w:rsid w:val="739C23F3"/>
    <w:rsid w:val="739E3FFD"/>
    <w:rsid w:val="73A40BF2"/>
    <w:rsid w:val="73A6496A"/>
    <w:rsid w:val="73AB03FF"/>
    <w:rsid w:val="73AC6585"/>
    <w:rsid w:val="73B272DC"/>
    <w:rsid w:val="73B83462"/>
    <w:rsid w:val="73BC5F3C"/>
    <w:rsid w:val="73BF77DA"/>
    <w:rsid w:val="73C51AD5"/>
    <w:rsid w:val="73CA0B9B"/>
    <w:rsid w:val="73CA21DF"/>
    <w:rsid w:val="73CB51CD"/>
    <w:rsid w:val="73DB2B08"/>
    <w:rsid w:val="73DD7CA5"/>
    <w:rsid w:val="73E24D05"/>
    <w:rsid w:val="73E5502A"/>
    <w:rsid w:val="73E9224C"/>
    <w:rsid w:val="73EA4C33"/>
    <w:rsid w:val="73F14BE1"/>
    <w:rsid w:val="73F27127"/>
    <w:rsid w:val="73F85278"/>
    <w:rsid w:val="73FB4238"/>
    <w:rsid w:val="740A0C92"/>
    <w:rsid w:val="740D2C3B"/>
    <w:rsid w:val="74163E96"/>
    <w:rsid w:val="741E793C"/>
    <w:rsid w:val="7423694A"/>
    <w:rsid w:val="74393846"/>
    <w:rsid w:val="743E46A4"/>
    <w:rsid w:val="74534AF2"/>
    <w:rsid w:val="74553554"/>
    <w:rsid w:val="745E3944"/>
    <w:rsid w:val="745F4337"/>
    <w:rsid w:val="74620ED1"/>
    <w:rsid w:val="747E1633"/>
    <w:rsid w:val="747E1BAA"/>
    <w:rsid w:val="748051BB"/>
    <w:rsid w:val="748A68CD"/>
    <w:rsid w:val="748B7602"/>
    <w:rsid w:val="748D77C3"/>
    <w:rsid w:val="748E30F9"/>
    <w:rsid w:val="7492049D"/>
    <w:rsid w:val="749D2695"/>
    <w:rsid w:val="749D2A88"/>
    <w:rsid w:val="74A971C5"/>
    <w:rsid w:val="74B62D1C"/>
    <w:rsid w:val="74BC7D56"/>
    <w:rsid w:val="74C25794"/>
    <w:rsid w:val="74C40A81"/>
    <w:rsid w:val="74C42E5D"/>
    <w:rsid w:val="74C63A9A"/>
    <w:rsid w:val="74D340AD"/>
    <w:rsid w:val="74D472B5"/>
    <w:rsid w:val="74D635AE"/>
    <w:rsid w:val="74D83BF4"/>
    <w:rsid w:val="74DC3103"/>
    <w:rsid w:val="74E13C6E"/>
    <w:rsid w:val="74E43B55"/>
    <w:rsid w:val="74E6027A"/>
    <w:rsid w:val="74EB06B8"/>
    <w:rsid w:val="74EC7E2D"/>
    <w:rsid w:val="74F07093"/>
    <w:rsid w:val="74F4125F"/>
    <w:rsid w:val="74FA4F6E"/>
    <w:rsid w:val="74FC053B"/>
    <w:rsid w:val="7507726C"/>
    <w:rsid w:val="750A24AA"/>
    <w:rsid w:val="75125A45"/>
    <w:rsid w:val="75165853"/>
    <w:rsid w:val="75175B20"/>
    <w:rsid w:val="751A2E98"/>
    <w:rsid w:val="751B4EE4"/>
    <w:rsid w:val="751F5EC7"/>
    <w:rsid w:val="75235758"/>
    <w:rsid w:val="752358AA"/>
    <w:rsid w:val="752A4AE5"/>
    <w:rsid w:val="752B15CB"/>
    <w:rsid w:val="752E6EA6"/>
    <w:rsid w:val="753240FC"/>
    <w:rsid w:val="75367F1E"/>
    <w:rsid w:val="753961D2"/>
    <w:rsid w:val="7549760A"/>
    <w:rsid w:val="754E6641"/>
    <w:rsid w:val="75542A11"/>
    <w:rsid w:val="75596138"/>
    <w:rsid w:val="756306CE"/>
    <w:rsid w:val="75641AF4"/>
    <w:rsid w:val="75762032"/>
    <w:rsid w:val="757F2E02"/>
    <w:rsid w:val="75811EE1"/>
    <w:rsid w:val="758D470B"/>
    <w:rsid w:val="75945561"/>
    <w:rsid w:val="759477CF"/>
    <w:rsid w:val="75B81A9A"/>
    <w:rsid w:val="75BA734C"/>
    <w:rsid w:val="75C37A55"/>
    <w:rsid w:val="75C53271"/>
    <w:rsid w:val="75C87BAE"/>
    <w:rsid w:val="75CC3A34"/>
    <w:rsid w:val="75D06498"/>
    <w:rsid w:val="75D30FE8"/>
    <w:rsid w:val="75DB4DA2"/>
    <w:rsid w:val="75E4177A"/>
    <w:rsid w:val="75EE71F0"/>
    <w:rsid w:val="75F43C68"/>
    <w:rsid w:val="75F63B43"/>
    <w:rsid w:val="75F76367"/>
    <w:rsid w:val="75FA0295"/>
    <w:rsid w:val="75FC0792"/>
    <w:rsid w:val="75FF5700"/>
    <w:rsid w:val="760B6B14"/>
    <w:rsid w:val="760E4A86"/>
    <w:rsid w:val="761356BA"/>
    <w:rsid w:val="76243FBC"/>
    <w:rsid w:val="7625375C"/>
    <w:rsid w:val="762B640E"/>
    <w:rsid w:val="763224E5"/>
    <w:rsid w:val="7635099D"/>
    <w:rsid w:val="76395EC7"/>
    <w:rsid w:val="763E597F"/>
    <w:rsid w:val="764542F9"/>
    <w:rsid w:val="76491243"/>
    <w:rsid w:val="764B312E"/>
    <w:rsid w:val="76562678"/>
    <w:rsid w:val="76564426"/>
    <w:rsid w:val="76607443"/>
    <w:rsid w:val="766233FA"/>
    <w:rsid w:val="76686A89"/>
    <w:rsid w:val="76734614"/>
    <w:rsid w:val="768253D3"/>
    <w:rsid w:val="768744F8"/>
    <w:rsid w:val="768953BE"/>
    <w:rsid w:val="76915192"/>
    <w:rsid w:val="76975B35"/>
    <w:rsid w:val="769F7746"/>
    <w:rsid w:val="76AB3079"/>
    <w:rsid w:val="76B53F73"/>
    <w:rsid w:val="76C027A1"/>
    <w:rsid w:val="76C03B0F"/>
    <w:rsid w:val="76C165CC"/>
    <w:rsid w:val="76C818C0"/>
    <w:rsid w:val="76D4722D"/>
    <w:rsid w:val="76D812DE"/>
    <w:rsid w:val="76E11C10"/>
    <w:rsid w:val="76E175C3"/>
    <w:rsid w:val="76E40AD6"/>
    <w:rsid w:val="76E44CFC"/>
    <w:rsid w:val="76E626B5"/>
    <w:rsid w:val="76EA2457"/>
    <w:rsid w:val="76ED6663"/>
    <w:rsid w:val="76F14976"/>
    <w:rsid w:val="76F5244C"/>
    <w:rsid w:val="76F57A12"/>
    <w:rsid w:val="76F65C09"/>
    <w:rsid w:val="76FF686B"/>
    <w:rsid w:val="77067270"/>
    <w:rsid w:val="77145C59"/>
    <w:rsid w:val="77171153"/>
    <w:rsid w:val="77187289"/>
    <w:rsid w:val="771E0C52"/>
    <w:rsid w:val="771F047F"/>
    <w:rsid w:val="77243CA6"/>
    <w:rsid w:val="772938E8"/>
    <w:rsid w:val="772A5749"/>
    <w:rsid w:val="773249C2"/>
    <w:rsid w:val="77364257"/>
    <w:rsid w:val="7737274D"/>
    <w:rsid w:val="773751B7"/>
    <w:rsid w:val="773D3837"/>
    <w:rsid w:val="774622C7"/>
    <w:rsid w:val="77476464"/>
    <w:rsid w:val="774B0FD3"/>
    <w:rsid w:val="775A322D"/>
    <w:rsid w:val="775B60FB"/>
    <w:rsid w:val="775D5D94"/>
    <w:rsid w:val="775F3271"/>
    <w:rsid w:val="77664B3C"/>
    <w:rsid w:val="777232A7"/>
    <w:rsid w:val="77762421"/>
    <w:rsid w:val="778154D2"/>
    <w:rsid w:val="7782124A"/>
    <w:rsid w:val="7786326C"/>
    <w:rsid w:val="778A36AA"/>
    <w:rsid w:val="778E7F1C"/>
    <w:rsid w:val="77901BB9"/>
    <w:rsid w:val="779274AC"/>
    <w:rsid w:val="779A2A38"/>
    <w:rsid w:val="779C3250"/>
    <w:rsid w:val="779D7E32"/>
    <w:rsid w:val="77A85155"/>
    <w:rsid w:val="77AF7C75"/>
    <w:rsid w:val="77B20097"/>
    <w:rsid w:val="77B316C5"/>
    <w:rsid w:val="77B43AFA"/>
    <w:rsid w:val="77B56B1F"/>
    <w:rsid w:val="77B75398"/>
    <w:rsid w:val="77BC106D"/>
    <w:rsid w:val="77C41E54"/>
    <w:rsid w:val="77C63DCA"/>
    <w:rsid w:val="77C71351"/>
    <w:rsid w:val="77D05932"/>
    <w:rsid w:val="77D667C3"/>
    <w:rsid w:val="77E5004A"/>
    <w:rsid w:val="77EB59DA"/>
    <w:rsid w:val="77EC0C58"/>
    <w:rsid w:val="77EE5675"/>
    <w:rsid w:val="77F2017E"/>
    <w:rsid w:val="77F74C86"/>
    <w:rsid w:val="78016507"/>
    <w:rsid w:val="78016613"/>
    <w:rsid w:val="780F09F4"/>
    <w:rsid w:val="78176B71"/>
    <w:rsid w:val="781C22A1"/>
    <w:rsid w:val="782645D1"/>
    <w:rsid w:val="78281DF2"/>
    <w:rsid w:val="782A631A"/>
    <w:rsid w:val="782F4942"/>
    <w:rsid w:val="78346ABB"/>
    <w:rsid w:val="78374CF1"/>
    <w:rsid w:val="783F52AF"/>
    <w:rsid w:val="7840771E"/>
    <w:rsid w:val="78484242"/>
    <w:rsid w:val="784C3D32"/>
    <w:rsid w:val="785904E4"/>
    <w:rsid w:val="785D5F3F"/>
    <w:rsid w:val="785F1189"/>
    <w:rsid w:val="7861702E"/>
    <w:rsid w:val="786332DA"/>
    <w:rsid w:val="78676FE0"/>
    <w:rsid w:val="786F60A6"/>
    <w:rsid w:val="78751D5C"/>
    <w:rsid w:val="7879264D"/>
    <w:rsid w:val="788334CC"/>
    <w:rsid w:val="78852DA0"/>
    <w:rsid w:val="788A6B34"/>
    <w:rsid w:val="788E4B09"/>
    <w:rsid w:val="7892522B"/>
    <w:rsid w:val="789B1DDF"/>
    <w:rsid w:val="789F65F4"/>
    <w:rsid w:val="78A3591C"/>
    <w:rsid w:val="78A551F0"/>
    <w:rsid w:val="78A6311C"/>
    <w:rsid w:val="78A7034B"/>
    <w:rsid w:val="78A84CE1"/>
    <w:rsid w:val="78A90480"/>
    <w:rsid w:val="78C364A3"/>
    <w:rsid w:val="78C70B90"/>
    <w:rsid w:val="78C74FCC"/>
    <w:rsid w:val="78CC2FE3"/>
    <w:rsid w:val="78CC48CA"/>
    <w:rsid w:val="78D12489"/>
    <w:rsid w:val="78D134C5"/>
    <w:rsid w:val="78D71CD7"/>
    <w:rsid w:val="78D87374"/>
    <w:rsid w:val="78D91281"/>
    <w:rsid w:val="78DA7437"/>
    <w:rsid w:val="78E13720"/>
    <w:rsid w:val="78E73A5B"/>
    <w:rsid w:val="78F148D9"/>
    <w:rsid w:val="78F2590C"/>
    <w:rsid w:val="78F637DD"/>
    <w:rsid w:val="790603C5"/>
    <w:rsid w:val="79064249"/>
    <w:rsid w:val="79070334"/>
    <w:rsid w:val="79107A90"/>
    <w:rsid w:val="79153E83"/>
    <w:rsid w:val="792A1B99"/>
    <w:rsid w:val="792F0F5E"/>
    <w:rsid w:val="79392C41"/>
    <w:rsid w:val="793A583C"/>
    <w:rsid w:val="793B3DA7"/>
    <w:rsid w:val="794F1862"/>
    <w:rsid w:val="79500B7C"/>
    <w:rsid w:val="79532E9E"/>
    <w:rsid w:val="7955205A"/>
    <w:rsid w:val="7956297A"/>
    <w:rsid w:val="795F1EF5"/>
    <w:rsid w:val="796055BB"/>
    <w:rsid w:val="7965278D"/>
    <w:rsid w:val="79662597"/>
    <w:rsid w:val="797E075C"/>
    <w:rsid w:val="797E7C8C"/>
    <w:rsid w:val="79955265"/>
    <w:rsid w:val="7997462D"/>
    <w:rsid w:val="799A645F"/>
    <w:rsid w:val="79A3098A"/>
    <w:rsid w:val="79A74FA7"/>
    <w:rsid w:val="79A85041"/>
    <w:rsid w:val="79AA4F40"/>
    <w:rsid w:val="79B261B5"/>
    <w:rsid w:val="79B3393D"/>
    <w:rsid w:val="79B672FA"/>
    <w:rsid w:val="79B866BA"/>
    <w:rsid w:val="79C15A08"/>
    <w:rsid w:val="79C97604"/>
    <w:rsid w:val="79C97C38"/>
    <w:rsid w:val="79CF7DC2"/>
    <w:rsid w:val="79D0663B"/>
    <w:rsid w:val="79D701CC"/>
    <w:rsid w:val="79DE0D09"/>
    <w:rsid w:val="79E7016D"/>
    <w:rsid w:val="79E8176D"/>
    <w:rsid w:val="79E96470"/>
    <w:rsid w:val="79EB37FE"/>
    <w:rsid w:val="79F027BD"/>
    <w:rsid w:val="79FE7354"/>
    <w:rsid w:val="7A0353FB"/>
    <w:rsid w:val="7A0526F6"/>
    <w:rsid w:val="7A097A01"/>
    <w:rsid w:val="7A0A1B8A"/>
    <w:rsid w:val="7A0E67F8"/>
    <w:rsid w:val="7A0F5E7D"/>
    <w:rsid w:val="7A1B0C4A"/>
    <w:rsid w:val="7A32718B"/>
    <w:rsid w:val="7A364017"/>
    <w:rsid w:val="7A391CE2"/>
    <w:rsid w:val="7A3E515A"/>
    <w:rsid w:val="7A43300F"/>
    <w:rsid w:val="7A454482"/>
    <w:rsid w:val="7A486953"/>
    <w:rsid w:val="7A532901"/>
    <w:rsid w:val="7A547432"/>
    <w:rsid w:val="7A5F5873"/>
    <w:rsid w:val="7A813FB4"/>
    <w:rsid w:val="7A8265E1"/>
    <w:rsid w:val="7A8F418F"/>
    <w:rsid w:val="7A93523B"/>
    <w:rsid w:val="7A98296C"/>
    <w:rsid w:val="7AA32925"/>
    <w:rsid w:val="7AA5597C"/>
    <w:rsid w:val="7AA97E2B"/>
    <w:rsid w:val="7AAF4FE3"/>
    <w:rsid w:val="7AB005CB"/>
    <w:rsid w:val="7AB719B7"/>
    <w:rsid w:val="7AB80792"/>
    <w:rsid w:val="7AB94F83"/>
    <w:rsid w:val="7ABB0CFB"/>
    <w:rsid w:val="7ABF19FF"/>
    <w:rsid w:val="7AC2243C"/>
    <w:rsid w:val="7AC45189"/>
    <w:rsid w:val="7ACF79AA"/>
    <w:rsid w:val="7AD32690"/>
    <w:rsid w:val="7ADB429A"/>
    <w:rsid w:val="7ADC532B"/>
    <w:rsid w:val="7AE23C5E"/>
    <w:rsid w:val="7AE30BBE"/>
    <w:rsid w:val="7AE446F6"/>
    <w:rsid w:val="7AEF309B"/>
    <w:rsid w:val="7AF20D94"/>
    <w:rsid w:val="7AF67F85"/>
    <w:rsid w:val="7AF74078"/>
    <w:rsid w:val="7AFA2F14"/>
    <w:rsid w:val="7B020D35"/>
    <w:rsid w:val="7B065E07"/>
    <w:rsid w:val="7B0D2D09"/>
    <w:rsid w:val="7B114E5F"/>
    <w:rsid w:val="7B154562"/>
    <w:rsid w:val="7B1554BA"/>
    <w:rsid w:val="7B1E74DC"/>
    <w:rsid w:val="7B22780F"/>
    <w:rsid w:val="7B252480"/>
    <w:rsid w:val="7B2A6E60"/>
    <w:rsid w:val="7B32428B"/>
    <w:rsid w:val="7B3F5DCD"/>
    <w:rsid w:val="7B3F6A8D"/>
    <w:rsid w:val="7B4C4049"/>
    <w:rsid w:val="7B4F28E1"/>
    <w:rsid w:val="7B535148"/>
    <w:rsid w:val="7B545B4C"/>
    <w:rsid w:val="7B5A1E4E"/>
    <w:rsid w:val="7B5B5CC6"/>
    <w:rsid w:val="7B67097E"/>
    <w:rsid w:val="7B670E83"/>
    <w:rsid w:val="7B671185"/>
    <w:rsid w:val="7B686D42"/>
    <w:rsid w:val="7B6B5D99"/>
    <w:rsid w:val="7B6C0F1B"/>
    <w:rsid w:val="7B6C68B5"/>
    <w:rsid w:val="7B7353E1"/>
    <w:rsid w:val="7B827A6B"/>
    <w:rsid w:val="7B840C12"/>
    <w:rsid w:val="7B841746"/>
    <w:rsid w:val="7BA94FF8"/>
    <w:rsid w:val="7BAB5B05"/>
    <w:rsid w:val="7BB92998"/>
    <w:rsid w:val="7BBB6917"/>
    <w:rsid w:val="7BBF0CBF"/>
    <w:rsid w:val="7BC33662"/>
    <w:rsid w:val="7BC82D80"/>
    <w:rsid w:val="7BC906DA"/>
    <w:rsid w:val="7BCF083C"/>
    <w:rsid w:val="7BE40725"/>
    <w:rsid w:val="7BF10231"/>
    <w:rsid w:val="7BF15087"/>
    <w:rsid w:val="7BF17E37"/>
    <w:rsid w:val="7BF5648F"/>
    <w:rsid w:val="7C011B0F"/>
    <w:rsid w:val="7C051ADF"/>
    <w:rsid w:val="7C1022A4"/>
    <w:rsid w:val="7C1032C9"/>
    <w:rsid w:val="7C127041"/>
    <w:rsid w:val="7C19210A"/>
    <w:rsid w:val="7C1F7E93"/>
    <w:rsid w:val="7C2E2432"/>
    <w:rsid w:val="7C445629"/>
    <w:rsid w:val="7C4D776D"/>
    <w:rsid w:val="7C4E4095"/>
    <w:rsid w:val="7C575699"/>
    <w:rsid w:val="7C5C3201"/>
    <w:rsid w:val="7C6333F8"/>
    <w:rsid w:val="7C647FAF"/>
    <w:rsid w:val="7C681A55"/>
    <w:rsid w:val="7C686F07"/>
    <w:rsid w:val="7C6947E9"/>
    <w:rsid w:val="7C6C5AC7"/>
    <w:rsid w:val="7C6D6D57"/>
    <w:rsid w:val="7C6F1D63"/>
    <w:rsid w:val="7C75312C"/>
    <w:rsid w:val="7C765821"/>
    <w:rsid w:val="7C7C1A0E"/>
    <w:rsid w:val="7C7E46D6"/>
    <w:rsid w:val="7C7F6D9F"/>
    <w:rsid w:val="7C857813"/>
    <w:rsid w:val="7C8C0651"/>
    <w:rsid w:val="7C956644"/>
    <w:rsid w:val="7C9C7A44"/>
    <w:rsid w:val="7CBC030C"/>
    <w:rsid w:val="7CBD6955"/>
    <w:rsid w:val="7CC16371"/>
    <w:rsid w:val="7CC36118"/>
    <w:rsid w:val="7CC6544B"/>
    <w:rsid w:val="7CC82897"/>
    <w:rsid w:val="7CD00BD1"/>
    <w:rsid w:val="7CD842FE"/>
    <w:rsid w:val="7CDD019B"/>
    <w:rsid w:val="7CF36E72"/>
    <w:rsid w:val="7CF37AE5"/>
    <w:rsid w:val="7CF67165"/>
    <w:rsid w:val="7CF76C5A"/>
    <w:rsid w:val="7CFB45DB"/>
    <w:rsid w:val="7CFD7E62"/>
    <w:rsid w:val="7D002776"/>
    <w:rsid w:val="7D0239FF"/>
    <w:rsid w:val="7D110B7F"/>
    <w:rsid w:val="7D126BCC"/>
    <w:rsid w:val="7D1369F5"/>
    <w:rsid w:val="7D142945"/>
    <w:rsid w:val="7D1F7C61"/>
    <w:rsid w:val="7D20753B"/>
    <w:rsid w:val="7D21346A"/>
    <w:rsid w:val="7D455D8A"/>
    <w:rsid w:val="7D474AC8"/>
    <w:rsid w:val="7D494CE4"/>
    <w:rsid w:val="7D4B5851"/>
    <w:rsid w:val="7D4D71D7"/>
    <w:rsid w:val="7D513B99"/>
    <w:rsid w:val="7D5351B4"/>
    <w:rsid w:val="7D5733E3"/>
    <w:rsid w:val="7D575C62"/>
    <w:rsid w:val="7D580BCB"/>
    <w:rsid w:val="7D5E40CD"/>
    <w:rsid w:val="7D605B8A"/>
    <w:rsid w:val="7D6944A7"/>
    <w:rsid w:val="7D6F5B7E"/>
    <w:rsid w:val="7D7013AD"/>
    <w:rsid w:val="7D725B6B"/>
    <w:rsid w:val="7D754E12"/>
    <w:rsid w:val="7D7A4E9D"/>
    <w:rsid w:val="7D7D2DCC"/>
    <w:rsid w:val="7D871368"/>
    <w:rsid w:val="7D8958D5"/>
    <w:rsid w:val="7D8B3E13"/>
    <w:rsid w:val="7D8B4764"/>
    <w:rsid w:val="7D8C2E23"/>
    <w:rsid w:val="7D950052"/>
    <w:rsid w:val="7D962E0D"/>
    <w:rsid w:val="7D9817C8"/>
    <w:rsid w:val="7D9828E7"/>
    <w:rsid w:val="7D9E1E2F"/>
    <w:rsid w:val="7DA051DD"/>
    <w:rsid w:val="7DA136E4"/>
    <w:rsid w:val="7DA764B0"/>
    <w:rsid w:val="7DA876C2"/>
    <w:rsid w:val="7DAA32A9"/>
    <w:rsid w:val="7DB22AB0"/>
    <w:rsid w:val="7DC266CD"/>
    <w:rsid w:val="7DC94583"/>
    <w:rsid w:val="7DCD56F2"/>
    <w:rsid w:val="7DE14E65"/>
    <w:rsid w:val="7DE56200"/>
    <w:rsid w:val="7DE93D62"/>
    <w:rsid w:val="7DF05160"/>
    <w:rsid w:val="7E0458B3"/>
    <w:rsid w:val="7E0E0A34"/>
    <w:rsid w:val="7E0E55E6"/>
    <w:rsid w:val="7E150545"/>
    <w:rsid w:val="7E162E27"/>
    <w:rsid w:val="7E391B77"/>
    <w:rsid w:val="7E3C7639"/>
    <w:rsid w:val="7E423B67"/>
    <w:rsid w:val="7E434F5D"/>
    <w:rsid w:val="7E436875"/>
    <w:rsid w:val="7E4F3F2E"/>
    <w:rsid w:val="7E5141FF"/>
    <w:rsid w:val="7E525E1A"/>
    <w:rsid w:val="7E5460BF"/>
    <w:rsid w:val="7E546ADB"/>
    <w:rsid w:val="7E560734"/>
    <w:rsid w:val="7E564A2F"/>
    <w:rsid w:val="7E654979"/>
    <w:rsid w:val="7E6B54C2"/>
    <w:rsid w:val="7E781E3C"/>
    <w:rsid w:val="7E801972"/>
    <w:rsid w:val="7E886C95"/>
    <w:rsid w:val="7E8B65F9"/>
    <w:rsid w:val="7E8D6C7A"/>
    <w:rsid w:val="7E9365F5"/>
    <w:rsid w:val="7E940D94"/>
    <w:rsid w:val="7E961689"/>
    <w:rsid w:val="7EA877E8"/>
    <w:rsid w:val="7EB03276"/>
    <w:rsid w:val="7EB20667"/>
    <w:rsid w:val="7EC46972"/>
    <w:rsid w:val="7EC91CB4"/>
    <w:rsid w:val="7ED3325D"/>
    <w:rsid w:val="7ED54355"/>
    <w:rsid w:val="7EDE76AE"/>
    <w:rsid w:val="7EDF7D0C"/>
    <w:rsid w:val="7EE54599"/>
    <w:rsid w:val="7EE75A89"/>
    <w:rsid w:val="7EF40F5B"/>
    <w:rsid w:val="7EF92D98"/>
    <w:rsid w:val="7EFF6A05"/>
    <w:rsid w:val="7F001CE7"/>
    <w:rsid w:val="7F097B6C"/>
    <w:rsid w:val="7F155991"/>
    <w:rsid w:val="7F1A1C14"/>
    <w:rsid w:val="7F201A75"/>
    <w:rsid w:val="7F315A30"/>
    <w:rsid w:val="7F3217A8"/>
    <w:rsid w:val="7F363B49"/>
    <w:rsid w:val="7F3948E4"/>
    <w:rsid w:val="7F3A24B2"/>
    <w:rsid w:val="7F3C76FF"/>
    <w:rsid w:val="7F416A5F"/>
    <w:rsid w:val="7F430B04"/>
    <w:rsid w:val="7F454099"/>
    <w:rsid w:val="7F460DAF"/>
    <w:rsid w:val="7F495A42"/>
    <w:rsid w:val="7F511A6A"/>
    <w:rsid w:val="7F511C2E"/>
    <w:rsid w:val="7F5620FE"/>
    <w:rsid w:val="7F58497E"/>
    <w:rsid w:val="7F5A6881"/>
    <w:rsid w:val="7F5B0CFF"/>
    <w:rsid w:val="7F5E259D"/>
    <w:rsid w:val="7F6043E3"/>
    <w:rsid w:val="7F625BE9"/>
    <w:rsid w:val="7F662528"/>
    <w:rsid w:val="7F686108"/>
    <w:rsid w:val="7F6D01FB"/>
    <w:rsid w:val="7F716982"/>
    <w:rsid w:val="7F7C6419"/>
    <w:rsid w:val="7F7D0C75"/>
    <w:rsid w:val="7F9F7867"/>
    <w:rsid w:val="7FA02BB5"/>
    <w:rsid w:val="7FA17D82"/>
    <w:rsid w:val="7FAF4BA7"/>
    <w:rsid w:val="7FB20BCE"/>
    <w:rsid w:val="7FB41C3B"/>
    <w:rsid w:val="7FB67D2C"/>
    <w:rsid w:val="7FB82C42"/>
    <w:rsid w:val="7FBD2D20"/>
    <w:rsid w:val="7FBD77BF"/>
    <w:rsid w:val="7FC55840"/>
    <w:rsid w:val="7FC74939"/>
    <w:rsid w:val="7FD856E1"/>
    <w:rsid w:val="7FD92575"/>
    <w:rsid w:val="7FDB3BED"/>
    <w:rsid w:val="7FDD1714"/>
    <w:rsid w:val="7FE42DDA"/>
    <w:rsid w:val="7FE43F3D"/>
    <w:rsid w:val="7FE47E50"/>
    <w:rsid w:val="7FE543F4"/>
    <w:rsid w:val="7FEA3FF3"/>
    <w:rsid w:val="7FF3244D"/>
    <w:rsid w:val="7FF476D1"/>
    <w:rsid w:val="7FF90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6"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qFormat="1" w:unhideWhenUsed="0" w:uiPriority="0" w:semiHidden="0" w:name="footnote text" w:locked="1"/>
    <w:lsdException w:qFormat="1" w:unhideWhenUsed="0" w:uiPriority="99" w:semiHidden="0" w:name="annotation text"/>
    <w:lsdException w:qFormat="1" w:unhideWhenUsed="0" w:uiPriority="0" w:semiHidden="0" w:name="header"/>
    <w:lsdException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99" w:semiHidden="0" w:name="annotation reference"/>
    <w:lsdException w:unhideWhenUsed="0" w:uiPriority="0" w:semiHidden="0" w:name="line number" w:locked="1"/>
    <w:lsdException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qFormat="1" w:unhideWhenUsed="0" w:uiPriority="0" w:semiHidden="0" w:name="Body Text First Indent 2" w:locked="1"/>
    <w:lsdException w:qFormat="1" w:uiPriority="99"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qFormat="1" w:uiPriority="99" w:semiHidden="0" w:name="Body Text Indent 3" w:locked="1"/>
    <w:lsdException w:qFormat="1"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nhideWhenUsed="0" w:uiPriority="0" w:name="Document Map" w:locked="1"/>
    <w:lsdException w:qFormat="1" w:unhideWhenUsed="0" w:uiPriority="99"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qFormat="1" w:unhideWhenUsed="0" w:uiPriority="0" w:semiHidden="0" w:name="HTML Code" w:locked="1"/>
    <w:lsdException w:qFormat="1" w:unhideWhenUsed="0" w:uiPriority="0" w:semiHidden="0" w:name="HTML Definition" w:locked="1"/>
    <w:lsdException w:qFormat="1" w:unhideWhenUsed="0" w:uiPriority="0" w:semiHidden="0" w:name="HTML Keyboard" w:locked="1"/>
    <w:lsdException w:unhideWhenUsed="0" w:uiPriority="0" w:semiHidden="0" w:name="HTML Preformatted" w:locked="1"/>
    <w:lsdException w:qFormat="1"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qFormat/>
    <w:locked/>
    <w:uiPriority w:val="6"/>
    <w:pPr>
      <w:keepNext/>
      <w:widowControl/>
      <w:spacing w:line="360" w:lineRule="auto"/>
      <w:jc w:val="left"/>
      <w:outlineLvl w:val="1"/>
    </w:pPr>
    <w:rPr>
      <w:b/>
      <w:kern w:val="0"/>
      <w:sz w:val="30"/>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Note Heading"/>
    <w:basedOn w:val="1"/>
    <w:next w:val="1"/>
    <w:unhideWhenUsed/>
    <w:qFormat/>
    <w:locked/>
    <w:uiPriority w:val="99"/>
    <w:pPr>
      <w:spacing w:line="460" w:lineRule="exact"/>
      <w:ind w:firstLine="763" w:firstLineChars="200"/>
    </w:pPr>
    <w:rPr>
      <w:b/>
      <w:sz w:val="24"/>
      <w:szCs w:val="20"/>
    </w:rPr>
  </w:style>
  <w:style w:type="paragraph" w:styleId="5">
    <w:name w:val="Normal Indent"/>
    <w:basedOn w:val="1"/>
    <w:next w:val="1"/>
    <w:link w:val="34"/>
    <w:qFormat/>
    <w:locked/>
    <w:uiPriority w:val="0"/>
    <w:rPr>
      <w:sz w:val="28"/>
      <w:szCs w:val="20"/>
    </w:rPr>
  </w:style>
  <w:style w:type="paragraph" w:styleId="6">
    <w:name w:val="Document Map"/>
    <w:basedOn w:val="1"/>
    <w:semiHidden/>
    <w:qFormat/>
    <w:locked/>
    <w:uiPriority w:val="0"/>
    <w:pPr>
      <w:shd w:val="clear" w:color="auto" w:fill="000080"/>
    </w:pPr>
  </w:style>
  <w:style w:type="paragraph" w:styleId="7">
    <w:name w:val="annotation text"/>
    <w:basedOn w:val="1"/>
    <w:link w:val="35"/>
    <w:qFormat/>
    <w:uiPriority w:val="99"/>
    <w:pPr>
      <w:jc w:val="left"/>
    </w:pPr>
    <w:rPr>
      <w:kern w:val="0"/>
      <w:sz w:val="24"/>
      <w:szCs w:val="20"/>
    </w:rPr>
  </w:style>
  <w:style w:type="paragraph" w:styleId="8">
    <w:name w:val="Body Text 3"/>
    <w:basedOn w:val="1"/>
    <w:link w:val="36"/>
    <w:locked/>
    <w:uiPriority w:val="0"/>
    <w:pPr>
      <w:spacing w:after="120"/>
    </w:pPr>
    <w:rPr>
      <w:sz w:val="16"/>
      <w:szCs w:val="16"/>
    </w:rPr>
  </w:style>
  <w:style w:type="paragraph" w:styleId="9">
    <w:name w:val="Body Text"/>
    <w:basedOn w:val="1"/>
    <w:link w:val="37"/>
    <w:uiPriority w:val="0"/>
    <w:pPr>
      <w:widowControl/>
      <w:snapToGrid w:val="0"/>
      <w:spacing w:before="60" w:after="160" w:line="259" w:lineRule="auto"/>
      <w:ind w:right="113"/>
    </w:pPr>
    <w:rPr>
      <w:kern w:val="0"/>
      <w:sz w:val="18"/>
      <w:szCs w:val="20"/>
    </w:rPr>
  </w:style>
  <w:style w:type="paragraph" w:styleId="10">
    <w:name w:val="Body Text Indent"/>
    <w:basedOn w:val="1"/>
    <w:link w:val="38"/>
    <w:qFormat/>
    <w:uiPriority w:val="0"/>
    <w:pPr>
      <w:spacing w:after="120"/>
      <w:ind w:left="420" w:leftChars="200"/>
    </w:pPr>
    <w:rPr>
      <w:kern w:val="0"/>
      <w:sz w:val="24"/>
      <w:szCs w:val="20"/>
    </w:rPr>
  </w:style>
  <w:style w:type="paragraph" w:styleId="11">
    <w:name w:val="Block Text"/>
    <w:basedOn w:val="1"/>
    <w:next w:val="1"/>
    <w:qFormat/>
    <w:locked/>
    <w:uiPriority w:val="0"/>
    <w:pPr>
      <w:snapToGrid w:val="0"/>
      <w:ind w:left="-108" w:right="-30"/>
      <w:jc w:val="center"/>
    </w:pPr>
    <w:rPr>
      <w:rFonts w:hint="eastAsia" w:ascii="宋体"/>
      <w:sz w:val="24"/>
      <w:szCs w:val="20"/>
    </w:rPr>
  </w:style>
  <w:style w:type="paragraph" w:styleId="12">
    <w:name w:val="Plain Text"/>
    <w:basedOn w:val="1"/>
    <w:link w:val="39"/>
    <w:qFormat/>
    <w:locked/>
    <w:uiPriority w:val="99"/>
    <w:rPr>
      <w:rFonts w:ascii="宋体" w:hAnsi="Courier New"/>
      <w:sz w:val="28"/>
      <w:szCs w:val="20"/>
    </w:rPr>
  </w:style>
  <w:style w:type="paragraph" w:styleId="13">
    <w:name w:val="Date"/>
    <w:basedOn w:val="1"/>
    <w:next w:val="1"/>
    <w:link w:val="40"/>
    <w:qFormat/>
    <w:uiPriority w:val="0"/>
    <w:pPr>
      <w:ind w:left="100" w:leftChars="2500"/>
    </w:pPr>
    <w:rPr>
      <w:kern w:val="0"/>
      <w:sz w:val="24"/>
      <w:szCs w:val="20"/>
    </w:rPr>
  </w:style>
  <w:style w:type="paragraph" w:styleId="14">
    <w:name w:val="Balloon Text"/>
    <w:basedOn w:val="1"/>
    <w:link w:val="41"/>
    <w:semiHidden/>
    <w:qFormat/>
    <w:uiPriority w:val="0"/>
    <w:rPr>
      <w:kern w:val="0"/>
      <w:sz w:val="18"/>
      <w:szCs w:val="20"/>
    </w:rPr>
  </w:style>
  <w:style w:type="paragraph" w:styleId="15">
    <w:name w:val="footer"/>
    <w:basedOn w:val="1"/>
    <w:link w:val="42"/>
    <w:uiPriority w:val="99"/>
    <w:pPr>
      <w:tabs>
        <w:tab w:val="center" w:pos="4153"/>
        <w:tab w:val="right" w:pos="8306"/>
      </w:tabs>
      <w:snapToGrid w:val="0"/>
      <w:jc w:val="left"/>
    </w:pPr>
    <w:rPr>
      <w:kern w:val="0"/>
      <w:sz w:val="18"/>
      <w:szCs w:val="20"/>
    </w:rPr>
  </w:style>
  <w:style w:type="paragraph" w:styleId="16">
    <w:name w:val="header"/>
    <w:basedOn w:val="1"/>
    <w:link w:val="43"/>
    <w:qFormat/>
    <w:uiPriority w:val="0"/>
    <w:pPr>
      <w:pBdr>
        <w:bottom w:val="single" w:color="auto" w:sz="6" w:space="1"/>
      </w:pBdr>
      <w:tabs>
        <w:tab w:val="center" w:pos="4153"/>
        <w:tab w:val="right" w:pos="8306"/>
      </w:tabs>
      <w:snapToGrid w:val="0"/>
      <w:jc w:val="center"/>
    </w:pPr>
    <w:rPr>
      <w:kern w:val="0"/>
      <w:sz w:val="18"/>
      <w:szCs w:val="20"/>
    </w:rPr>
  </w:style>
  <w:style w:type="paragraph" w:styleId="17">
    <w:name w:val="footnote text"/>
    <w:basedOn w:val="1"/>
    <w:next w:val="9"/>
    <w:qFormat/>
    <w:locked/>
    <w:uiPriority w:val="0"/>
    <w:pPr>
      <w:snapToGrid w:val="0"/>
      <w:jc w:val="left"/>
    </w:pPr>
    <w:rPr>
      <w:rFonts w:eastAsia="等线"/>
      <w:sz w:val="32"/>
    </w:rPr>
  </w:style>
  <w:style w:type="paragraph" w:styleId="18">
    <w:name w:val="Body Text Indent 3"/>
    <w:basedOn w:val="1"/>
    <w:unhideWhenUsed/>
    <w:qFormat/>
    <w:locked/>
    <w:uiPriority w:val="99"/>
    <w:pPr>
      <w:spacing w:after="120"/>
      <w:ind w:left="420" w:leftChars="200"/>
    </w:pPr>
    <w:rPr>
      <w:sz w:val="16"/>
      <w:szCs w:val="16"/>
    </w:rPr>
  </w:style>
  <w:style w:type="paragraph" w:styleId="19">
    <w:name w:val="Normal (Web)"/>
    <w:basedOn w:val="1"/>
    <w:link w:val="44"/>
    <w:qFormat/>
    <w:uiPriority w:val="0"/>
    <w:pPr>
      <w:widowControl/>
      <w:spacing w:before="100" w:beforeAutospacing="1" w:after="100" w:afterAutospacing="1"/>
      <w:jc w:val="left"/>
    </w:pPr>
    <w:rPr>
      <w:rFonts w:ascii="宋体" w:hAnsi="宋体"/>
      <w:kern w:val="0"/>
      <w:sz w:val="24"/>
      <w:szCs w:val="20"/>
    </w:rPr>
  </w:style>
  <w:style w:type="paragraph" w:styleId="20">
    <w:name w:val="annotation subject"/>
    <w:basedOn w:val="7"/>
    <w:next w:val="7"/>
    <w:link w:val="45"/>
    <w:semiHidden/>
    <w:qFormat/>
    <w:uiPriority w:val="0"/>
    <w:rPr>
      <w:b/>
      <w:kern w:val="2"/>
    </w:rPr>
  </w:style>
  <w:style w:type="paragraph" w:styleId="21">
    <w:name w:val="Body Text First Indent 2"/>
    <w:basedOn w:val="10"/>
    <w:next w:val="1"/>
    <w:qFormat/>
    <w:locked/>
    <w:uiPriority w:val="0"/>
    <w:pPr>
      <w:widowControl/>
      <w:ind w:firstLine="420" w:firstLineChars="200"/>
    </w:pPr>
    <w:rPr>
      <w:rFonts w:eastAsia="Times New Roman"/>
      <w:sz w:val="21"/>
      <w:szCs w:val="24"/>
    </w:rPr>
  </w:style>
  <w:style w:type="table" w:styleId="23">
    <w:name w:val="Table Grid"/>
    <w:basedOn w:val="2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locked/>
    <w:uiPriority w:val="0"/>
    <w:rPr>
      <w:b/>
    </w:rPr>
  </w:style>
  <w:style w:type="character" w:styleId="26">
    <w:name w:val="page number"/>
    <w:basedOn w:val="24"/>
    <w:locked/>
    <w:uiPriority w:val="0"/>
  </w:style>
  <w:style w:type="character" w:styleId="27">
    <w:name w:val="FollowedHyperlink"/>
    <w:basedOn w:val="24"/>
    <w:locked/>
    <w:uiPriority w:val="0"/>
    <w:rPr>
      <w:color w:val="428BCA"/>
      <w:u w:val="none"/>
    </w:rPr>
  </w:style>
  <w:style w:type="character" w:styleId="28">
    <w:name w:val="HTML Definition"/>
    <w:basedOn w:val="24"/>
    <w:qFormat/>
    <w:locked/>
    <w:uiPriority w:val="0"/>
    <w:rPr>
      <w:i/>
    </w:rPr>
  </w:style>
  <w:style w:type="character" w:styleId="29">
    <w:name w:val="Hyperlink"/>
    <w:basedOn w:val="24"/>
    <w:locked/>
    <w:uiPriority w:val="0"/>
    <w:rPr>
      <w:color w:val="428BCA"/>
      <w:u w:val="none"/>
    </w:rPr>
  </w:style>
  <w:style w:type="character" w:styleId="30">
    <w:name w:val="HTML Code"/>
    <w:basedOn w:val="24"/>
    <w:qFormat/>
    <w:locked/>
    <w:uiPriority w:val="0"/>
    <w:rPr>
      <w:rFonts w:hint="default" w:ascii="Consolas" w:hAnsi="Consolas" w:eastAsia="Consolas" w:cs="Consolas"/>
      <w:color w:val="C7254E"/>
      <w:sz w:val="21"/>
      <w:szCs w:val="21"/>
      <w:shd w:val="clear" w:color="auto" w:fill="F9F2F4"/>
    </w:rPr>
  </w:style>
  <w:style w:type="character" w:styleId="31">
    <w:name w:val="annotation reference"/>
    <w:qFormat/>
    <w:uiPriority w:val="99"/>
    <w:rPr>
      <w:sz w:val="21"/>
    </w:rPr>
  </w:style>
  <w:style w:type="character" w:styleId="32">
    <w:name w:val="HTML Keyboard"/>
    <w:basedOn w:val="24"/>
    <w:qFormat/>
    <w:locked/>
    <w:uiPriority w:val="0"/>
    <w:rPr>
      <w:rFonts w:ascii="Consolas" w:hAnsi="Consolas" w:eastAsia="Consolas" w:cs="Consolas"/>
      <w:color w:val="FFFFFF"/>
      <w:sz w:val="21"/>
      <w:szCs w:val="21"/>
      <w:shd w:val="clear" w:color="auto" w:fill="333333"/>
    </w:rPr>
  </w:style>
  <w:style w:type="character" w:styleId="33">
    <w:name w:val="HTML Sample"/>
    <w:basedOn w:val="24"/>
    <w:qFormat/>
    <w:locked/>
    <w:uiPriority w:val="0"/>
    <w:rPr>
      <w:rFonts w:hint="default" w:ascii="Consolas" w:hAnsi="Consolas" w:eastAsia="Consolas" w:cs="Consolas"/>
      <w:sz w:val="21"/>
      <w:szCs w:val="21"/>
    </w:rPr>
  </w:style>
  <w:style w:type="character" w:customStyle="1" w:styleId="34">
    <w:name w:val="正文缩进 Char"/>
    <w:link w:val="5"/>
    <w:qFormat/>
    <w:locked/>
    <w:uiPriority w:val="0"/>
    <w:rPr>
      <w:kern w:val="2"/>
      <w:sz w:val="28"/>
    </w:rPr>
  </w:style>
  <w:style w:type="character" w:customStyle="1" w:styleId="35">
    <w:name w:val="批注文字 Char"/>
    <w:link w:val="7"/>
    <w:qFormat/>
    <w:locked/>
    <w:uiPriority w:val="99"/>
    <w:rPr>
      <w:rFonts w:ascii="Times New Roman" w:hAnsi="Times New Roman" w:eastAsia="宋体"/>
      <w:sz w:val="24"/>
    </w:rPr>
  </w:style>
  <w:style w:type="character" w:customStyle="1" w:styleId="36">
    <w:name w:val="正文文本 3 Char"/>
    <w:link w:val="8"/>
    <w:qFormat/>
    <w:uiPriority w:val="0"/>
    <w:rPr>
      <w:kern w:val="2"/>
      <w:sz w:val="16"/>
      <w:szCs w:val="16"/>
    </w:rPr>
  </w:style>
  <w:style w:type="character" w:customStyle="1" w:styleId="37">
    <w:name w:val="正文文本 Char"/>
    <w:link w:val="9"/>
    <w:qFormat/>
    <w:locked/>
    <w:uiPriority w:val="0"/>
    <w:rPr>
      <w:sz w:val="18"/>
    </w:rPr>
  </w:style>
  <w:style w:type="character" w:customStyle="1" w:styleId="38">
    <w:name w:val="正文文本缩进 Char"/>
    <w:link w:val="10"/>
    <w:semiHidden/>
    <w:qFormat/>
    <w:locked/>
    <w:uiPriority w:val="0"/>
    <w:rPr>
      <w:rFonts w:ascii="Times New Roman" w:hAnsi="Times New Roman" w:eastAsia="宋体"/>
      <w:sz w:val="24"/>
    </w:rPr>
  </w:style>
  <w:style w:type="character" w:customStyle="1" w:styleId="39">
    <w:name w:val="纯文本 Char"/>
    <w:link w:val="12"/>
    <w:qFormat/>
    <w:uiPriority w:val="99"/>
    <w:rPr>
      <w:rFonts w:ascii="宋体" w:hAnsi="Courier New"/>
      <w:kern w:val="2"/>
      <w:sz w:val="28"/>
    </w:rPr>
  </w:style>
  <w:style w:type="character" w:customStyle="1" w:styleId="40">
    <w:name w:val="日期 Char"/>
    <w:link w:val="13"/>
    <w:locked/>
    <w:uiPriority w:val="0"/>
    <w:rPr>
      <w:rFonts w:ascii="Times New Roman" w:hAnsi="Times New Roman" w:eastAsia="宋体"/>
      <w:sz w:val="24"/>
    </w:rPr>
  </w:style>
  <w:style w:type="character" w:customStyle="1" w:styleId="41">
    <w:name w:val="批注框文本 Char"/>
    <w:link w:val="14"/>
    <w:semiHidden/>
    <w:locked/>
    <w:uiPriority w:val="0"/>
    <w:rPr>
      <w:rFonts w:ascii="Times New Roman" w:hAnsi="Times New Roman" w:eastAsia="宋体"/>
      <w:sz w:val="18"/>
    </w:rPr>
  </w:style>
  <w:style w:type="character" w:customStyle="1" w:styleId="42">
    <w:name w:val="页脚 Char"/>
    <w:link w:val="15"/>
    <w:qFormat/>
    <w:locked/>
    <w:uiPriority w:val="99"/>
    <w:rPr>
      <w:sz w:val="18"/>
    </w:rPr>
  </w:style>
  <w:style w:type="character" w:customStyle="1" w:styleId="43">
    <w:name w:val="页眉 Char"/>
    <w:link w:val="16"/>
    <w:qFormat/>
    <w:locked/>
    <w:uiPriority w:val="0"/>
    <w:rPr>
      <w:sz w:val="18"/>
    </w:rPr>
  </w:style>
  <w:style w:type="character" w:customStyle="1" w:styleId="44">
    <w:name w:val="普通(网站) Char"/>
    <w:link w:val="19"/>
    <w:locked/>
    <w:uiPriority w:val="0"/>
    <w:rPr>
      <w:rFonts w:ascii="宋体" w:hAnsi="宋体" w:eastAsia="宋体"/>
      <w:sz w:val="24"/>
    </w:rPr>
  </w:style>
  <w:style w:type="character" w:customStyle="1" w:styleId="45">
    <w:name w:val="批注主题 Char"/>
    <w:link w:val="20"/>
    <w:semiHidden/>
    <w:locked/>
    <w:uiPriority w:val="0"/>
    <w:rPr>
      <w:rFonts w:ascii="Times New Roman" w:hAnsi="Times New Roman" w:eastAsia="宋体"/>
      <w:b/>
      <w:kern w:val="2"/>
      <w:sz w:val="24"/>
    </w:rPr>
  </w:style>
  <w:style w:type="character" w:customStyle="1" w:styleId="46">
    <w:name w:val="hover14"/>
    <w:basedOn w:val="24"/>
    <w:qFormat/>
    <w:uiPriority w:val="0"/>
    <w:rPr>
      <w:color w:val="000000"/>
    </w:rPr>
  </w:style>
  <w:style w:type="character" w:customStyle="1" w:styleId="47">
    <w:name w:val="05表头 Char"/>
    <w:link w:val="48"/>
    <w:qFormat/>
    <w:uiPriority w:val="0"/>
    <w:rPr>
      <w:rFonts w:eastAsia="黑体"/>
      <w:kern w:val="2"/>
      <w:sz w:val="24"/>
      <w:szCs w:val="24"/>
    </w:rPr>
  </w:style>
  <w:style w:type="paragraph" w:customStyle="1" w:styleId="48">
    <w:name w:val="05表头"/>
    <w:basedOn w:val="11"/>
    <w:next w:val="1"/>
    <w:link w:val="47"/>
    <w:qFormat/>
    <w:uiPriority w:val="0"/>
    <w:pPr>
      <w:pageBreakBefore/>
      <w:spacing w:line="520" w:lineRule="exact"/>
      <w:ind w:left="0" w:right="0" w:firstLine="200" w:firstLineChars="200"/>
      <w:jc w:val="left"/>
    </w:pPr>
    <w:rPr>
      <w:rFonts w:hint="default" w:ascii="Times New Roman" w:eastAsia="黑体"/>
      <w:szCs w:val="24"/>
    </w:rPr>
  </w:style>
  <w:style w:type="character" w:customStyle="1" w:styleId="49">
    <w:name w:val="表格 Char Char"/>
    <w:qFormat/>
    <w:uiPriority w:val="0"/>
    <w:rPr>
      <w:rFonts w:ascii="宋体"/>
      <w:kern w:val="2"/>
      <w:sz w:val="21"/>
    </w:rPr>
  </w:style>
  <w:style w:type="character" w:customStyle="1" w:styleId="50">
    <w:name w:val="5正文 Char"/>
    <w:link w:val="51"/>
    <w:qFormat/>
    <w:uiPriority w:val="0"/>
    <w:rPr>
      <w:kern w:val="2"/>
      <w:sz w:val="24"/>
      <w:szCs w:val="24"/>
      <w:lang w:val="en-US" w:eastAsia="zh-CN" w:bidi="ar-SA"/>
    </w:rPr>
  </w:style>
  <w:style w:type="paragraph" w:customStyle="1" w:styleId="51">
    <w:name w:val="5正文"/>
    <w:link w:val="50"/>
    <w:qFormat/>
    <w:uiPriority w:val="0"/>
    <w:pPr>
      <w:widowControl w:val="0"/>
      <w:spacing w:line="520" w:lineRule="exact"/>
      <w:ind w:firstLine="200" w:firstLineChars="200"/>
      <w:jc w:val="both"/>
    </w:pPr>
    <w:rPr>
      <w:rFonts w:ascii="Times New Roman" w:hAnsi="Times New Roman" w:eastAsia="宋体" w:cs="Times New Roman"/>
      <w:kern w:val="2"/>
      <w:sz w:val="24"/>
      <w:szCs w:val="24"/>
      <w:lang w:val="en-US" w:eastAsia="zh-CN" w:bidi="ar-SA"/>
    </w:rPr>
  </w:style>
  <w:style w:type="character" w:customStyle="1" w:styleId="52">
    <w:name w:val="6表头 Char"/>
    <w:basedOn w:val="24"/>
    <w:link w:val="53"/>
    <w:qFormat/>
    <w:uiPriority w:val="0"/>
    <w:rPr>
      <w:rFonts w:eastAsia="黑体"/>
      <w:kern w:val="2"/>
      <w:sz w:val="24"/>
      <w:szCs w:val="24"/>
      <w:lang w:val="en-US" w:eastAsia="zh-CN" w:bidi="ar-SA"/>
    </w:rPr>
  </w:style>
  <w:style w:type="paragraph" w:customStyle="1" w:styleId="53">
    <w:name w:val="6表头"/>
    <w:next w:val="51"/>
    <w:link w:val="52"/>
    <w:qFormat/>
    <w:uiPriority w:val="0"/>
    <w:pPr>
      <w:pageBreakBefore/>
      <w:spacing w:line="520" w:lineRule="exact"/>
      <w:ind w:firstLine="200" w:firstLineChars="200"/>
    </w:pPr>
    <w:rPr>
      <w:rFonts w:ascii="Times New Roman" w:hAnsi="Times New Roman" w:eastAsia="黑体" w:cs="Times New Roman"/>
      <w:kern w:val="2"/>
      <w:sz w:val="24"/>
      <w:szCs w:val="24"/>
      <w:lang w:val="en-US" w:eastAsia="zh-CN" w:bidi="ar-SA"/>
    </w:rPr>
  </w:style>
  <w:style w:type="character" w:customStyle="1" w:styleId="54">
    <w:name w:val="日期 字符"/>
    <w:semiHidden/>
    <w:uiPriority w:val="0"/>
    <w:rPr>
      <w:rFonts w:ascii="Times New Roman" w:hAnsi="Times New Roman" w:eastAsia="宋体"/>
      <w:sz w:val="24"/>
    </w:rPr>
  </w:style>
  <w:style w:type="character" w:customStyle="1" w:styleId="55">
    <w:name w:val="表格 Char"/>
    <w:link w:val="56"/>
    <w:qFormat/>
    <w:locked/>
    <w:uiPriority w:val="0"/>
    <w:rPr>
      <w:rFonts w:ascii="宋体"/>
      <w:sz w:val="21"/>
    </w:rPr>
  </w:style>
  <w:style w:type="paragraph" w:customStyle="1" w:styleId="56">
    <w:name w:val="表格"/>
    <w:basedOn w:val="1"/>
    <w:next w:val="1"/>
    <w:link w:val="55"/>
    <w:qFormat/>
    <w:uiPriority w:val="0"/>
    <w:pPr>
      <w:adjustRightInd w:val="0"/>
      <w:snapToGrid w:val="0"/>
      <w:spacing w:beforeLines="10" w:afterLines="10" w:line="259" w:lineRule="auto"/>
      <w:jc w:val="center"/>
    </w:pPr>
    <w:rPr>
      <w:rFonts w:ascii="宋体"/>
      <w:kern w:val="0"/>
      <w:szCs w:val="20"/>
    </w:rPr>
  </w:style>
  <w:style w:type="character" w:customStyle="1" w:styleId="57">
    <w:name w:val="常用正文样式 Char1"/>
    <w:link w:val="58"/>
    <w:qFormat/>
    <w:uiPriority w:val="0"/>
    <w:rPr>
      <w:rFonts w:ascii="宋体" w:hAnsi="宋体" w:cs="宋体"/>
      <w:bCs/>
      <w:kern w:val="28"/>
      <w:sz w:val="24"/>
    </w:rPr>
  </w:style>
  <w:style w:type="paragraph" w:customStyle="1" w:styleId="58">
    <w:name w:val="常用正文样式"/>
    <w:basedOn w:val="1"/>
    <w:link w:val="57"/>
    <w:qFormat/>
    <w:uiPriority w:val="0"/>
    <w:pPr>
      <w:spacing w:line="360" w:lineRule="auto"/>
      <w:ind w:firstLine="480" w:firstLineChars="200"/>
    </w:pPr>
    <w:rPr>
      <w:rFonts w:ascii="宋体" w:hAnsi="宋体"/>
      <w:bCs/>
      <w:kern w:val="28"/>
      <w:sz w:val="24"/>
      <w:szCs w:val="20"/>
    </w:rPr>
  </w:style>
  <w:style w:type="character" w:customStyle="1" w:styleId="59">
    <w:name w:val="hover13"/>
    <w:basedOn w:val="24"/>
    <w:uiPriority w:val="0"/>
  </w:style>
  <w:style w:type="character" w:customStyle="1" w:styleId="60">
    <w:name w:val="正文文本 字符1"/>
    <w:semiHidden/>
    <w:qFormat/>
    <w:uiPriority w:val="0"/>
    <w:rPr>
      <w:rFonts w:ascii="Times New Roman" w:hAnsi="Times New Roman" w:eastAsia="宋体"/>
      <w:sz w:val="24"/>
    </w:rPr>
  </w:style>
  <w:style w:type="character" w:customStyle="1" w:styleId="61">
    <w:name w:val="07表格内容 Char"/>
    <w:link w:val="62"/>
    <w:qFormat/>
    <w:uiPriority w:val="0"/>
    <w:rPr>
      <w:szCs w:val="24"/>
      <w:lang w:val="en-US" w:eastAsia="zh-CN" w:bidi="ar-SA"/>
    </w:rPr>
  </w:style>
  <w:style w:type="paragraph" w:customStyle="1" w:styleId="62">
    <w:name w:val="07表格内容"/>
    <w:link w:val="61"/>
    <w:qFormat/>
    <w:uiPriority w:val="0"/>
    <w:pPr>
      <w:widowControl w:val="0"/>
      <w:spacing w:line="360" w:lineRule="exact"/>
      <w:jc w:val="center"/>
    </w:pPr>
    <w:rPr>
      <w:rFonts w:ascii="Times New Roman" w:hAnsi="Times New Roman" w:eastAsia="宋体" w:cs="Times New Roman"/>
      <w:szCs w:val="24"/>
      <w:lang w:val="en-US" w:eastAsia="zh-CN" w:bidi="ar-SA"/>
    </w:rPr>
  </w:style>
  <w:style w:type="character" w:customStyle="1" w:styleId="63">
    <w:name w:val="蓝森正文 Char Char"/>
    <w:link w:val="64"/>
    <w:qFormat/>
    <w:uiPriority w:val="0"/>
    <w:rPr>
      <w:bCs/>
      <w:kern w:val="2"/>
      <w:sz w:val="24"/>
      <w:szCs w:val="24"/>
    </w:rPr>
  </w:style>
  <w:style w:type="paragraph" w:customStyle="1" w:styleId="64">
    <w:name w:val="蓝森正文"/>
    <w:basedOn w:val="1"/>
    <w:link w:val="63"/>
    <w:qFormat/>
    <w:uiPriority w:val="0"/>
    <w:pPr>
      <w:spacing w:line="520" w:lineRule="exact"/>
      <w:ind w:firstLine="480" w:firstLineChars="200"/>
    </w:pPr>
    <w:rPr>
      <w:bCs/>
      <w:sz w:val="24"/>
    </w:rPr>
  </w:style>
  <w:style w:type="character" w:customStyle="1" w:styleId="65">
    <w:name w:val="页脚 字符"/>
    <w:basedOn w:val="24"/>
    <w:uiPriority w:val="99"/>
  </w:style>
  <w:style w:type="character" w:customStyle="1" w:styleId="66">
    <w:name w:val="unnamed1"/>
    <w:basedOn w:val="24"/>
    <w:qFormat/>
    <w:uiPriority w:val="0"/>
  </w:style>
  <w:style w:type="character" w:customStyle="1" w:styleId="67">
    <w:name w:val="7表格内容 Char Char"/>
    <w:link w:val="68"/>
    <w:qFormat/>
    <w:uiPriority w:val="0"/>
    <w:rPr>
      <w:kern w:val="2"/>
      <w:sz w:val="21"/>
      <w:szCs w:val="24"/>
      <w:lang w:val="en-US" w:eastAsia="zh-CN" w:bidi="ar-SA"/>
    </w:rPr>
  </w:style>
  <w:style w:type="paragraph" w:customStyle="1" w:styleId="68">
    <w:name w:val="7表格内容"/>
    <w:link w:val="67"/>
    <w:qFormat/>
    <w:uiPriority w:val="0"/>
    <w:pPr>
      <w:widowControl w:val="0"/>
      <w:spacing w:line="360" w:lineRule="exact"/>
      <w:jc w:val="center"/>
    </w:pPr>
    <w:rPr>
      <w:rFonts w:ascii="Times New Roman" w:hAnsi="Times New Roman" w:eastAsia="宋体" w:cs="Times New Roman"/>
      <w:kern w:val="2"/>
      <w:sz w:val="21"/>
      <w:szCs w:val="24"/>
      <w:lang w:val="en-US" w:eastAsia="zh-CN" w:bidi="ar-SA"/>
    </w:rPr>
  </w:style>
  <w:style w:type="character" w:customStyle="1" w:styleId="69">
    <w:name w:val="06表格内容 Char"/>
    <w:link w:val="70"/>
    <w:qFormat/>
    <w:locked/>
    <w:uiPriority w:val="0"/>
    <w:rPr>
      <w:rFonts w:cs="Courier New"/>
      <w:szCs w:val="24"/>
    </w:rPr>
  </w:style>
  <w:style w:type="paragraph" w:customStyle="1" w:styleId="70">
    <w:name w:val="06表格内容"/>
    <w:basedOn w:val="12"/>
    <w:next w:val="12"/>
    <w:link w:val="69"/>
    <w:qFormat/>
    <w:uiPriority w:val="0"/>
    <w:pPr>
      <w:spacing w:line="320" w:lineRule="exact"/>
      <w:jc w:val="center"/>
    </w:pPr>
    <w:rPr>
      <w:rFonts w:ascii="Times New Roman" w:hAnsi="Times New Roman"/>
      <w:kern w:val="0"/>
      <w:sz w:val="20"/>
      <w:szCs w:val="24"/>
    </w:rPr>
  </w:style>
  <w:style w:type="character" w:customStyle="1" w:styleId="71">
    <w:name w:val="批注文字 字符1"/>
    <w:semiHidden/>
    <w:uiPriority w:val="0"/>
    <w:rPr>
      <w:rFonts w:ascii="Times New Roman" w:hAnsi="Times New Roman" w:eastAsia="宋体"/>
      <w:sz w:val="24"/>
    </w:rPr>
  </w:style>
  <w:style w:type="character" w:customStyle="1" w:styleId="72">
    <w:name w:val="3正文 Char Char"/>
    <w:link w:val="73"/>
    <w:qFormat/>
    <w:uiPriority w:val="0"/>
    <w:rPr>
      <w:kern w:val="2"/>
      <w:sz w:val="24"/>
      <w:szCs w:val="24"/>
      <w:lang w:val="en-US" w:eastAsia="zh-CN" w:bidi="ar-SA"/>
    </w:rPr>
  </w:style>
  <w:style w:type="paragraph" w:customStyle="1" w:styleId="73">
    <w:name w:val="3正文"/>
    <w:link w:val="72"/>
    <w:uiPriority w:val="0"/>
    <w:pPr>
      <w:widowControl w:val="0"/>
      <w:spacing w:line="520" w:lineRule="exact"/>
      <w:ind w:firstLine="200" w:firstLineChars="200"/>
      <w:jc w:val="both"/>
    </w:pPr>
    <w:rPr>
      <w:rFonts w:ascii="Times New Roman" w:hAnsi="Times New Roman" w:eastAsia="宋体" w:cs="Times New Roman"/>
      <w:kern w:val="2"/>
      <w:sz w:val="24"/>
      <w:szCs w:val="24"/>
      <w:lang w:val="en-US" w:eastAsia="zh-CN" w:bidi="ar-SA"/>
    </w:rPr>
  </w:style>
  <w:style w:type="character" w:customStyle="1" w:styleId="74">
    <w:name w:val="fontstyle01"/>
    <w:basedOn w:val="24"/>
    <w:qFormat/>
    <w:uiPriority w:val="0"/>
    <w:rPr>
      <w:rFonts w:hint="eastAsia" w:ascii="宋体" w:hAnsi="宋体" w:eastAsia="宋体"/>
      <w:color w:val="000000"/>
      <w:sz w:val="24"/>
      <w:szCs w:val="24"/>
    </w:rPr>
  </w:style>
  <w:style w:type="character" w:customStyle="1" w:styleId="75">
    <w:name w:val="first-child"/>
    <w:basedOn w:val="24"/>
    <w:qFormat/>
    <w:uiPriority w:val="0"/>
  </w:style>
  <w:style w:type="character" w:customStyle="1" w:styleId="76">
    <w:name w:val="铭洁 右对齐表头"/>
    <w:qFormat/>
    <w:uiPriority w:val="0"/>
    <w:rPr>
      <w:rFonts w:ascii="Times New Roman" w:hAnsi="Times New Roman" w:eastAsia="黑体"/>
      <w:color w:val="FF00FF"/>
      <w:sz w:val="24"/>
      <w:szCs w:val="24"/>
    </w:rPr>
  </w:style>
  <w:style w:type="character" w:customStyle="1" w:styleId="77">
    <w:name w:val="layui-layer-tabnow"/>
    <w:basedOn w:val="24"/>
    <w:qFormat/>
    <w:uiPriority w:val="0"/>
    <w:rPr>
      <w:bdr w:val="single" w:color="CCCCCC" w:sz="4" w:space="0"/>
      <w:shd w:val="clear" w:color="auto" w:fill="FFFFFF"/>
    </w:rPr>
  </w:style>
  <w:style w:type="character" w:customStyle="1" w:styleId="78">
    <w:name w:val="00正文 Char"/>
    <w:link w:val="79"/>
    <w:qFormat/>
    <w:uiPriority w:val="0"/>
    <w:rPr>
      <w:kern w:val="2"/>
      <w:sz w:val="24"/>
      <w:szCs w:val="24"/>
      <w:lang w:val="en-US" w:eastAsia="zh-CN" w:bidi="ar-SA"/>
    </w:rPr>
  </w:style>
  <w:style w:type="paragraph" w:customStyle="1" w:styleId="79">
    <w:name w:val="00正文"/>
    <w:link w:val="78"/>
    <w:qFormat/>
    <w:uiPriority w:val="0"/>
    <w:pPr>
      <w:widowControl w:val="0"/>
      <w:spacing w:line="520" w:lineRule="exact"/>
      <w:ind w:firstLine="480" w:firstLineChars="200"/>
      <w:jc w:val="both"/>
    </w:pPr>
    <w:rPr>
      <w:rFonts w:ascii="Times New Roman" w:hAnsi="Times New Roman" w:eastAsia="宋体" w:cs="Times New Roman"/>
      <w:kern w:val="2"/>
      <w:sz w:val="24"/>
      <w:szCs w:val="24"/>
      <w:lang w:val="en-US" w:eastAsia="zh-CN" w:bidi="ar-SA"/>
    </w:rPr>
  </w:style>
  <w:style w:type="character" w:customStyle="1" w:styleId="80">
    <w:name w:val="6表头 Char Char"/>
    <w:qFormat/>
    <w:uiPriority w:val="0"/>
    <w:rPr>
      <w:rFonts w:ascii="Times New Roman" w:hAnsi="Times New Roman" w:eastAsia="黑体"/>
      <w:kern w:val="2"/>
      <w:sz w:val="24"/>
      <w:szCs w:val="22"/>
    </w:rPr>
  </w:style>
  <w:style w:type="character" w:customStyle="1" w:styleId="81">
    <w:name w:val="hover15"/>
    <w:basedOn w:val="24"/>
    <w:qFormat/>
    <w:uiPriority w:val="0"/>
    <w:rPr>
      <w:sz w:val="16"/>
      <w:szCs w:val="16"/>
    </w:rPr>
  </w:style>
  <w:style w:type="paragraph" w:customStyle="1" w:styleId="82">
    <w:name w:val="报告书正文"/>
    <w:basedOn w:val="1"/>
    <w:qFormat/>
    <w:uiPriority w:val="0"/>
    <w:pPr>
      <w:autoSpaceDE w:val="0"/>
      <w:autoSpaceDN w:val="0"/>
      <w:spacing w:line="520" w:lineRule="exact"/>
      <w:ind w:firstLine="200" w:firstLineChars="200"/>
    </w:pPr>
    <w:rPr>
      <w:sz w:val="28"/>
      <w:szCs w:val="28"/>
    </w:rPr>
  </w:style>
  <w:style w:type="paragraph" w:customStyle="1" w:styleId="83">
    <w:name w:val="普通(网站)2"/>
    <w:basedOn w:val="1"/>
    <w:qFormat/>
    <w:uiPriority w:val="0"/>
    <w:pPr>
      <w:widowControl/>
      <w:spacing w:before="100" w:beforeAutospacing="1" w:after="100" w:afterAutospacing="1"/>
      <w:jc w:val="left"/>
    </w:pPr>
    <w:rPr>
      <w:rFonts w:ascii="宋体" w:hAnsi="宋体"/>
      <w:sz w:val="24"/>
      <w:szCs w:val="20"/>
    </w:rPr>
  </w:style>
  <w:style w:type="paragraph" w:styleId="84">
    <w:name w:val="List Paragraph"/>
    <w:basedOn w:val="1"/>
    <w:qFormat/>
    <w:uiPriority w:val="34"/>
    <w:pPr>
      <w:ind w:firstLine="420" w:firstLineChars="200"/>
    </w:pPr>
  </w:style>
  <w:style w:type="paragraph" w:customStyle="1" w:styleId="85">
    <w:name w:val="表头文字"/>
    <w:qFormat/>
    <w:uiPriority w:val="0"/>
    <w:pPr>
      <w:widowControl w:val="0"/>
      <w:adjustRightInd w:val="0"/>
      <w:snapToGrid w:val="0"/>
      <w:jc w:val="center"/>
    </w:pPr>
    <w:rPr>
      <w:rFonts w:ascii="Times New Roman" w:hAnsi="Times New Roman" w:eastAsia="黑体" w:cs="Times New Roman"/>
      <w:bCs/>
      <w:sz w:val="21"/>
      <w:szCs w:val="24"/>
      <w:lang w:val="en-US" w:eastAsia="zh-CN" w:bidi="ar-SA"/>
    </w:rPr>
  </w:style>
  <w:style w:type="paragraph" w:customStyle="1" w:styleId="86">
    <w:name w:val="样式 正文首行缩进:  2 字符 + 首行缩进:  2 字符"/>
    <w:basedOn w:val="1"/>
    <w:qFormat/>
    <w:uiPriority w:val="0"/>
    <w:pPr>
      <w:spacing w:line="360" w:lineRule="auto"/>
      <w:ind w:left="100" w:leftChars="100" w:right="100" w:rightChars="100" w:firstLine="480" w:firstLineChars="200"/>
      <w:jc w:val="left"/>
    </w:pPr>
    <w:rPr>
      <w:rFonts w:cs="宋体"/>
      <w:sz w:val="24"/>
      <w:szCs w:val="20"/>
    </w:rPr>
  </w:style>
  <w:style w:type="paragraph" w:customStyle="1" w:styleId="87">
    <w:name w:val="表体（富士康）"/>
    <w:qFormat/>
    <w:uiPriority w:val="0"/>
    <w:pPr>
      <w:adjustRightInd w:val="0"/>
      <w:snapToGrid w:val="0"/>
      <w:jc w:val="center"/>
    </w:pPr>
    <w:rPr>
      <w:rFonts w:ascii="Times New Roman" w:hAnsi="Times New Roman" w:eastAsia="宋体" w:cs="宋体"/>
      <w:bCs/>
      <w:kern w:val="2"/>
      <w:sz w:val="21"/>
      <w:szCs w:val="22"/>
      <w:lang w:val="en-US" w:eastAsia="zh-CN" w:bidi="ar-SA"/>
    </w:rPr>
  </w:style>
  <w:style w:type="paragraph" w:customStyle="1" w:styleId="88">
    <w:name w:val="列出段落1"/>
    <w:basedOn w:val="1"/>
    <w:next w:val="1"/>
    <w:qFormat/>
    <w:uiPriority w:val="34"/>
    <w:pPr>
      <w:spacing w:line="200" w:lineRule="atLeast"/>
      <w:jc w:val="center"/>
    </w:pPr>
    <w:rPr>
      <w:szCs w:val="22"/>
    </w:rPr>
  </w:style>
  <w:style w:type="paragraph" w:customStyle="1" w:styleId="89">
    <w:name w:val="中文报告书样式"/>
    <w:basedOn w:val="1"/>
    <w:semiHidden/>
    <w:qFormat/>
    <w:uiPriority w:val="0"/>
    <w:pPr>
      <w:adjustRightInd w:val="0"/>
      <w:spacing w:line="480" w:lineRule="atLeast"/>
      <w:ind w:firstLine="482"/>
      <w:textAlignment w:val="baseline"/>
    </w:pPr>
    <w:rPr>
      <w:kern w:val="24"/>
      <w:sz w:val="24"/>
      <w:szCs w:val="20"/>
    </w:rPr>
  </w:style>
  <w:style w:type="paragraph" w:customStyle="1" w:styleId="90">
    <w:name w:val="表格标题1"/>
    <w:basedOn w:val="1"/>
    <w:qFormat/>
    <w:uiPriority w:val="0"/>
    <w:pPr>
      <w:adjustRightInd w:val="0"/>
      <w:snapToGrid w:val="0"/>
      <w:ind w:left="1838" w:hanging="420"/>
    </w:pPr>
    <w:rPr>
      <w:rFonts w:eastAsia="黑体"/>
      <w:sz w:val="24"/>
      <w:szCs w:val="21"/>
    </w:rPr>
  </w:style>
  <w:style w:type="paragraph" w:customStyle="1" w:styleId="91">
    <w:name w:val="3表格内2级标题"/>
    <w:next w:val="51"/>
    <w:link w:val="112"/>
    <w:qFormat/>
    <w:uiPriority w:val="0"/>
    <w:pPr>
      <w:spacing w:line="520" w:lineRule="exact"/>
    </w:pPr>
    <w:rPr>
      <w:rFonts w:ascii="Times New Roman" w:hAnsi="Times New Roman" w:eastAsia="楷体" w:cs="Times New Roman"/>
      <w:b/>
      <w:color w:val="000000"/>
      <w:kern w:val="2"/>
      <w:sz w:val="24"/>
      <w:szCs w:val="24"/>
      <w:lang w:val="en-US" w:eastAsia="zh-CN" w:bidi="ar-SA"/>
    </w:rPr>
  </w:style>
  <w:style w:type="paragraph" w:customStyle="1" w:styleId="92">
    <w:name w:val="亳州样式 正文"/>
    <w:basedOn w:val="5"/>
    <w:qFormat/>
    <w:uiPriority w:val="0"/>
    <w:pPr>
      <w:adjustRightInd w:val="0"/>
      <w:snapToGrid w:val="0"/>
      <w:spacing w:line="360" w:lineRule="auto"/>
      <w:ind w:firstLine="425" w:firstLineChars="177"/>
    </w:pPr>
    <w:rPr>
      <w:rFonts w:ascii="仿宋_GB2312" w:hAnsi="Calibri" w:eastAsia="仿宋_GB2312" w:cs="宋体"/>
      <w:kern w:val="0"/>
      <w:szCs w:val="24"/>
    </w:rPr>
  </w:style>
  <w:style w:type="paragraph" w:customStyle="1" w:styleId="93">
    <w:name w:val="04四级标题"/>
    <w:basedOn w:val="1"/>
    <w:qFormat/>
    <w:uiPriority w:val="0"/>
    <w:pPr>
      <w:spacing w:line="500" w:lineRule="exact"/>
      <w:textAlignment w:val="baseline"/>
      <w:outlineLvl w:val="3"/>
    </w:pPr>
    <w:rPr>
      <w:sz w:val="28"/>
      <w:szCs w:val="20"/>
    </w:rPr>
  </w:style>
  <w:style w:type="paragraph" w:customStyle="1" w:styleId="94">
    <w:name w:val="表内容"/>
    <w:basedOn w:val="1"/>
    <w:qFormat/>
    <w:uiPriority w:val="0"/>
    <w:pPr>
      <w:jc w:val="center"/>
    </w:pPr>
    <w:rPr>
      <w:szCs w:val="21"/>
    </w:rPr>
  </w:style>
  <w:style w:type="paragraph" w:customStyle="1" w:styleId="95">
    <w:name w:val="铭洁尾矿库 正文"/>
    <w:basedOn w:val="1"/>
    <w:qFormat/>
    <w:uiPriority w:val="0"/>
    <w:pPr>
      <w:widowControl/>
      <w:spacing w:before="20" w:after="20" w:line="420" w:lineRule="auto"/>
      <w:ind w:firstLine="200" w:firstLineChars="200"/>
    </w:pPr>
    <w:rPr>
      <w:color w:val="3366FF"/>
      <w:w w:val="101"/>
      <w:sz w:val="25"/>
      <w:szCs w:val="25"/>
    </w:rPr>
  </w:style>
  <w:style w:type="paragraph" w:customStyle="1" w:styleId="96">
    <w:name w:val="刘正文"/>
    <w:basedOn w:val="1"/>
    <w:qFormat/>
    <w:uiPriority w:val="0"/>
    <w:pPr>
      <w:spacing w:line="460" w:lineRule="exact"/>
      <w:ind w:firstLine="480" w:firstLineChars="200"/>
      <w:jc w:val="left"/>
    </w:pPr>
    <w:rPr>
      <w:color w:val="000000"/>
      <w:sz w:val="24"/>
    </w:rPr>
  </w:style>
  <w:style w:type="paragraph" w:customStyle="1" w:styleId="97">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
    <w:name w:val="2表格内1级标题"/>
    <w:next w:val="51"/>
    <w:qFormat/>
    <w:uiPriority w:val="0"/>
    <w:pPr>
      <w:widowControl w:val="0"/>
      <w:spacing w:line="520" w:lineRule="exact"/>
    </w:pPr>
    <w:rPr>
      <w:rFonts w:ascii="Times New Roman" w:hAnsi="Times New Roman" w:eastAsia="宋体" w:cs="Times New Roman"/>
      <w:b/>
      <w:kern w:val="2"/>
      <w:sz w:val="24"/>
      <w:szCs w:val="24"/>
      <w:lang w:val="en-US" w:eastAsia="zh-CN" w:bidi="ar-SA"/>
    </w:rPr>
  </w:style>
  <w:style w:type="paragraph" w:customStyle="1" w:styleId="99">
    <w:name w:val="05正文"/>
    <w:basedOn w:val="1"/>
    <w:link w:val="111"/>
    <w:qFormat/>
    <w:uiPriority w:val="0"/>
    <w:pPr>
      <w:spacing w:line="500" w:lineRule="exact"/>
      <w:ind w:firstLine="200" w:firstLineChars="200"/>
    </w:pPr>
    <w:rPr>
      <w:sz w:val="24"/>
    </w:rPr>
  </w:style>
  <w:style w:type="paragraph" w:customStyle="1" w:styleId="100">
    <w:name w:val="4表格内3级标题"/>
    <w:basedOn w:val="51"/>
    <w:next w:val="51"/>
    <w:qFormat/>
    <w:uiPriority w:val="0"/>
    <w:pPr>
      <w:ind w:firstLine="0" w:firstLineChars="0"/>
      <w:jc w:val="left"/>
    </w:pPr>
  </w:style>
  <w:style w:type="paragraph" w:customStyle="1" w:styleId="101">
    <w:name w:val="刘表格居中"/>
    <w:basedOn w:val="1"/>
    <w:qFormat/>
    <w:uiPriority w:val="0"/>
    <w:pPr>
      <w:jc w:val="center"/>
    </w:pPr>
    <w:rPr>
      <w:color w:val="000000"/>
      <w:szCs w:val="21"/>
    </w:rPr>
  </w:style>
  <w:style w:type="paragraph" w:customStyle="1" w:styleId="102">
    <w:name w:val="个人正文"/>
    <w:basedOn w:val="1"/>
    <w:qFormat/>
    <w:uiPriority w:val="0"/>
    <w:pPr>
      <w:widowControl/>
      <w:autoSpaceDE w:val="0"/>
      <w:autoSpaceDN w:val="0"/>
      <w:adjustRightInd w:val="0"/>
      <w:spacing w:line="360" w:lineRule="auto"/>
      <w:ind w:firstLine="200" w:firstLineChars="200"/>
      <w:jc w:val="left"/>
      <w:textAlignment w:val="baseline"/>
    </w:pPr>
    <w:rPr>
      <w:kern w:val="0"/>
      <w:sz w:val="24"/>
      <w:szCs w:val="20"/>
    </w:rPr>
  </w:style>
  <w:style w:type="paragraph" w:customStyle="1" w:styleId="103">
    <w:name w:val="5表格内容"/>
    <w:next w:val="1"/>
    <w:qFormat/>
    <w:uiPriority w:val="0"/>
    <w:pPr>
      <w:widowControl w:val="0"/>
      <w:spacing w:line="400" w:lineRule="exact"/>
      <w:jc w:val="center"/>
    </w:pPr>
    <w:rPr>
      <w:rFonts w:ascii="Times New Roman" w:hAnsi="Times New Roman" w:eastAsia="宋体" w:cs="Times New Roman"/>
      <w:kern w:val="2"/>
      <w:sz w:val="21"/>
      <w:szCs w:val="24"/>
      <w:lang w:val="en-US" w:eastAsia="zh-CN" w:bidi="ar-SA"/>
    </w:rPr>
  </w:style>
  <w:style w:type="paragraph" w:customStyle="1" w:styleId="104">
    <w:name w:val="04正文"/>
    <w:qFormat/>
    <w:uiPriority w:val="0"/>
    <w:pPr>
      <w:snapToGrid w:val="0"/>
      <w:spacing w:line="440" w:lineRule="exact"/>
      <w:ind w:firstLine="200" w:firstLineChars="200"/>
    </w:pPr>
    <w:rPr>
      <w:rFonts w:ascii="Times New Roman" w:hAnsi="Times New Roman" w:eastAsia="宋体" w:cs="Courier New"/>
      <w:kern w:val="2"/>
      <w:sz w:val="21"/>
      <w:szCs w:val="21"/>
      <w:lang w:val="en-US" w:eastAsia="zh-CN" w:bidi="ar-SA"/>
    </w:rPr>
  </w:style>
  <w:style w:type="paragraph" w:customStyle="1" w:styleId="105">
    <w:name w:val="表格文字"/>
    <w:basedOn w:val="1"/>
    <w:next w:val="1"/>
    <w:qFormat/>
    <w:uiPriority w:val="0"/>
    <w:pPr>
      <w:spacing w:line="440" w:lineRule="exact"/>
      <w:jc w:val="center"/>
    </w:pPr>
    <w:rPr>
      <w:rFonts w:hint="eastAsia" w:ascii="仿宋_GB2312" w:hAnsi="Arial Black" w:eastAsia="仿宋_GB2312"/>
      <w:kern w:val="44"/>
      <w:sz w:val="24"/>
      <w:szCs w:val="20"/>
    </w:rPr>
  </w:style>
  <w:style w:type="paragraph" w:customStyle="1" w:styleId="106">
    <w:name w:val="表中文字"/>
    <w:qFormat/>
    <w:uiPriority w:val="0"/>
    <w:pPr>
      <w:widowControl w:val="0"/>
      <w:adjustRightInd w:val="0"/>
      <w:snapToGrid w:val="0"/>
      <w:jc w:val="center"/>
    </w:pPr>
    <w:rPr>
      <w:rFonts w:ascii="Times New Roman" w:hAnsi="Times New Roman" w:eastAsia="黑体" w:cs="Times New Roman"/>
      <w:bCs/>
      <w:sz w:val="21"/>
      <w:szCs w:val="24"/>
      <w:lang w:val="en-US" w:eastAsia="zh-CN" w:bidi="ar-SA"/>
    </w:rPr>
  </w:style>
  <w:style w:type="paragraph" w:customStyle="1" w:styleId="107">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108">
    <w:name w:val="02表格内1级标题"/>
    <w:basedOn w:val="12"/>
    <w:next w:val="104"/>
    <w:qFormat/>
    <w:uiPriority w:val="0"/>
    <w:pPr>
      <w:snapToGrid w:val="0"/>
      <w:spacing w:line="480" w:lineRule="exact"/>
    </w:pPr>
    <w:rPr>
      <w:rFonts w:ascii="Times New Roman" w:hAnsi="Times New Roman" w:cs="Courier New"/>
      <w:b/>
      <w:sz w:val="21"/>
      <w:szCs w:val="21"/>
    </w:rPr>
  </w:style>
  <w:style w:type="paragraph" w:customStyle="1" w:styleId="109">
    <w:name w:val="表内字"/>
    <w:qFormat/>
    <w:uiPriority w:val="0"/>
    <w:pPr>
      <w:spacing w:line="320" w:lineRule="exact"/>
      <w:jc w:val="center"/>
    </w:pPr>
    <w:rPr>
      <w:rFonts w:ascii="Times New Roman" w:hAnsi="Times New Roman" w:eastAsia="宋体" w:cs="Times New Roman"/>
      <w:bCs/>
      <w:kern w:val="2"/>
      <w:sz w:val="21"/>
      <w:szCs w:val="21"/>
      <w:lang w:val="en-US" w:eastAsia="zh-CN" w:bidi="ar-SA"/>
    </w:rPr>
  </w:style>
  <w:style w:type="paragraph" w:customStyle="1" w:styleId="110">
    <w:name w:val="Revision"/>
    <w:unhideWhenUsed/>
    <w:qFormat/>
    <w:uiPriority w:val="99"/>
    <w:rPr>
      <w:rFonts w:ascii="Times New Roman" w:hAnsi="Times New Roman" w:eastAsia="宋体" w:cs="Times New Roman"/>
      <w:kern w:val="2"/>
      <w:sz w:val="21"/>
      <w:szCs w:val="24"/>
      <w:lang w:val="en-US" w:eastAsia="zh-CN" w:bidi="ar-SA"/>
    </w:rPr>
  </w:style>
  <w:style w:type="character" w:customStyle="1" w:styleId="111">
    <w:name w:val="05正文 Char"/>
    <w:link w:val="99"/>
    <w:qFormat/>
    <w:locked/>
    <w:uiPriority w:val="0"/>
    <w:rPr>
      <w:kern w:val="2"/>
      <w:sz w:val="24"/>
      <w:szCs w:val="24"/>
    </w:rPr>
  </w:style>
  <w:style w:type="character" w:customStyle="1" w:styleId="112">
    <w:name w:val="3表格内2级标题 Char"/>
    <w:link w:val="91"/>
    <w:qFormat/>
    <w:uiPriority w:val="0"/>
    <w:rPr>
      <w:rFonts w:eastAsia="楷体"/>
      <w:b/>
      <w:color w:val="000000"/>
      <w:kern w:val="2"/>
      <w:sz w:val="24"/>
      <w:szCs w:val="24"/>
      <w:lang w:bidi="ar-SA"/>
    </w:rPr>
  </w:style>
  <w:style w:type="paragraph" w:customStyle="1" w:styleId="113">
    <w:name w:val="1正文"/>
    <w:basedOn w:val="1"/>
    <w:qFormat/>
    <w:uiPriority w:val="0"/>
    <w:pPr>
      <w:adjustRightInd w:val="0"/>
      <w:snapToGrid w:val="0"/>
      <w:spacing w:beforeLines="50" w:afterLines="50" w:line="360" w:lineRule="auto"/>
      <w:ind w:firstLine="200" w:firstLineChars="200"/>
      <w:jc w:val="left"/>
    </w:pPr>
    <w:rPr>
      <w:kern w:val="0"/>
      <w:sz w:val="24"/>
      <w:szCs w:val="20"/>
    </w:rPr>
  </w:style>
  <w:style w:type="paragraph" w:customStyle="1" w:styleId="114">
    <w:name w:val="简单回函地址"/>
    <w:basedOn w:val="1"/>
    <w:qFormat/>
    <w:uiPriority w:val="0"/>
    <w:rPr>
      <w:sz w:val="24"/>
      <w:szCs w:val="20"/>
    </w:rPr>
  </w:style>
  <w:style w:type="character" w:customStyle="1" w:styleId="115">
    <w:name w:val="06表头 Char"/>
    <w:link w:val="116"/>
    <w:qFormat/>
    <w:locked/>
    <w:uiPriority w:val="0"/>
    <w:rPr>
      <w:rFonts w:eastAsia="黑体" w:cs="Courier New"/>
      <w:sz w:val="24"/>
      <w:szCs w:val="24"/>
    </w:rPr>
  </w:style>
  <w:style w:type="paragraph" w:customStyle="1" w:styleId="116">
    <w:name w:val="06表头"/>
    <w:basedOn w:val="99"/>
    <w:next w:val="99"/>
    <w:link w:val="115"/>
    <w:qFormat/>
    <w:uiPriority w:val="0"/>
    <w:pPr>
      <w:widowControl/>
      <w:snapToGrid w:val="0"/>
      <w:spacing w:line="520" w:lineRule="exact"/>
      <w:ind w:firstLine="480"/>
      <w:jc w:val="left"/>
    </w:pPr>
    <w:rPr>
      <w:rFonts w:eastAsia="黑体" w:cs="Courier New"/>
      <w:kern w:val="0"/>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9"/>
    <customShpInfo spid="_x0000_s1135"/>
    <customShpInfo spid="_x0000_s1091"/>
    <customShpInfo spid="_x0000_s1096"/>
    <customShpInfo spid="_x0000_s111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D1FC13-01CD-4B0D-AEC6-070ED24B72D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64</Pages>
  <Words>33467</Words>
  <Characters>39159</Characters>
  <Lines>316</Lines>
  <Paragraphs>88</Paragraphs>
  <TotalTime>5032</TotalTime>
  <ScaleCrop>false</ScaleCrop>
  <LinksUpToDate>false</LinksUpToDate>
  <CharactersWithSpaces>40465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未定义</cp:lastModifiedBy>
  <cp:lastPrinted>2023-05-17T01:35:00Z</cp:lastPrinted>
  <dcterms:modified xsi:type="dcterms:W3CDTF">2023-05-18T07:28:47Z</dcterms:modified>
  <dc:title>附件2</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9A92A9592E684135B928C5A19D325720</vt:lpwstr>
  </property>
</Properties>
</file>