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 xml:space="preserve"> </w:t>
      </w:r>
      <w:r>
        <w:rPr>
          <w:rFonts w:ascii="Times New Roman" w:hAnsi="Times New Roman" w:eastAsia="黑体"/>
          <w:snapToGrid w:val="0"/>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3"/>
        <w:gridCol w:w="1203"/>
        <w:gridCol w:w="2107"/>
        <w:gridCol w:w="1862"/>
        <w:gridCol w:w="30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建设项目名称</w:t>
            </w:r>
          </w:p>
        </w:tc>
        <w:tc>
          <w:tcPr>
            <w:tcW w:w="7014" w:type="dxa"/>
            <w:gridSpan w:val="3"/>
            <w:vAlign w:val="center"/>
          </w:tcPr>
          <w:p>
            <w:pPr>
              <w:adjustRightInd w:val="0"/>
              <w:snapToGrid w:val="0"/>
              <w:spacing w:line="360" w:lineRule="exact"/>
              <w:jc w:val="center"/>
              <w:rPr>
                <w:szCs w:val="21"/>
              </w:rPr>
            </w:pPr>
            <w:r>
              <w:rPr>
                <w:rFonts w:hint="eastAsia"/>
                <w:sz w:val="24"/>
              </w:rPr>
              <w:t>偃师丰河包装材料有限公司年产100万个集装袋改建项目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项目代码</w:t>
            </w:r>
          </w:p>
        </w:tc>
        <w:tc>
          <w:tcPr>
            <w:tcW w:w="7014" w:type="dxa"/>
            <w:gridSpan w:val="3"/>
            <w:vAlign w:val="center"/>
          </w:tcPr>
          <w:p>
            <w:pPr>
              <w:adjustRightInd w:val="0"/>
              <w:snapToGrid w:val="0"/>
              <w:jc w:val="center"/>
              <w:rPr>
                <w:szCs w:val="21"/>
              </w:rPr>
            </w:pPr>
            <w:r>
              <w:rPr>
                <w:rFonts w:hint="eastAsia"/>
                <w:sz w:val="24"/>
              </w:rPr>
              <w:t>2306-410381-04-01-195440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建设单位联系人</w:t>
            </w:r>
          </w:p>
        </w:tc>
        <w:tc>
          <w:tcPr>
            <w:tcW w:w="2107" w:type="dxa"/>
            <w:vAlign w:val="center"/>
          </w:tcPr>
          <w:p>
            <w:pPr>
              <w:adjustRightInd w:val="0"/>
              <w:snapToGrid w:val="0"/>
              <w:jc w:val="center"/>
              <w:rPr>
                <w:rFonts w:hint="eastAsia" w:eastAsia="宋体"/>
                <w:szCs w:val="21"/>
                <w:lang w:eastAsia="zh-CN"/>
              </w:rPr>
            </w:pPr>
            <w:r>
              <w:rPr>
                <w:rFonts w:hint="eastAsia"/>
              </w:rPr>
              <w:t>宋</w:t>
            </w:r>
            <w:r>
              <w:rPr>
                <w:rFonts w:hint="eastAsia"/>
                <w:lang w:val="en-US" w:eastAsia="zh-CN"/>
              </w:rPr>
              <w:t>*</w:t>
            </w:r>
          </w:p>
        </w:tc>
        <w:tc>
          <w:tcPr>
            <w:tcW w:w="1862" w:type="dxa"/>
            <w:vAlign w:val="center"/>
          </w:tcPr>
          <w:p>
            <w:pPr>
              <w:adjustRightInd w:val="0"/>
              <w:snapToGrid w:val="0"/>
              <w:jc w:val="center"/>
              <w:rPr>
                <w:szCs w:val="21"/>
              </w:rPr>
            </w:pPr>
            <w:r>
              <w:rPr>
                <w:sz w:val="24"/>
              </w:rPr>
              <w:t>联系方式</w:t>
            </w:r>
          </w:p>
        </w:tc>
        <w:tc>
          <w:tcPr>
            <w:tcW w:w="3045" w:type="dxa"/>
            <w:vAlign w:val="center"/>
          </w:tcPr>
          <w:p>
            <w:pPr>
              <w:adjustRightInd w:val="0"/>
              <w:snapToGrid w:val="0"/>
              <w:jc w:val="center"/>
              <w:rPr>
                <w:rFonts w:hint="eastAsia" w:eastAsia="宋体"/>
                <w:szCs w:val="21"/>
                <w:lang w:eastAsia="zh-CN"/>
              </w:rPr>
            </w:pPr>
            <w:r>
              <w:rPr>
                <w:rFonts w:hint="eastAsia"/>
                <w:sz w:val="24"/>
              </w:rPr>
              <w:t>135</w:t>
            </w:r>
            <w:r>
              <w:rPr>
                <w:rFonts w:hint="eastAsia"/>
                <w:sz w:val="24"/>
                <w:lang w:val="en-US" w:eastAsia="zh-CN"/>
              </w:rPr>
              <w:t>*</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建设地点</w:t>
            </w:r>
          </w:p>
        </w:tc>
        <w:tc>
          <w:tcPr>
            <w:tcW w:w="7014" w:type="dxa"/>
            <w:gridSpan w:val="3"/>
            <w:vAlign w:val="center"/>
          </w:tcPr>
          <w:p>
            <w:pPr>
              <w:adjustRightInd w:val="0"/>
              <w:snapToGrid w:val="0"/>
              <w:jc w:val="center"/>
              <w:rPr>
                <w:sz w:val="24"/>
              </w:rPr>
            </w:pPr>
            <w:r>
              <w:rPr>
                <w:rFonts w:hint="eastAsia"/>
                <w:sz w:val="24"/>
              </w:rPr>
              <w:t>洛阳市偃师区岳滩镇赵庄街村11组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地理坐标</w:t>
            </w:r>
          </w:p>
        </w:tc>
        <w:tc>
          <w:tcPr>
            <w:tcW w:w="7014" w:type="dxa"/>
            <w:gridSpan w:val="3"/>
            <w:vAlign w:val="center"/>
          </w:tcPr>
          <w:p>
            <w:pPr>
              <w:jc w:val="center"/>
              <w:rPr>
                <w:sz w:val="24"/>
              </w:rPr>
            </w:pPr>
            <w:r>
              <w:rPr>
                <w:sz w:val="24"/>
              </w:rPr>
              <w:t>（112度</w:t>
            </w:r>
            <w:r>
              <w:rPr>
                <w:rFonts w:hint="eastAsia"/>
                <w:sz w:val="24"/>
              </w:rPr>
              <w:t>44</w:t>
            </w:r>
            <w:r>
              <w:rPr>
                <w:sz w:val="24"/>
              </w:rPr>
              <w:t>分</w:t>
            </w:r>
            <w:r>
              <w:rPr>
                <w:rFonts w:hint="eastAsia"/>
                <w:sz w:val="24"/>
              </w:rPr>
              <w:t>23.773</w:t>
            </w:r>
            <w:r>
              <w:rPr>
                <w:sz w:val="24"/>
              </w:rPr>
              <w:t>秒，34度</w:t>
            </w:r>
            <w:r>
              <w:rPr>
                <w:rFonts w:hint="eastAsia"/>
                <w:sz w:val="24"/>
              </w:rPr>
              <w:t>40</w:t>
            </w:r>
            <w:r>
              <w:rPr>
                <w:sz w:val="24"/>
              </w:rPr>
              <w:t>分</w:t>
            </w:r>
            <w:r>
              <w:rPr>
                <w:rFonts w:hint="eastAsia"/>
                <w:sz w:val="24"/>
              </w:rPr>
              <w:t>52.659</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107" w:type="dxa"/>
            <w:vAlign w:val="center"/>
          </w:tcPr>
          <w:p>
            <w:pPr>
              <w:adjustRightInd w:val="0"/>
              <w:snapToGrid w:val="0"/>
              <w:spacing w:line="360" w:lineRule="exact"/>
              <w:jc w:val="center"/>
              <w:rPr>
                <w:szCs w:val="21"/>
              </w:rPr>
            </w:pPr>
            <w:r>
              <w:rPr>
                <w:sz w:val="24"/>
              </w:rPr>
              <w:t>C</w:t>
            </w:r>
            <w:r>
              <w:rPr>
                <w:rFonts w:hint="eastAsia"/>
                <w:sz w:val="24"/>
              </w:rPr>
              <w:t>2923塑料丝、绳及编织品制造</w:t>
            </w:r>
          </w:p>
        </w:tc>
        <w:tc>
          <w:tcPr>
            <w:tcW w:w="1862" w:type="dxa"/>
            <w:vAlign w:val="center"/>
          </w:tcPr>
          <w:p>
            <w:pPr>
              <w:adjustRightInd w:val="0"/>
              <w:snapToGrid w:val="0"/>
              <w:spacing w:line="360" w:lineRule="exact"/>
              <w:jc w:val="center"/>
              <w:rPr>
                <w:sz w:val="24"/>
              </w:rPr>
            </w:pPr>
            <w:bookmarkStart w:id="0" w:name="_Hlk49843745"/>
            <w:r>
              <w:rPr>
                <w:sz w:val="24"/>
              </w:rPr>
              <w:t>建设项目</w:t>
            </w:r>
          </w:p>
          <w:p>
            <w:pPr>
              <w:adjustRightInd w:val="0"/>
              <w:snapToGrid w:val="0"/>
              <w:spacing w:line="360" w:lineRule="exact"/>
              <w:jc w:val="center"/>
              <w:rPr>
                <w:szCs w:val="21"/>
              </w:rPr>
            </w:pPr>
            <w:r>
              <w:rPr>
                <w:sz w:val="24"/>
              </w:rPr>
              <w:t>行业类别</w:t>
            </w:r>
            <w:bookmarkEnd w:id="0"/>
          </w:p>
        </w:tc>
        <w:tc>
          <w:tcPr>
            <w:tcW w:w="3045" w:type="dxa"/>
            <w:vAlign w:val="center"/>
          </w:tcPr>
          <w:p>
            <w:pPr>
              <w:adjustRightInd w:val="0"/>
              <w:snapToGrid w:val="0"/>
              <w:spacing w:line="360" w:lineRule="exact"/>
              <w:rPr>
                <w:sz w:val="24"/>
              </w:rPr>
            </w:pPr>
            <w:r>
              <w:rPr>
                <w:rFonts w:hint="eastAsia"/>
                <w:sz w:val="24"/>
              </w:rPr>
              <w:t>二十</w:t>
            </w:r>
            <w:r>
              <w:rPr>
                <w:sz w:val="24"/>
              </w:rPr>
              <w:t>六、</w:t>
            </w:r>
            <w:r>
              <w:rPr>
                <w:rFonts w:hint="eastAsia"/>
                <w:sz w:val="24"/>
              </w:rPr>
              <w:t>橡胶和塑料制品业</w:t>
            </w:r>
          </w:p>
          <w:p>
            <w:pPr>
              <w:adjustRightInd w:val="0"/>
              <w:snapToGrid w:val="0"/>
              <w:spacing w:line="360" w:lineRule="exact"/>
              <w:rPr>
                <w:szCs w:val="21"/>
              </w:rPr>
            </w:pPr>
            <w:r>
              <w:rPr>
                <w:rFonts w:hint="eastAsia"/>
                <w:sz w:val="24"/>
              </w:rPr>
              <w:t>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建设性质</w:t>
            </w:r>
          </w:p>
        </w:tc>
        <w:tc>
          <w:tcPr>
            <w:tcW w:w="2107" w:type="dxa"/>
            <w:vAlign w:val="center"/>
          </w:tcPr>
          <w:p>
            <w:pPr>
              <w:spacing w:line="360" w:lineRule="exact"/>
              <w:jc w:val="left"/>
              <w:rPr>
                <w:sz w:val="24"/>
              </w:rPr>
            </w:pPr>
            <w:r>
              <w:rPr>
                <w:sz w:val="24"/>
              </w:rPr>
              <w:t>□新建（迁建）</w:t>
            </w:r>
          </w:p>
          <w:p>
            <w:pPr>
              <w:spacing w:line="360" w:lineRule="exact"/>
              <w:jc w:val="left"/>
              <w:rPr>
                <w:sz w:val="24"/>
              </w:rPr>
            </w:pPr>
            <w:r>
              <w:rPr>
                <w:rFonts w:hint="eastAsia" w:ascii="MS Mincho" w:hAnsi="MS Mincho" w:eastAsia="MS Mincho" w:cs="MS Mincho"/>
                <w:sz w:val="24"/>
              </w:rPr>
              <w:t>☑</w:t>
            </w:r>
            <w:r>
              <w:rPr>
                <w:sz w:val="24"/>
              </w:rPr>
              <w:t>改建</w:t>
            </w:r>
          </w:p>
          <w:p>
            <w:pPr>
              <w:spacing w:line="360" w:lineRule="exact"/>
              <w:jc w:val="left"/>
              <w:rPr>
                <w:sz w:val="24"/>
              </w:rPr>
            </w:pPr>
            <w:r>
              <w:rPr>
                <w:sz w:val="24"/>
              </w:rPr>
              <w:t>□扩建</w:t>
            </w:r>
          </w:p>
          <w:p>
            <w:pPr>
              <w:spacing w:line="360" w:lineRule="exact"/>
              <w:jc w:val="left"/>
              <w:rPr>
                <w:sz w:val="24"/>
              </w:rPr>
            </w:pPr>
            <w:r>
              <w:rPr>
                <w:sz w:val="24"/>
              </w:rPr>
              <w:t>□技术改造</w:t>
            </w:r>
          </w:p>
        </w:tc>
        <w:tc>
          <w:tcPr>
            <w:tcW w:w="1862" w:type="dxa"/>
            <w:vAlign w:val="center"/>
          </w:tcPr>
          <w:p>
            <w:pPr>
              <w:adjustRightInd w:val="0"/>
              <w:snapToGrid w:val="0"/>
              <w:spacing w:line="360" w:lineRule="exact"/>
              <w:jc w:val="center"/>
              <w:rPr>
                <w:sz w:val="24"/>
              </w:rPr>
            </w:pPr>
            <w:r>
              <w:rPr>
                <w:sz w:val="24"/>
              </w:rPr>
              <w:t>建设项目</w:t>
            </w:r>
          </w:p>
          <w:p>
            <w:pPr>
              <w:adjustRightInd w:val="0"/>
              <w:snapToGrid w:val="0"/>
              <w:spacing w:line="360" w:lineRule="exact"/>
              <w:jc w:val="center"/>
              <w:rPr>
                <w:sz w:val="24"/>
              </w:rPr>
            </w:pPr>
            <w:r>
              <w:rPr>
                <w:sz w:val="24"/>
              </w:rPr>
              <w:t>申报情形</w:t>
            </w:r>
          </w:p>
        </w:tc>
        <w:tc>
          <w:tcPr>
            <w:tcW w:w="3045" w:type="dxa"/>
            <w:vAlign w:val="center"/>
          </w:tcPr>
          <w:p>
            <w:pPr>
              <w:spacing w:line="360" w:lineRule="exact"/>
              <w:jc w:val="left"/>
              <w:rPr>
                <w:sz w:val="24"/>
              </w:rPr>
            </w:pPr>
            <w:r>
              <w:rPr>
                <w:rFonts w:hint="eastAsia" w:ascii="MS Mincho" w:hAnsi="MS Mincho" w:eastAsia="MS Mincho" w:cs="MS Mincho"/>
                <w:sz w:val="24"/>
              </w:rPr>
              <w:t>☑</w:t>
            </w:r>
            <w:r>
              <w:rPr>
                <w:sz w:val="24"/>
              </w:rPr>
              <w:t xml:space="preserve">首次申报项目             </w:t>
            </w:r>
          </w:p>
          <w:p>
            <w:pPr>
              <w:spacing w:line="360" w:lineRule="exact"/>
              <w:jc w:val="left"/>
              <w:rPr>
                <w:sz w:val="24"/>
              </w:rPr>
            </w:pPr>
            <w:r>
              <w:rPr>
                <w:sz w:val="24"/>
              </w:rPr>
              <w:t>□不予批准后再次申报项目</w:t>
            </w:r>
          </w:p>
          <w:p>
            <w:pPr>
              <w:spacing w:line="360" w:lineRule="exact"/>
              <w:jc w:val="left"/>
              <w:rPr>
                <w:sz w:val="24"/>
              </w:rPr>
            </w:pPr>
            <w:r>
              <w:rPr>
                <w:sz w:val="24"/>
              </w:rPr>
              <w:t xml:space="preserve">□超五年重新审核项目     </w:t>
            </w:r>
          </w:p>
          <w:p>
            <w:pPr>
              <w:spacing w:line="360" w:lineRule="exact"/>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2107" w:type="dxa"/>
            <w:vAlign w:val="center"/>
          </w:tcPr>
          <w:p>
            <w:pPr>
              <w:adjustRightInd w:val="0"/>
              <w:snapToGrid w:val="0"/>
              <w:jc w:val="center"/>
              <w:rPr>
                <w:szCs w:val="21"/>
              </w:rPr>
            </w:pPr>
            <w:r>
              <w:rPr>
                <w:rFonts w:hint="eastAsia"/>
                <w:sz w:val="24"/>
              </w:rPr>
              <w:t>洛阳市偃师区</w:t>
            </w:r>
            <w:r>
              <w:rPr>
                <w:sz w:val="24"/>
              </w:rPr>
              <w:t>发展和改革委员会</w:t>
            </w:r>
          </w:p>
        </w:tc>
        <w:tc>
          <w:tcPr>
            <w:tcW w:w="1862"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3045" w:type="dxa"/>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总投资（万元）</w:t>
            </w:r>
          </w:p>
        </w:tc>
        <w:tc>
          <w:tcPr>
            <w:tcW w:w="2107" w:type="dxa"/>
            <w:vAlign w:val="center"/>
          </w:tcPr>
          <w:p>
            <w:pPr>
              <w:adjustRightInd w:val="0"/>
              <w:snapToGrid w:val="0"/>
              <w:jc w:val="center"/>
              <w:rPr>
                <w:sz w:val="24"/>
              </w:rPr>
            </w:pPr>
            <w:r>
              <w:rPr>
                <w:rFonts w:hint="eastAsia"/>
                <w:sz w:val="24"/>
              </w:rPr>
              <w:t>1</w:t>
            </w:r>
            <w:r>
              <w:rPr>
                <w:sz w:val="24"/>
              </w:rPr>
              <w:t>00</w:t>
            </w:r>
          </w:p>
        </w:tc>
        <w:tc>
          <w:tcPr>
            <w:tcW w:w="1862" w:type="dxa"/>
            <w:tcMar>
              <w:top w:w="16" w:type="dxa"/>
              <w:left w:w="16" w:type="dxa"/>
              <w:right w:w="16" w:type="dxa"/>
            </w:tcMar>
            <w:vAlign w:val="center"/>
          </w:tcPr>
          <w:p>
            <w:pPr>
              <w:adjustRightInd w:val="0"/>
              <w:snapToGrid w:val="0"/>
              <w:jc w:val="center"/>
              <w:rPr>
                <w:sz w:val="24"/>
              </w:rPr>
            </w:pPr>
            <w:r>
              <w:rPr>
                <w:sz w:val="24"/>
              </w:rPr>
              <w:t>环保投资（万元）</w:t>
            </w:r>
          </w:p>
        </w:tc>
        <w:tc>
          <w:tcPr>
            <w:tcW w:w="3045" w:type="dxa"/>
            <w:vAlign w:val="center"/>
          </w:tcPr>
          <w:p>
            <w:pPr>
              <w:adjustRightInd w:val="0"/>
              <w:snapToGrid w:val="0"/>
              <w:jc w:val="center"/>
              <w:rPr>
                <w:sz w:val="24"/>
              </w:rPr>
            </w:pPr>
            <w:r>
              <w:rPr>
                <w:rFonts w:hint="eastAsia"/>
                <w:sz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环保投资占比（%）</w:t>
            </w:r>
          </w:p>
        </w:tc>
        <w:tc>
          <w:tcPr>
            <w:tcW w:w="2107" w:type="dxa"/>
            <w:vAlign w:val="center"/>
          </w:tcPr>
          <w:p>
            <w:pPr>
              <w:adjustRightInd w:val="0"/>
              <w:snapToGrid w:val="0"/>
              <w:jc w:val="center"/>
              <w:rPr>
                <w:sz w:val="24"/>
              </w:rPr>
            </w:pPr>
            <w:r>
              <w:rPr>
                <w:rFonts w:hint="eastAsia"/>
                <w:sz w:val="24"/>
              </w:rPr>
              <w:t>6</w:t>
            </w:r>
          </w:p>
        </w:tc>
        <w:tc>
          <w:tcPr>
            <w:tcW w:w="1862" w:type="dxa"/>
            <w:tcMar>
              <w:top w:w="16" w:type="dxa"/>
              <w:left w:w="16" w:type="dxa"/>
              <w:right w:w="16" w:type="dxa"/>
            </w:tcMar>
            <w:vAlign w:val="center"/>
          </w:tcPr>
          <w:p>
            <w:pPr>
              <w:adjustRightInd w:val="0"/>
              <w:snapToGrid w:val="0"/>
              <w:jc w:val="center"/>
              <w:rPr>
                <w:sz w:val="24"/>
              </w:rPr>
            </w:pPr>
            <w:r>
              <w:rPr>
                <w:sz w:val="24"/>
              </w:rPr>
              <w:t>施工工期</w:t>
            </w:r>
          </w:p>
        </w:tc>
        <w:tc>
          <w:tcPr>
            <w:tcW w:w="3045" w:type="dxa"/>
            <w:vAlign w:val="center"/>
          </w:tcPr>
          <w:p>
            <w:pPr>
              <w:adjustRightInd w:val="0"/>
              <w:snapToGrid w:val="0"/>
              <w:jc w:val="center"/>
              <w:rPr>
                <w:sz w:val="24"/>
              </w:rPr>
            </w:pPr>
            <w:r>
              <w:rPr>
                <w:rFonts w:hint="eastAsia"/>
                <w:sz w:val="24"/>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56" w:type="dxa"/>
            <w:gridSpan w:val="2"/>
            <w:tcMar>
              <w:top w:w="16" w:type="dxa"/>
              <w:left w:w="16" w:type="dxa"/>
              <w:right w:w="16" w:type="dxa"/>
            </w:tcMar>
            <w:vAlign w:val="center"/>
          </w:tcPr>
          <w:p>
            <w:pPr>
              <w:adjustRightInd w:val="0"/>
              <w:snapToGrid w:val="0"/>
              <w:jc w:val="center"/>
              <w:rPr>
                <w:sz w:val="24"/>
              </w:rPr>
            </w:pPr>
            <w:r>
              <w:rPr>
                <w:sz w:val="24"/>
              </w:rPr>
              <w:t>是否开工建设</w:t>
            </w:r>
          </w:p>
        </w:tc>
        <w:tc>
          <w:tcPr>
            <w:tcW w:w="2107" w:type="dxa"/>
            <w:vAlign w:val="center"/>
          </w:tcPr>
          <w:p>
            <w:pPr>
              <w:adjustRightInd w:val="0"/>
              <w:snapToGrid w:val="0"/>
              <w:rPr>
                <w:sz w:val="24"/>
              </w:rPr>
            </w:pPr>
            <w:r>
              <w:rPr>
                <w:rFonts w:hint="eastAsia" w:ascii="MS Mincho" w:hAnsi="MS Mincho" w:eastAsia="MS Mincho" w:cs="MS Mincho"/>
                <w:sz w:val="24"/>
              </w:rPr>
              <w:t>☑</w:t>
            </w:r>
            <w:r>
              <w:rPr>
                <w:sz w:val="24"/>
              </w:rPr>
              <w:t>否</w:t>
            </w:r>
          </w:p>
          <w:p>
            <w:pPr>
              <w:adjustRightInd w:val="0"/>
              <w:snapToGrid w:val="0"/>
              <w:rPr>
                <w:szCs w:val="21"/>
              </w:rPr>
            </w:pPr>
            <w:r>
              <w:rPr>
                <w:sz w:val="24"/>
              </w:rPr>
              <w:t>□是</w:t>
            </w:r>
            <w:r>
              <w:rPr>
                <w:rFonts w:hint="eastAsia"/>
                <w:szCs w:val="21"/>
              </w:rPr>
              <w:t xml:space="preserve"> </w:t>
            </w:r>
          </w:p>
        </w:tc>
        <w:tc>
          <w:tcPr>
            <w:tcW w:w="1862"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3045" w:type="dxa"/>
            <w:vAlign w:val="center"/>
          </w:tcPr>
          <w:p>
            <w:pPr>
              <w:adjustRightInd w:val="0"/>
              <w:snapToGrid w:val="0"/>
              <w:jc w:val="center"/>
              <w:rPr>
                <w:sz w:val="24"/>
              </w:rPr>
            </w:pPr>
            <w:r>
              <w:t>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6" w:type="dxa"/>
            <w:gridSpan w:val="2"/>
            <w:vAlign w:val="center"/>
          </w:tcPr>
          <w:p>
            <w:pPr>
              <w:autoSpaceDE w:val="0"/>
              <w:autoSpaceDN w:val="0"/>
              <w:adjustRightInd w:val="0"/>
              <w:snapToGrid w:val="0"/>
              <w:jc w:val="center"/>
              <w:rPr>
                <w:kern w:val="0"/>
                <w:sz w:val="24"/>
              </w:rPr>
            </w:pPr>
            <w:r>
              <w:rPr>
                <w:kern w:val="0"/>
                <w:sz w:val="24"/>
              </w:rPr>
              <w:t>专项评价设置情况</w:t>
            </w:r>
          </w:p>
        </w:tc>
        <w:tc>
          <w:tcPr>
            <w:tcW w:w="7014" w:type="dxa"/>
            <w:gridSpan w:val="3"/>
            <w:vAlign w:val="center"/>
          </w:tcPr>
          <w:p>
            <w:pPr>
              <w:autoSpaceDE w:val="0"/>
              <w:autoSpaceDN w:val="0"/>
              <w:adjustRightInd w:val="0"/>
              <w:snapToGrid w:val="0"/>
              <w:jc w:val="center"/>
              <w:rPr>
                <w:kern w:val="0"/>
                <w:szCs w:val="21"/>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56" w:type="dxa"/>
            <w:gridSpan w:val="2"/>
            <w:vAlign w:val="center"/>
          </w:tcPr>
          <w:p>
            <w:pPr>
              <w:autoSpaceDE w:val="0"/>
              <w:autoSpaceDN w:val="0"/>
              <w:adjustRightInd w:val="0"/>
              <w:snapToGrid w:val="0"/>
              <w:jc w:val="center"/>
              <w:rPr>
                <w:kern w:val="0"/>
                <w:sz w:val="24"/>
              </w:rPr>
            </w:pPr>
            <w:r>
              <w:rPr>
                <w:sz w:val="24"/>
              </w:rPr>
              <w:t>规划情况</w:t>
            </w:r>
          </w:p>
        </w:tc>
        <w:tc>
          <w:tcPr>
            <w:tcW w:w="7014" w:type="dxa"/>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56" w:type="dxa"/>
            <w:gridSpan w:val="2"/>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7014" w:type="dxa"/>
            <w:gridSpan w:val="3"/>
            <w:vAlign w:val="center"/>
          </w:tcPr>
          <w:p>
            <w:pPr>
              <w:autoSpaceDE w:val="0"/>
              <w:autoSpaceDN w:val="0"/>
              <w:adjustRightInd w:val="0"/>
              <w:snapToGrid w:val="0"/>
              <w:jc w:val="center"/>
              <w:rPr>
                <w:kern w:val="0"/>
                <w:szCs w:val="21"/>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56" w:type="dxa"/>
            <w:gridSpan w:val="2"/>
            <w:vAlign w:val="center"/>
          </w:tcPr>
          <w:p>
            <w:pPr>
              <w:autoSpaceDE w:val="0"/>
              <w:autoSpaceDN w:val="0"/>
              <w:adjustRightInd w:val="0"/>
              <w:snapToGrid w:val="0"/>
              <w:jc w:val="left"/>
              <w:rPr>
                <w:kern w:val="0"/>
                <w:sz w:val="24"/>
              </w:rPr>
            </w:pPr>
            <w:r>
              <w:rPr>
                <w:kern w:val="0"/>
                <w:sz w:val="24"/>
              </w:rPr>
              <w:t>规划及规划环境影响评价符合性分析</w:t>
            </w:r>
          </w:p>
        </w:tc>
        <w:tc>
          <w:tcPr>
            <w:tcW w:w="7014" w:type="dxa"/>
            <w:gridSpan w:val="3"/>
            <w:vAlign w:val="center"/>
          </w:tcPr>
          <w:p>
            <w:pPr>
              <w:autoSpaceDE w:val="0"/>
              <w:autoSpaceDN w:val="0"/>
              <w:adjustRightInd w:val="0"/>
              <w:snapToGrid w:val="0"/>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44" w:hRule="atLeast"/>
          <w:jc w:val="center"/>
        </w:trPr>
        <w:tc>
          <w:tcPr>
            <w:tcW w:w="653" w:type="dxa"/>
            <w:vAlign w:val="center"/>
          </w:tcPr>
          <w:p>
            <w:pPr>
              <w:autoSpaceDE w:val="0"/>
              <w:autoSpaceDN w:val="0"/>
              <w:adjustRightInd w:val="0"/>
              <w:snapToGrid w:val="0"/>
              <w:jc w:val="center"/>
              <w:rPr>
                <w:kern w:val="0"/>
                <w:sz w:val="24"/>
              </w:rPr>
            </w:pPr>
            <w:r>
              <w:rPr>
                <w:color w:val="000000"/>
                <w:kern w:val="0"/>
                <w:sz w:val="24"/>
              </w:rPr>
              <w:t>其他符合性分析</w:t>
            </w:r>
          </w:p>
        </w:tc>
        <w:tc>
          <w:tcPr>
            <w:tcW w:w="8217" w:type="dxa"/>
            <w:gridSpan w:val="4"/>
            <w:vAlign w:val="center"/>
          </w:tcPr>
          <w:p>
            <w:pPr>
              <w:pStyle w:val="69"/>
              <w:spacing w:before="120" w:beforeLines="50" w:line="360" w:lineRule="auto"/>
              <w:ind w:left="0" w:firstLine="0"/>
              <w:rPr>
                <w:rFonts w:ascii="宋体" w:hAnsi="宋体" w:cs="宋体"/>
                <w:b/>
                <w:bCs/>
              </w:rPr>
            </w:pPr>
            <w:r>
              <w:rPr>
                <w:rFonts w:hint="eastAsia" w:ascii="宋体" w:hAnsi="宋体" w:cs="宋体"/>
                <w:b/>
                <w:bCs/>
              </w:rPr>
              <w:t>1.“三线一单”相符性分析</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（1）生态保护红线</w:t>
            </w:r>
          </w:p>
          <w:p>
            <w:pPr>
              <w:autoSpaceDE w:val="0"/>
              <w:autoSpaceDN w:val="0"/>
              <w:adjustRightInd w:val="0"/>
              <w:snapToGrid w:val="0"/>
              <w:spacing w:line="360" w:lineRule="auto"/>
              <w:ind w:firstLine="480" w:firstLineChars="200"/>
              <w:rPr>
                <w:kern w:val="44"/>
                <w:sz w:val="24"/>
                <w:u w:val="single"/>
              </w:rPr>
            </w:pPr>
            <w:r>
              <w:rPr>
                <w:rFonts w:hint="eastAsia" w:ascii="宋体" w:hAnsi="宋体" w:cs="宋体"/>
                <w:kern w:val="0"/>
                <w:sz w:val="24"/>
              </w:rPr>
              <w:t>本项目位于</w:t>
            </w:r>
            <w:r>
              <w:rPr>
                <w:rFonts w:hint="eastAsia" w:ascii="宋体" w:hAnsi="宋体" w:cs="宋体"/>
                <w:sz w:val="24"/>
              </w:rPr>
              <w:t>洛阳市偃师</w:t>
            </w:r>
            <w:r>
              <w:rPr>
                <w:rFonts w:hint="eastAsia" w:ascii="宋体" w:hAnsi="宋体" w:cs="宋体"/>
                <w:kern w:val="0"/>
                <w:sz w:val="24"/>
              </w:rPr>
              <w:t>区岳滩镇工业园区，</w:t>
            </w:r>
            <w:r>
              <w:rPr>
                <w:rFonts w:hint="eastAsia" w:ascii="宋体" w:hAnsi="宋体" w:cs="宋体"/>
                <w:kern w:val="44"/>
                <w:sz w:val="24"/>
              </w:rPr>
              <w:t>经过现场踏勘，本项目不在自然保护区、风景名胜区、森林公园、地质公园、重要生态功能区、生态敏感区和脆弱区以及其他要求禁止建设的环境敏感区内。根据</w:t>
            </w:r>
            <w:r>
              <w:rPr>
                <w:rFonts w:hint="eastAsia" w:ascii="宋体" w:hAnsi="宋体" w:cs="宋体"/>
                <w:kern w:val="0"/>
                <w:sz w:val="24"/>
              </w:rPr>
              <w:t>《洛阳市人民政府关于实施“三线一单”生态环境分区管控的意见》（洛政[2021]7号）</w:t>
            </w:r>
            <w:r>
              <w:rPr>
                <w:rFonts w:hint="eastAsia" w:ascii="宋体" w:hAnsi="宋体" w:cs="宋体"/>
                <w:kern w:val="44"/>
                <w:sz w:val="24"/>
              </w:rPr>
              <w:t>，项目所在地不属于生态红线区域。根据河南省“三线一单”成果查询系统结果，本项目所在位置属于重点管控单元，详见附图4。</w:t>
            </w:r>
          </w:p>
          <w:p>
            <w:pPr>
              <w:autoSpaceDE w:val="0"/>
              <w:autoSpaceDN w:val="0"/>
              <w:adjustRightInd w:val="0"/>
              <w:snapToGrid w:val="0"/>
              <w:spacing w:line="360" w:lineRule="auto"/>
              <w:ind w:firstLine="482" w:firstLineChars="200"/>
              <w:rPr>
                <w:kern w:val="0"/>
                <w:sz w:val="24"/>
              </w:rPr>
            </w:pPr>
            <w:r>
              <w:rPr>
                <w:rFonts w:hint="eastAsia" w:ascii="宋体" w:hAnsi="宋体" w:cs="宋体"/>
                <w:b/>
                <w:kern w:val="44"/>
                <w:sz w:val="24"/>
              </w:rPr>
              <w:t>饮用水源保护区划调查：</w:t>
            </w:r>
            <w:r>
              <w:rPr>
                <w:rFonts w:hint="eastAsia" w:ascii="宋体" w:hAnsi="宋体" w:cs="宋体"/>
                <w:kern w:val="0"/>
                <w:sz w:val="24"/>
              </w:rPr>
              <w:t>本项目位于</w:t>
            </w:r>
            <w:r>
              <w:rPr>
                <w:rFonts w:hint="eastAsia" w:ascii="宋体" w:hAnsi="宋体" w:cs="宋体"/>
                <w:sz w:val="24"/>
              </w:rPr>
              <w:t>洛阳市偃师</w:t>
            </w:r>
            <w:r>
              <w:rPr>
                <w:rFonts w:hint="eastAsia" w:ascii="宋体" w:hAnsi="宋体" w:cs="宋体"/>
                <w:kern w:val="0"/>
                <w:sz w:val="24"/>
              </w:rPr>
              <w:t>区岳滩镇</w:t>
            </w:r>
            <w:r>
              <w:rPr>
                <w:rFonts w:hint="eastAsia"/>
                <w:sz w:val="24"/>
              </w:rPr>
              <w:t>赵庄街村11组</w:t>
            </w:r>
            <w:r>
              <w:rPr>
                <w:rFonts w:hint="eastAsia" w:ascii="宋体" w:hAnsi="宋体" w:cs="宋体"/>
                <w:sz w:val="24"/>
              </w:rPr>
              <w:t>，根据河南省人</w:t>
            </w:r>
            <w:r>
              <w:rPr>
                <w:sz w:val="24"/>
              </w:rPr>
              <w:t>民政府办公厅发布的《关于印发河南省乡镇集中式饮用水水源保护区划的通知》（豫政办[2016]23号）</w:t>
            </w:r>
            <w:r>
              <w:rPr>
                <w:rFonts w:hint="eastAsia" w:ascii="宋体" w:hAnsi="宋体" w:cs="宋体"/>
                <w:sz w:val="24"/>
              </w:rPr>
              <w:t>，</w:t>
            </w:r>
            <w:r>
              <w:rPr>
                <w:kern w:val="0"/>
                <w:sz w:val="24"/>
              </w:rPr>
              <w:t>距离本项目最近的饮用水源地为偃师</w:t>
            </w:r>
            <w:r>
              <w:rPr>
                <w:rFonts w:hint="eastAsia"/>
                <w:kern w:val="0"/>
                <w:sz w:val="24"/>
              </w:rPr>
              <w:t>区</w:t>
            </w:r>
            <w:r>
              <w:rPr>
                <w:kern w:val="0"/>
                <w:sz w:val="24"/>
              </w:rPr>
              <w:t>岳滩镇西水厂地下水井群（共2眼井）</w:t>
            </w:r>
            <w:r>
              <w:rPr>
                <w:rFonts w:hint="eastAsia"/>
                <w:kern w:val="0"/>
                <w:sz w:val="24"/>
              </w:rPr>
              <w:t>。</w:t>
            </w:r>
          </w:p>
          <w:p>
            <w:pPr>
              <w:autoSpaceDE w:val="0"/>
              <w:autoSpaceDN w:val="0"/>
              <w:adjustRightInd w:val="0"/>
              <w:snapToGrid w:val="0"/>
              <w:spacing w:line="360" w:lineRule="auto"/>
              <w:ind w:firstLine="480" w:firstLineChars="200"/>
              <w:rPr>
                <w:kern w:val="0"/>
                <w:sz w:val="24"/>
              </w:rPr>
            </w:pPr>
            <w:r>
              <w:rPr>
                <w:kern w:val="0"/>
                <w:sz w:val="24"/>
              </w:rPr>
              <w:t>偃师</w:t>
            </w:r>
            <w:r>
              <w:rPr>
                <w:rFonts w:hint="eastAsia"/>
                <w:kern w:val="0"/>
                <w:sz w:val="24"/>
              </w:rPr>
              <w:t>区</w:t>
            </w:r>
            <w:r>
              <w:rPr>
                <w:kern w:val="0"/>
                <w:sz w:val="24"/>
              </w:rPr>
              <w:t>岳滩镇西水厂地下水井群一级保护区范围：水厂厂区及外围东190米、西190米、南180米、北190米的区域。不设二级保护区范围。</w:t>
            </w:r>
          </w:p>
          <w:p>
            <w:pPr>
              <w:autoSpaceDE w:val="0"/>
              <w:autoSpaceDN w:val="0"/>
              <w:adjustRightInd w:val="0"/>
              <w:snapToGrid w:val="0"/>
              <w:spacing w:line="360" w:lineRule="auto"/>
              <w:ind w:firstLine="480" w:firstLineChars="200"/>
              <w:rPr>
                <w:rFonts w:ascii="宋体" w:hAnsi="宋体" w:cs="宋体"/>
                <w:sz w:val="24"/>
              </w:rPr>
            </w:pPr>
            <w:r>
              <w:rPr>
                <w:kern w:val="0"/>
                <w:sz w:val="24"/>
              </w:rPr>
              <w:t>本项目位于偃师</w:t>
            </w:r>
            <w:r>
              <w:rPr>
                <w:rFonts w:hint="eastAsia"/>
                <w:kern w:val="0"/>
                <w:sz w:val="24"/>
              </w:rPr>
              <w:t>区</w:t>
            </w:r>
            <w:r>
              <w:rPr>
                <w:kern w:val="0"/>
                <w:sz w:val="24"/>
              </w:rPr>
              <w:t>岳滩镇赵庄街村，项目所在</w:t>
            </w:r>
            <w:r>
              <w:rPr>
                <w:rFonts w:hint="eastAsia"/>
                <w:kern w:val="0"/>
                <w:sz w:val="24"/>
              </w:rPr>
              <w:t>生产车间</w:t>
            </w:r>
            <w:r>
              <w:rPr>
                <w:kern w:val="0"/>
                <w:sz w:val="24"/>
              </w:rPr>
              <w:t>西厂界距离岳滩镇西水厂地下水井群一级保护区边界距离</w:t>
            </w:r>
            <w:r>
              <w:rPr>
                <w:rFonts w:hint="eastAsia"/>
                <w:kern w:val="0"/>
                <w:sz w:val="24"/>
              </w:rPr>
              <w:t>43</w:t>
            </w:r>
            <w:r>
              <w:rPr>
                <w:kern w:val="0"/>
                <w:sz w:val="24"/>
              </w:rPr>
              <w:t>m，不在该水源保护区范围内，符合水源保护区划要求。本项目与水源井的位置关系见附图</w:t>
            </w:r>
            <w:r>
              <w:rPr>
                <w:rFonts w:hint="eastAsia"/>
                <w:kern w:val="0"/>
                <w:sz w:val="24"/>
              </w:rPr>
              <w:t>3—1</w:t>
            </w:r>
            <w:r>
              <w:rPr>
                <w:kern w:val="0"/>
                <w:sz w:val="24"/>
              </w:rPr>
              <w:t>。</w:t>
            </w:r>
          </w:p>
          <w:p>
            <w:pPr>
              <w:autoSpaceDE w:val="0"/>
              <w:autoSpaceDN w:val="0"/>
              <w:adjustRightInd w:val="0"/>
              <w:snapToGrid w:val="0"/>
              <w:spacing w:line="360" w:lineRule="auto"/>
              <w:ind w:firstLine="482" w:firstLineChars="200"/>
              <w:rPr>
                <w:b/>
                <w:kern w:val="0"/>
                <w:sz w:val="24"/>
              </w:rPr>
            </w:pPr>
            <w:r>
              <w:rPr>
                <w:rFonts w:hint="eastAsia" w:ascii="宋体" w:hAnsi="宋体" w:cs="宋体"/>
                <w:b/>
                <w:kern w:val="0"/>
                <w:sz w:val="24"/>
              </w:rPr>
              <w:t>文物调查：</w:t>
            </w:r>
            <w:r>
              <w:rPr>
                <w:rFonts w:hint="eastAsia" w:ascii="宋体" w:hAnsi="宋体" w:cs="宋体"/>
                <w:bCs/>
                <w:sz w:val="24"/>
              </w:rPr>
              <w:t>距离本项目最近的</w:t>
            </w:r>
            <w:r>
              <w:rPr>
                <w:bCs/>
                <w:sz w:val="24"/>
              </w:rPr>
              <w:t>文物单位为大遗址保护区中的</w:t>
            </w:r>
            <w:r>
              <w:rPr>
                <w:rFonts w:hint="eastAsia"/>
                <w:bCs/>
                <w:sz w:val="24"/>
              </w:rPr>
              <w:t>东汉陵墓南兆域</w:t>
            </w:r>
            <w:r>
              <w:rPr>
                <w:bCs/>
                <w:sz w:val="24"/>
              </w:rPr>
              <w:t>。</w:t>
            </w:r>
            <w:r>
              <w:rPr>
                <w:rFonts w:hint="eastAsia"/>
                <w:bCs/>
                <w:sz w:val="24"/>
              </w:rPr>
              <w:t>东汉陵墓南兆域</w:t>
            </w:r>
            <w:r>
              <w:rPr>
                <w:bCs/>
                <w:sz w:val="24"/>
              </w:rPr>
              <w:t>位于</w:t>
            </w:r>
            <w:r>
              <w:rPr>
                <w:rFonts w:hint="eastAsia"/>
                <w:bCs/>
                <w:sz w:val="24"/>
              </w:rPr>
              <w:t>洛阳市伊滨区李村镇、庞村镇、寇店镇和偃师市高龙镇、大口乡、顾县镇及附近地区，总面积约200km</w:t>
            </w:r>
            <w:r>
              <w:rPr>
                <w:rFonts w:hint="eastAsia"/>
                <w:bCs/>
                <w:sz w:val="24"/>
                <w:vertAlign w:val="superscript"/>
              </w:rPr>
              <w:t>2</w:t>
            </w:r>
            <w:r>
              <w:rPr>
                <w:bCs/>
                <w:sz w:val="24"/>
              </w:rPr>
              <w:t>。</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kern w:val="0"/>
                <w:sz w:val="24"/>
              </w:rPr>
              <w:t>本项目位于洛阳市偃师区岳滩镇</w:t>
            </w:r>
            <w:r>
              <w:rPr>
                <w:rFonts w:hint="eastAsia"/>
                <w:sz w:val="24"/>
              </w:rPr>
              <w:t>赵庄街村11组</w:t>
            </w:r>
            <w:r>
              <w:rPr>
                <w:rFonts w:hint="eastAsia" w:ascii="宋体" w:hAnsi="宋体" w:cs="宋体"/>
                <w:kern w:val="0"/>
                <w:sz w:val="24"/>
              </w:rPr>
              <w:t>，不在东汉陵墓南兆域的保护范围和建设控制地带范围内，项目厂址距离其建设控制地带边界约1700m，项目建设符合文物保护规划。本项目与大遗址保护区划相对位置见附图5</w:t>
            </w:r>
            <w:r>
              <w:rPr>
                <w:rFonts w:hint="eastAsia" w:ascii="宋体" w:hAnsi="宋体" w:cs="宋体"/>
                <w:sz w:val="24"/>
              </w:rPr>
              <w:t>。</w:t>
            </w:r>
          </w:p>
          <w:p>
            <w:pPr>
              <w:spacing w:line="360" w:lineRule="auto"/>
              <w:ind w:firstLine="480"/>
              <w:rPr>
                <w:rFonts w:ascii="宋体" w:hAnsi="宋体" w:cs="宋体"/>
                <w:kern w:val="44"/>
                <w:sz w:val="24"/>
              </w:rPr>
            </w:pPr>
            <w:r>
              <w:rPr>
                <w:rFonts w:hint="eastAsia" w:ascii="宋体" w:hAnsi="宋体" w:cs="宋体"/>
                <w:kern w:val="44"/>
                <w:sz w:val="24"/>
              </w:rPr>
              <w:t>（2）环境质量底线</w:t>
            </w:r>
          </w:p>
          <w:p>
            <w:pPr>
              <w:spacing w:line="360" w:lineRule="auto"/>
              <w:ind w:firstLine="480"/>
              <w:rPr>
                <w:sz w:val="24"/>
              </w:rPr>
            </w:pPr>
            <w:r>
              <w:rPr>
                <w:rFonts w:hint="eastAsia"/>
                <w:bCs/>
                <w:color w:val="000000"/>
                <w:kern w:val="44"/>
                <w:sz w:val="24"/>
                <w:u w:val="single"/>
              </w:rPr>
              <w:t>根据洛阳市生态环境主管部门公开发布的《</w:t>
            </w:r>
            <w:r>
              <w:rPr>
                <w:bCs/>
                <w:color w:val="000000"/>
                <w:kern w:val="44"/>
                <w:sz w:val="24"/>
                <w:u w:val="single"/>
              </w:rPr>
              <w:t>2022</w:t>
            </w:r>
            <w:r>
              <w:rPr>
                <w:rFonts w:hint="eastAsia"/>
                <w:bCs/>
                <w:color w:val="000000"/>
                <w:kern w:val="44"/>
                <w:sz w:val="24"/>
                <w:u w:val="single"/>
              </w:rPr>
              <w:t>年洛阳市生态环境状况公报》，PM</w:t>
            </w:r>
            <w:r>
              <w:rPr>
                <w:rFonts w:hint="eastAsia"/>
                <w:bCs/>
                <w:color w:val="000000"/>
                <w:kern w:val="44"/>
                <w:sz w:val="24"/>
                <w:u w:val="single"/>
                <w:vertAlign w:val="subscript"/>
              </w:rPr>
              <w:t>2.5</w:t>
            </w:r>
            <w:r>
              <w:rPr>
                <w:rFonts w:hint="eastAsia"/>
                <w:bCs/>
                <w:color w:val="000000"/>
                <w:kern w:val="44"/>
                <w:sz w:val="24"/>
                <w:u w:val="single"/>
              </w:rPr>
              <w:t>、PM</w:t>
            </w:r>
            <w:r>
              <w:rPr>
                <w:rFonts w:hint="eastAsia"/>
                <w:bCs/>
                <w:color w:val="000000"/>
                <w:kern w:val="44"/>
                <w:sz w:val="24"/>
                <w:u w:val="single"/>
                <w:vertAlign w:val="subscript"/>
              </w:rPr>
              <w:t>10</w:t>
            </w:r>
            <w:r>
              <w:rPr>
                <w:rFonts w:hint="eastAsia"/>
                <w:bCs/>
                <w:color w:val="000000"/>
                <w:kern w:val="44"/>
                <w:sz w:val="24"/>
                <w:u w:val="single"/>
              </w:rPr>
              <w:t>和O</w:t>
            </w:r>
            <w:r>
              <w:rPr>
                <w:rFonts w:hint="eastAsia"/>
                <w:bCs/>
                <w:color w:val="000000"/>
                <w:kern w:val="44"/>
                <w:sz w:val="24"/>
                <w:u w:val="single"/>
                <w:vertAlign w:val="subscript"/>
              </w:rPr>
              <w:t>3</w:t>
            </w:r>
            <w:r>
              <w:rPr>
                <w:rFonts w:hint="eastAsia"/>
                <w:bCs/>
                <w:color w:val="000000"/>
                <w:kern w:val="44"/>
                <w:sz w:val="24"/>
                <w:u w:val="single"/>
              </w:rPr>
              <w:t>的年均浓度不能满足《环境空气质量标准》（GB3095-2012）二级标准浓度限值要求。针对区域大气环境质量现状超标的情况，出台《洛阳市2023年蓝天、碧水、净土保卫战实施方案》（洛环委办[2023]24号）、《洛阳市2023年夏季挥发性有机物污染防治实施方案》洛环委办[2023]41等相关大气治理文件，从实施源头削减，推进总量减排、强化收集效果，减少无组织排放、提升治理水平等相关政策，通过治理区域环境质量状况将逐步好转</w:t>
            </w:r>
            <w:r>
              <w:rPr>
                <w:bCs/>
                <w:color w:val="000000"/>
                <w:kern w:val="44"/>
                <w:sz w:val="24"/>
                <w:u w:val="single"/>
              </w:rPr>
              <w:t>。</w:t>
            </w:r>
          </w:p>
          <w:p>
            <w:pPr>
              <w:spacing w:line="360" w:lineRule="auto"/>
              <w:ind w:firstLine="480"/>
              <w:rPr>
                <w:rFonts w:ascii="宋体" w:hAnsi="宋体" w:cs="宋体"/>
                <w:kern w:val="44"/>
                <w:sz w:val="24"/>
              </w:rPr>
            </w:pPr>
            <w:r>
              <w:rPr>
                <w:rFonts w:hint="eastAsia" w:ascii="宋体" w:hAnsi="宋体" w:cs="宋体"/>
                <w:kern w:val="44"/>
                <w:sz w:val="24"/>
              </w:rPr>
              <w:t>本项目生产过程使用电能，设置密闭生产车间，集装袋生产线生产过程产生的废气经“UV光氧+活性炭吸附”装置处理达标排放；本项目生活污水</w:t>
            </w:r>
            <w:r>
              <w:rPr>
                <w:rFonts w:hint="eastAsia"/>
                <w:sz w:val="24"/>
              </w:rPr>
              <w:t>经化粪池收集后</w:t>
            </w:r>
            <w:r>
              <w:rPr>
                <w:rFonts w:hint="eastAsia"/>
                <w:kern w:val="0"/>
                <w:sz w:val="24"/>
              </w:rPr>
              <w:t>定期清掏至周围农田施肥</w:t>
            </w:r>
            <w:r>
              <w:rPr>
                <w:rFonts w:hint="eastAsia" w:ascii="宋体" w:hAnsi="宋体" w:cs="宋体"/>
                <w:kern w:val="44"/>
                <w:sz w:val="24"/>
              </w:rPr>
              <w:t>。本项目一般固废综合处理，危险废物由有资质单位处置。</w:t>
            </w:r>
          </w:p>
          <w:p>
            <w:pPr>
              <w:spacing w:line="360" w:lineRule="auto"/>
              <w:ind w:firstLine="480"/>
              <w:rPr>
                <w:rFonts w:ascii="宋体" w:hAnsi="宋体" w:cs="宋体"/>
                <w:kern w:val="44"/>
                <w:sz w:val="24"/>
              </w:rPr>
            </w:pPr>
            <w:r>
              <w:rPr>
                <w:rFonts w:hint="eastAsia" w:ascii="宋体" w:hAnsi="宋体" w:cs="宋体"/>
                <w:kern w:val="44"/>
                <w:sz w:val="24"/>
              </w:rPr>
              <w:t>因此，本项目建设不会明显增加对区域环境的压力，符合区域环境质量控制要求。</w:t>
            </w:r>
          </w:p>
          <w:p>
            <w:pPr>
              <w:spacing w:line="360" w:lineRule="auto"/>
              <w:ind w:firstLine="480"/>
              <w:rPr>
                <w:rFonts w:ascii="宋体" w:hAnsi="宋体" w:cs="宋体"/>
                <w:kern w:val="44"/>
                <w:sz w:val="24"/>
              </w:rPr>
            </w:pPr>
            <w:r>
              <w:rPr>
                <w:rFonts w:hint="eastAsia" w:ascii="宋体" w:hAnsi="宋体" w:cs="宋体"/>
                <w:kern w:val="44"/>
                <w:sz w:val="24"/>
              </w:rPr>
              <w:t>（3）资源利用上线</w:t>
            </w:r>
          </w:p>
          <w:p>
            <w:pPr>
              <w:spacing w:line="360" w:lineRule="auto"/>
              <w:ind w:firstLine="480"/>
              <w:rPr>
                <w:rFonts w:ascii="宋体" w:hAnsi="宋体" w:cs="宋体"/>
                <w:color w:val="FF0000"/>
                <w:kern w:val="44"/>
                <w:sz w:val="24"/>
              </w:rPr>
            </w:pPr>
            <w:r>
              <w:rPr>
                <w:rFonts w:hint="eastAsia" w:ascii="宋体" w:hAnsi="宋体" w:cs="宋体"/>
                <w:kern w:val="44"/>
                <w:sz w:val="24"/>
              </w:rPr>
              <w:t>本项目</w:t>
            </w:r>
            <w:r>
              <w:rPr>
                <w:rFonts w:hint="eastAsia" w:ascii="宋体" w:hAnsi="宋体" w:cs="宋体"/>
                <w:kern w:val="0"/>
                <w:sz w:val="24"/>
              </w:rPr>
              <w:t>资源消耗较少，对整体资源消耗不大，不会对当地的资源产生明显的影响，不会触及当地资源分配的上线，项目建设在资源利用上是合理的。</w:t>
            </w:r>
          </w:p>
          <w:p>
            <w:pPr>
              <w:spacing w:line="360" w:lineRule="auto"/>
              <w:ind w:firstLine="480"/>
              <w:rPr>
                <w:rFonts w:ascii="宋体" w:hAnsi="宋体" w:cs="宋体"/>
                <w:kern w:val="44"/>
                <w:sz w:val="24"/>
              </w:rPr>
            </w:pPr>
            <w:r>
              <w:rPr>
                <w:rFonts w:hint="eastAsia" w:ascii="宋体" w:hAnsi="宋体" w:cs="宋体"/>
                <w:kern w:val="44"/>
                <w:sz w:val="24"/>
              </w:rPr>
              <w:t>（4）环境准入负面清单</w:t>
            </w:r>
          </w:p>
          <w:p>
            <w:pPr>
              <w:spacing w:line="360" w:lineRule="auto"/>
              <w:ind w:firstLine="480" w:firstLineChars="200"/>
              <w:rPr>
                <w:rFonts w:ascii="宋体" w:hAnsi="宋体" w:cs="宋体"/>
                <w:sz w:val="24"/>
              </w:rPr>
            </w:pPr>
            <w:r>
              <w:rPr>
                <w:rFonts w:hint="eastAsia" w:ascii="宋体" w:hAnsi="宋体" w:cs="宋体"/>
                <w:sz w:val="24"/>
              </w:rPr>
              <w:t>本项目位于洛阳市偃师区</w:t>
            </w:r>
            <w:r>
              <w:rPr>
                <w:rFonts w:hint="eastAsia" w:ascii="宋体" w:hAnsi="宋体" w:cs="宋体"/>
                <w:kern w:val="0"/>
                <w:sz w:val="24"/>
              </w:rPr>
              <w:t>岳滩镇</w:t>
            </w:r>
            <w:r>
              <w:rPr>
                <w:rFonts w:hint="eastAsia"/>
                <w:sz w:val="24"/>
              </w:rPr>
              <w:t>赵庄街村11组</w:t>
            </w:r>
            <w:r>
              <w:rPr>
                <w:rFonts w:hint="eastAsia" w:ascii="宋体" w:hAnsi="宋体" w:cs="宋体"/>
                <w:sz w:val="24"/>
              </w:rPr>
              <w:t>，根据《洛阳市生态环境局关于发布洛阳市“三线一单”生态环境准入清单（试行）的函》（洛市环[2021]58号），本项目与洛阳市生态环境总体准入要求、偃师区岳滩镇环境管控单元生态环境准入清单要求相符性分析如下。</w:t>
            </w:r>
          </w:p>
          <w:p>
            <w:pPr>
              <w:spacing w:line="480" w:lineRule="exact"/>
              <w:ind w:firstLine="480"/>
              <w:rPr>
                <w:rFonts w:eastAsia="黑体"/>
                <w:sz w:val="24"/>
              </w:rPr>
            </w:pPr>
            <w:r>
              <w:rPr>
                <w:rFonts w:hint="eastAsia" w:ascii="黑体" w:hAnsi="黑体" w:eastAsia="黑体" w:cs="黑体"/>
                <w:sz w:val="24"/>
              </w:rPr>
              <w:t>表1-1  洛阳市偃师区环境管控单元生态环境准入清单相符性分析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425"/>
              <w:gridCol w:w="426"/>
              <w:gridCol w:w="425"/>
              <w:gridCol w:w="2673"/>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657" w:type="dxa"/>
                  <w:vAlign w:val="center"/>
                </w:tcPr>
                <w:p>
                  <w:pPr>
                    <w:spacing w:after="120"/>
                    <w:jc w:val="center"/>
                    <w:rPr>
                      <w:rFonts w:ascii="宋体" w:hAnsi="宋体"/>
                      <w:szCs w:val="21"/>
                    </w:rPr>
                  </w:pPr>
                  <w:r>
                    <w:rPr>
                      <w:rFonts w:hint="eastAsia" w:ascii="宋体" w:hAnsi="宋体"/>
                      <w:szCs w:val="21"/>
                    </w:rPr>
                    <w:t>环境管控单元编码</w:t>
                  </w:r>
                </w:p>
              </w:tc>
              <w:tc>
                <w:tcPr>
                  <w:tcW w:w="425" w:type="dxa"/>
                  <w:vAlign w:val="center"/>
                </w:tcPr>
                <w:p>
                  <w:pPr>
                    <w:spacing w:after="120"/>
                    <w:jc w:val="center"/>
                    <w:rPr>
                      <w:rFonts w:ascii="宋体" w:hAnsi="宋体"/>
                      <w:szCs w:val="21"/>
                    </w:rPr>
                  </w:pPr>
                  <w:r>
                    <w:rPr>
                      <w:rFonts w:hint="eastAsia" w:ascii="宋体" w:hAnsi="宋体"/>
                      <w:szCs w:val="21"/>
                    </w:rPr>
                    <w:t>管控单元分类</w:t>
                  </w:r>
                </w:p>
              </w:tc>
              <w:tc>
                <w:tcPr>
                  <w:tcW w:w="426" w:type="dxa"/>
                  <w:vAlign w:val="center"/>
                </w:tcPr>
                <w:p>
                  <w:pPr>
                    <w:spacing w:after="120"/>
                    <w:jc w:val="center"/>
                    <w:rPr>
                      <w:rFonts w:ascii="宋体" w:hAnsi="宋体"/>
                      <w:szCs w:val="21"/>
                    </w:rPr>
                  </w:pPr>
                  <w:r>
                    <w:rPr>
                      <w:rFonts w:hint="eastAsia" w:ascii="宋体" w:hAnsi="宋体"/>
                      <w:szCs w:val="21"/>
                    </w:rPr>
                    <w:t>环境管控单元名称</w:t>
                  </w:r>
                </w:p>
              </w:tc>
              <w:tc>
                <w:tcPr>
                  <w:tcW w:w="3098" w:type="dxa"/>
                  <w:gridSpan w:val="2"/>
                  <w:vAlign w:val="center"/>
                </w:tcPr>
                <w:p>
                  <w:pPr>
                    <w:spacing w:after="120"/>
                    <w:jc w:val="center"/>
                    <w:rPr>
                      <w:rFonts w:ascii="宋体" w:hAnsi="宋体"/>
                      <w:szCs w:val="21"/>
                    </w:rPr>
                  </w:pPr>
                  <w:r>
                    <w:rPr>
                      <w:rFonts w:hint="eastAsia" w:ascii="宋体" w:hAnsi="宋体"/>
                      <w:szCs w:val="21"/>
                    </w:rPr>
                    <w:t>管控要求</w:t>
                  </w:r>
                </w:p>
              </w:tc>
              <w:tc>
                <w:tcPr>
                  <w:tcW w:w="2385" w:type="dxa"/>
                  <w:vAlign w:val="center"/>
                </w:tcPr>
                <w:p>
                  <w:pPr>
                    <w:spacing w:after="120"/>
                    <w:jc w:val="center"/>
                    <w:rPr>
                      <w:rFonts w:ascii="宋体" w:hAnsi="宋体"/>
                      <w:szCs w:val="21"/>
                    </w:rPr>
                  </w:pPr>
                  <w:r>
                    <w:rPr>
                      <w:rFonts w:hint="eastAsia" w:ascii="宋体" w:hAnsi="宋体"/>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vMerge w:val="restart"/>
                  <w:vAlign w:val="center"/>
                </w:tcPr>
                <w:p>
                  <w:pPr>
                    <w:spacing w:after="120"/>
                    <w:jc w:val="center"/>
                    <w:rPr>
                      <w:rFonts w:ascii="宋体" w:hAnsi="宋体"/>
                      <w:szCs w:val="21"/>
                    </w:rPr>
                  </w:pPr>
                  <w:r>
                    <w:rPr>
                      <w:rFonts w:ascii="宋体" w:hAnsi="宋体"/>
                      <w:szCs w:val="21"/>
                    </w:rPr>
                    <w:t>ZH410381</w:t>
                  </w:r>
                  <w:r>
                    <w:rPr>
                      <w:rFonts w:hint="eastAsia" w:ascii="宋体" w:hAnsi="宋体"/>
                      <w:szCs w:val="21"/>
                    </w:rPr>
                    <w:t>2</w:t>
                  </w:r>
                  <w:r>
                    <w:rPr>
                      <w:rFonts w:ascii="宋体" w:hAnsi="宋体"/>
                      <w:szCs w:val="21"/>
                    </w:rPr>
                    <w:t>000</w:t>
                  </w:r>
                  <w:r>
                    <w:rPr>
                      <w:rFonts w:hint="eastAsia" w:ascii="宋体" w:hAnsi="宋体"/>
                      <w:szCs w:val="21"/>
                    </w:rPr>
                    <w:t>3</w:t>
                  </w:r>
                </w:p>
              </w:tc>
              <w:tc>
                <w:tcPr>
                  <w:tcW w:w="425" w:type="dxa"/>
                  <w:vMerge w:val="restart"/>
                  <w:vAlign w:val="center"/>
                </w:tcPr>
                <w:p>
                  <w:pPr>
                    <w:spacing w:after="120"/>
                    <w:jc w:val="center"/>
                    <w:rPr>
                      <w:rFonts w:ascii="宋体" w:hAnsi="宋体"/>
                      <w:szCs w:val="21"/>
                    </w:rPr>
                  </w:pPr>
                  <w:r>
                    <w:rPr>
                      <w:rFonts w:hint="eastAsia" w:ascii="宋体" w:hAnsi="宋体"/>
                      <w:szCs w:val="21"/>
                    </w:rPr>
                    <w:t>重点</w:t>
                  </w:r>
                  <w:r>
                    <w:rPr>
                      <w:rFonts w:ascii="宋体" w:hAnsi="宋体"/>
                      <w:szCs w:val="21"/>
                    </w:rPr>
                    <w:t>管控单元</w:t>
                  </w:r>
                </w:p>
              </w:tc>
              <w:tc>
                <w:tcPr>
                  <w:tcW w:w="426" w:type="dxa"/>
                  <w:vMerge w:val="restart"/>
                  <w:vAlign w:val="center"/>
                </w:tcPr>
                <w:p>
                  <w:pPr>
                    <w:spacing w:after="120"/>
                    <w:jc w:val="center"/>
                    <w:rPr>
                      <w:rFonts w:ascii="宋体" w:hAnsi="宋体"/>
                      <w:szCs w:val="21"/>
                    </w:rPr>
                  </w:pPr>
                  <w:r>
                    <w:rPr>
                      <w:rFonts w:hint="eastAsia" w:ascii="宋体" w:hAnsi="宋体"/>
                      <w:szCs w:val="21"/>
                    </w:rPr>
                    <w:t>大气高排放区</w:t>
                  </w:r>
                </w:p>
              </w:tc>
              <w:tc>
                <w:tcPr>
                  <w:tcW w:w="425" w:type="dxa"/>
                  <w:vAlign w:val="center"/>
                </w:tcPr>
                <w:p>
                  <w:pPr>
                    <w:spacing w:after="120"/>
                    <w:jc w:val="center"/>
                    <w:rPr>
                      <w:rFonts w:ascii="宋体" w:hAnsi="宋体"/>
                      <w:szCs w:val="21"/>
                    </w:rPr>
                  </w:pPr>
                  <w:r>
                    <w:rPr>
                      <w:rFonts w:ascii="宋体" w:hAnsi="宋体"/>
                      <w:szCs w:val="21"/>
                    </w:rPr>
                    <w:t>空间布局约束</w:t>
                  </w:r>
                </w:p>
              </w:tc>
              <w:tc>
                <w:tcPr>
                  <w:tcW w:w="2673" w:type="dxa"/>
                </w:tcPr>
                <w:p>
                  <w:pPr>
                    <w:adjustRightInd w:val="0"/>
                    <w:snapToGrid w:val="0"/>
                    <w:spacing w:line="320" w:lineRule="exact"/>
                    <w:rPr>
                      <w:rFonts w:ascii="宋体" w:hAnsi="宋体" w:cs="宋体"/>
                      <w:szCs w:val="21"/>
                    </w:rPr>
                  </w:pPr>
                  <w:r>
                    <w:rPr>
                      <w:rFonts w:ascii="宋体" w:hAnsi="宋体" w:cs="宋体"/>
                      <w:szCs w:val="21"/>
                    </w:rPr>
                    <w:t>1</w:t>
                  </w:r>
                  <w:r>
                    <w:rPr>
                      <w:rFonts w:hint="eastAsia" w:ascii="宋体" w:hAnsi="宋体" w:cs="宋体"/>
                      <w:szCs w:val="21"/>
                    </w:rPr>
                    <w:t>、禁燃区内禁止新建、扩建、改建燃用高污染燃料的项目。</w:t>
                  </w:r>
                </w:p>
                <w:p>
                  <w:pPr>
                    <w:adjustRightInd w:val="0"/>
                    <w:snapToGrid w:val="0"/>
                    <w:spacing w:line="320" w:lineRule="exact"/>
                    <w:rPr>
                      <w:rFonts w:ascii="宋体" w:hAnsi="宋体" w:cs="宋体"/>
                      <w:szCs w:val="21"/>
                    </w:rPr>
                  </w:pPr>
                  <w:r>
                    <w:rPr>
                      <w:rFonts w:ascii="宋体" w:hAnsi="宋体" w:cs="宋体"/>
                      <w:szCs w:val="21"/>
                    </w:rPr>
                    <w:t>2</w:t>
                  </w:r>
                  <w:r>
                    <w:rPr>
                      <w:rFonts w:hint="eastAsia" w:ascii="宋体" w:hAnsi="宋体" w:cs="宋体"/>
                      <w:szCs w:val="21"/>
                    </w:rPr>
                    <w:t xml:space="preserve">、新建涉高 </w:t>
                  </w:r>
                  <w:r>
                    <w:rPr>
                      <w:rFonts w:ascii="宋体" w:hAnsi="宋体" w:cs="宋体"/>
                      <w:szCs w:val="21"/>
                    </w:rPr>
                    <w:t xml:space="preserve">VOCs </w:t>
                  </w:r>
                  <w:r>
                    <w:rPr>
                      <w:rFonts w:hint="eastAsia" w:ascii="宋体" w:hAnsi="宋体" w:cs="宋体"/>
                      <w:szCs w:val="21"/>
                    </w:rPr>
                    <w:t xml:space="preserve">排放的包装印刷、工业涂装等重点行业企业要入工业园区，实行区域内 </w:t>
                  </w:r>
                  <w:r>
                    <w:rPr>
                      <w:rFonts w:ascii="宋体" w:hAnsi="宋体" w:cs="宋体"/>
                      <w:szCs w:val="21"/>
                    </w:rPr>
                    <w:t xml:space="preserve">VOCs </w:t>
                  </w:r>
                  <w:r>
                    <w:rPr>
                      <w:rFonts w:hint="eastAsia" w:ascii="宋体" w:hAnsi="宋体" w:cs="宋体"/>
                      <w:szCs w:val="21"/>
                    </w:rPr>
                    <w:t>排放等量或倍量削减替代。</w:t>
                  </w:r>
                </w:p>
                <w:p>
                  <w:pPr>
                    <w:adjustRightInd w:val="0"/>
                    <w:snapToGrid w:val="0"/>
                    <w:spacing w:line="320" w:lineRule="exact"/>
                    <w:rPr>
                      <w:rFonts w:ascii="宋体" w:hAnsi="宋体" w:cs="宋体"/>
                      <w:szCs w:val="21"/>
                    </w:rPr>
                  </w:pPr>
                  <w:r>
                    <w:rPr>
                      <w:rFonts w:ascii="宋体" w:hAnsi="宋体" w:cs="宋体"/>
                      <w:szCs w:val="21"/>
                    </w:rPr>
                    <w:t>3</w:t>
                  </w:r>
                  <w:r>
                    <w:rPr>
                      <w:rFonts w:hint="eastAsia" w:ascii="宋体" w:hAnsi="宋体" w:cs="宋体"/>
                      <w:szCs w:val="21"/>
                    </w:rPr>
                    <w:t>、制定</w:t>
                  </w:r>
                  <w:r>
                    <w:rPr>
                      <w:rFonts w:ascii="宋体" w:hAnsi="宋体" w:cs="宋体"/>
                      <w:szCs w:val="21"/>
                    </w:rPr>
                    <w:t>“</w:t>
                  </w:r>
                  <w:r>
                    <w:rPr>
                      <w:rFonts w:hint="eastAsia" w:ascii="宋体" w:hAnsi="宋体" w:cs="宋体"/>
                      <w:szCs w:val="21"/>
                    </w:rPr>
                    <w:t>散乱污</w:t>
                  </w:r>
                  <w:r>
                    <w:rPr>
                      <w:rFonts w:ascii="宋体" w:hAnsi="宋体" w:cs="宋体"/>
                      <w:szCs w:val="21"/>
                    </w:rPr>
                    <w:t>”</w:t>
                  </w:r>
                  <w:r>
                    <w:rPr>
                      <w:rFonts w:hint="eastAsia" w:ascii="宋体" w:hAnsi="宋体" w:cs="宋体"/>
                      <w:szCs w:val="21"/>
                    </w:rPr>
                    <w:t>企业及集群整治标准，列入关停取缔类的，基本做到</w:t>
                  </w:r>
                  <w:r>
                    <w:rPr>
                      <w:rFonts w:ascii="宋体" w:hAnsi="宋体" w:cs="宋体"/>
                      <w:szCs w:val="21"/>
                    </w:rPr>
                    <w:t>“</w:t>
                  </w:r>
                  <w:r>
                    <w:rPr>
                      <w:rFonts w:hint="eastAsia" w:ascii="宋体" w:hAnsi="宋体" w:cs="宋体"/>
                      <w:szCs w:val="21"/>
                    </w:rPr>
                    <w:t>两断三清</w:t>
                  </w:r>
                  <w:r>
                    <w:rPr>
                      <w:rFonts w:ascii="宋体" w:hAnsi="宋体" w:cs="宋体"/>
                      <w:szCs w:val="21"/>
                    </w:rPr>
                    <w:t>”</w:t>
                  </w:r>
                  <w:r>
                    <w:rPr>
                      <w:rFonts w:hint="eastAsia" w:ascii="宋体" w:hAnsi="宋体" w:cs="宋体"/>
                      <w:szCs w:val="21"/>
                    </w:rPr>
                    <w:t>；列入整合搬迁类的，要按照产业发展规模化、现代化的原则，搬迁至产业集聚区并实施升级改造；列入升级改造类的，树立行业标杆，实施清洁生产技术改造，全面提升污染治理水平。</w:t>
                  </w:r>
                </w:p>
                <w:p>
                  <w:pPr>
                    <w:adjustRightInd w:val="0"/>
                    <w:snapToGrid w:val="0"/>
                    <w:spacing w:line="320" w:lineRule="exact"/>
                    <w:rPr>
                      <w:rFonts w:ascii="宋体" w:hAnsi="宋体" w:cs="宋体"/>
                      <w:szCs w:val="21"/>
                    </w:rPr>
                  </w:pPr>
                  <w:r>
                    <w:rPr>
                      <w:rFonts w:ascii="宋体" w:hAnsi="宋体" w:cs="宋体"/>
                      <w:szCs w:val="21"/>
                    </w:rPr>
                    <w:t>4</w:t>
                  </w:r>
                  <w:r>
                    <w:rPr>
                      <w:rFonts w:hint="eastAsia" w:ascii="宋体" w:hAnsi="宋体" w:cs="宋体"/>
                      <w:szCs w:val="21"/>
                    </w:rPr>
                    <w:t>、引导区内工业涂装、塑编、鞋业企业入园入区发展。高标准推进伊洛河两岸生态廊道建设。提升改造塑编、校用设备、建材等传统行业，提高污染物排放水平。</w:t>
                  </w:r>
                </w:p>
                <w:p>
                  <w:pPr>
                    <w:adjustRightInd w:val="0"/>
                    <w:snapToGrid w:val="0"/>
                    <w:spacing w:line="320" w:lineRule="exact"/>
                    <w:rPr>
                      <w:rFonts w:ascii="宋体" w:hAnsi="宋体" w:cs="宋体"/>
                      <w:szCs w:val="21"/>
                    </w:rPr>
                  </w:pPr>
                  <w:r>
                    <w:rPr>
                      <w:rFonts w:ascii="宋体" w:hAnsi="宋体" w:cs="宋体"/>
                      <w:szCs w:val="21"/>
                    </w:rPr>
                    <w:t>5</w:t>
                  </w:r>
                  <w:r>
                    <w:rPr>
                      <w:rFonts w:hint="eastAsia" w:ascii="宋体" w:hAnsi="宋体" w:cs="宋体"/>
                      <w:szCs w:val="21"/>
                    </w:rPr>
                    <w:t>、岳滩镇区域重点发展智能装备、机器人、数控设备等高新技术企业，整合提升三轮摩托车、机械加工等产业。</w:t>
                  </w:r>
                </w:p>
                <w:p>
                  <w:pPr>
                    <w:adjustRightInd w:val="0"/>
                    <w:snapToGrid w:val="0"/>
                    <w:spacing w:line="320" w:lineRule="exact"/>
                    <w:rPr>
                      <w:rFonts w:ascii="宋体" w:hAnsi="宋体" w:cs="宋体"/>
                      <w:szCs w:val="21"/>
                    </w:rPr>
                  </w:pPr>
                  <w:r>
                    <w:rPr>
                      <w:rFonts w:ascii="宋体" w:hAnsi="宋体" w:cs="宋体"/>
                      <w:szCs w:val="21"/>
                    </w:rPr>
                    <w:t>6</w:t>
                  </w:r>
                  <w:r>
                    <w:rPr>
                      <w:rFonts w:hint="eastAsia" w:ascii="宋体" w:hAnsi="宋体" w:cs="宋体"/>
                      <w:szCs w:val="21"/>
                    </w:rPr>
                    <w:t>、翟镇镇区域重点发展文旅产业，提升整合针织产业，培育生物医药、卫生健康产业。</w:t>
                  </w:r>
                </w:p>
                <w:p>
                  <w:pPr>
                    <w:adjustRightInd w:val="0"/>
                    <w:snapToGrid w:val="0"/>
                    <w:spacing w:line="320" w:lineRule="exact"/>
                    <w:rPr>
                      <w:rFonts w:ascii="宋体" w:hAnsi="宋体" w:cs="宋体"/>
                      <w:szCs w:val="21"/>
                    </w:rPr>
                  </w:pPr>
                  <w:r>
                    <w:rPr>
                      <w:rFonts w:ascii="宋体" w:hAnsi="宋体" w:cs="宋体"/>
                      <w:szCs w:val="21"/>
                    </w:rPr>
                    <w:t>7</w:t>
                  </w:r>
                  <w:r>
                    <w:rPr>
                      <w:rFonts w:hint="eastAsia" w:ascii="宋体" w:hAnsi="宋体" w:cs="宋体"/>
                      <w:szCs w:val="21"/>
                    </w:rPr>
                    <w:t>、推进顾县镇区域建设电线电缆工业园、节能环保装备制造园，重点发展节能环保装备制造、电线电缆等产业，推进铝深加工行业企业入园，提升整合电线电缆、有色金属压延、石化管件、铸造等传统产业。</w:t>
                  </w:r>
                </w:p>
                <w:p>
                  <w:pPr>
                    <w:adjustRightInd w:val="0"/>
                    <w:snapToGrid w:val="0"/>
                    <w:spacing w:line="360" w:lineRule="exact"/>
                    <w:rPr>
                      <w:rFonts w:ascii="宋体" w:hAnsi="宋体" w:cs="宋体"/>
                      <w:szCs w:val="21"/>
                    </w:rPr>
                  </w:pPr>
                </w:p>
              </w:tc>
              <w:tc>
                <w:tcPr>
                  <w:tcW w:w="2385" w:type="dxa"/>
                </w:tcPr>
                <w:p>
                  <w:pPr>
                    <w:spacing w:line="360" w:lineRule="exact"/>
                  </w:pPr>
                  <w:r>
                    <w:rPr>
                      <w:rFonts w:hint="eastAsia"/>
                    </w:rPr>
                    <w:t>1、本项目不涉及高污染燃料。</w:t>
                  </w:r>
                </w:p>
                <w:p>
                  <w:pPr>
                    <w:spacing w:line="360" w:lineRule="exact"/>
                  </w:pPr>
                  <w:r>
                    <w:rPr>
                      <w:rFonts w:hint="eastAsia"/>
                    </w:rPr>
                    <w:t>2、项目厂址位于岳滩镇工业区，</w:t>
                  </w:r>
                  <w:r>
                    <w:t>本项目属于塑料制品业，</w:t>
                  </w:r>
                  <w:r>
                    <w:rPr>
                      <w:rFonts w:hint="eastAsia"/>
                    </w:rPr>
                    <w:t>项目印刷工序使用非溶剂型油墨，</w:t>
                  </w:r>
                  <w:r>
                    <w:t>不属于左侧涉高VOCs排放的重点行业范畴。</w:t>
                  </w:r>
                  <w:r>
                    <w:rPr>
                      <w:rFonts w:hint="eastAsia"/>
                    </w:rPr>
                    <w:t>本项目为改建项目，实行偃师区区域内VOCs排放倍量替代。</w:t>
                  </w:r>
                </w:p>
                <w:p>
                  <w:pPr>
                    <w:widowControl/>
                    <w:snapToGrid w:val="0"/>
                    <w:spacing w:line="360" w:lineRule="exact"/>
                    <w:ind w:right="113"/>
                  </w:pPr>
                  <w:r>
                    <w:rPr>
                      <w:rFonts w:hint="eastAsia"/>
                    </w:rPr>
                    <w:t>3、本项目不属于</w:t>
                  </w:r>
                  <w:r>
                    <w:t>“</w:t>
                  </w:r>
                  <w:r>
                    <w:rPr>
                      <w:rFonts w:hint="eastAsia"/>
                    </w:rPr>
                    <w:t>散乱污</w:t>
                  </w:r>
                  <w:r>
                    <w:t>”</w:t>
                  </w:r>
                  <w:r>
                    <w:rPr>
                      <w:rFonts w:hint="eastAsia"/>
                    </w:rPr>
                    <w:t>企业，位于岳滩镇工业区。</w:t>
                  </w:r>
                </w:p>
                <w:p>
                  <w:pPr>
                    <w:spacing w:line="360" w:lineRule="exact"/>
                  </w:pPr>
                  <w:r>
                    <w:rPr>
                      <w:rFonts w:hint="eastAsia" w:ascii="宋体" w:hAnsi="宋体" w:cs="宋体"/>
                      <w:kern w:val="0"/>
                      <w:szCs w:val="21"/>
                    </w:rPr>
                    <w:t>4、</w:t>
                  </w:r>
                  <w:r>
                    <w:rPr>
                      <w:rFonts w:hint="eastAsia"/>
                    </w:rPr>
                    <w:t>本项目为塑编企业，位于岳滩镇工业区。</w:t>
                  </w:r>
                </w:p>
                <w:p>
                  <w:pPr>
                    <w:spacing w:line="360" w:lineRule="exact"/>
                  </w:pPr>
                  <w:r>
                    <w:rPr>
                      <w:rFonts w:hint="eastAsia"/>
                    </w:rPr>
                    <w:t>5~7本项目不涉及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657" w:type="dxa"/>
                  <w:vMerge w:val="continue"/>
                </w:tcPr>
                <w:p>
                  <w:pPr>
                    <w:adjustRightInd w:val="0"/>
                    <w:snapToGrid w:val="0"/>
                    <w:spacing w:line="360" w:lineRule="exact"/>
                    <w:rPr>
                      <w:rFonts w:ascii="宋体" w:hAnsi="宋体"/>
                      <w:szCs w:val="21"/>
                    </w:rPr>
                  </w:pPr>
                </w:p>
              </w:tc>
              <w:tc>
                <w:tcPr>
                  <w:tcW w:w="425" w:type="dxa"/>
                  <w:vMerge w:val="continue"/>
                </w:tcPr>
                <w:p>
                  <w:pPr>
                    <w:adjustRightInd w:val="0"/>
                    <w:snapToGrid w:val="0"/>
                    <w:spacing w:line="360" w:lineRule="exact"/>
                    <w:rPr>
                      <w:rFonts w:ascii="宋体" w:hAnsi="宋体"/>
                      <w:szCs w:val="21"/>
                    </w:rPr>
                  </w:pPr>
                </w:p>
              </w:tc>
              <w:tc>
                <w:tcPr>
                  <w:tcW w:w="426" w:type="dxa"/>
                  <w:vMerge w:val="continue"/>
                </w:tcPr>
                <w:p>
                  <w:pPr>
                    <w:adjustRightInd w:val="0"/>
                    <w:snapToGrid w:val="0"/>
                    <w:spacing w:line="360" w:lineRule="exact"/>
                    <w:rPr>
                      <w:rFonts w:ascii="宋体" w:hAnsi="宋体"/>
                      <w:szCs w:val="21"/>
                    </w:rPr>
                  </w:pPr>
                </w:p>
              </w:tc>
              <w:tc>
                <w:tcPr>
                  <w:tcW w:w="425" w:type="dxa"/>
                  <w:vAlign w:val="center"/>
                </w:tcPr>
                <w:p>
                  <w:pPr>
                    <w:adjustRightInd w:val="0"/>
                    <w:snapToGrid w:val="0"/>
                    <w:spacing w:line="360" w:lineRule="exact"/>
                    <w:jc w:val="center"/>
                    <w:rPr>
                      <w:rFonts w:ascii="宋体" w:hAnsi="宋体"/>
                      <w:szCs w:val="21"/>
                    </w:rPr>
                  </w:pPr>
                  <w:r>
                    <w:rPr>
                      <w:rFonts w:hint="eastAsia" w:ascii="宋体" w:hAnsi="宋体"/>
                      <w:szCs w:val="21"/>
                    </w:rPr>
                    <w:t>污染物排放管控</w:t>
                  </w:r>
                </w:p>
              </w:tc>
              <w:tc>
                <w:tcPr>
                  <w:tcW w:w="2673" w:type="dxa"/>
                </w:tcPr>
                <w:p>
                  <w:pPr>
                    <w:adjustRightInd w:val="0"/>
                    <w:snapToGrid w:val="0"/>
                    <w:spacing w:line="320" w:lineRule="exact"/>
                    <w:rPr>
                      <w:rFonts w:ascii="宋体" w:hAnsi="宋体" w:cs="宋体"/>
                      <w:szCs w:val="21"/>
                    </w:rPr>
                  </w:pPr>
                  <w:r>
                    <w:rPr>
                      <w:rFonts w:ascii="宋体" w:hAnsi="宋体" w:cs="宋体"/>
                      <w:szCs w:val="21"/>
                    </w:rPr>
                    <w:t>1</w:t>
                  </w:r>
                  <w:r>
                    <w:rPr>
                      <w:rFonts w:hint="eastAsia" w:ascii="宋体" w:hAnsi="宋体" w:cs="宋体"/>
                      <w:szCs w:val="21"/>
                    </w:rPr>
                    <w:t>、禁止销售、使用煤等高污染燃料，现有使用高污染燃料的单位和个人，应当按照市、县（市）人民政府规定的期限改用清洁能源或拆除使用高污染燃料的设施。</w:t>
                  </w:r>
                </w:p>
                <w:p>
                  <w:pPr>
                    <w:adjustRightInd w:val="0"/>
                    <w:snapToGrid w:val="0"/>
                    <w:spacing w:line="320" w:lineRule="exact"/>
                    <w:rPr>
                      <w:rFonts w:ascii="宋体" w:hAnsi="宋体" w:cs="宋体"/>
                      <w:szCs w:val="21"/>
                    </w:rPr>
                  </w:pPr>
                  <w:r>
                    <w:rPr>
                      <w:rFonts w:ascii="宋体" w:hAnsi="宋体" w:cs="宋体"/>
                      <w:szCs w:val="21"/>
                    </w:rPr>
                    <w:t>2</w:t>
                  </w:r>
                  <w:r>
                    <w:rPr>
                      <w:rFonts w:hint="eastAsia" w:ascii="宋体" w:hAnsi="宋体" w:cs="宋体"/>
                      <w:szCs w:val="21"/>
                    </w:rPr>
                    <w:t>、重点行业（工业涂装、包装印刷、制药等）二氧化硫、氮氧化物、颗粒物、</w:t>
                  </w:r>
                  <w:r>
                    <w:rPr>
                      <w:rFonts w:ascii="宋体" w:hAnsi="宋体" w:cs="宋体"/>
                      <w:szCs w:val="21"/>
                    </w:rPr>
                    <w:t xml:space="preserve">VOCs </w:t>
                  </w:r>
                  <w:r>
                    <w:rPr>
                      <w:rFonts w:hint="eastAsia" w:ascii="宋体" w:hAnsi="宋体" w:cs="宋体"/>
                      <w:szCs w:val="21"/>
                    </w:rPr>
                    <w:t>全面执行大气污染物特别排放限值。强化餐饮油烟的治理和管控。</w:t>
                  </w:r>
                </w:p>
                <w:p>
                  <w:pPr>
                    <w:adjustRightInd w:val="0"/>
                    <w:snapToGrid w:val="0"/>
                    <w:spacing w:line="320" w:lineRule="exact"/>
                    <w:rPr>
                      <w:rFonts w:ascii="宋体" w:hAnsi="宋体" w:cs="宋体"/>
                      <w:szCs w:val="21"/>
                    </w:rPr>
                  </w:pPr>
                  <w:r>
                    <w:rPr>
                      <w:rFonts w:ascii="宋体" w:hAnsi="宋体" w:cs="宋体"/>
                      <w:szCs w:val="21"/>
                    </w:rPr>
                    <w:t>3</w:t>
                  </w:r>
                  <w:r>
                    <w:rPr>
                      <w:rFonts w:hint="eastAsia" w:ascii="宋体" w:hAnsi="宋体" w:cs="宋体"/>
                      <w:szCs w:val="21"/>
                    </w:rPr>
                    <w:t>、企业新建治污设施或对现有治污设施实施改造，应依据排放废气特征、</w:t>
                  </w:r>
                  <w:r>
                    <w:rPr>
                      <w:rFonts w:ascii="宋体" w:hAnsi="宋体" w:cs="宋体"/>
                      <w:szCs w:val="21"/>
                    </w:rPr>
                    <w:t xml:space="preserve">VOCs </w:t>
                  </w:r>
                  <w:r>
                    <w:rPr>
                      <w:rFonts w:hint="eastAsia" w:ascii="宋体" w:hAnsi="宋体" w:cs="宋体"/>
                      <w:szCs w:val="21"/>
                    </w:rPr>
                    <w:t>组分及浓度、生产工况等，合理选择治理技术，对治理难度大、单一治理工艺难以稳定达标的，要采用多种技术的组合工艺。</w:t>
                  </w:r>
                </w:p>
                <w:p>
                  <w:pPr>
                    <w:widowControl/>
                    <w:adjustRightInd w:val="0"/>
                    <w:snapToGrid w:val="0"/>
                    <w:spacing w:line="320" w:lineRule="exact"/>
                    <w:ind w:right="113"/>
                    <w:rPr>
                      <w:rFonts w:ascii="宋体" w:hAnsi="宋体" w:cs="宋体"/>
                      <w:kern w:val="0"/>
                      <w:szCs w:val="21"/>
                    </w:rPr>
                  </w:pPr>
                </w:p>
              </w:tc>
              <w:tc>
                <w:tcPr>
                  <w:tcW w:w="2385" w:type="dxa"/>
                </w:tcPr>
                <w:p>
                  <w:pPr>
                    <w:spacing w:line="320" w:lineRule="exact"/>
                    <w:rPr>
                      <w:rFonts w:ascii="宋体" w:hAnsi="宋体" w:cs="宋体"/>
                      <w:szCs w:val="21"/>
                    </w:rPr>
                  </w:pPr>
                  <w:r>
                    <w:rPr>
                      <w:rFonts w:hint="eastAsia" w:ascii="宋体" w:hAnsi="宋体" w:cs="宋体"/>
                      <w:szCs w:val="21"/>
                    </w:rPr>
                    <w:t>1、本项目不涉及高污染燃料。</w:t>
                  </w:r>
                </w:p>
                <w:p>
                  <w:pPr>
                    <w:widowControl/>
                    <w:snapToGrid w:val="0"/>
                    <w:spacing w:line="320" w:lineRule="exact"/>
                    <w:ind w:right="113"/>
                    <w:rPr>
                      <w:rFonts w:ascii="宋体" w:hAnsi="宋体" w:cs="宋体"/>
                      <w:kern w:val="0"/>
                      <w:szCs w:val="21"/>
                    </w:rPr>
                  </w:pPr>
                  <w:r>
                    <w:rPr>
                      <w:rFonts w:hint="eastAsia" w:ascii="宋体" w:hAnsi="宋体" w:cs="宋体"/>
                      <w:kern w:val="0"/>
                      <w:szCs w:val="21"/>
                    </w:rPr>
                    <w:t>2、</w:t>
                  </w:r>
                  <w:r>
                    <w:rPr>
                      <w:szCs w:val="21"/>
                    </w:rPr>
                    <w:t>本项目属于塑料制品业，不属于左侧中的重点行业范畴。</w:t>
                  </w:r>
                </w:p>
                <w:p>
                  <w:pPr>
                    <w:widowControl/>
                    <w:snapToGrid w:val="0"/>
                    <w:spacing w:line="320" w:lineRule="exact"/>
                    <w:ind w:right="113"/>
                    <w:rPr>
                      <w:rFonts w:ascii="宋体" w:hAnsi="宋体" w:cs="宋体"/>
                      <w:kern w:val="0"/>
                      <w:szCs w:val="21"/>
                    </w:rPr>
                  </w:pPr>
                  <w:r>
                    <w:rPr>
                      <w:rFonts w:hint="eastAsia" w:ascii="宋体" w:hAnsi="宋体" w:cs="宋体"/>
                      <w:kern w:val="0"/>
                      <w:szCs w:val="21"/>
                    </w:rPr>
                    <w:t>3、本项目主要大气污染物为有机废气，项目设置</w:t>
                  </w:r>
                  <w:r>
                    <w:rPr>
                      <w:rFonts w:hint="eastAsia"/>
                      <w:kern w:val="0"/>
                      <w:szCs w:val="21"/>
                    </w:rPr>
                    <w:t>1套</w:t>
                  </w:r>
                  <w:r>
                    <w:rPr>
                      <w:kern w:val="0"/>
                      <w:szCs w:val="21"/>
                    </w:rPr>
                    <w:t>“UV光</w:t>
                  </w:r>
                  <w:r>
                    <w:rPr>
                      <w:rFonts w:hint="eastAsia"/>
                      <w:kern w:val="0"/>
                      <w:szCs w:val="21"/>
                    </w:rPr>
                    <w:t>氧</w:t>
                  </w:r>
                  <w:r>
                    <w:rPr>
                      <w:kern w:val="0"/>
                      <w:szCs w:val="21"/>
                    </w:rPr>
                    <w:t>+活性炭吸附装置</w:t>
                  </w:r>
                  <w:r>
                    <w:rPr>
                      <w:rFonts w:hint="eastAsia" w:ascii="宋体" w:hAnsi="宋体" w:cs="宋体"/>
                      <w:kern w:val="0"/>
                      <w:szCs w:val="21"/>
                    </w:rPr>
                    <w:t>进行处理，处理效率可达到80%以上，处理措施可行。本项目不属于重点行业。</w:t>
                  </w:r>
                </w:p>
                <w:p>
                  <w:pPr>
                    <w:widowControl/>
                    <w:snapToGrid w:val="0"/>
                    <w:spacing w:line="320" w:lineRule="exact"/>
                    <w:ind w:right="113"/>
                    <w:rPr>
                      <w:rFonts w:ascii="宋体" w:hAnsi="宋体" w:cs="宋体"/>
                      <w:kern w:val="0"/>
                      <w:szCs w:val="21"/>
                    </w:rPr>
                  </w:pPr>
                </w:p>
              </w:tc>
            </w:tr>
          </w:tbl>
          <w:p>
            <w:pPr>
              <w:spacing w:line="360" w:lineRule="auto"/>
              <w:ind w:firstLine="480" w:firstLineChars="200"/>
              <w:rPr>
                <w:sz w:val="24"/>
              </w:rPr>
            </w:pPr>
            <w:r>
              <w:rPr>
                <w:sz w:val="24"/>
              </w:rPr>
              <w:t>由上述分析可知，本项目建设符合偃师</w:t>
            </w:r>
            <w:r>
              <w:rPr>
                <w:rFonts w:hint="eastAsia"/>
                <w:sz w:val="24"/>
              </w:rPr>
              <w:t>区</w:t>
            </w:r>
            <w:r>
              <w:rPr>
                <w:sz w:val="24"/>
              </w:rPr>
              <w:t>环境管控单元生态环境准入清单中管控要求。</w:t>
            </w:r>
          </w:p>
          <w:p>
            <w:pPr>
              <w:pStyle w:val="69"/>
              <w:snapToGrid w:val="0"/>
              <w:spacing w:line="360" w:lineRule="auto"/>
              <w:ind w:left="0" w:right="0" w:firstLine="0"/>
              <w:rPr>
                <w:rFonts w:ascii="宋体" w:hAnsi="宋体" w:cs="宋体"/>
                <w:b/>
                <w:bCs/>
              </w:rPr>
            </w:pPr>
            <w:r>
              <w:rPr>
                <w:rFonts w:hint="eastAsia" w:ascii="宋体" w:hAnsi="宋体" w:cs="宋体"/>
                <w:b/>
                <w:bCs/>
              </w:rPr>
              <w:t>2.产业政策</w:t>
            </w:r>
          </w:p>
          <w:p>
            <w:pPr>
              <w:adjustRightInd w:val="0"/>
              <w:snapToGrid w:val="0"/>
              <w:spacing w:line="360" w:lineRule="auto"/>
              <w:ind w:firstLine="480" w:firstLineChars="200"/>
              <w:rPr>
                <w:rFonts w:ascii="宋体" w:hAnsi="宋体" w:cs="宋体"/>
                <w:kern w:val="0"/>
                <w:sz w:val="24"/>
              </w:rPr>
            </w:pPr>
            <w:r>
              <w:rPr>
                <w:rFonts w:hint="eastAsia" w:ascii="宋体" w:hAnsi="宋体" w:cs="宋体"/>
                <w:bCs/>
                <w:sz w:val="24"/>
              </w:rPr>
              <w:t>本项目不在《产业结构调整指导目录（2019年本）》中限制类和淘汰类的目录范围内，属于允许建设项目，项目的建设符合国家产业政策，且该项目已于2023年6月1日在洛阳市偃师区发展和改革委员会备案，项目代码为：2306</w:t>
            </w:r>
            <w:r>
              <w:rPr>
                <w:rFonts w:ascii="宋体" w:hAnsi="宋体" w:cs="宋体"/>
                <w:bCs/>
                <w:sz w:val="24"/>
              </w:rPr>
              <w:t>-410381-04-0</w:t>
            </w:r>
            <w:r>
              <w:rPr>
                <w:rFonts w:hint="eastAsia" w:ascii="宋体" w:hAnsi="宋体" w:cs="宋体"/>
                <w:bCs/>
                <w:sz w:val="24"/>
              </w:rPr>
              <w:t>1</w:t>
            </w:r>
            <w:r>
              <w:rPr>
                <w:rFonts w:ascii="宋体" w:hAnsi="宋体" w:cs="宋体"/>
                <w:bCs/>
                <w:sz w:val="24"/>
              </w:rPr>
              <w:t>-</w:t>
            </w:r>
            <w:r>
              <w:rPr>
                <w:rFonts w:hint="eastAsia" w:ascii="宋体" w:hAnsi="宋体" w:cs="宋体"/>
                <w:bCs/>
                <w:sz w:val="24"/>
              </w:rPr>
              <w:t>195440。</w:t>
            </w:r>
          </w:p>
          <w:p>
            <w:pPr>
              <w:tabs>
                <w:tab w:val="left" w:pos="1260"/>
              </w:tabs>
              <w:adjustRightInd w:val="0"/>
              <w:snapToGrid w:val="0"/>
              <w:spacing w:line="520" w:lineRule="exact"/>
              <w:rPr>
                <w:b/>
                <w:bCs/>
                <w:sz w:val="24"/>
                <w:u w:val="single"/>
              </w:rPr>
            </w:pPr>
            <w:r>
              <w:rPr>
                <w:rFonts w:hint="eastAsia"/>
                <w:b/>
                <w:bCs/>
                <w:sz w:val="24"/>
                <w:u w:val="single"/>
                <w:lang w:val="en-US" w:eastAsia="zh-CN"/>
              </w:rPr>
              <w:t>3</w:t>
            </w:r>
            <w:r>
              <w:rPr>
                <w:rFonts w:hint="eastAsia"/>
                <w:b/>
                <w:bCs/>
                <w:sz w:val="24"/>
                <w:u w:val="single"/>
              </w:rPr>
              <w:t>.与《关于印发偃师区2023年蓝天、碧水、净土保卫战实施方案的通知》（偃环委办[2023]3号）相符性分析</w:t>
            </w:r>
          </w:p>
          <w:p>
            <w:pPr>
              <w:autoSpaceDE w:val="0"/>
              <w:autoSpaceDN w:val="0"/>
              <w:adjustRightInd w:val="0"/>
              <w:snapToGrid w:val="0"/>
              <w:spacing w:line="520" w:lineRule="exact"/>
              <w:ind w:firstLine="240" w:firstLineChars="100"/>
              <w:jc w:val="center"/>
              <w:rPr>
                <w:rFonts w:eastAsia="黑体"/>
                <w:bCs/>
                <w:sz w:val="24"/>
                <w:szCs w:val="22"/>
                <w:u w:val="single"/>
              </w:rPr>
            </w:pPr>
            <w:r>
              <w:rPr>
                <w:rFonts w:hint="eastAsia" w:eastAsia="黑体"/>
                <w:bCs/>
                <w:sz w:val="24"/>
                <w:szCs w:val="22"/>
                <w:u w:val="single"/>
              </w:rPr>
              <w:t>表1-</w:t>
            </w:r>
            <w:r>
              <w:rPr>
                <w:rFonts w:hint="eastAsia" w:eastAsia="黑体"/>
                <w:bCs/>
                <w:sz w:val="24"/>
                <w:szCs w:val="22"/>
                <w:u w:val="single"/>
                <w:lang w:val="en-US" w:eastAsia="zh-CN"/>
              </w:rPr>
              <w:t>2</w:t>
            </w:r>
            <w:r>
              <w:rPr>
                <w:rFonts w:hint="eastAsia" w:eastAsia="黑体"/>
                <w:bCs/>
                <w:sz w:val="24"/>
                <w:szCs w:val="22"/>
                <w:u w:val="single"/>
              </w:rPr>
              <w:t xml:space="preserve">         本项目与偃环委办[2023]3号相符性分析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737"/>
              <w:gridCol w:w="249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序号</w:t>
                  </w:r>
                </w:p>
              </w:tc>
              <w:tc>
                <w:tcPr>
                  <w:tcW w:w="2338" w:type="pct"/>
                  <w:vAlign w:val="center"/>
                </w:tcPr>
                <w:p>
                  <w:pPr>
                    <w:spacing w:line="360" w:lineRule="exact"/>
                    <w:jc w:val="center"/>
                    <w:rPr>
                      <w:szCs w:val="21"/>
                      <w:u w:val="single"/>
                    </w:rPr>
                  </w:pPr>
                  <w:r>
                    <w:rPr>
                      <w:rFonts w:hint="eastAsia"/>
                      <w:szCs w:val="21"/>
                      <w:u w:val="single"/>
                    </w:rPr>
                    <w:t>洛环委办 [2023]24号</w:t>
                  </w:r>
                </w:p>
              </w:tc>
              <w:tc>
                <w:tcPr>
                  <w:tcW w:w="1558" w:type="pct"/>
                  <w:vAlign w:val="center"/>
                </w:tcPr>
                <w:p>
                  <w:pPr>
                    <w:spacing w:line="360" w:lineRule="exact"/>
                    <w:jc w:val="center"/>
                    <w:rPr>
                      <w:szCs w:val="21"/>
                      <w:u w:val="single"/>
                    </w:rPr>
                  </w:pPr>
                  <w:r>
                    <w:rPr>
                      <w:rFonts w:hint="eastAsia"/>
                      <w:szCs w:val="21"/>
                      <w:u w:val="single"/>
                    </w:rPr>
                    <w:t>本项目</w:t>
                  </w:r>
                </w:p>
              </w:tc>
              <w:tc>
                <w:tcPr>
                  <w:tcW w:w="577" w:type="pct"/>
                  <w:vAlign w:val="center"/>
                </w:tcPr>
                <w:p>
                  <w:pPr>
                    <w:spacing w:line="360" w:lineRule="exact"/>
                    <w:jc w:val="center"/>
                    <w:rPr>
                      <w:szCs w:val="21"/>
                      <w:u w:val="single"/>
                    </w:rPr>
                  </w:pPr>
                  <w:r>
                    <w:rPr>
                      <w:rFonts w:hint="eastAsia"/>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（一）</w:t>
                  </w:r>
                </w:p>
              </w:tc>
              <w:tc>
                <w:tcPr>
                  <w:tcW w:w="4473" w:type="pct"/>
                  <w:gridSpan w:val="3"/>
                  <w:vAlign w:val="center"/>
                </w:tcPr>
                <w:p>
                  <w:pPr>
                    <w:spacing w:line="360" w:lineRule="exact"/>
                    <w:rPr>
                      <w:szCs w:val="21"/>
                      <w:u w:val="single"/>
                    </w:rPr>
                  </w:pPr>
                  <w:r>
                    <w:rPr>
                      <w:rFonts w:hint="eastAsia"/>
                      <w:szCs w:val="21"/>
                      <w:u w:val="single"/>
                    </w:rPr>
                    <w:t>持续推进产业结构优化调整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2.（1）</w:t>
                  </w:r>
                </w:p>
              </w:tc>
              <w:tc>
                <w:tcPr>
                  <w:tcW w:w="2338" w:type="pct"/>
                  <w:vAlign w:val="center"/>
                </w:tcPr>
                <w:p>
                  <w:pPr>
                    <w:spacing w:line="360" w:lineRule="exact"/>
                    <w:rPr>
                      <w:szCs w:val="21"/>
                      <w:u w:val="single"/>
                    </w:rPr>
                  </w:pPr>
                  <w:r>
                    <w:rPr>
                      <w:rFonts w:hint="eastAsia"/>
                      <w:szCs w:val="21"/>
                      <w:u w:val="single"/>
                    </w:rPr>
                    <w:t>加</w:t>
                  </w:r>
                  <w:r>
                    <w:rPr>
                      <w:rFonts w:hint="eastAsia"/>
                      <w:bCs/>
                      <w:szCs w:val="21"/>
                      <w:u w:val="single"/>
                    </w:rPr>
                    <w:t>快落后低效产能淘汰。2023年7月底前制定2023年落后产能淘汰退出工作方案，严格执行能耗、环保、质量、安全、技术等法规标准，明确落后产能淘汰目标任务，组织开展排查整治专项行动，按期完成年度淘汰落后产能目标任务，对落后产能实施动态“清零”。</w:t>
                  </w:r>
                </w:p>
              </w:tc>
              <w:tc>
                <w:tcPr>
                  <w:tcW w:w="1558" w:type="pct"/>
                  <w:vAlign w:val="center"/>
                </w:tcPr>
                <w:p>
                  <w:pPr>
                    <w:autoSpaceDE w:val="0"/>
                    <w:autoSpaceDN w:val="0"/>
                    <w:adjustRightInd w:val="0"/>
                    <w:spacing w:line="360" w:lineRule="exact"/>
                    <w:rPr>
                      <w:szCs w:val="21"/>
                      <w:u w:val="single"/>
                    </w:rPr>
                  </w:pPr>
                  <w:r>
                    <w:rPr>
                      <w:rFonts w:hint="eastAsia"/>
                      <w:szCs w:val="21"/>
                      <w:u w:val="single"/>
                    </w:rPr>
                    <w:t>本项目使用的设备与生产工艺均不属于落后生产工艺装备，项目生产的产品不属于落后产品。</w:t>
                  </w:r>
                </w:p>
              </w:tc>
              <w:tc>
                <w:tcPr>
                  <w:tcW w:w="577"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2.（2）</w:t>
                  </w:r>
                </w:p>
              </w:tc>
              <w:tc>
                <w:tcPr>
                  <w:tcW w:w="2338" w:type="pct"/>
                  <w:vAlign w:val="center"/>
                </w:tcPr>
                <w:p>
                  <w:pPr>
                    <w:spacing w:line="360" w:lineRule="exact"/>
                    <w:rPr>
                      <w:szCs w:val="21"/>
                      <w:u w:val="single"/>
                    </w:rPr>
                  </w:pPr>
                  <w:r>
                    <w:rPr>
                      <w:rFonts w:hint="eastAsia"/>
                      <w:szCs w:val="21"/>
                      <w:u w:val="single"/>
                    </w:rPr>
                    <w:t>实施“散乱污”企业动态清零。持续完善“散乱污”企业监管机制，加强执法检查，定期开展“回头看”，坚决杜绝“散乱污”企业死灰复燃、异地转移，确保动态清零。</w:t>
                  </w:r>
                </w:p>
              </w:tc>
              <w:tc>
                <w:tcPr>
                  <w:tcW w:w="1558" w:type="pct"/>
                  <w:vAlign w:val="center"/>
                </w:tcPr>
                <w:p>
                  <w:pPr>
                    <w:spacing w:line="360" w:lineRule="exact"/>
                    <w:rPr>
                      <w:szCs w:val="21"/>
                      <w:u w:val="single"/>
                    </w:rPr>
                  </w:pPr>
                  <w:r>
                    <w:rPr>
                      <w:rFonts w:hint="eastAsia"/>
                      <w:szCs w:val="21"/>
                      <w:u w:val="single"/>
                    </w:rPr>
                    <w:t>本项目位于岳滩镇赵庄街村11组，项目符合产业政策，本项目不属于“散乱污”企业。</w:t>
                  </w:r>
                </w:p>
              </w:tc>
              <w:tc>
                <w:tcPr>
                  <w:tcW w:w="577"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（五）</w:t>
                  </w:r>
                </w:p>
              </w:tc>
              <w:tc>
                <w:tcPr>
                  <w:tcW w:w="4473" w:type="pct"/>
                  <w:gridSpan w:val="3"/>
                  <w:vAlign w:val="center"/>
                </w:tcPr>
                <w:p>
                  <w:pPr>
                    <w:spacing w:line="360" w:lineRule="exact"/>
                    <w:rPr>
                      <w:szCs w:val="21"/>
                      <w:u w:val="single"/>
                    </w:rPr>
                  </w:pPr>
                  <w:r>
                    <w:rPr>
                      <w:rFonts w:hint="eastAsia"/>
                      <w:szCs w:val="21"/>
                      <w:u w:val="single"/>
                    </w:rPr>
                    <w:t>推进工业企业综合治理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19</w:t>
                  </w:r>
                </w:p>
              </w:tc>
              <w:tc>
                <w:tcPr>
                  <w:tcW w:w="2338" w:type="pct"/>
                  <w:vAlign w:val="center"/>
                </w:tcPr>
                <w:p>
                  <w:pPr>
                    <w:spacing w:line="360" w:lineRule="exact"/>
                    <w:rPr>
                      <w:szCs w:val="21"/>
                      <w:u w:val="single"/>
                    </w:rPr>
                  </w:pPr>
                  <w:r>
                    <w:rPr>
                      <w:rFonts w:hint="eastAsia"/>
                      <w:szCs w:val="21"/>
                      <w:u w:val="single"/>
                    </w:rPr>
                    <w:t>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设施，10月底前，对无法稳定达标排放的通过更换适宜高效治理工艺、提升现有治污设施处理能力、清洁能源替代等方式完成分类整治，对人工投加脱硫脱硝剂的简易设施实施自动化改。</w:t>
                  </w:r>
                </w:p>
              </w:tc>
              <w:tc>
                <w:tcPr>
                  <w:tcW w:w="1558" w:type="pct"/>
                  <w:vAlign w:val="center"/>
                </w:tcPr>
                <w:p>
                  <w:pPr>
                    <w:spacing w:line="360" w:lineRule="exact"/>
                    <w:rPr>
                      <w:szCs w:val="21"/>
                      <w:u w:val="single"/>
                    </w:rPr>
                  </w:pPr>
                  <w:r>
                    <w:rPr>
                      <w:rFonts w:hint="eastAsia"/>
                      <w:snapToGrid w:val="0"/>
                      <w:szCs w:val="21"/>
                      <w:u w:val="single"/>
                    </w:rPr>
                    <w:t>本项目属于塑料制品业，</w:t>
                  </w:r>
                  <w:r>
                    <w:rPr>
                      <w:rFonts w:hint="eastAsia"/>
                      <w:bCs/>
                      <w:kern w:val="28"/>
                      <w:szCs w:val="21"/>
                      <w:u w:val="single"/>
                    </w:rPr>
                    <w:t>生产车间密闭，采取末端治理技术，调墨、印刷工序在车间内二次密闭，剪裁、调墨、印刷工序产生的VOC</w:t>
                  </w:r>
                  <w:r>
                    <w:rPr>
                      <w:rFonts w:hint="eastAsia"/>
                      <w:bCs/>
                      <w:kern w:val="28"/>
                      <w:szCs w:val="21"/>
                      <w:u w:val="single"/>
                      <w:vertAlign w:val="subscript"/>
                    </w:rPr>
                    <w:t>S</w:t>
                  </w:r>
                  <w:r>
                    <w:rPr>
                      <w:rFonts w:hint="eastAsia"/>
                      <w:bCs/>
                      <w:kern w:val="28"/>
                      <w:szCs w:val="21"/>
                      <w:u w:val="single"/>
                    </w:rPr>
                    <w:t>采用集气措施收集后进入VOC</w:t>
                  </w:r>
                  <w:r>
                    <w:rPr>
                      <w:rFonts w:hint="eastAsia"/>
                      <w:bCs/>
                      <w:kern w:val="28"/>
                      <w:szCs w:val="21"/>
                      <w:u w:val="single"/>
                      <w:vertAlign w:val="subscript"/>
                    </w:rPr>
                    <w:t>S</w:t>
                  </w:r>
                  <w:r>
                    <w:rPr>
                      <w:rFonts w:hint="eastAsia"/>
                      <w:bCs/>
                      <w:kern w:val="28"/>
                      <w:szCs w:val="21"/>
                      <w:u w:val="single"/>
                    </w:rPr>
                    <w:t>废气处理系统，VOCs治</w:t>
                  </w:r>
                  <w:r>
                    <w:rPr>
                      <w:rFonts w:hint="eastAsia"/>
                      <w:snapToGrid w:val="0"/>
                      <w:kern w:val="0"/>
                      <w:u w:val="single"/>
                    </w:rPr>
                    <w:t>理采用“UV光氧催化+活性炭吸附装置</w:t>
                  </w:r>
                  <w:r>
                    <w:rPr>
                      <w:rFonts w:hint="eastAsia"/>
                      <w:bCs/>
                      <w:kern w:val="28"/>
                      <w:szCs w:val="21"/>
                      <w:u w:val="single"/>
                    </w:rPr>
                    <w:t>”处理，废气经治理后达标排放。</w:t>
                  </w:r>
                </w:p>
              </w:tc>
              <w:tc>
                <w:tcPr>
                  <w:tcW w:w="577"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（六）</w:t>
                  </w:r>
                </w:p>
              </w:tc>
              <w:tc>
                <w:tcPr>
                  <w:tcW w:w="4473" w:type="pct"/>
                  <w:gridSpan w:val="3"/>
                  <w:vAlign w:val="center"/>
                </w:tcPr>
                <w:p>
                  <w:pPr>
                    <w:spacing w:line="360" w:lineRule="exact"/>
                    <w:rPr>
                      <w:szCs w:val="21"/>
                      <w:u w:val="single"/>
                    </w:rPr>
                  </w:pPr>
                  <w:r>
                    <w:rPr>
                      <w:rFonts w:hint="eastAsia"/>
                      <w:szCs w:val="21"/>
                      <w:u w:val="single"/>
                    </w:rPr>
                    <w:t>加快挥发性有机物治理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23.（1）</w:t>
                  </w:r>
                </w:p>
              </w:tc>
              <w:tc>
                <w:tcPr>
                  <w:tcW w:w="2338" w:type="pct"/>
                  <w:vAlign w:val="center"/>
                </w:tcPr>
                <w:p>
                  <w:pPr>
                    <w:spacing w:line="360" w:lineRule="exact"/>
                    <w:rPr>
                      <w:szCs w:val="21"/>
                      <w:u w:val="single"/>
                    </w:rPr>
                  </w:pPr>
                  <w:r>
                    <w:rPr>
                      <w:rFonts w:hint="eastAsia"/>
                      <w:szCs w:val="21"/>
                      <w:u w:val="single"/>
                    </w:rPr>
                    <w:t>按照“可替尽替、应代尽代”的原则，开展工业涂装、家具制造、包装印刷、钢结构制造等行业溶剂型涂料、油墨、胶粘剂、清洗剂使用低VOCs含量原辅材料替代，明确治理任务，动态更新清单台账。</w:t>
                  </w:r>
                </w:p>
              </w:tc>
              <w:tc>
                <w:tcPr>
                  <w:tcW w:w="1558" w:type="pct"/>
                  <w:vAlign w:val="center"/>
                </w:tcPr>
                <w:p>
                  <w:pPr>
                    <w:spacing w:line="360" w:lineRule="exact"/>
                    <w:rPr>
                      <w:szCs w:val="21"/>
                      <w:u w:val="single"/>
                    </w:rPr>
                  </w:pPr>
                  <w:r>
                    <w:rPr>
                      <w:rFonts w:hint="eastAsia"/>
                      <w:szCs w:val="21"/>
                      <w:u w:val="single"/>
                    </w:rPr>
                    <w:t>本项目使用的</w:t>
                  </w:r>
                  <w:r>
                    <w:rPr>
                      <w:szCs w:val="21"/>
                      <w:u w:val="single"/>
                    </w:rPr>
                    <w:t>油墨为水性油墨，属于</w:t>
                  </w:r>
                  <w:r>
                    <w:rPr>
                      <w:rFonts w:hint="eastAsia"/>
                      <w:szCs w:val="21"/>
                      <w:u w:val="single"/>
                    </w:rPr>
                    <w:t>非溶剂型低VOCs原辅材料。项目根据要求进行记录和管理台账</w:t>
                  </w:r>
                  <w:r>
                    <w:rPr>
                      <w:rFonts w:hint="eastAsia"/>
                      <w:color w:val="000000"/>
                      <w:szCs w:val="21"/>
                      <w:u w:val="single"/>
                    </w:rPr>
                    <w:t>。</w:t>
                  </w:r>
                </w:p>
              </w:tc>
              <w:tc>
                <w:tcPr>
                  <w:tcW w:w="577"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pPr>
                    <w:spacing w:line="360" w:lineRule="exact"/>
                    <w:jc w:val="center"/>
                    <w:rPr>
                      <w:szCs w:val="21"/>
                      <w:u w:val="single"/>
                    </w:rPr>
                  </w:pPr>
                  <w:r>
                    <w:rPr>
                      <w:rFonts w:hint="eastAsia"/>
                      <w:szCs w:val="21"/>
                      <w:u w:val="single"/>
                    </w:rPr>
                    <w:t>24</w:t>
                  </w:r>
                </w:p>
              </w:tc>
              <w:tc>
                <w:tcPr>
                  <w:tcW w:w="2338" w:type="pct"/>
                  <w:vAlign w:val="center"/>
                </w:tcPr>
                <w:p>
                  <w:pPr>
                    <w:spacing w:line="360" w:lineRule="exact"/>
                    <w:rPr>
                      <w:szCs w:val="21"/>
                      <w:u w:val="single"/>
                    </w:rPr>
                  </w:pPr>
                  <w:r>
                    <w:rPr>
                      <w:rFonts w:hint="eastAsia"/>
                      <w:szCs w:val="21"/>
                      <w:u w:val="single"/>
                    </w:rPr>
                    <w:t>持续加大无组织排放整治力度。2023年5月底前，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将需要集气罩收集无组织排放的集气流速测量监控纳入日常管理工作中监督落实。</w:t>
                  </w:r>
                </w:p>
              </w:tc>
              <w:tc>
                <w:tcPr>
                  <w:tcW w:w="1558" w:type="pct"/>
                  <w:vAlign w:val="center"/>
                </w:tcPr>
                <w:p>
                  <w:pPr>
                    <w:spacing w:line="360" w:lineRule="exact"/>
                    <w:rPr>
                      <w:szCs w:val="21"/>
                      <w:u w:val="single"/>
                    </w:rPr>
                  </w:pPr>
                  <w:r>
                    <w:rPr>
                      <w:rFonts w:hint="eastAsia"/>
                      <w:u w:val="single"/>
                    </w:rPr>
                    <w:t>本项目VOC</w:t>
                  </w:r>
                  <w:r>
                    <w:rPr>
                      <w:rFonts w:hint="eastAsia"/>
                      <w:szCs w:val="21"/>
                      <w:u w:val="single"/>
                    </w:rPr>
                    <w:t>s物料储存及</w:t>
                  </w:r>
                  <w:r>
                    <w:rPr>
                      <w:rFonts w:hint="eastAsia"/>
                      <w:u w:val="single"/>
                    </w:rPr>
                    <w:t>产生工序均位于密闭生产车间内，产生的有机废气经“集气罩+UV光氧+活性炭吸附”装置收集处理后，经排气筒达标排放。</w:t>
                  </w:r>
                </w:p>
              </w:tc>
              <w:tc>
                <w:tcPr>
                  <w:tcW w:w="577" w:type="pct"/>
                  <w:vAlign w:val="center"/>
                </w:tcPr>
                <w:p>
                  <w:pPr>
                    <w:spacing w:line="360" w:lineRule="exact"/>
                    <w:jc w:val="center"/>
                    <w:rPr>
                      <w:szCs w:val="21"/>
                      <w:u w:val="single"/>
                    </w:rPr>
                  </w:pPr>
                  <w:r>
                    <w:rPr>
                      <w:rFonts w:hint="eastAsia"/>
                      <w:szCs w:val="21"/>
                      <w:u w:val="single"/>
                    </w:rPr>
                    <w:t>相符</w:t>
                  </w:r>
                </w:p>
              </w:tc>
            </w:tr>
          </w:tbl>
          <w:p>
            <w:pPr>
              <w:spacing w:line="440" w:lineRule="exact"/>
              <w:ind w:firstLine="480" w:firstLineChars="200"/>
              <w:rPr>
                <w:bCs/>
                <w:sz w:val="24"/>
                <w:u w:val="single"/>
              </w:rPr>
            </w:pPr>
            <w:r>
              <w:rPr>
                <w:bCs/>
                <w:sz w:val="24"/>
                <w:u w:val="single"/>
              </w:rPr>
              <w:t>由上可知，本项目的建设符合《</w:t>
            </w:r>
            <w:r>
              <w:rPr>
                <w:rFonts w:hint="eastAsia"/>
                <w:bCs/>
                <w:sz w:val="24"/>
                <w:u w:val="single"/>
              </w:rPr>
              <w:t>关于印发偃师区2023年蓝天、碧水、净土保卫战实施方案的通知</w:t>
            </w:r>
            <w:r>
              <w:rPr>
                <w:bCs/>
                <w:sz w:val="24"/>
                <w:u w:val="single"/>
              </w:rPr>
              <w:t>》（</w:t>
            </w:r>
            <w:r>
              <w:rPr>
                <w:rFonts w:hint="eastAsia"/>
                <w:bCs/>
                <w:sz w:val="24"/>
                <w:u w:val="single"/>
              </w:rPr>
              <w:t>偃环委办</w:t>
            </w:r>
            <w:r>
              <w:rPr>
                <w:bCs/>
                <w:sz w:val="24"/>
                <w:u w:val="single"/>
              </w:rPr>
              <w:t>[202</w:t>
            </w:r>
            <w:r>
              <w:rPr>
                <w:rFonts w:hint="eastAsia"/>
                <w:bCs/>
                <w:sz w:val="24"/>
                <w:u w:val="single"/>
              </w:rPr>
              <w:t>3</w:t>
            </w:r>
            <w:r>
              <w:rPr>
                <w:bCs/>
                <w:sz w:val="24"/>
                <w:u w:val="single"/>
              </w:rPr>
              <w:t>]</w:t>
            </w:r>
            <w:r>
              <w:rPr>
                <w:rFonts w:hint="eastAsia"/>
                <w:bCs/>
                <w:sz w:val="24"/>
                <w:u w:val="single"/>
              </w:rPr>
              <w:t>3</w:t>
            </w:r>
            <w:r>
              <w:rPr>
                <w:bCs/>
                <w:sz w:val="24"/>
                <w:u w:val="single"/>
              </w:rPr>
              <w:t>号）文件相关要求。</w:t>
            </w:r>
          </w:p>
          <w:p>
            <w:pPr>
              <w:tabs>
                <w:tab w:val="left" w:pos="1260"/>
              </w:tabs>
              <w:adjustRightInd w:val="0"/>
              <w:snapToGrid w:val="0"/>
              <w:spacing w:line="520" w:lineRule="exact"/>
              <w:rPr>
                <w:b/>
                <w:bCs/>
                <w:sz w:val="24"/>
                <w:u w:val="single"/>
              </w:rPr>
            </w:pPr>
            <w:r>
              <w:rPr>
                <w:rFonts w:hint="eastAsia"/>
                <w:b/>
                <w:bCs/>
                <w:sz w:val="24"/>
                <w:u w:val="single"/>
                <w:lang w:val="en-US" w:eastAsia="zh-CN"/>
              </w:rPr>
              <w:t>4</w:t>
            </w:r>
            <w:r>
              <w:rPr>
                <w:rFonts w:hint="eastAsia"/>
                <w:b/>
                <w:bCs/>
                <w:sz w:val="24"/>
                <w:u w:val="single"/>
              </w:rPr>
              <w:t>.与《关于印发洛阳市2023年夏季挥发性有机物污染防治实施方案的通知》（洛环委办[2023]41号）相符性分析</w:t>
            </w:r>
          </w:p>
          <w:p>
            <w:pPr>
              <w:autoSpaceDE w:val="0"/>
              <w:autoSpaceDN w:val="0"/>
              <w:adjustRightInd w:val="0"/>
              <w:snapToGrid w:val="0"/>
              <w:spacing w:line="520" w:lineRule="exact"/>
              <w:ind w:firstLine="240" w:firstLineChars="100"/>
              <w:jc w:val="center"/>
              <w:rPr>
                <w:rFonts w:eastAsia="黑体"/>
                <w:bCs/>
                <w:sz w:val="24"/>
                <w:szCs w:val="22"/>
                <w:u w:val="single"/>
              </w:rPr>
            </w:pPr>
            <w:r>
              <w:rPr>
                <w:rFonts w:hint="eastAsia" w:eastAsia="黑体"/>
                <w:bCs/>
                <w:sz w:val="24"/>
                <w:szCs w:val="22"/>
                <w:u w:val="single"/>
              </w:rPr>
              <w:t>表1-</w:t>
            </w:r>
            <w:r>
              <w:rPr>
                <w:rFonts w:hint="eastAsia" w:eastAsia="黑体"/>
                <w:bCs/>
                <w:sz w:val="24"/>
                <w:szCs w:val="22"/>
                <w:u w:val="single"/>
                <w:lang w:val="en-US" w:eastAsia="zh-CN"/>
              </w:rPr>
              <w:t>3</w:t>
            </w:r>
            <w:r>
              <w:rPr>
                <w:rFonts w:hint="eastAsia" w:eastAsia="黑体"/>
                <w:bCs/>
                <w:sz w:val="24"/>
                <w:szCs w:val="22"/>
                <w:u w:val="single"/>
              </w:rPr>
              <w:t xml:space="preserve">         本项目与洛环委办[2023]41号相符性分析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737"/>
              <w:gridCol w:w="249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序号</w:t>
                  </w:r>
                </w:p>
              </w:tc>
              <w:tc>
                <w:tcPr>
                  <w:tcW w:w="2338" w:type="pct"/>
                  <w:vAlign w:val="center"/>
                </w:tcPr>
                <w:p>
                  <w:pPr>
                    <w:spacing w:line="360" w:lineRule="exact"/>
                    <w:jc w:val="center"/>
                    <w:rPr>
                      <w:szCs w:val="21"/>
                      <w:u w:val="single"/>
                    </w:rPr>
                  </w:pPr>
                  <w:r>
                    <w:rPr>
                      <w:rFonts w:hint="eastAsia"/>
                      <w:szCs w:val="21"/>
                      <w:u w:val="single"/>
                    </w:rPr>
                    <w:t>洛环委办 [2023]24号</w:t>
                  </w:r>
                </w:p>
              </w:tc>
              <w:tc>
                <w:tcPr>
                  <w:tcW w:w="1558" w:type="pct"/>
                  <w:vAlign w:val="center"/>
                </w:tcPr>
                <w:p>
                  <w:pPr>
                    <w:spacing w:line="360" w:lineRule="exact"/>
                    <w:jc w:val="center"/>
                    <w:rPr>
                      <w:szCs w:val="21"/>
                      <w:u w:val="single"/>
                    </w:rPr>
                  </w:pPr>
                  <w:r>
                    <w:rPr>
                      <w:rFonts w:hint="eastAsia"/>
                      <w:szCs w:val="21"/>
                      <w:u w:val="single"/>
                    </w:rPr>
                    <w:t>本项目</w:t>
                  </w:r>
                </w:p>
              </w:tc>
              <w:tc>
                <w:tcPr>
                  <w:tcW w:w="576" w:type="pct"/>
                  <w:vAlign w:val="center"/>
                </w:tcPr>
                <w:p>
                  <w:pPr>
                    <w:spacing w:line="360" w:lineRule="exact"/>
                    <w:jc w:val="center"/>
                    <w:rPr>
                      <w:szCs w:val="21"/>
                      <w:u w:val="single"/>
                    </w:rPr>
                  </w:pPr>
                  <w:r>
                    <w:rPr>
                      <w:rFonts w:hint="eastAsia"/>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（二）</w:t>
                  </w:r>
                </w:p>
              </w:tc>
              <w:tc>
                <w:tcPr>
                  <w:tcW w:w="4473" w:type="pct"/>
                  <w:gridSpan w:val="3"/>
                  <w:vAlign w:val="center"/>
                </w:tcPr>
                <w:p>
                  <w:pPr>
                    <w:spacing w:line="360" w:lineRule="exact"/>
                    <w:rPr>
                      <w:szCs w:val="21"/>
                      <w:u w:val="single"/>
                    </w:rPr>
                  </w:pPr>
                  <w:r>
                    <w:rPr>
                      <w:rFonts w:hint="eastAsia"/>
                      <w:szCs w:val="21"/>
                      <w:u w:val="single"/>
                    </w:rPr>
                    <w:t>实施源头削减，推进总量减排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3</w:t>
                  </w:r>
                </w:p>
              </w:tc>
              <w:tc>
                <w:tcPr>
                  <w:tcW w:w="2338" w:type="pct"/>
                  <w:vAlign w:val="center"/>
                </w:tcPr>
                <w:p>
                  <w:pPr>
                    <w:spacing w:line="360" w:lineRule="exact"/>
                    <w:rPr>
                      <w:szCs w:val="21"/>
                      <w:u w:val="single"/>
                    </w:rPr>
                  </w:pPr>
                  <w:r>
                    <w:rPr>
                      <w:rFonts w:hint="eastAsia"/>
                      <w:szCs w:val="21"/>
                      <w:u w:val="single"/>
                    </w:rPr>
                    <w:t>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建立保存期限不少于三年的台账，记录生产原料、辅料的使用量、废弃量、去向以及挥发性有机物含量。汽车整车制造行业大力推进底漆、中涂、色漆低VOCs含量涂料使用比例</w:t>
                  </w:r>
                  <w:r>
                    <w:rPr>
                      <w:rFonts w:hint="eastAsia"/>
                      <w:bCs/>
                      <w:szCs w:val="21"/>
                      <w:u w:val="single"/>
                    </w:rPr>
                    <w:t>。</w:t>
                  </w:r>
                </w:p>
              </w:tc>
              <w:tc>
                <w:tcPr>
                  <w:tcW w:w="1558" w:type="pct"/>
                  <w:vAlign w:val="center"/>
                </w:tcPr>
                <w:p>
                  <w:pPr>
                    <w:spacing w:line="360" w:lineRule="exact"/>
                    <w:rPr>
                      <w:szCs w:val="21"/>
                      <w:u w:val="single"/>
                    </w:rPr>
                  </w:pPr>
                  <w:r>
                    <w:rPr>
                      <w:rFonts w:hint="eastAsia"/>
                      <w:u w:val="single"/>
                    </w:rPr>
                    <w:t>本项目为改建项目，实行偃师区区域内VOCs排放倍量替代。</w:t>
                  </w:r>
                  <w:r>
                    <w:rPr>
                      <w:szCs w:val="21"/>
                      <w:u w:val="single"/>
                    </w:rPr>
                    <w:t>本项目属于塑料制品业，</w:t>
                  </w:r>
                  <w:r>
                    <w:rPr>
                      <w:rFonts w:hint="eastAsia"/>
                      <w:szCs w:val="21"/>
                      <w:u w:val="single"/>
                    </w:rPr>
                    <w:t>使用的</w:t>
                  </w:r>
                  <w:r>
                    <w:rPr>
                      <w:szCs w:val="21"/>
                      <w:u w:val="single"/>
                    </w:rPr>
                    <w:t>油墨为水性油墨，属于</w:t>
                  </w:r>
                  <w:r>
                    <w:rPr>
                      <w:rFonts w:hint="eastAsia"/>
                      <w:szCs w:val="21"/>
                      <w:u w:val="single"/>
                    </w:rPr>
                    <w:t>低VOCs原辅材料。本项目按要求进行台账的记录与保存。</w:t>
                  </w:r>
                </w:p>
              </w:tc>
              <w:tc>
                <w:tcPr>
                  <w:tcW w:w="576"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8</w:t>
                  </w:r>
                </w:p>
              </w:tc>
              <w:tc>
                <w:tcPr>
                  <w:tcW w:w="2338" w:type="pct"/>
                  <w:vAlign w:val="center"/>
                </w:tcPr>
                <w:p>
                  <w:pPr>
                    <w:spacing w:line="360" w:lineRule="exact"/>
                    <w:rPr>
                      <w:szCs w:val="21"/>
                      <w:u w:val="single"/>
                    </w:rPr>
                  </w:pPr>
                  <w:r>
                    <w:rPr>
                      <w:rFonts w:hint="eastAsia"/>
                      <w:szCs w:val="21"/>
                      <w:u w:val="single"/>
                    </w:rPr>
                    <w:t>推进绿色生产工艺。在保证安全生产的前提下，持续推进石化、化工、医药、农药等行业企业“三化”改造(密闭化、自动化、管道化)，采用高效工艺及设备，有效减少工艺过程无组织排放。石化、化工行业重点推进低(无)泄漏的泵、压缩机、过滤机、离心机、于燥设备等，推广采用油品在线调和技术、密闭式循环水冷却系统等。工业涂装行业重点推进使用紧凑式涂装工艺，推广采用辊涂、静电喷涂、高压无气喷涂、空气辅助无气喷涂、热喷涂等技术，鼓励企业采用自动化、智能化喷涂设备替代人工喷涂，减少使用空气喷涂技术;包装印刷行业要大力推广使用无溶剂复合、挤出复合、共挤出复合技术，鼓励采用水性凹印、醇水凹印、辐射固化凹印、柔版印刷、无水胶印等印刷工艺。</w:t>
                  </w:r>
                </w:p>
              </w:tc>
              <w:tc>
                <w:tcPr>
                  <w:tcW w:w="1558" w:type="pct"/>
                  <w:vAlign w:val="center"/>
                </w:tcPr>
                <w:p>
                  <w:pPr>
                    <w:spacing w:line="360" w:lineRule="exact"/>
                    <w:rPr>
                      <w:szCs w:val="21"/>
                      <w:u w:val="single"/>
                    </w:rPr>
                  </w:pPr>
                  <w:r>
                    <w:rPr>
                      <w:szCs w:val="21"/>
                      <w:u w:val="single"/>
                    </w:rPr>
                    <w:t>本项目属于塑料制品业，</w:t>
                  </w:r>
                  <w:r>
                    <w:rPr>
                      <w:rFonts w:hint="eastAsia"/>
                      <w:szCs w:val="21"/>
                      <w:u w:val="single"/>
                    </w:rPr>
                    <w:t>使用的</w:t>
                  </w:r>
                  <w:r>
                    <w:rPr>
                      <w:szCs w:val="21"/>
                      <w:u w:val="single"/>
                    </w:rPr>
                    <w:t>油墨为水性油墨，属于</w:t>
                  </w:r>
                  <w:r>
                    <w:rPr>
                      <w:rFonts w:hint="eastAsia"/>
                      <w:szCs w:val="21"/>
                      <w:u w:val="single"/>
                    </w:rPr>
                    <w:t>低VOCs原辅材料。本项目印刷环节采用柔版印刷。</w:t>
                  </w:r>
                </w:p>
              </w:tc>
              <w:tc>
                <w:tcPr>
                  <w:tcW w:w="576" w:type="pct"/>
                  <w:vAlign w:val="center"/>
                </w:tcPr>
                <w:p>
                  <w:pPr>
                    <w:spacing w:line="360" w:lineRule="exact"/>
                    <w:jc w:val="center"/>
                    <w:rPr>
                      <w:szCs w:val="21"/>
                      <w:u w:val="single"/>
                    </w:rPr>
                  </w:pPr>
                  <w:r>
                    <w:rPr>
                      <w:rFonts w:hint="eastAsia"/>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（三）</w:t>
                  </w:r>
                </w:p>
              </w:tc>
              <w:tc>
                <w:tcPr>
                  <w:tcW w:w="4473" w:type="pct"/>
                  <w:gridSpan w:val="3"/>
                  <w:vAlign w:val="center"/>
                </w:tcPr>
                <w:p>
                  <w:pPr>
                    <w:spacing w:line="360" w:lineRule="exact"/>
                    <w:rPr>
                      <w:szCs w:val="21"/>
                      <w:u w:val="single"/>
                    </w:rPr>
                  </w:pPr>
                  <w:r>
                    <w:rPr>
                      <w:rFonts w:hint="eastAsia"/>
                      <w:szCs w:val="21"/>
                      <w:u w:val="single"/>
                    </w:rPr>
                    <w:t>强化收集效果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pct"/>
                  <w:vAlign w:val="center"/>
                </w:tcPr>
                <w:p>
                  <w:pPr>
                    <w:spacing w:line="360" w:lineRule="exact"/>
                    <w:jc w:val="center"/>
                    <w:rPr>
                      <w:szCs w:val="21"/>
                      <w:u w:val="single"/>
                    </w:rPr>
                  </w:pPr>
                  <w:r>
                    <w:rPr>
                      <w:rFonts w:hint="eastAsia"/>
                      <w:szCs w:val="21"/>
                      <w:u w:val="single"/>
                    </w:rPr>
                    <w:t>10</w:t>
                  </w:r>
                </w:p>
              </w:tc>
              <w:tc>
                <w:tcPr>
                  <w:tcW w:w="2338" w:type="pct"/>
                  <w:vAlign w:val="center"/>
                </w:tcPr>
                <w:p>
                  <w:pPr>
                    <w:spacing w:line="360" w:lineRule="exact"/>
                    <w:rPr>
                      <w:szCs w:val="21"/>
                      <w:u w:val="single"/>
                    </w:rPr>
                  </w:pPr>
                  <w:r>
                    <w:rPr>
                      <w:rFonts w:hint="eastAsia"/>
                      <w:szCs w:val="21"/>
                      <w:u w:val="single"/>
                    </w:rPr>
                    <w:t>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吸风等措施收集无组织VOCs废气的企业开展一轮风速实测，达不到要求的一周内采取加装增压风机等措施，确保废气收集效率满足环评批复要求。</w:t>
                  </w:r>
                </w:p>
              </w:tc>
              <w:tc>
                <w:tcPr>
                  <w:tcW w:w="1558" w:type="pct"/>
                  <w:vAlign w:val="center"/>
                </w:tcPr>
                <w:p>
                  <w:pPr>
                    <w:spacing w:line="360" w:lineRule="exact"/>
                    <w:rPr>
                      <w:szCs w:val="21"/>
                      <w:u w:val="single"/>
                    </w:rPr>
                  </w:pPr>
                  <w:r>
                    <w:rPr>
                      <w:rFonts w:hint="eastAsia"/>
                      <w:snapToGrid w:val="0"/>
                      <w:szCs w:val="21"/>
                      <w:u w:val="single"/>
                    </w:rPr>
                    <w:t>本项目属于塑料制品业，</w:t>
                  </w:r>
                  <w:r>
                    <w:rPr>
                      <w:rFonts w:hint="eastAsia"/>
                      <w:bCs/>
                      <w:kern w:val="28"/>
                      <w:szCs w:val="21"/>
                      <w:u w:val="single"/>
                    </w:rPr>
                    <w:t>生产车间密闭，采取末端治理技术，调墨、印刷工序在车间内二次密闭，裁剪、调墨、印刷工序产生的VOC</w:t>
                  </w:r>
                  <w:r>
                    <w:rPr>
                      <w:rFonts w:hint="eastAsia"/>
                      <w:bCs/>
                      <w:kern w:val="28"/>
                      <w:szCs w:val="21"/>
                      <w:u w:val="single"/>
                      <w:vertAlign w:val="subscript"/>
                    </w:rPr>
                    <w:t>S</w:t>
                  </w:r>
                  <w:r>
                    <w:rPr>
                      <w:rFonts w:hint="eastAsia"/>
                      <w:bCs/>
                      <w:kern w:val="28"/>
                      <w:szCs w:val="21"/>
                      <w:u w:val="single"/>
                    </w:rPr>
                    <w:t>采用集气罩收集后进入VOC</w:t>
                  </w:r>
                  <w:r>
                    <w:rPr>
                      <w:rFonts w:hint="eastAsia"/>
                      <w:bCs/>
                      <w:kern w:val="28"/>
                      <w:szCs w:val="21"/>
                      <w:u w:val="single"/>
                      <w:vertAlign w:val="subscript"/>
                    </w:rPr>
                    <w:t>S</w:t>
                  </w:r>
                  <w:r>
                    <w:rPr>
                      <w:rFonts w:hint="eastAsia"/>
                      <w:bCs/>
                      <w:kern w:val="28"/>
                      <w:szCs w:val="21"/>
                      <w:u w:val="single"/>
                    </w:rPr>
                    <w:t>废气处理系统，距集气罩开口面最远处的控制风速不低于0.3米/秒，VOCs治</w:t>
                  </w:r>
                  <w:r>
                    <w:rPr>
                      <w:rFonts w:hint="eastAsia"/>
                      <w:snapToGrid w:val="0"/>
                      <w:kern w:val="0"/>
                      <w:u w:val="single"/>
                    </w:rPr>
                    <w:t>理采用“过滤棉+UV光氧催化+活性炭吸附装置</w:t>
                  </w:r>
                  <w:r>
                    <w:rPr>
                      <w:rFonts w:hint="eastAsia"/>
                      <w:bCs/>
                      <w:kern w:val="28"/>
                      <w:szCs w:val="21"/>
                      <w:u w:val="single"/>
                    </w:rPr>
                    <w:t>”处理，废气经治理后达标排放。</w:t>
                  </w:r>
                </w:p>
              </w:tc>
              <w:tc>
                <w:tcPr>
                  <w:tcW w:w="576" w:type="pct"/>
                  <w:vAlign w:val="center"/>
                </w:tcPr>
                <w:p>
                  <w:pPr>
                    <w:spacing w:line="360" w:lineRule="exact"/>
                    <w:jc w:val="center"/>
                    <w:rPr>
                      <w:szCs w:val="21"/>
                      <w:u w:val="single"/>
                    </w:rPr>
                  </w:pPr>
                  <w:r>
                    <w:rPr>
                      <w:rFonts w:hint="eastAsia"/>
                      <w:szCs w:val="21"/>
                      <w:u w:val="single"/>
                    </w:rPr>
                    <w:t>相符</w:t>
                  </w:r>
                </w:p>
              </w:tc>
            </w:tr>
          </w:tbl>
          <w:p>
            <w:pPr>
              <w:spacing w:line="440" w:lineRule="exact"/>
              <w:ind w:firstLine="480" w:firstLineChars="200"/>
              <w:rPr>
                <w:rFonts w:ascii="宋体" w:hAnsi="宋体" w:cs="宋体"/>
                <w:sz w:val="24"/>
              </w:rPr>
            </w:pPr>
            <w:r>
              <w:rPr>
                <w:bCs/>
                <w:sz w:val="24"/>
                <w:u w:val="single"/>
              </w:rPr>
              <w:t>由上可知，本项目的建设符合《</w:t>
            </w:r>
            <w:r>
              <w:rPr>
                <w:rFonts w:hint="eastAsia"/>
                <w:bCs/>
                <w:sz w:val="24"/>
                <w:u w:val="single"/>
              </w:rPr>
              <w:t>关于印发洛阳市2023年夏季挥发性有机物污染防治实施方案的通知</w:t>
            </w:r>
            <w:r>
              <w:rPr>
                <w:bCs/>
                <w:sz w:val="24"/>
                <w:u w:val="single"/>
              </w:rPr>
              <w:t>》（</w:t>
            </w:r>
            <w:r>
              <w:rPr>
                <w:rFonts w:hint="eastAsia"/>
                <w:bCs/>
                <w:sz w:val="24"/>
                <w:u w:val="single"/>
              </w:rPr>
              <w:t>洛环委办</w:t>
            </w:r>
            <w:r>
              <w:rPr>
                <w:bCs/>
                <w:sz w:val="24"/>
                <w:u w:val="single"/>
              </w:rPr>
              <w:t>[202</w:t>
            </w:r>
            <w:r>
              <w:rPr>
                <w:rFonts w:hint="eastAsia"/>
                <w:bCs/>
                <w:sz w:val="24"/>
                <w:u w:val="single"/>
              </w:rPr>
              <w:t>3</w:t>
            </w:r>
            <w:r>
              <w:rPr>
                <w:bCs/>
                <w:sz w:val="24"/>
                <w:u w:val="single"/>
              </w:rPr>
              <w:t>]</w:t>
            </w:r>
            <w:r>
              <w:rPr>
                <w:rFonts w:hint="eastAsia"/>
                <w:bCs/>
                <w:sz w:val="24"/>
                <w:u w:val="single"/>
              </w:rPr>
              <w:t>41</w:t>
            </w:r>
            <w:r>
              <w:rPr>
                <w:bCs/>
                <w:sz w:val="24"/>
                <w:u w:val="single"/>
              </w:rPr>
              <w:t>号）文件相关要求。</w:t>
            </w:r>
          </w:p>
          <w:p>
            <w:pPr>
              <w:spacing w:line="440" w:lineRule="exact"/>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、《河南省重污染天气重点行业应急减排措施制定技术指南（2021年修订版）》与《重污染天气重点行业应急减排措施制定技术指南（2020年修订版）》环办大气函[2020]340号相符性分析</w:t>
            </w:r>
          </w:p>
          <w:p>
            <w:pPr>
              <w:spacing w:line="520" w:lineRule="exact"/>
              <w:ind w:firstLine="480" w:firstLineChars="200"/>
              <w:rPr>
                <w:sz w:val="24"/>
              </w:rPr>
            </w:pPr>
            <w:r>
              <w:rPr>
                <w:sz w:val="24"/>
              </w:rPr>
              <w:t>按《洛阳市生态环境保护委员会办公室关于印发洛阳市2022年大气、水、土壤污染防治攻坚战及农业农村污染治理攻坚战实施方案的通知》（洛环委办[2022]12号）文件要求，本项目生产工艺中涉及塑料制品及印刷工艺。因此，本项目应分别按照《河南省重污染天气重点行业应急减排措施制定技术指南（2021年修订版）》中“塑料制品”行业A级企业和《关于印发&lt;重污染天气重点行业应急减排措施制定技术指南（2020年修订版）&gt;的函》（环办大气函[2020]340号）中“包装印刷”行业A级企业要求内容进行建设。</w:t>
            </w:r>
          </w:p>
          <w:p>
            <w:pPr>
              <w:pStyle w:val="3"/>
              <w:spacing w:before="0" w:after="0" w:line="440" w:lineRule="exact"/>
              <w:ind w:left="0" w:firstLine="475" w:firstLineChars="198"/>
              <w:jc w:val="center"/>
              <w:rPr>
                <w:b w:val="0"/>
                <w:color w:val="auto"/>
                <w:sz w:val="24"/>
                <w:szCs w:val="24"/>
              </w:rPr>
            </w:pPr>
            <w:r>
              <w:rPr>
                <w:b w:val="0"/>
                <w:color w:val="auto"/>
                <w:sz w:val="24"/>
                <w:szCs w:val="24"/>
              </w:rPr>
              <w:t>表1-</w:t>
            </w:r>
            <w:r>
              <w:rPr>
                <w:rFonts w:hint="eastAsia"/>
                <w:b w:val="0"/>
                <w:color w:val="auto"/>
                <w:sz w:val="24"/>
                <w:szCs w:val="24"/>
                <w:lang w:val="en-US" w:eastAsia="zh-CN"/>
              </w:rPr>
              <w:t>4</w:t>
            </w:r>
            <w:r>
              <w:rPr>
                <w:b w:val="0"/>
                <w:color w:val="auto"/>
                <w:sz w:val="24"/>
                <w:szCs w:val="24"/>
              </w:rPr>
              <w:t xml:space="preserve">  项目与《河南省重污染天气重点行业应急减排措施制定技术指南（2021年修订版）》相符性分析一览表</w:t>
            </w:r>
          </w:p>
          <w:tbl>
            <w:tblPr>
              <w:tblStyle w:val="18"/>
              <w:tblW w:w="4993"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28" w:type="dxa"/>
                <w:bottom w:w="0" w:type="dxa"/>
                <w:right w:w="30" w:type="dxa"/>
              </w:tblCellMar>
            </w:tblPr>
            <w:tblGrid>
              <w:gridCol w:w="708"/>
              <w:gridCol w:w="4094"/>
              <w:gridCol w:w="2629"/>
              <w:gridCol w:w="54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差异化指标</w:t>
                  </w:r>
                </w:p>
              </w:tc>
              <w:tc>
                <w:tcPr>
                  <w:tcW w:w="2564" w:type="pct"/>
                  <w:vAlign w:val="center"/>
                </w:tcPr>
                <w:p>
                  <w:pPr>
                    <w:spacing w:line="360" w:lineRule="exact"/>
                    <w:jc w:val="center"/>
                    <w:rPr>
                      <w:snapToGrid w:val="0"/>
                      <w:kern w:val="0"/>
                      <w:szCs w:val="21"/>
                    </w:rPr>
                  </w:pPr>
                  <w:r>
                    <w:rPr>
                      <w:snapToGrid w:val="0"/>
                      <w:kern w:val="0"/>
                      <w:szCs w:val="21"/>
                    </w:rPr>
                    <w:t>塑料制品企业A级指标</w:t>
                  </w:r>
                </w:p>
              </w:tc>
              <w:tc>
                <w:tcPr>
                  <w:tcW w:w="1646" w:type="pct"/>
                  <w:vAlign w:val="center"/>
                </w:tcPr>
                <w:p>
                  <w:pPr>
                    <w:spacing w:line="360" w:lineRule="exact"/>
                    <w:jc w:val="center"/>
                    <w:rPr>
                      <w:snapToGrid w:val="0"/>
                      <w:kern w:val="0"/>
                      <w:szCs w:val="21"/>
                    </w:rPr>
                  </w:pPr>
                  <w:r>
                    <w:rPr>
                      <w:snapToGrid w:val="0"/>
                      <w:kern w:val="0"/>
                      <w:szCs w:val="21"/>
                    </w:rPr>
                    <w:t>项目情况</w:t>
                  </w:r>
                </w:p>
              </w:tc>
              <w:tc>
                <w:tcPr>
                  <w:tcW w:w="344" w:type="pct"/>
                  <w:vAlign w:val="center"/>
                </w:tcPr>
                <w:p>
                  <w:pPr>
                    <w:spacing w:line="360" w:lineRule="exact"/>
                    <w:jc w:val="center"/>
                    <w:rPr>
                      <w:snapToGrid w:val="0"/>
                      <w:kern w:val="0"/>
                      <w:szCs w:val="21"/>
                    </w:rPr>
                  </w:pPr>
                  <w:r>
                    <w:rPr>
                      <w:snapToGrid w:val="0"/>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原料、能源类型</w:t>
                  </w:r>
                </w:p>
              </w:tc>
              <w:tc>
                <w:tcPr>
                  <w:tcW w:w="2564" w:type="pct"/>
                  <w:vAlign w:val="center"/>
                </w:tcPr>
                <w:p>
                  <w:pPr>
                    <w:spacing w:line="360" w:lineRule="exact"/>
                    <w:jc w:val="left"/>
                    <w:rPr>
                      <w:snapToGrid w:val="0"/>
                      <w:kern w:val="0"/>
                      <w:szCs w:val="21"/>
                    </w:rPr>
                  </w:pPr>
                  <w:r>
                    <w:rPr>
                      <w:snapToGrid w:val="0"/>
                      <w:kern w:val="0"/>
                      <w:szCs w:val="21"/>
                    </w:rPr>
                    <w:t>1.原料全部</w:t>
                  </w:r>
                  <w:r>
                    <w:rPr>
                      <w:rFonts w:hint="eastAsia"/>
                      <w:snapToGrid w:val="0"/>
                      <w:kern w:val="0"/>
                      <w:szCs w:val="21"/>
                    </w:rPr>
                    <w:t>使用</w:t>
                  </w:r>
                  <w:r>
                    <w:rPr>
                      <w:snapToGrid w:val="0"/>
                      <w:kern w:val="0"/>
                      <w:szCs w:val="21"/>
                    </w:rPr>
                    <w:t>非再生料（即</w:t>
                  </w:r>
                  <w:r>
                    <w:rPr>
                      <w:rFonts w:hint="eastAsia"/>
                      <w:snapToGrid w:val="0"/>
                      <w:kern w:val="0"/>
                      <w:szCs w:val="21"/>
                    </w:rPr>
                    <w:t>使用</w:t>
                  </w:r>
                  <w:r>
                    <w:rPr>
                      <w:snapToGrid w:val="0"/>
                      <w:kern w:val="0"/>
                      <w:szCs w:val="21"/>
                    </w:rPr>
                    <w:t>原包料，非废旧塑料）；</w:t>
                  </w:r>
                </w:p>
                <w:p>
                  <w:pPr>
                    <w:spacing w:line="360" w:lineRule="exact"/>
                    <w:jc w:val="left"/>
                    <w:rPr>
                      <w:snapToGrid w:val="0"/>
                      <w:kern w:val="0"/>
                      <w:szCs w:val="21"/>
                    </w:rPr>
                  </w:pPr>
                  <w:r>
                    <w:rPr>
                      <w:snapToGrid w:val="0"/>
                      <w:kern w:val="0"/>
                      <w:szCs w:val="21"/>
                    </w:rPr>
                    <w:t>2.能源使用电、天然气、液化石油气等清洁能源。</w:t>
                  </w:r>
                </w:p>
              </w:tc>
              <w:tc>
                <w:tcPr>
                  <w:tcW w:w="1646" w:type="pct"/>
                  <w:vAlign w:val="center"/>
                </w:tcPr>
                <w:p>
                  <w:pPr>
                    <w:spacing w:line="360" w:lineRule="exact"/>
                    <w:jc w:val="left"/>
                    <w:rPr>
                      <w:snapToGrid w:val="0"/>
                      <w:kern w:val="0"/>
                      <w:szCs w:val="21"/>
                    </w:rPr>
                  </w:pPr>
                  <w:r>
                    <w:rPr>
                      <w:snapToGrid w:val="0"/>
                      <w:kern w:val="0"/>
                      <w:szCs w:val="21"/>
                    </w:rPr>
                    <w:t>1.项目原料</w:t>
                  </w:r>
                  <w:r>
                    <w:rPr>
                      <w:rFonts w:hint="eastAsia"/>
                      <w:snapToGrid w:val="0"/>
                      <w:kern w:val="0"/>
                      <w:szCs w:val="21"/>
                    </w:rPr>
                    <w:t>为基布</w:t>
                  </w:r>
                  <w:r>
                    <w:rPr>
                      <w:snapToGrid w:val="0"/>
                      <w:kern w:val="0"/>
                      <w:szCs w:val="21"/>
                    </w:rPr>
                    <w:t>、涂膜布、编制布等；</w:t>
                  </w:r>
                </w:p>
                <w:p>
                  <w:pPr>
                    <w:spacing w:line="360" w:lineRule="exact"/>
                    <w:jc w:val="left"/>
                    <w:rPr>
                      <w:snapToGrid w:val="0"/>
                      <w:kern w:val="0"/>
                      <w:szCs w:val="21"/>
                    </w:rPr>
                  </w:pPr>
                  <w:r>
                    <w:rPr>
                      <w:snapToGrid w:val="0"/>
                      <w:kern w:val="0"/>
                      <w:szCs w:val="21"/>
                    </w:rPr>
                    <w:t>2.采用清洁能源电能。</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生产工艺就装备水平</w:t>
                  </w:r>
                </w:p>
              </w:tc>
              <w:tc>
                <w:tcPr>
                  <w:tcW w:w="2564"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属于《产业结构调整指导目录（2019年版）》鼓励类和允许类；</w:t>
                  </w:r>
                </w:p>
                <w:p>
                  <w:pPr>
                    <w:spacing w:line="360" w:lineRule="exact"/>
                    <w:jc w:val="left"/>
                    <w:rPr>
                      <w:snapToGrid w:val="0"/>
                      <w:kern w:val="0"/>
                      <w:szCs w:val="21"/>
                    </w:rPr>
                  </w:pPr>
                  <w:r>
                    <w:rPr>
                      <w:snapToGrid w:val="0"/>
                      <w:kern w:val="0"/>
                      <w:szCs w:val="21"/>
                    </w:rPr>
                    <w:t>2</w:t>
                  </w:r>
                  <w:r>
                    <w:rPr>
                      <w:rFonts w:hint="eastAsia"/>
                      <w:snapToGrid w:val="0"/>
                      <w:kern w:val="0"/>
                      <w:szCs w:val="21"/>
                    </w:rPr>
                    <w:t>.</w:t>
                  </w:r>
                  <w:r>
                    <w:rPr>
                      <w:snapToGrid w:val="0"/>
                      <w:kern w:val="0"/>
                      <w:szCs w:val="21"/>
                    </w:rPr>
                    <w:t>符合相关行业产业政策；</w:t>
                  </w:r>
                </w:p>
                <w:p>
                  <w:pPr>
                    <w:spacing w:line="360" w:lineRule="exact"/>
                    <w:jc w:val="left"/>
                    <w:rPr>
                      <w:snapToGrid w:val="0"/>
                      <w:kern w:val="0"/>
                      <w:szCs w:val="21"/>
                    </w:rPr>
                  </w:pPr>
                  <w:r>
                    <w:rPr>
                      <w:snapToGrid w:val="0"/>
                      <w:kern w:val="0"/>
                      <w:szCs w:val="21"/>
                    </w:rPr>
                    <w:t>3</w:t>
                  </w:r>
                  <w:r>
                    <w:rPr>
                      <w:rFonts w:hint="eastAsia"/>
                      <w:snapToGrid w:val="0"/>
                      <w:kern w:val="0"/>
                      <w:szCs w:val="21"/>
                    </w:rPr>
                    <w:t>.</w:t>
                  </w:r>
                  <w:r>
                    <w:rPr>
                      <w:snapToGrid w:val="0"/>
                      <w:kern w:val="0"/>
                      <w:szCs w:val="21"/>
                    </w:rPr>
                    <w:t>符合河南省相关政策要求；</w:t>
                  </w:r>
                </w:p>
                <w:p>
                  <w:pPr>
                    <w:spacing w:line="360" w:lineRule="exact"/>
                    <w:jc w:val="left"/>
                    <w:rPr>
                      <w:snapToGrid w:val="0"/>
                      <w:kern w:val="0"/>
                      <w:szCs w:val="21"/>
                    </w:rPr>
                  </w:pPr>
                  <w:r>
                    <w:rPr>
                      <w:snapToGrid w:val="0"/>
                      <w:kern w:val="0"/>
                      <w:szCs w:val="21"/>
                    </w:rPr>
                    <w:t>4.符合市级规划。</w:t>
                  </w:r>
                </w:p>
              </w:tc>
              <w:tc>
                <w:tcPr>
                  <w:tcW w:w="1646"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项目属于允许类；</w:t>
                  </w:r>
                </w:p>
                <w:p>
                  <w:pPr>
                    <w:spacing w:line="360" w:lineRule="exact"/>
                    <w:jc w:val="left"/>
                    <w:rPr>
                      <w:snapToGrid w:val="0"/>
                      <w:kern w:val="0"/>
                      <w:szCs w:val="21"/>
                    </w:rPr>
                  </w:pPr>
                  <w:r>
                    <w:rPr>
                      <w:rFonts w:hint="eastAsia"/>
                      <w:snapToGrid w:val="0"/>
                      <w:kern w:val="0"/>
                      <w:szCs w:val="21"/>
                    </w:rPr>
                    <w:t>2~4</w:t>
                  </w:r>
                  <w:r>
                    <w:rPr>
                      <w:snapToGrid w:val="0"/>
                      <w:kern w:val="0"/>
                      <w:szCs w:val="21"/>
                    </w:rPr>
                    <w:t>符合</w:t>
                  </w:r>
                  <w:r>
                    <w:rPr>
                      <w:rFonts w:hint="eastAsia"/>
                      <w:snapToGrid w:val="0"/>
                      <w:kern w:val="0"/>
                      <w:szCs w:val="21"/>
                    </w:rPr>
                    <w:t>相关</w:t>
                  </w:r>
                  <w:r>
                    <w:rPr>
                      <w:snapToGrid w:val="0"/>
                      <w:kern w:val="0"/>
                      <w:szCs w:val="21"/>
                    </w:rPr>
                    <w:t>产业政策及规划。</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废气收集及</w:t>
                  </w:r>
                </w:p>
                <w:p>
                  <w:pPr>
                    <w:spacing w:line="360" w:lineRule="exact"/>
                    <w:jc w:val="center"/>
                    <w:rPr>
                      <w:snapToGrid w:val="0"/>
                      <w:kern w:val="0"/>
                      <w:szCs w:val="21"/>
                    </w:rPr>
                  </w:pPr>
                  <w:r>
                    <w:rPr>
                      <w:snapToGrid w:val="0"/>
                      <w:kern w:val="0"/>
                      <w:szCs w:val="21"/>
                    </w:rPr>
                    <w:t>处理工艺</w:t>
                  </w:r>
                </w:p>
              </w:tc>
              <w:tc>
                <w:tcPr>
                  <w:tcW w:w="2564" w:type="pct"/>
                  <w:vAlign w:val="center"/>
                </w:tcPr>
                <w:p>
                  <w:pPr>
                    <w:spacing w:line="360" w:lineRule="exact"/>
                    <w:jc w:val="left"/>
                    <w:rPr>
                      <w:snapToGrid w:val="0"/>
                      <w:kern w:val="0"/>
                      <w:szCs w:val="21"/>
                    </w:rPr>
                  </w:pPr>
                  <w:r>
                    <w:rPr>
                      <w:snapToGrid w:val="0"/>
                      <w:kern w:val="0"/>
                      <w:szCs w:val="21"/>
                    </w:rPr>
                    <w:t>1.投料、挤塑、注塑、滚塑、吹塑、压延、挤出、造粒、热定型、冷却、发泡、熟化、干燥等涉VOCs工序采用密闭设备或在密闭空间内操作，车间废气得到有效收集，车间外无异味；对于采用局部集气罩的，距集气罩开口面最远处的VOCs无组织排放位置，控制风速不低于0.3米/秒；</w:t>
                  </w:r>
                </w:p>
                <w:p>
                  <w:pPr>
                    <w:spacing w:line="360" w:lineRule="exact"/>
                    <w:jc w:val="left"/>
                    <w:rPr>
                      <w:snapToGrid w:val="0"/>
                      <w:kern w:val="0"/>
                      <w:szCs w:val="21"/>
                    </w:rPr>
                  </w:pPr>
                  <w:r>
                    <w:rPr>
                      <w:snapToGrid w:val="0"/>
                      <w:kern w:val="0"/>
                      <w:szCs w:val="21"/>
                    </w:rPr>
                    <w:t>2.VOCs治理采用燃烧工艺（包括直接燃烧、催化燃烧和蓄热燃烧），或静电、吸附、低温等离子、生物法等两级及以上组合工艺处理（采用一次性活性炭吸附的，活性炭碘值在800mg/g及以上）；</w:t>
                  </w:r>
                </w:p>
                <w:p>
                  <w:pPr>
                    <w:spacing w:line="360" w:lineRule="exact"/>
                    <w:jc w:val="left"/>
                    <w:rPr>
                      <w:snapToGrid w:val="0"/>
                      <w:kern w:val="0"/>
                      <w:szCs w:val="21"/>
                    </w:rPr>
                  </w:pPr>
                  <w:r>
                    <w:rPr>
                      <w:snapToGrid w:val="0"/>
                      <w:kern w:val="0"/>
                      <w:szCs w:val="21"/>
                    </w:rPr>
                    <w:t>3.粉状物料投加、配混应在封闭车间内进行，PM有效收集，并采用袋式除尘等高效除尘技术；</w:t>
                  </w:r>
                </w:p>
                <w:p>
                  <w:pPr>
                    <w:spacing w:line="360" w:lineRule="exact"/>
                    <w:jc w:val="left"/>
                    <w:rPr>
                      <w:snapToGrid w:val="0"/>
                      <w:kern w:val="0"/>
                      <w:szCs w:val="21"/>
                    </w:rPr>
                  </w:pPr>
                  <w:r>
                    <w:rPr>
                      <w:snapToGrid w:val="0"/>
                      <w:kern w:val="0"/>
                      <w:szCs w:val="21"/>
                    </w:rPr>
                    <w:t>4.废吸附剂应密闭的包装袋或容器储存、转运，并建立储存、处置台账；</w:t>
                  </w:r>
                </w:p>
                <w:p>
                  <w:pPr>
                    <w:spacing w:line="360" w:lineRule="exact"/>
                    <w:jc w:val="left"/>
                    <w:rPr>
                      <w:snapToGrid w:val="0"/>
                      <w:kern w:val="0"/>
                      <w:szCs w:val="21"/>
                    </w:rPr>
                  </w:pPr>
                  <w:r>
                    <w:rPr>
                      <w:snapToGrid w:val="0"/>
                      <w:kern w:val="0"/>
                      <w:szCs w:val="21"/>
                    </w:rPr>
                    <w:t>5.NOx治理采用低氮燃烧、SNCR/SCR等适宜技术。</w:t>
                  </w:r>
                </w:p>
              </w:tc>
              <w:tc>
                <w:tcPr>
                  <w:tcW w:w="1646" w:type="pct"/>
                  <w:vAlign w:val="center"/>
                </w:tcPr>
                <w:p>
                  <w:pPr>
                    <w:spacing w:line="360" w:lineRule="exact"/>
                    <w:jc w:val="left"/>
                    <w:rPr>
                      <w:snapToGrid w:val="0"/>
                      <w:kern w:val="0"/>
                      <w:szCs w:val="21"/>
                    </w:rPr>
                  </w:pPr>
                  <w:r>
                    <w:rPr>
                      <w:rFonts w:hint="eastAsia"/>
                      <w:snapToGrid w:val="0"/>
                      <w:kern w:val="0"/>
                      <w:szCs w:val="21"/>
                    </w:rPr>
                    <w:t>1、剪裁</w:t>
                  </w:r>
                  <w:r>
                    <w:rPr>
                      <w:snapToGrid w:val="0"/>
                      <w:kern w:val="0"/>
                      <w:szCs w:val="21"/>
                    </w:rPr>
                    <w:t>、</w:t>
                  </w:r>
                  <w:r>
                    <w:rPr>
                      <w:rFonts w:hint="eastAsia"/>
                      <w:snapToGrid w:val="0"/>
                      <w:kern w:val="0"/>
                      <w:szCs w:val="21"/>
                    </w:rPr>
                    <w:t>调墨、</w:t>
                  </w:r>
                  <w:r>
                    <w:rPr>
                      <w:snapToGrid w:val="0"/>
                      <w:kern w:val="0"/>
                      <w:szCs w:val="21"/>
                    </w:rPr>
                    <w:t>印刷工序均在密闭车间内操作，</w:t>
                  </w:r>
                  <w:r>
                    <w:rPr>
                      <w:rFonts w:hint="eastAsia"/>
                      <w:snapToGrid w:val="0"/>
                      <w:kern w:val="0"/>
                      <w:szCs w:val="21"/>
                    </w:rPr>
                    <w:t>调墨、印刷工序在车间内二次密闭，调墨、</w:t>
                  </w:r>
                  <w:r>
                    <w:rPr>
                      <w:snapToGrid w:val="0"/>
                      <w:kern w:val="0"/>
                      <w:szCs w:val="21"/>
                    </w:rPr>
                    <w:t>印刷废气和</w:t>
                  </w:r>
                  <w:r>
                    <w:rPr>
                      <w:rFonts w:hint="eastAsia"/>
                      <w:snapToGrid w:val="0"/>
                      <w:kern w:val="0"/>
                      <w:szCs w:val="21"/>
                    </w:rPr>
                    <w:t>剪裁</w:t>
                  </w:r>
                  <w:r>
                    <w:rPr>
                      <w:snapToGrid w:val="0"/>
                      <w:kern w:val="0"/>
                      <w:szCs w:val="21"/>
                    </w:rPr>
                    <w:t>废气设置UV光氧催化+活性炭吸附装置处理</w:t>
                  </w:r>
                  <w:r>
                    <w:rPr>
                      <w:rFonts w:hint="eastAsia"/>
                      <w:snapToGrid w:val="0"/>
                      <w:kern w:val="0"/>
                      <w:szCs w:val="21"/>
                    </w:rPr>
                    <w:t>，</w:t>
                  </w:r>
                  <w:r>
                    <w:rPr>
                      <w:snapToGrid w:val="0"/>
                      <w:kern w:val="0"/>
                      <w:szCs w:val="21"/>
                    </w:rPr>
                    <w:t>通过15m高排气筒排放，本项目拟设置风机风量</w:t>
                  </w:r>
                  <w:r>
                    <w:rPr>
                      <w:rFonts w:hint="eastAsia"/>
                      <w:snapToGrid w:val="0"/>
                      <w:kern w:val="0"/>
                      <w:szCs w:val="21"/>
                    </w:rPr>
                    <w:t>为80</w:t>
                  </w:r>
                  <w:r>
                    <w:rPr>
                      <w:snapToGrid w:val="0"/>
                      <w:kern w:val="0"/>
                      <w:szCs w:val="21"/>
                    </w:rPr>
                    <w:t>00m</w:t>
                  </w:r>
                  <w:r>
                    <w:rPr>
                      <w:snapToGrid w:val="0"/>
                      <w:kern w:val="0"/>
                      <w:szCs w:val="21"/>
                      <w:vertAlign w:val="superscript"/>
                    </w:rPr>
                    <w:t>3</w:t>
                  </w:r>
                  <w:r>
                    <w:rPr>
                      <w:snapToGrid w:val="0"/>
                      <w:kern w:val="0"/>
                      <w:szCs w:val="21"/>
                    </w:rPr>
                    <w:t>/h，集气罩罩口风速满足</w:t>
                  </w:r>
                  <w:r>
                    <w:rPr>
                      <w:rFonts w:hint="eastAsia"/>
                      <w:snapToGrid w:val="0"/>
                      <w:kern w:val="0"/>
                      <w:szCs w:val="21"/>
                    </w:rPr>
                    <w:t>不低于</w:t>
                  </w:r>
                  <w:r>
                    <w:rPr>
                      <w:snapToGrid w:val="0"/>
                      <w:kern w:val="0"/>
                      <w:szCs w:val="21"/>
                    </w:rPr>
                    <w:t>0.3米/秒要求；</w:t>
                  </w:r>
                </w:p>
                <w:p>
                  <w:pPr>
                    <w:spacing w:line="360" w:lineRule="exact"/>
                    <w:jc w:val="left"/>
                    <w:rPr>
                      <w:snapToGrid w:val="0"/>
                      <w:kern w:val="0"/>
                      <w:szCs w:val="21"/>
                    </w:rPr>
                  </w:pPr>
                  <w:r>
                    <w:rPr>
                      <w:rFonts w:hint="eastAsia"/>
                      <w:snapToGrid w:val="0"/>
                      <w:kern w:val="0"/>
                      <w:szCs w:val="21"/>
                    </w:rPr>
                    <w:t>2、本项目采用“</w:t>
                  </w:r>
                  <w:r>
                    <w:rPr>
                      <w:snapToGrid w:val="0"/>
                      <w:kern w:val="0"/>
                      <w:szCs w:val="21"/>
                    </w:rPr>
                    <w:t>UV光氧催化+活性炭吸附</w:t>
                  </w:r>
                  <w:r>
                    <w:rPr>
                      <w:rFonts w:hint="eastAsia"/>
                      <w:snapToGrid w:val="0"/>
                      <w:kern w:val="0"/>
                      <w:szCs w:val="21"/>
                    </w:rPr>
                    <w:t>”两级组合工艺处理；</w:t>
                  </w:r>
                </w:p>
                <w:p>
                  <w:pPr>
                    <w:spacing w:line="360" w:lineRule="exact"/>
                    <w:jc w:val="left"/>
                    <w:rPr>
                      <w:snapToGrid w:val="0"/>
                      <w:kern w:val="0"/>
                      <w:szCs w:val="21"/>
                    </w:rPr>
                  </w:pPr>
                  <w:r>
                    <w:rPr>
                      <w:rFonts w:hint="eastAsia"/>
                      <w:snapToGrid w:val="0"/>
                      <w:kern w:val="0"/>
                      <w:szCs w:val="21"/>
                    </w:rPr>
                    <w:t>3、</w:t>
                  </w:r>
                  <w:r>
                    <w:rPr>
                      <w:snapToGrid w:val="0"/>
                      <w:kern w:val="0"/>
                      <w:szCs w:val="21"/>
                    </w:rPr>
                    <w:t>项目无粉状物料，无颗粒物产生；</w:t>
                  </w:r>
                </w:p>
                <w:p>
                  <w:pPr>
                    <w:spacing w:line="360" w:lineRule="exact"/>
                    <w:jc w:val="left"/>
                    <w:rPr>
                      <w:snapToGrid w:val="0"/>
                      <w:kern w:val="0"/>
                      <w:szCs w:val="21"/>
                    </w:rPr>
                  </w:pPr>
                  <w:r>
                    <w:rPr>
                      <w:rFonts w:hint="eastAsia"/>
                      <w:snapToGrid w:val="0"/>
                      <w:kern w:val="0"/>
                      <w:szCs w:val="21"/>
                    </w:rPr>
                    <w:t>4、</w:t>
                  </w:r>
                  <w:r>
                    <w:rPr>
                      <w:snapToGrid w:val="0"/>
                      <w:kern w:val="0"/>
                      <w:szCs w:val="21"/>
                    </w:rPr>
                    <w:t>废活性炭</w:t>
                  </w:r>
                  <w:r>
                    <w:rPr>
                      <w:rFonts w:hint="eastAsia"/>
                      <w:snapToGrid w:val="0"/>
                      <w:kern w:val="0"/>
                      <w:szCs w:val="21"/>
                    </w:rPr>
                    <w:t>、废UV灯管</w:t>
                  </w:r>
                  <w:r>
                    <w:rPr>
                      <w:snapToGrid w:val="0"/>
                      <w:kern w:val="0"/>
                      <w:szCs w:val="21"/>
                    </w:rPr>
                    <w:t>等在危废暂存间密闭暂存，储存、处置及台账严格按照相关要求进行；</w:t>
                  </w:r>
                </w:p>
                <w:p>
                  <w:pPr>
                    <w:spacing w:line="360" w:lineRule="exact"/>
                    <w:jc w:val="left"/>
                    <w:rPr>
                      <w:snapToGrid w:val="0"/>
                      <w:kern w:val="0"/>
                      <w:szCs w:val="21"/>
                    </w:rPr>
                  </w:pPr>
                  <w:r>
                    <w:rPr>
                      <w:rFonts w:hint="eastAsia"/>
                      <w:snapToGrid w:val="0"/>
                      <w:kern w:val="0"/>
                      <w:szCs w:val="21"/>
                    </w:rPr>
                    <w:t>5、</w:t>
                  </w:r>
                  <w:r>
                    <w:rPr>
                      <w:snapToGrid w:val="0"/>
                      <w:kern w:val="0"/>
                      <w:szCs w:val="21"/>
                    </w:rPr>
                    <w:t>项目废气不涉及NOx。</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无组织管控</w:t>
                  </w:r>
                </w:p>
              </w:tc>
              <w:tc>
                <w:tcPr>
                  <w:tcW w:w="2564" w:type="pct"/>
                  <w:vAlign w:val="center"/>
                </w:tcPr>
                <w:p>
                  <w:pPr>
                    <w:spacing w:line="360" w:lineRule="exact"/>
                    <w:jc w:val="left"/>
                    <w:rPr>
                      <w:snapToGrid w:val="0"/>
                      <w:kern w:val="0"/>
                      <w:szCs w:val="21"/>
                    </w:rPr>
                  </w:pPr>
                  <w:r>
                    <w:rPr>
                      <w:snapToGrid w:val="0"/>
                      <w:kern w:val="0"/>
                      <w:szCs w:val="21"/>
                    </w:rPr>
                    <w:t>1.VOCs物料存储于密闭的容器、包装袋、储罐、储库、料仓中；盛装VOCs物料的容器或包装袋存放于室内；盛装VOCs物料的容器或包装袋在非取用状态时应加盖、封口，保持密闭；</w:t>
                  </w:r>
                </w:p>
                <w:p>
                  <w:pPr>
                    <w:spacing w:line="360" w:lineRule="exact"/>
                    <w:jc w:val="left"/>
                    <w:rPr>
                      <w:snapToGrid w:val="0"/>
                      <w:kern w:val="0"/>
                      <w:szCs w:val="21"/>
                    </w:rPr>
                  </w:pPr>
                  <w:r>
                    <w:rPr>
                      <w:snapToGrid w:val="0"/>
                      <w:kern w:val="0"/>
                      <w:szCs w:val="21"/>
                    </w:rPr>
                    <w:t>2.粉状物料采用气力输送、管状带式输送机、螺旋输送机等自动化、密闭输送方式；粒状物料采用密闭包装袋、容器或罐车进行物料转移；液态VOCs物料采用密闭容器或罐车输送；</w:t>
                  </w:r>
                </w:p>
                <w:p>
                  <w:pPr>
                    <w:spacing w:line="360" w:lineRule="exact"/>
                    <w:jc w:val="left"/>
                    <w:rPr>
                      <w:snapToGrid w:val="0"/>
                      <w:kern w:val="0"/>
                      <w:szCs w:val="21"/>
                    </w:rPr>
                  </w:pPr>
                  <w:r>
                    <w:rPr>
                      <w:snapToGrid w:val="0"/>
                      <w:kern w:val="0"/>
                      <w:szCs w:val="21"/>
                    </w:rPr>
                    <w:t>3.产生VOCs的生产工序和装置应设置有效集气装置并引至VOCs末端处理设施；</w:t>
                  </w:r>
                </w:p>
                <w:p>
                  <w:pPr>
                    <w:spacing w:line="360" w:lineRule="exact"/>
                    <w:jc w:val="left"/>
                    <w:rPr>
                      <w:snapToGrid w:val="0"/>
                      <w:kern w:val="0"/>
                      <w:szCs w:val="21"/>
                    </w:rPr>
                  </w:pPr>
                  <w:r>
                    <w:rPr>
                      <w:snapToGrid w:val="0"/>
                      <w:kern w:val="0"/>
                      <w:szCs w:val="21"/>
                    </w:rPr>
                    <w:t>4.厂区道路及车间地面硬化，车间地面、墙壁、设备顶部整洁无积尘；厂内地面全部硬化或绿化，无成片裸露土地。</w:t>
                  </w:r>
                </w:p>
              </w:tc>
              <w:tc>
                <w:tcPr>
                  <w:tcW w:w="1646"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项目原料</w:t>
                  </w:r>
                  <w:r>
                    <w:rPr>
                      <w:rFonts w:hint="eastAsia"/>
                      <w:snapToGrid w:val="0"/>
                      <w:kern w:val="0"/>
                      <w:szCs w:val="21"/>
                    </w:rPr>
                    <w:t>存储于</w:t>
                  </w:r>
                  <w:r>
                    <w:rPr>
                      <w:snapToGrid w:val="0"/>
                      <w:kern w:val="0"/>
                      <w:szCs w:val="21"/>
                    </w:rPr>
                    <w:t>密闭</w:t>
                  </w:r>
                  <w:r>
                    <w:rPr>
                      <w:rFonts w:hint="eastAsia"/>
                      <w:snapToGrid w:val="0"/>
                      <w:kern w:val="0"/>
                      <w:szCs w:val="21"/>
                    </w:rPr>
                    <w:t>容器或密闭</w:t>
                  </w:r>
                  <w:r>
                    <w:rPr>
                      <w:snapToGrid w:val="0"/>
                      <w:kern w:val="0"/>
                      <w:szCs w:val="21"/>
                    </w:rPr>
                    <w:t>包装袋</w:t>
                  </w:r>
                  <w:r>
                    <w:rPr>
                      <w:rFonts w:hint="eastAsia"/>
                      <w:snapToGrid w:val="0"/>
                      <w:kern w:val="0"/>
                      <w:szCs w:val="21"/>
                    </w:rPr>
                    <w:t>中</w:t>
                  </w:r>
                  <w:r>
                    <w:rPr>
                      <w:snapToGrid w:val="0"/>
                      <w:kern w:val="0"/>
                      <w:szCs w:val="21"/>
                    </w:rPr>
                    <w:t>，并放置于密闭车间内；</w:t>
                  </w:r>
                </w:p>
                <w:p>
                  <w:pPr>
                    <w:spacing w:line="360" w:lineRule="exact"/>
                    <w:jc w:val="left"/>
                    <w:rPr>
                      <w:snapToGrid w:val="0"/>
                      <w:kern w:val="0"/>
                      <w:szCs w:val="21"/>
                    </w:rPr>
                  </w:pPr>
                  <w:r>
                    <w:rPr>
                      <w:rFonts w:hint="eastAsia"/>
                      <w:snapToGrid w:val="0"/>
                      <w:kern w:val="0"/>
                      <w:szCs w:val="21"/>
                    </w:rPr>
                    <w:t>2、项目无粉状物料、粒状物料，水性油墨均在密闭容器内输送；</w:t>
                  </w:r>
                </w:p>
                <w:p>
                  <w:pPr>
                    <w:spacing w:line="360" w:lineRule="exact"/>
                    <w:jc w:val="left"/>
                    <w:rPr>
                      <w:snapToGrid w:val="0"/>
                      <w:kern w:val="0"/>
                      <w:szCs w:val="21"/>
                    </w:rPr>
                  </w:pPr>
                  <w:r>
                    <w:rPr>
                      <w:rFonts w:hint="eastAsia"/>
                      <w:snapToGrid w:val="0"/>
                      <w:kern w:val="0"/>
                      <w:szCs w:val="21"/>
                    </w:rPr>
                    <w:t>3、裁剪、调墨、</w:t>
                  </w:r>
                  <w:r>
                    <w:rPr>
                      <w:snapToGrid w:val="0"/>
                      <w:kern w:val="0"/>
                      <w:szCs w:val="21"/>
                    </w:rPr>
                    <w:t>印刷工序产生的废气经集气罩收集后，进入UV光氧催化+活性炭吸附装置处理，通过15m高排气筒排放，可满足要求；</w:t>
                  </w:r>
                </w:p>
                <w:p>
                  <w:pPr>
                    <w:spacing w:line="360" w:lineRule="exact"/>
                    <w:jc w:val="left"/>
                    <w:rPr>
                      <w:snapToGrid w:val="0"/>
                      <w:kern w:val="0"/>
                      <w:szCs w:val="21"/>
                    </w:rPr>
                  </w:pPr>
                  <w:r>
                    <w:rPr>
                      <w:rFonts w:hint="eastAsia"/>
                      <w:snapToGrid w:val="0"/>
                      <w:kern w:val="0"/>
                      <w:szCs w:val="21"/>
                    </w:rPr>
                    <w:t>4、</w:t>
                  </w:r>
                  <w:r>
                    <w:rPr>
                      <w:snapToGrid w:val="0"/>
                      <w:kern w:val="0"/>
                      <w:szCs w:val="21"/>
                    </w:rPr>
                    <w:t>车间地面硬化，车间地面、墙壁、设备顶部整洁无积尘等。</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排放限值</w:t>
                  </w:r>
                </w:p>
              </w:tc>
              <w:tc>
                <w:tcPr>
                  <w:tcW w:w="2564" w:type="pct"/>
                  <w:vAlign w:val="center"/>
                </w:tcPr>
                <w:p>
                  <w:pPr>
                    <w:spacing w:line="360" w:lineRule="exact"/>
                    <w:jc w:val="left"/>
                    <w:rPr>
                      <w:snapToGrid w:val="0"/>
                      <w:kern w:val="0"/>
                      <w:szCs w:val="21"/>
                    </w:rPr>
                  </w:pPr>
                  <w:r>
                    <w:rPr>
                      <w:snapToGrid w:val="0"/>
                      <w:kern w:val="0"/>
                      <w:szCs w:val="21"/>
                    </w:rPr>
                    <w:t>1.全厂有组织PM、NMHC有组织排放浓度分别不高于10、10mg/m</w:t>
                  </w:r>
                  <w:r>
                    <w:rPr>
                      <w:snapToGrid w:val="0"/>
                      <w:kern w:val="0"/>
                      <w:szCs w:val="21"/>
                      <w:vertAlign w:val="superscript"/>
                    </w:rPr>
                    <w:t>3</w:t>
                  </w:r>
                  <w:r>
                    <w:rPr>
                      <w:snapToGrid w:val="0"/>
                      <w:kern w:val="0"/>
                      <w:szCs w:val="21"/>
                    </w:rPr>
                    <w:t>；</w:t>
                  </w:r>
                </w:p>
                <w:p>
                  <w:pPr>
                    <w:spacing w:line="360" w:lineRule="exact"/>
                    <w:jc w:val="left"/>
                    <w:rPr>
                      <w:snapToGrid w:val="0"/>
                      <w:kern w:val="0"/>
                      <w:szCs w:val="21"/>
                    </w:rPr>
                  </w:pPr>
                  <w:r>
                    <w:rPr>
                      <w:snapToGrid w:val="0"/>
                      <w:kern w:val="0"/>
                      <w:szCs w:val="21"/>
                    </w:rPr>
                    <w:t>2.VOCs治理设施同步运行率和去除率分别达到100%和80%；去除率确实达不到的，生产车间或生产设备的无组织排放监控点NMHC浓度低于4mg/m³，企业边界1h NMHC平均浓度低于2mg/m³；</w:t>
                  </w:r>
                </w:p>
                <w:p>
                  <w:pPr>
                    <w:spacing w:line="360" w:lineRule="exact"/>
                    <w:jc w:val="left"/>
                    <w:rPr>
                      <w:snapToGrid w:val="0"/>
                      <w:kern w:val="0"/>
                      <w:szCs w:val="21"/>
                    </w:rPr>
                  </w:pPr>
                  <w:r>
                    <w:rPr>
                      <w:snapToGrid w:val="0"/>
                      <w:kern w:val="0"/>
                      <w:szCs w:val="21"/>
                    </w:rPr>
                    <w:t>3.锅炉烟气排放限值要求：</w:t>
                  </w:r>
                </w:p>
                <w:p>
                  <w:pPr>
                    <w:spacing w:line="360" w:lineRule="exact"/>
                    <w:jc w:val="left"/>
                    <w:rPr>
                      <w:snapToGrid w:val="0"/>
                      <w:kern w:val="0"/>
                      <w:szCs w:val="21"/>
                    </w:rPr>
                  </w:pPr>
                  <w:r>
                    <w:rPr>
                      <w:snapToGrid w:val="0"/>
                      <w:kern w:val="0"/>
                      <w:szCs w:val="21"/>
                    </w:rPr>
                    <w:t>燃气锅炉PM、SO</w:t>
                  </w:r>
                  <w:r>
                    <w:rPr>
                      <w:snapToGrid w:val="0"/>
                      <w:kern w:val="0"/>
                      <w:szCs w:val="21"/>
                      <w:vertAlign w:val="subscript"/>
                    </w:rPr>
                    <w:t>2</w:t>
                  </w:r>
                  <w:r>
                    <w:rPr>
                      <w:snapToGrid w:val="0"/>
                      <w:kern w:val="0"/>
                      <w:szCs w:val="21"/>
                    </w:rPr>
                    <w:t>、NOx排放浓度不超过5、10、50/30mg/m</w:t>
                  </w:r>
                  <w:r>
                    <w:rPr>
                      <w:snapToGrid w:val="0"/>
                      <w:kern w:val="0"/>
                      <w:szCs w:val="21"/>
                      <w:vertAlign w:val="superscript"/>
                    </w:rPr>
                    <w:t>3</w:t>
                  </w:r>
                  <w:r>
                    <w:rPr>
                      <w:snapToGrid w:val="0"/>
                      <w:kern w:val="0"/>
                      <w:szCs w:val="21"/>
                    </w:rPr>
                    <w:t>（新建燃气锅炉和需要采取特别保护措施的区域，执行30排放限值。）。</w:t>
                  </w:r>
                </w:p>
              </w:tc>
              <w:tc>
                <w:tcPr>
                  <w:tcW w:w="1646"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项目</w:t>
                  </w:r>
                  <w:r>
                    <w:rPr>
                      <w:rFonts w:hint="eastAsia"/>
                      <w:snapToGrid w:val="0"/>
                      <w:kern w:val="0"/>
                      <w:szCs w:val="21"/>
                    </w:rPr>
                    <w:t>无颗粒物产生，</w:t>
                  </w:r>
                  <w:r>
                    <w:rPr>
                      <w:snapToGrid w:val="0"/>
                      <w:kern w:val="0"/>
                      <w:szCs w:val="21"/>
                    </w:rPr>
                    <w:t>NMHC有组织排放不高于10mg/m</w:t>
                  </w:r>
                  <w:r>
                    <w:rPr>
                      <w:snapToGrid w:val="0"/>
                      <w:kern w:val="0"/>
                      <w:szCs w:val="21"/>
                      <w:vertAlign w:val="superscript"/>
                    </w:rPr>
                    <w:t>3</w:t>
                  </w:r>
                  <w:r>
                    <w:rPr>
                      <w:rFonts w:hint="eastAsia"/>
                      <w:snapToGrid w:val="0"/>
                      <w:kern w:val="0"/>
                      <w:szCs w:val="21"/>
                    </w:rPr>
                    <w:t>；</w:t>
                  </w:r>
                </w:p>
                <w:p>
                  <w:pPr>
                    <w:spacing w:line="360" w:lineRule="exact"/>
                    <w:jc w:val="left"/>
                    <w:rPr>
                      <w:snapToGrid w:val="0"/>
                      <w:kern w:val="0"/>
                      <w:szCs w:val="21"/>
                    </w:rPr>
                  </w:pPr>
                  <w:r>
                    <w:rPr>
                      <w:rFonts w:hint="eastAsia"/>
                      <w:snapToGrid w:val="0"/>
                      <w:kern w:val="0"/>
                      <w:szCs w:val="21"/>
                    </w:rPr>
                    <w:t>2、</w:t>
                  </w:r>
                  <w:r>
                    <w:rPr>
                      <w:snapToGrid w:val="0"/>
                      <w:kern w:val="0"/>
                      <w:szCs w:val="21"/>
                    </w:rPr>
                    <w:t>VOCs治理设施同步运行率和去除率分别达到100%和80%；</w:t>
                  </w:r>
                </w:p>
                <w:p>
                  <w:pPr>
                    <w:spacing w:line="360" w:lineRule="exact"/>
                    <w:jc w:val="left"/>
                    <w:rPr>
                      <w:snapToGrid w:val="0"/>
                      <w:kern w:val="0"/>
                      <w:szCs w:val="21"/>
                    </w:rPr>
                  </w:pPr>
                  <w:r>
                    <w:rPr>
                      <w:rFonts w:hint="eastAsia"/>
                      <w:snapToGrid w:val="0"/>
                      <w:kern w:val="0"/>
                      <w:szCs w:val="21"/>
                    </w:rPr>
                    <w:t>3、</w:t>
                  </w:r>
                  <w:r>
                    <w:rPr>
                      <w:snapToGrid w:val="0"/>
                      <w:kern w:val="0"/>
                      <w:szCs w:val="21"/>
                    </w:rPr>
                    <w:t>项目不涉及锅炉。</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监测监控水平</w:t>
                  </w:r>
                </w:p>
              </w:tc>
              <w:tc>
                <w:tcPr>
                  <w:tcW w:w="2564" w:type="pct"/>
                  <w:vAlign w:val="center"/>
                </w:tcPr>
                <w:p>
                  <w:pPr>
                    <w:spacing w:line="360" w:lineRule="exact"/>
                    <w:jc w:val="left"/>
                    <w:rPr>
                      <w:snapToGrid w:val="0"/>
                      <w:kern w:val="0"/>
                      <w:szCs w:val="21"/>
                    </w:rPr>
                  </w:pPr>
                  <w:r>
                    <w:rPr>
                      <w:snapToGrid w:val="0"/>
                      <w:kern w:val="0"/>
                      <w:szCs w:val="21"/>
                    </w:rPr>
                    <w:t>1.有组织排放口按照生态环境部门要求安装烟气排放自动监控设施（CEMS，并按要求联网；</w:t>
                  </w:r>
                </w:p>
                <w:p>
                  <w:pPr>
                    <w:spacing w:line="360" w:lineRule="exact"/>
                    <w:jc w:val="left"/>
                    <w:rPr>
                      <w:snapToGrid w:val="0"/>
                      <w:kern w:val="0"/>
                      <w:szCs w:val="21"/>
                    </w:rPr>
                  </w:pPr>
                  <w:r>
                    <w:rPr>
                      <w:snapToGrid w:val="0"/>
                      <w:kern w:val="0"/>
                      <w:szCs w:val="21"/>
                    </w:rPr>
                    <w:t>2.有组织排放口按照排污许可证</w:t>
                  </w:r>
                  <w:r>
                    <w:rPr>
                      <w:rFonts w:hint="eastAsia"/>
                      <w:snapToGrid w:val="0"/>
                      <w:kern w:val="0"/>
                      <w:szCs w:val="21"/>
                    </w:rPr>
                    <w:t>要求</w:t>
                  </w:r>
                  <w:r>
                    <w:rPr>
                      <w:snapToGrid w:val="0"/>
                      <w:kern w:val="0"/>
                      <w:szCs w:val="21"/>
                    </w:rPr>
                    <w:t>开展自行监测；</w:t>
                  </w:r>
                </w:p>
                <w:p>
                  <w:pPr>
                    <w:spacing w:line="360" w:lineRule="exact"/>
                    <w:jc w:val="left"/>
                    <w:rPr>
                      <w:snapToGrid w:val="0"/>
                      <w:kern w:val="0"/>
                      <w:szCs w:val="21"/>
                    </w:rPr>
                  </w:pPr>
                  <w:r>
                    <w:rPr>
                      <w:snapToGrid w:val="0"/>
                      <w:kern w:val="0"/>
                      <w:szCs w:val="21"/>
                    </w:rPr>
                    <w:t>3.涉气生产工序、生产装置及污染治理设施安装用电监管设备，用电监管与省、市生态环境部门用电监管平台联网。</w:t>
                  </w:r>
                </w:p>
              </w:tc>
              <w:tc>
                <w:tcPr>
                  <w:tcW w:w="1646" w:type="pct"/>
                  <w:vAlign w:val="center"/>
                </w:tcPr>
                <w:p>
                  <w:pPr>
                    <w:spacing w:line="360" w:lineRule="exact"/>
                    <w:jc w:val="left"/>
                    <w:rPr>
                      <w:snapToGrid w:val="0"/>
                      <w:kern w:val="0"/>
                      <w:szCs w:val="21"/>
                    </w:rPr>
                  </w:pPr>
                  <w:r>
                    <w:rPr>
                      <w:snapToGrid w:val="0"/>
                      <w:kern w:val="0"/>
                      <w:szCs w:val="21"/>
                    </w:rPr>
                    <w:t>根据《洛阳市2022年挥发性有机物防治实施方案》（洛环委办〔2022〕5号）对挥发性有机物排污单位风量大于10000m</w:t>
                  </w:r>
                  <w:r>
                    <w:rPr>
                      <w:snapToGrid w:val="0"/>
                      <w:kern w:val="0"/>
                      <w:szCs w:val="21"/>
                      <w:vertAlign w:val="superscript"/>
                    </w:rPr>
                    <w:t>3</w:t>
                  </w:r>
                  <w:r>
                    <w:rPr>
                      <w:snapToGrid w:val="0"/>
                      <w:kern w:val="0"/>
                      <w:szCs w:val="21"/>
                    </w:rPr>
                    <w:t>/h或挥发性有机物产生量大于2kg/h以上的主要排放口须安装非甲烷总烃在线监测设施(FID检测器)，要建设安装VOCs排放在线监控设施，并与市生态环境局平台联网。项目无需安装在线监控设施；有组织排放口按照排污许可证</w:t>
                  </w:r>
                  <w:r>
                    <w:rPr>
                      <w:rFonts w:hint="eastAsia"/>
                      <w:snapToGrid w:val="0"/>
                      <w:kern w:val="0"/>
                      <w:szCs w:val="21"/>
                    </w:rPr>
                    <w:t>要求</w:t>
                  </w:r>
                  <w:r>
                    <w:rPr>
                      <w:snapToGrid w:val="0"/>
                      <w:kern w:val="0"/>
                      <w:szCs w:val="21"/>
                    </w:rPr>
                    <w:t>开展自行监测。</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环境管理</w:t>
                  </w:r>
                </w:p>
                <w:p>
                  <w:pPr>
                    <w:spacing w:line="360" w:lineRule="exact"/>
                    <w:jc w:val="center"/>
                    <w:rPr>
                      <w:snapToGrid w:val="0"/>
                      <w:kern w:val="0"/>
                      <w:szCs w:val="21"/>
                    </w:rPr>
                  </w:pPr>
                  <w:r>
                    <w:rPr>
                      <w:snapToGrid w:val="0"/>
                      <w:kern w:val="0"/>
                      <w:szCs w:val="21"/>
                    </w:rPr>
                    <w:t>水平</w:t>
                  </w:r>
                </w:p>
              </w:tc>
              <w:tc>
                <w:tcPr>
                  <w:tcW w:w="2564" w:type="pct"/>
                  <w:vAlign w:val="center"/>
                </w:tcPr>
                <w:p>
                  <w:pPr>
                    <w:spacing w:line="360" w:lineRule="exact"/>
                    <w:jc w:val="left"/>
                    <w:rPr>
                      <w:snapToGrid w:val="0"/>
                      <w:kern w:val="0"/>
                      <w:szCs w:val="21"/>
                    </w:rPr>
                  </w:pPr>
                  <w:r>
                    <w:rPr>
                      <w:snapToGrid w:val="0"/>
                      <w:kern w:val="0"/>
                      <w:szCs w:val="21"/>
                    </w:rPr>
                    <w:t>1.环保档案：①环评批复文件和竣工环保验收文件或环境现状评估备案证明；②国家版排污许可证；③环境管理制度（有组织、无组织排放长效管理机制，主要包括岗位责任制度、达标公示制度和定期巡查维护制度等）；④废气治理设施运行管理规程；⑤一年内废气监测报告（符合排污许可证监测项目及频次要求）。</w:t>
                  </w:r>
                </w:p>
                <w:p>
                  <w:pPr>
                    <w:spacing w:line="360" w:lineRule="exact"/>
                    <w:jc w:val="left"/>
                    <w:rPr>
                      <w:snapToGrid w:val="0"/>
                      <w:kern w:val="0"/>
                      <w:szCs w:val="21"/>
                    </w:rPr>
                  </w:pPr>
                  <w:r>
                    <w:rPr>
                      <w:snapToGrid w:val="0"/>
                      <w:kern w:val="0"/>
                      <w:szCs w:val="21"/>
                    </w:rPr>
                    <w:t>2.台账记录：①生产设施运行管理信息（生产时间、运行负荷、产品产量等）；②废气污染治理设施运行管理信息；③监测记录信息（主要污染排放口废气排放记录等）；④主要原辅材料消耗记录；⑤燃料消耗记录；⑥固废、危废处理记录；⑦运输车辆、厂内车辆、非道路移动机械电子台账（进出场时间、车辆或非道路移动机械信息、运送货物名称及运量等）；</w:t>
                  </w:r>
                </w:p>
                <w:p>
                  <w:pPr>
                    <w:spacing w:line="360" w:lineRule="exact"/>
                    <w:jc w:val="left"/>
                    <w:rPr>
                      <w:snapToGrid w:val="0"/>
                      <w:kern w:val="0"/>
                      <w:szCs w:val="21"/>
                    </w:rPr>
                  </w:pPr>
                  <w:r>
                    <w:rPr>
                      <w:snapToGrid w:val="0"/>
                      <w:kern w:val="0"/>
                      <w:szCs w:val="21"/>
                    </w:rPr>
                    <w:t>3.人员配置：配备专职环保人员，并具备相应的环境管理能力（学历、培训、从业经验等）。</w:t>
                  </w:r>
                </w:p>
              </w:tc>
              <w:tc>
                <w:tcPr>
                  <w:tcW w:w="1646"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项目建成后，按左列要求设置环保档案；</w:t>
                  </w:r>
                </w:p>
                <w:p>
                  <w:pPr>
                    <w:spacing w:line="360" w:lineRule="exact"/>
                    <w:jc w:val="left"/>
                    <w:rPr>
                      <w:snapToGrid w:val="0"/>
                      <w:kern w:val="0"/>
                      <w:szCs w:val="21"/>
                    </w:rPr>
                  </w:pPr>
                  <w:r>
                    <w:rPr>
                      <w:rFonts w:hint="eastAsia"/>
                      <w:snapToGrid w:val="0"/>
                      <w:kern w:val="0"/>
                      <w:szCs w:val="21"/>
                    </w:rPr>
                    <w:t>2、</w:t>
                  </w:r>
                  <w:r>
                    <w:rPr>
                      <w:snapToGrid w:val="0"/>
                      <w:kern w:val="0"/>
                      <w:szCs w:val="21"/>
                    </w:rPr>
                    <w:t>按左列要求记录和管理台帐；</w:t>
                  </w:r>
                </w:p>
                <w:p>
                  <w:pPr>
                    <w:spacing w:line="360" w:lineRule="exact"/>
                    <w:jc w:val="left"/>
                    <w:rPr>
                      <w:snapToGrid w:val="0"/>
                      <w:kern w:val="0"/>
                      <w:szCs w:val="21"/>
                    </w:rPr>
                  </w:pPr>
                  <w:r>
                    <w:rPr>
                      <w:rFonts w:hint="eastAsia"/>
                      <w:snapToGrid w:val="0"/>
                      <w:kern w:val="0"/>
                      <w:szCs w:val="21"/>
                    </w:rPr>
                    <w:t>3、</w:t>
                  </w:r>
                  <w:r>
                    <w:rPr>
                      <w:snapToGrid w:val="0"/>
                      <w:kern w:val="0"/>
                      <w:szCs w:val="21"/>
                    </w:rPr>
                    <w:t>按要求配备专职环保人员</w:t>
                  </w:r>
                  <w:r>
                    <w:rPr>
                      <w:rFonts w:hint="eastAsia"/>
                      <w:snapToGrid w:val="0"/>
                      <w:kern w:val="0"/>
                      <w:szCs w:val="21"/>
                    </w:rPr>
                    <w:t>。</w:t>
                  </w:r>
                </w:p>
                <w:p>
                  <w:pPr>
                    <w:spacing w:line="360" w:lineRule="exact"/>
                    <w:jc w:val="left"/>
                    <w:rPr>
                      <w:snapToGrid w:val="0"/>
                      <w:kern w:val="0"/>
                      <w:szCs w:val="21"/>
                    </w:rPr>
                  </w:pPr>
                  <w:r>
                    <w:rPr>
                      <w:snapToGrid w:val="0"/>
                      <w:kern w:val="0"/>
                      <w:szCs w:val="21"/>
                    </w:rPr>
                    <w:t>按左列设置完全后，项目环境管理水平能够达到A级要求。</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运输方式</w:t>
                  </w:r>
                </w:p>
              </w:tc>
              <w:tc>
                <w:tcPr>
                  <w:tcW w:w="2564" w:type="pct"/>
                  <w:vAlign w:val="center"/>
                </w:tcPr>
                <w:p>
                  <w:pPr>
                    <w:spacing w:line="360" w:lineRule="exact"/>
                    <w:jc w:val="left"/>
                    <w:rPr>
                      <w:snapToGrid w:val="0"/>
                      <w:kern w:val="0"/>
                      <w:szCs w:val="21"/>
                    </w:rPr>
                  </w:pPr>
                  <w:r>
                    <w:rPr>
                      <w:snapToGrid w:val="0"/>
                      <w:kern w:val="0"/>
                      <w:szCs w:val="21"/>
                    </w:rPr>
                    <w:t>1.物料、产品运输全部使用国五及以上排放标准的重型载货车辆(重型燃气车辆达到国六排放标准)或新能源车辆；</w:t>
                  </w:r>
                </w:p>
                <w:p>
                  <w:pPr>
                    <w:spacing w:line="360" w:lineRule="exact"/>
                    <w:jc w:val="left"/>
                    <w:rPr>
                      <w:snapToGrid w:val="0"/>
                      <w:kern w:val="0"/>
                      <w:szCs w:val="21"/>
                    </w:rPr>
                  </w:pPr>
                  <w:r>
                    <w:rPr>
                      <w:snapToGrid w:val="0"/>
                      <w:kern w:val="0"/>
                      <w:szCs w:val="21"/>
                    </w:rPr>
                    <w:t>2厂区车辆全部达国五及以上排放标准(重型燃气车辆达到国六排放标准)或使用新能源车辆；</w:t>
                  </w:r>
                </w:p>
                <w:p>
                  <w:pPr>
                    <w:spacing w:line="360" w:lineRule="exact"/>
                    <w:jc w:val="left"/>
                    <w:rPr>
                      <w:snapToGrid w:val="0"/>
                      <w:kern w:val="0"/>
                      <w:szCs w:val="21"/>
                    </w:rPr>
                  </w:pPr>
                  <w:r>
                    <w:rPr>
                      <w:snapToGrid w:val="0"/>
                      <w:kern w:val="0"/>
                      <w:szCs w:val="21"/>
                    </w:rPr>
                    <w:t>3.厂内非道路移动机械达到国三及以上排放标准或使用新能源机械。</w:t>
                  </w:r>
                </w:p>
              </w:tc>
              <w:tc>
                <w:tcPr>
                  <w:tcW w:w="1646" w:type="pct"/>
                  <w:vAlign w:val="center"/>
                </w:tcPr>
                <w:p>
                  <w:pPr>
                    <w:spacing w:line="360" w:lineRule="exact"/>
                    <w:jc w:val="left"/>
                    <w:rPr>
                      <w:snapToGrid w:val="0"/>
                      <w:kern w:val="0"/>
                      <w:szCs w:val="21"/>
                    </w:rPr>
                  </w:pPr>
                  <w:r>
                    <w:rPr>
                      <w:snapToGrid w:val="0"/>
                      <w:kern w:val="0"/>
                      <w:szCs w:val="21"/>
                    </w:rPr>
                    <w:t>项目公路、厂区内运输车辆将按左列要求，达到使用国五及以上排放标准；厂内无非道路移动机械。</w:t>
                  </w:r>
                </w:p>
              </w:tc>
              <w:tc>
                <w:tcPr>
                  <w:tcW w:w="344" w:type="pct"/>
                  <w:vAlign w:val="center"/>
                </w:tcPr>
                <w:p>
                  <w:pPr>
                    <w:spacing w:line="360" w:lineRule="exact"/>
                    <w:jc w:val="center"/>
                    <w:rPr>
                      <w:snapToGrid w:val="0"/>
                      <w:kern w:val="0"/>
                      <w:szCs w:val="21"/>
                    </w:rPr>
                  </w:pPr>
                  <w:r>
                    <w:rPr>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PrEx>
              <w:trPr>
                <w:trHeight w:val="340" w:hRule="atLeast"/>
                <w:jc w:val="center"/>
              </w:trPr>
              <w:tc>
                <w:tcPr>
                  <w:tcW w:w="444" w:type="pct"/>
                  <w:vAlign w:val="center"/>
                </w:tcPr>
                <w:p>
                  <w:pPr>
                    <w:spacing w:line="360" w:lineRule="exact"/>
                    <w:jc w:val="center"/>
                    <w:rPr>
                      <w:snapToGrid w:val="0"/>
                      <w:kern w:val="0"/>
                      <w:szCs w:val="21"/>
                    </w:rPr>
                  </w:pPr>
                  <w:r>
                    <w:rPr>
                      <w:snapToGrid w:val="0"/>
                      <w:kern w:val="0"/>
                      <w:szCs w:val="21"/>
                    </w:rPr>
                    <w:t>运输监管</w:t>
                  </w:r>
                </w:p>
              </w:tc>
              <w:tc>
                <w:tcPr>
                  <w:tcW w:w="2564" w:type="pct"/>
                  <w:vAlign w:val="center"/>
                </w:tcPr>
                <w:p>
                  <w:pPr>
                    <w:spacing w:line="360" w:lineRule="exact"/>
                    <w:jc w:val="left"/>
                    <w:rPr>
                      <w:snapToGrid w:val="0"/>
                      <w:kern w:val="0"/>
                      <w:szCs w:val="21"/>
                    </w:rPr>
                  </w:pPr>
                  <w:r>
                    <w:rPr>
                      <w:snapToGrid w:val="0"/>
                      <w:kern w:val="0"/>
                      <w:szCs w:val="21"/>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1646" w:type="pct"/>
                  <w:vAlign w:val="center"/>
                </w:tcPr>
                <w:p>
                  <w:pPr>
                    <w:spacing w:line="360" w:lineRule="exact"/>
                    <w:jc w:val="left"/>
                    <w:rPr>
                      <w:snapToGrid w:val="0"/>
                      <w:kern w:val="0"/>
                      <w:szCs w:val="21"/>
                    </w:rPr>
                  </w:pPr>
                  <w:r>
                    <w:rPr>
                      <w:snapToGrid w:val="0"/>
                      <w:kern w:val="0"/>
                      <w:szCs w:val="21"/>
                    </w:rPr>
                    <w:t>项目日均进出货物量小于150吨，且不属于我省重点行业年产值1000万及以上的企业，因此无需建立门禁视频监控系统，应按照要求建立电子台账。</w:t>
                  </w:r>
                </w:p>
              </w:tc>
              <w:tc>
                <w:tcPr>
                  <w:tcW w:w="344" w:type="pct"/>
                  <w:vAlign w:val="center"/>
                </w:tcPr>
                <w:p>
                  <w:pPr>
                    <w:spacing w:line="360" w:lineRule="exact"/>
                    <w:jc w:val="center"/>
                    <w:rPr>
                      <w:snapToGrid w:val="0"/>
                      <w:kern w:val="0"/>
                      <w:szCs w:val="21"/>
                    </w:rPr>
                  </w:pPr>
                  <w:r>
                    <w:rPr>
                      <w:snapToGrid w:val="0"/>
                      <w:kern w:val="0"/>
                      <w:szCs w:val="21"/>
                    </w:rPr>
                    <w:t>相符</w:t>
                  </w:r>
                </w:p>
              </w:tc>
            </w:tr>
          </w:tbl>
          <w:p>
            <w:pPr>
              <w:pStyle w:val="27"/>
              <w:numPr>
                <w:ilvl w:val="0"/>
                <w:numId w:val="0"/>
              </w:numPr>
              <w:spacing w:line="440" w:lineRule="exact"/>
              <w:jc w:val="center"/>
            </w:pPr>
            <w:r>
              <w:t>表1-</w:t>
            </w:r>
            <w:r>
              <w:rPr>
                <w:rFonts w:hint="eastAsia"/>
                <w:lang w:val="en-US" w:eastAsia="zh-CN"/>
              </w:rPr>
              <w:t>5</w:t>
            </w:r>
            <w:r>
              <w:rPr>
                <w:rFonts w:hint="eastAsia"/>
              </w:rPr>
              <w:t xml:space="preserve">  </w:t>
            </w:r>
            <w:r>
              <w:t xml:space="preserve">  印刷行业绩效分级差异化指标</w:t>
            </w:r>
            <w:r>
              <w:rPr>
                <w:rFonts w:hint="eastAsia"/>
              </w:rPr>
              <w:t>A</w:t>
            </w:r>
            <w:r>
              <w:t>级企业相符性分析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392"/>
              <w:gridCol w:w="2394"/>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差异化指标</w:t>
                  </w:r>
                </w:p>
              </w:tc>
              <w:tc>
                <w:tcPr>
                  <w:tcW w:w="2746" w:type="pct"/>
                  <w:vAlign w:val="center"/>
                </w:tcPr>
                <w:p>
                  <w:pPr>
                    <w:spacing w:line="360" w:lineRule="exact"/>
                    <w:jc w:val="center"/>
                    <w:rPr>
                      <w:snapToGrid w:val="0"/>
                      <w:kern w:val="0"/>
                      <w:szCs w:val="21"/>
                    </w:rPr>
                  </w:pPr>
                  <w:r>
                    <w:rPr>
                      <w:snapToGrid w:val="0"/>
                      <w:kern w:val="0"/>
                      <w:szCs w:val="21"/>
                    </w:rPr>
                    <w:t>A级企业</w:t>
                  </w:r>
                </w:p>
              </w:tc>
              <w:tc>
                <w:tcPr>
                  <w:tcW w:w="1497" w:type="pct"/>
                  <w:vAlign w:val="center"/>
                </w:tcPr>
                <w:p>
                  <w:pPr>
                    <w:spacing w:line="360" w:lineRule="exact"/>
                    <w:jc w:val="center"/>
                    <w:rPr>
                      <w:snapToGrid w:val="0"/>
                      <w:kern w:val="0"/>
                      <w:szCs w:val="21"/>
                    </w:rPr>
                  </w:pPr>
                  <w:r>
                    <w:rPr>
                      <w:snapToGrid w:val="0"/>
                      <w:kern w:val="0"/>
                      <w:szCs w:val="21"/>
                    </w:rPr>
                    <w:t>本项目情况</w:t>
                  </w:r>
                </w:p>
              </w:tc>
              <w:tc>
                <w:tcPr>
                  <w:tcW w:w="242" w:type="pct"/>
                  <w:vAlign w:val="center"/>
                </w:tcPr>
                <w:p>
                  <w:pPr>
                    <w:spacing w:line="360" w:lineRule="exact"/>
                    <w:jc w:val="center"/>
                    <w:rPr>
                      <w:snapToGrid w:val="0"/>
                      <w:kern w:val="0"/>
                      <w:szCs w:val="21"/>
                    </w:rPr>
                  </w:pPr>
                  <w:r>
                    <w:rPr>
                      <w:snapToGrid w:val="0"/>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restart"/>
                  <w:vAlign w:val="center"/>
                </w:tcPr>
                <w:p>
                  <w:pPr>
                    <w:spacing w:line="360" w:lineRule="exact"/>
                    <w:jc w:val="center"/>
                    <w:rPr>
                      <w:snapToGrid w:val="0"/>
                      <w:kern w:val="0"/>
                      <w:szCs w:val="21"/>
                    </w:rPr>
                  </w:pPr>
                  <w:r>
                    <w:rPr>
                      <w:snapToGrid w:val="0"/>
                      <w:kern w:val="0"/>
                      <w:szCs w:val="21"/>
                    </w:rPr>
                    <w:t>原辅材料</w:t>
                  </w:r>
                </w:p>
              </w:tc>
              <w:tc>
                <w:tcPr>
                  <w:tcW w:w="2746" w:type="pct"/>
                  <w:vAlign w:val="center"/>
                </w:tcPr>
                <w:p>
                  <w:pPr>
                    <w:spacing w:line="360" w:lineRule="exact"/>
                    <w:jc w:val="left"/>
                    <w:rPr>
                      <w:snapToGrid w:val="0"/>
                      <w:kern w:val="0"/>
                      <w:szCs w:val="21"/>
                    </w:rPr>
                  </w:pPr>
                  <w:r>
                    <w:rPr>
                      <w:snapToGrid w:val="0"/>
                      <w:kern w:val="0"/>
                      <w:szCs w:val="21"/>
                    </w:rPr>
                    <w:t>凹版印刷工艺采用吸收性材料印刷时，使用水性油墨（VOCs≤15%），能量固化油墨（VOCs≤10%）等低VOCs含量油墨比例达60%及以上；采用非吸收性材料印刷时，使用水性油墨（VOCs≤30%）、能量固化油墨（VOCs≤10%）等低VOCs含量油墨比例达30%及以上。</w:t>
                  </w:r>
                </w:p>
                <w:p>
                  <w:pPr>
                    <w:spacing w:line="360" w:lineRule="exact"/>
                    <w:jc w:val="left"/>
                    <w:rPr>
                      <w:snapToGrid w:val="0"/>
                      <w:kern w:val="0"/>
                      <w:szCs w:val="21"/>
                    </w:rPr>
                  </w:pPr>
                  <w:r>
                    <w:rPr>
                      <w:snapToGrid w:val="0"/>
                      <w:kern w:val="0"/>
                      <w:szCs w:val="21"/>
                    </w:rPr>
                    <w:t>柔板印刷工艺采用吸收性材料印刷时，使用水性油墨（VOCs≤5%）的比例达100%；采用非吸收性材料印刷时，使用水性油墨（VOCs≤25%）比例达60%及以上；</w:t>
                  </w:r>
                </w:p>
                <w:p>
                  <w:pPr>
                    <w:spacing w:line="360" w:lineRule="exact"/>
                    <w:jc w:val="left"/>
                    <w:rPr>
                      <w:snapToGrid w:val="0"/>
                      <w:kern w:val="0"/>
                      <w:szCs w:val="21"/>
                    </w:rPr>
                  </w:pPr>
                  <w:r>
                    <w:rPr>
                      <w:snapToGrid w:val="0"/>
                      <w:kern w:val="0"/>
                      <w:szCs w:val="21"/>
                    </w:rPr>
                    <w:t>3、平板印刷工艺使用符合《油墨中可挥发性有机化合物（VOCs）含量的限值》（GB38507-2020）中VOCs含量限值要求的油墨产品比例达100%，100%使用无（免）醇润版液（润版液原液中VOCs≤10%），或使用零醇润版胶印技术；</w:t>
                  </w:r>
                </w:p>
                <w:p>
                  <w:pPr>
                    <w:spacing w:line="360" w:lineRule="exact"/>
                    <w:jc w:val="left"/>
                    <w:rPr>
                      <w:snapToGrid w:val="0"/>
                      <w:kern w:val="0"/>
                      <w:szCs w:val="21"/>
                    </w:rPr>
                  </w:pPr>
                  <w:r>
                    <w:rPr>
                      <w:snapToGrid w:val="0"/>
                      <w:kern w:val="0"/>
                      <w:szCs w:val="21"/>
                    </w:rPr>
                    <w:t>4、丝网印刷工艺使用水性油墨（VOCs≤30%）、能量固化油墨（VOCs≤5%）的比例达60%及以上；</w:t>
                  </w:r>
                </w:p>
              </w:tc>
              <w:tc>
                <w:tcPr>
                  <w:tcW w:w="1497" w:type="pct"/>
                  <w:vAlign w:val="center"/>
                </w:tcPr>
                <w:p>
                  <w:pPr>
                    <w:spacing w:line="360" w:lineRule="exact"/>
                    <w:jc w:val="left"/>
                    <w:rPr>
                      <w:snapToGrid w:val="0"/>
                      <w:kern w:val="0"/>
                      <w:szCs w:val="21"/>
                    </w:rPr>
                  </w:pPr>
                  <w:r>
                    <w:rPr>
                      <w:rFonts w:hint="eastAsia"/>
                      <w:snapToGrid w:val="0"/>
                      <w:kern w:val="0"/>
                      <w:szCs w:val="21"/>
                    </w:rPr>
                    <w:t>1~4、</w:t>
                  </w:r>
                  <w:r>
                    <w:rPr>
                      <w:snapToGrid w:val="0"/>
                      <w:kern w:val="0"/>
                      <w:szCs w:val="21"/>
                    </w:rPr>
                    <w:t>本项目属于</w:t>
                  </w:r>
                  <w:r>
                    <w:rPr>
                      <w:rFonts w:hint="eastAsia"/>
                      <w:snapToGrid w:val="0"/>
                      <w:kern w:val="0"/>
                      <w:szCs w:val="21"/>
                    </w:rPr>
                    <w:t>柔版</w:t>
                  </w:r>
                  <w:r>
                    <w:rPr>
                      <w:snapToGrid w:val="0"/>
                      <w:kern w:val="0"/>
                      <w:szCs w:val="21"/>
                    </w:rPr>
                    <w:t>印刷，使用的油墨为水性</w:t>
                  </w:r>
                  <w:r>
                    <w:rPr>
                      <w:rFonts w:hint="eastAsia"/>
                      <w:snapToGrid w:val="0"/>
                      <w:kern w:val="0"/>
                      <w:szCs w:val="21"/>
                    </w:rPr>
                    <w:t>油</w:t>
                  </w:r>
                  <w:r>
                    <w:rPr>
                      <w:snapToGrid w:val="0"/>
                      <w:kern w:val="0"/>
                      <w:szCs w:val="21"/>
                    </w:rPr>
                    <w:t>墨</w:t>
                  </w:r>
                  <w:r>
                    <w:rPr>
                      <w:rFonts w:hint="eastAsia"/>
                      <w:snapToGrid w:val="0"/>
                      <w:kern w:val="0"/>
                      <w:szCs w:val="21"/>
                    </w:rPr>
                    <w:t>。</w:t>
                  </w:r>
                  <w:r>
                    <w:rPr>
                      <w:snapToGrid w:val="0"/>
                      <w:kern w:val="0"/>
                      <w:szCs w:val="21"/>
                    </w:rPr>
                    <w:t>根据建设单位提供资料，水性油墨中VOCs含量为1</w:t>
                  </w:r>
                  <w:r>
                    <w:rPr>
                      <w:rFonts w:hint="eastAsia"/>
                      <w:snapToGrid w:val="0"/>
                      <w:kern w:val="0"/>
                      <w:szCs w:val="21"/>
                    </w:rPr>
                    <w:t>.</w:t>
                  </w:r>
                  <w:r>
                    <w:rPr>
                      <w:snapToGrid w:val="0"/>
                      <w:kern w:val="0"/>
                      <w:szCs w:val="21"/>
                    </w:rPr>
                    <w:t>1%</w:t>
                  </w:r>
                  <w:r>
                    <w:rPr>
                      <w:rFonts w:hint="eastAsia"/>
                      <w:snapToGrid w:val="0"/>
                      <w:kern w:val="0"/>
                      <w:szCs w:val="21"/>
                    </w:rPr>
                    <w:t>、（油墨成分检测报告见附件）</w:t>
                  </w:r>
                  <w:r>
                    <w:rPr>
                      <w:snapToGrid w:val="0"/>
                      <w:kern w:val="0"/>
                      <w:szCs w:val="21"/>
                    </w:rPr>
                    <w:t>，满足《油墨中可挥发性有机化合物（VOCs）含量的限值》（GB38507-2020）中VOCs含量小于30%的要求。</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5、印铁制罐生产过程100%使用水性油墨（VOCs≤25%）、能量固化油墨（VOCs≤2%）；100%使用水性涂料、能量固化涂料替代溶剂型涂料；</w:t>
                  </w:r>
                </w:p>
              </w:tc>
              <w:tc>
                <w:tcPr>
                  <w:tcW w:w="1497" w:type="pct"/>
                  <w:vAlign w:val="center"/>
                </w:tcPr>
                <w:p>
                  <w:pPr>
                    <w:spacing w:line="360" w:lineRule="exact"/>
                    <w:jc w:val="left"/>
                    <w:rPr>
                      <w:snapToGrid w:val="0"/>
                      <w:kern w:val="0"/>
                      <w:szCs w:val="21"/>
                    </w:rPr>
                  </w:pPr>
                  <w:r>
                    <w:rPr>
                      <w:rFonts w:hint="eastAsia"/>
                      <w:snapToGrid w:val="0"/>
                      <w:kern w:val="0"/>
                      <w:szCs w:val="21"/>
                    </w:rPr>
                    <w:t>本项目</w:t>
                  </w:r>
                  <w:r>
                    <w:rPr>
                      <w:snapToGrid w:val="0"/>
                      <w:kern w:val="0"/>
                      <w:szCs w:val="21"/>
                    </w:rPr>
                    <w:t>不涉及；</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6、复合、覆膜；使用符合《胶黏剂挥发性有机化合物限量》（GB33372-2020）的无溶剂、水基型等非溶剂型胶黏剂比例达75%及以上；</w:t>
                  </w:r>
                </w:p>
              </w:tc>
              <w:tc>
                <w:tcPr>
                  <w:tcW w:w="1497" w:type="pct"/>
                  <w:vAlign w:val="center"/>
                </w:tcPr>
                <w:p>
                  <w:pPr>
                    <w:spacing w:line="360" w:lineRule="exact"/>
                    <w:jc w:val="left"/>
                    <w:rPr>
                      <w:snapToGrid w:val="0"/>
                      <w:kern w:val="0"/>
                      <w:szCs w:val="21"/>
                    </w:rPr>
                  </w:pPr>
                  <w:r>
                    <w:rPr>
                      <w:snapToGrid w:val="0"/>
                      <w:kern w:val="0"/>
                      <w:szCs w:val="21"/>
                    </w:rPr>
                    <w:t>本项目生产过程中不使用胶黏剂；</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7、上光；使用水性、UV等非溶剂型光油比例达100%及以上；</w:t>
                  </w:r>
                </w:p>
              </w:tc>
              <w:tc>
                <w:tcPr>
                  <w:tcW w:w="1497" w:type="pct"/>
                  <w:vAlign w:val="center"/>
                </w:tcPr>
                <w:p>
                  <w:pPr>
                    <w:spacing w:line="360" w:lineRule="exact"/>
                    <w:jc w:val="left"/>
                    <w:rPr>
                      <w:snapToGrid w:val="0"/>
                      <w:kern w:val="0"/>
                      <w:szCs w:val="21"/>
                    </w:rPr>
                  </w:pPr>
                  <w:r>
                    <w:rPr>
                      <w:rFonts w:hint="eastAsia"/>
                      <w:snapToGrid w:val="0"/>
                      <w:kern w:val="0"/>
                      <w:szCs w:val="21"/>
                    </w:rPr>
                    <w:t>本项目</w:t>
                  </w:r>
                  <w:r>
                    <w:rPr>
                      <w:snapToGrid w:val="0"/>
                      <w:kern w:val="0"/>
                      <w:szCs w:val="21"/>
                    </w:rPr>
                    <w:t>不涉及；</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8、清洗：采用胶印油墨、UV油墨印刷时，使用符合《清洗剂挥发性有机化合物含量限值》（GB38508-2020）的低VOCs含量清洗剂比例达100%及以上。</w:t>
                  </w:r>
                </w:p>
              </w:tc>
              <w:tc>
                <w:tcPr>
                  <w:tcW w:w="1497" w:type="pct"/>
                  <w:vAlign w:val="center"/>
                </w:tcPr>
                <w:p>
                  <w:pPr>
                    <w:spacing w:line="360" w:lineRule="exact"/>
                    <w:jc w:val="left"/>
                    <w:rPr>
                      <w:snapToGrid w:val="0"/>
                      <w:kern w:val="0"/>
                      <w:szCs w:val="21"/>
                    </w:rPr>
                  </w:pPr>
                  <w:r>
                    <w:rPr>
                      <w:snapToGrid w:val="0"/>
                      <w:kern w:val="0"/>
                      <w:szCs w:val="21"/>
                    </w:rPr>
                    <w:t>本项目</w:t>
                  </w:r>
                  <w:r>
                    <w:rPr>
                      <w:rFonts w:hint="eastAsia"/>
                      <w:snapToGrid w:val="0"/>
                      <w:kern w:val="0"/>
                      <w:szCs w:val="21"/>
                    </w:rPr>
                    <w:t>印刷</w:t>
                  </w:r>
                  <w:r>
                    <w:rPr>
                      <w:snapToGrid w:val="0"/>
                      <w:kern w:val="0"/>
                      <w:szCs w:val="21"/>
                    </w:rPr>
                    <w:t>工序</w:t>
                  </w:r>
                  <w:r>
                    <w:rPr>
                      <w:rFonts w:hint="eastAsia"/>
                      <w:snapToGrid w:val="0"/>
                      <w:kern w:val="0"/>
                      <w:szCs w:val="21"/>
                    </w:rPr>
                    <w:t>采用自来水清洗，清洗后的水用于油墨稀释，</w:t>
                  </w:r>
                  <w:r>
                    <w:rPr>
                      <w:snapToGrid w:val="0"/>
                      <w:kern w:val="0"/>
                      <w:szCs w:val="21"/>
                    </w:rPr>
                    <w:t>不涉及</w:t>
                  </w:r>
                  <w:r>
                    <w:rPr>
                      <w:rFonts w:hint="eastAsia"/>
                      <w:snapToGrid w:val="0"/>
                      <w:kern w:val="0"/>
                      <w:szCs w:val="21"/>
                    </w:rPr>
                    <w:t>清洗剂的使用</w:t>
                  </w:r>
                  <w:r>
                    <w:rPr>
                      <w:snapToGrid w:val="0"/>
                      <w:kern w:val="0"/>
                      <w:szCs w:val="21"/>
                    </w:rPr>
                    <w:t>。</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restart"/>
                  <w:vAlign w:val="center"/>
                </w:tcPr>
                <w:p>
                  <w:pPr>
                    <w:spacing w:line="360" w:lineRule="exact"/>
                    <w:jc w:val="center"/>
                    <w:rPr>
                      <w:snapToGrid w:val="0"/>
                      <w:kern w:val="0"/>
                      <w:szCs w:val="21"/>
                    </w:rPr>
                  </w:pPr>
                  <w:r>
                    <w:rPr>
                      <w:snapToGrid w:val="0"/>
                      <w:kern w:val="0"/>
                      <w:szCs w:val="21"/>
                    </w:rPr>
                    <w:t>无组织排放</w:t>
                  </w:r>
                </w:p>
              </w:tc>
              <w:tc>
                <w:tcPr>
                  <w:tcW w:w="2746" w:type="pct"/>
                  <w:vAlign w:val="center"/>
                </w:tcPr>
                <w:p>
                  <w:pPr>
                    <w:spacing w:line="360" w:lineRule="exact"/>
                    <w:jc w:val="left"/>
                    <w:rPr>
                      <w:snapToGrid w:val="0"/>
                      <w:kern w:val="0"/>
                      <w:szCs w:val="21"/>
                    </w:rPr>
                  </w:pPr>
                  <w:r>
                    <w:rPr>
                      <w:snapToGrid w:val="0"/>
                      <w:kern w:val="0"/>
                      <w:szCs w:val="21"/>
                    </w:rPr>
                    <w:t>满足《挥发性有机物无组织排放控制标准》（GB37822-2019）特别控制要求；</w:t>
                  </w:r>
                </w:p>
              </w:tc>
              <w:tc>
                <w:tcPr>
                  <w:tcW w:w="1497" w:type="pct"/>
                  <w:vAlign w:val="center"/>
                </w:tcPr>
                <w:p>
                  <w:pPr>
                    <w:spacing w:line="360" w:lineRule="exact"/>
                    <w:jc w:val="left"/>
                    <w:rPr>
                      <w:snapToGrid w:val="0"/>
                      <w:kern w:val="0"/>
                      <w:szCs w:val="21"/>
                    </w:rPr>
                  </w:pPr>
                  <w:r>
                    <w:rPr>
                      <w:snapToGrid w:val="0"/>
                      <w:kern w:val="0"/>
                      <w:szCs w:val="21"/>
                    </w:rPr>
                    <w:t>1、项目厂区NMHC无组织排放浓度满足《挥发性有机物无组织排放控制标准</w:t>
                  </w:r>
                  <w:r>
                    <w:rPr>
                      <w:rFonts w:hint="eastAsia"/>
                      <w:snapToGrid w:val="0"/>
                      <w:kern w:val="0"/>
                      <w:szCs w:val="21"/>
                    </w:rPr>
                    <w:t>》</w:t>
                  </w:r>
                  <w:r>
                    <w:rPr>
                      <w:snapToGrid w:val="0"/>
                      <w:kern w:val="0"/>
                      <w:szCs w:val="21"/>
                    </w:rPr>
                    <w:t>（GB37822-2019）要求；</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rFonts w:hint="eastAsia"/>
                      <w:snapToGrid w:val="0"/>
                      <w:kern w:val="0"/>
                      <w:szCs w:val="21"/>
                    </w:rPr>
                    <w:t>2、</w:t>
                  </w:r>
                  <w:r>
                    <w:rPr>
                      <w:snapToGrid w:val="0"/>
                      <w:kern w:val="0"/>
                      <w:szCs w:val="21"/>
                    </w:rPr>
                    <w:t>调配过程：胶印工艺使用自动配墨系统；凹印工艺调配稀释剂采用管道集中输送，设置专门的调配间进行调墨、调浆等，废气排至VOCs废气收集处理系统；</w:t>
                  </w:r>
                </w:p>
              </w:tc>
              <w:tc>
                <w:tcPr>
                  <w:tcW w:w="1497" w:type="pct"/>
                  <w:vAlign w:val="center"/>
                </w:tcPr>
                <w:p>
                  <w:pPr>
                    <w:spacing w:line="360" w:lineRule="exact"/>
                    <w:jc w:val="left"/>
                    <w:rPr>
                      <w:snapToGrid w:val="0"/>
                      <w:kern w:val="0"/>
                      <w:szCs w:val="21"/>
                    </w:rPr>
                  </w:pPr>
                  <w:r>
                    <w:rPr>
                      <w:snapToGrid w:val="0"/>
                      <w:kern w:val="0"/>
                      <w:szCs w:val="21"/>
                    </w:rPr>
                    <w:t>2、本项目</w:t>
                  </w:r>
                  <w:r>
                    <w:rPr>
                      <w:rFonts w:hint="eastAsia"/>
                      <w:snapToGrid w:val="0"/>
                      <w:kern w:val="0"/>
                      <w:szCs w:val="21"/>
                    </w:rPr>
                    <w:t>不涉及调配</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rFonts w:hint="eastAsia"/>
                      <w:snapToGrid w:val="0"/>
                      <w:kern w:val="0"/>
                      <w:szCs w:val="21"/>
                    </w:rPr>
                    <w:t>3、</w:t>
                  </w:r>
                  <w:r>
                    <w:rPr>
                      <w:snapToGrid w:val="0"/>
                      <w:kern w:val="0"/>
                      <w:szCs w:val="21"/>
                    </w:rPr>
                    <w:t>供墨过程：在密闭设备或密闭负压空间内操作，向墨槽中加油墨或稀释剂时采用漏斗或软管等接驳工具；</w:t>
                  </w:r>
                </w:p>
              </w:tc>
              <w:tc>
                <w:tcPr>
                  <w:tcW w:w="1497" w:type="pct"/>
                  <w:vAlign w:val="center"/>
                </w:tcPr>
                <w:p>
                  <w:pPr>
                    <w:spacing w:line="360" w:lineRule="exact"/>
                    <w:jc w:val="left"/>
                    <w:rPr>
                      <w:snapToGrid w:val="0"/>
                      <w:kern w:val="0"/>
                      <w:szCs w:val="21"/>
                    </w:rPr>
                  </w:pPr>
                  <w:r>
                    <w:rPr>
                      <w:snapToGrid w:val="0"/>
                      <w:kern w:val="0"/>
                      <w:szCs w:val="21"/>
                    </w:rPr>
                    <w:t>3、本项目供墨在密闭车间内进行，加墨过程采用漏斗；</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rFonts w:hint="eastAsia"/>
                      <w:snapToGrid w:val="0"/>
                      <w:kern w:val="0"/>
                      <w:szCs w:val="21"/>
                    </w:rPr>
                    <w:t>4、</w:t>
                  </w:r>
                  <w:r>
                    <w:rPr>
                      <w:snapToGrid w:val="0"/>
                      <w:kern w:val="0"/>
                      <w:szCs w:val="21"/>
                    </w:rPr>
                    <w:t>印刷过程：柔板印刷机采用封闭刮刀；凹版印刷机通过安装盖板、改变墨槽开口形状等减小墨盘、墨桶、搅墨机等开口面积；烘箱密闭，保持负压；印刷机整体排风收集；</w:t>
                  </w:r>
                </w:p>
              </w:tc>
              <w:tc>
                <w:tcPr>
                  <w:tcW w:w="1497" w:type="pct"/>
                  <w:vAlign w:val="center"/>
                </w:tcPr>
                <w:p>
                  <w:pPr>
                    <w:spacing w:line="360" w:lineRule="exact"/>
                    <w:jc w:val="left"/>
                    <w:rPr>
                      <w:snapToGrid w:val="0"/>
                      <w:kern w:val="0"/>
                      <w:szCs w:val="21"/>
                    </w:rPr>
                  </w:pPr>
                  <w:r>
                    <w:rPr>
                      <w:snapToGrid w:val="0"/>
                      <w:kern w:val="0"/>
                      <w:szCs w:val="21"/>
                    </w:rPr>
                    <w:t>4、本项目</w:t>
                  </w:r>
                  <w:r>
                    <w:rPr>
                      <w:rFonts w:hint="eastAsia"/>
                      <w:snapToGrid w:val="0"/>
                      <w:kern w:val="0"/>
                      <w:szCs w:val="21"/>
                    </w:rPr>
                    <w:t>柔版印刷机采用封闭刮刀，无烘箱，印刷机整体排风收集</w:t>
                  </w:r>
                  <w:r>
                    <w:rPr>
                      <w:snapToGrid w:val="0"/>
                      <w:kern w:val="0"/>
                      <w:szCs w:val="21"/>
                    </w:rPr>
                    <w:t>。</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rFonts w:hint="eastAsia"/>
                      <w:snapToGrid w:val="0"/>
                      <w:kern w:val="0"/>
                      <w:szCs w:val="21"/>
                    </w:rPr>
                    <w:t>5、</w:t>
                  </w:r>
                  <w:r>
                    <w:rPr>
                      <w:snapToGrid w:val="0"/>
                      <w:kern w:val="0"/>
                      <w:szCs w:val="21"/>
                    </w:rPr>
                    <w:t>清洗过程：清洗专用清洗间、排风收集；沾染清洗剂的毛巾或抹布储存于密闭容器；</w:t>
                  </w:r>
                </w:p>
              </w:tc>
              <w:tc>
                <w:tcPr>
                  <w:tcW w:w="1497" w:type="pct"/>
                  <w:vAlign w:val="center"/>
                </w:tcPr>
                <w:p>
                  <w:pPr>
                    <w:spacing w:line="360" w:lineRule="exact"/>
                    <w:jc w:val="left"/>
                    <w:rPr>
                      <w:snapToGrid w:val="0"/>
                      <w:kern w:val="0"/>
                      <w:szCs w:val="21"/>
                    </w:rPr>
                  </w:pPr>
                  <w:r>
                    <w:rPr>
                      <w:snapToGrid w:val="0"/>
                      <w:kern w:val="0"/>
                      <w:szCs w:val="21"/>
                    </w:rPr>
                    <w:t>5、</w:t>
                  </w:r>
                  <w:r>
                    <w:rPr>
                      <w:rFonts w:hint="eastAsia"/>
                      <w:snapToGrid w:val="0"/>
                      <w:kern w:val="0"/>
                      <w:szCs w:val="21"/>
                    </w:rPr>
                    <w:t>本项目</w:t>
                  </w:r>
                  <w:r>
                    <w:rPr>
                      <w:snapToGrid w:val="0"/>
                      <w:kern w:val="0"/>
                      <w:szCs w:val="21"/>
                    </w:rPr>
                    <w:t>不涉及；</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rFonts w:hint="eastAsia"/>
                      <w:snapToGrid w:val="0"/>
                      <w:kern w:val="0"/>
                      <w:szCs w:val="21"/>
                    </w:rPr>
                    <w:t>6、</w:t>
                  </w:r>
                  <w:r>
                    <w:rPr>
                      <w:snapToGrid w:val="0"/>
                      <w:kern w:val="0"/>
                      <w:szCs w:val="21"/>
                    </w:rPr>
                    <w:t>复合过程：烘箱密闭，保持负压；干式复合机上胶部位局部排风收集；</w:t>
                  </w:r>
                </w:p>
              </w:tc>
              <w:tc>
                <w:tcPr>
                  <w:tcW w:w="1497" w:type="pct"/>
                  <w:vAlign w:val="center"/>
                </w:tcPr>
                <w:p>
                  <w:pPr>
                    <w:spacing w:line="360" w:lineRule="exact"/>
                    <w:jc w:val="left"/>
                    <w:rPr>
                      <w:snapToGrid w:val="0"/>
                      <w:kern w:val="0"/>
                      <w:szCs w:val="21"/>
                    </w:rPr>
                  </w:pPr>
                  <w:r>
                    <w:rPr>
                      <w:snapToGrid w:val="0"/>
                      <w:kern w:val="0"/>
                      <w:szCs w:val="21"/>
                    </w:rPr>
                    <w:t>6、</w:t>
                  </w:r>
                  <w:r>
                    <w:rPr>
                      <w:rFonts w:hint="eastAsia"/>
                      <w:snapToGrid w:val="0"/>
                      <w:kern w:val="0"/>
                      <w:szCs w:val="21"/>
                    </w:rPr>
                    <w:t>本项目</w:t>
                  </w:r>
                  <w:r>
                    <w:rPr>
                      <w:snapToGrid w:val="0"/>
                      <w:kern w:val="0"/>
                      <w:szCs w:val="21"/>
                    </w:rPr>
                    <w:t>不涉及；</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7、存储过程：油墨、稀释剂、胶黏剂、清洗剂、上光油等VOCs物料密闭存储，存放于阳光直射的场所；废油墨、废清洗剂、废活性炭等含VOCs的废物应分类放置于贴有标识的容器内，加盖密封，存放于无阳光直射的场所。</w:t>
                  </w:r>
                </w:p>
              </w:tc>
              <w:tc>
                <w:tcPr>
                  <w:tcW w:w="1497" w:type="pct"/>
                  <w:vAlign w:val="center"/>
                </w:tcPr>
                <w:p>
                  <w:pPr>
                    <w:spacing w:line="360" w:lineRule="exact"/>
                    <w:jc w:val="left"/>
                    <w:rPr>
                      <w:snapToGrid w:val="0"/>
                      <w:kern w:val="0"/>
                      <w:szCs w:val="21"/>
                    </w:rPr>
                  </w:pPr>
                  <w:r>
                    <w:rPr>
                      <w:snapToGrid w:val="0"/>
                      <w:kern w:val="0"/>
                      <w:szCs w:val="21"/>
                    </w:rPr>
                    <w:t>7、本项目油墨等涉VOCs原料均在全密闭空间内储存，含VOCs等危险废物均使用密闭容器储存于危险废物暂存间内。</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污染治理技术</w:t>
                  </w:r>
                </w:p>
              </w:tc>
              <w:tc>
                <w:tcPr>
                  <w:tcW w:w="2746" w:type="pct"/>
                  <w:vAlign w:val="center"/>
                </w:tcPr>
                <w:p>
                  <w:pPr>
                    <w:spacing w:line="360" w:lineRule="exact"/>
                    <w:jc w:val="left"/>
                    <w:rPr>
                      <w:snapToGrid w:val="0"/>
                      <w:kern w:val="0"/>
                      <w:szCs w:val="21"/>
                    </w:rPr>
                  </w:pPr>
                  <w:r>
                    <w:rPr>
                      <w:snapToGrid w:val="0"/>
                      <w:kern w:val="0"/>
                      <w:szCs w:val="21"/>
                    </w:rPr>
                    <w:t>使用溶剂型原辅材料时，调墨、供墨、涂布（上光）、印刷、覆膜、复合、清洗等工序含VOCs废气采用燃烧、吸附+燃烧、吸附+冷凝回收、吸附等治理技术，处理效率≥90%；</w:t>
                  </w:r>
                </w:p>
                <w:p>
                  <w:pPr>
                    <w:spacing w:line="360" w:lineRule="exact"/>
                    <w:jc w:val="left"/>
                    <w:rPr>
                      <w:snapToGrid w:val="0"/>
                      <w:kern w:val="0"/>
                      <w:szCs w:val="21"/>
                    </w:rPr>
                  </w:pPr>
                  <w:r>
                    <w:rPr>
                      <w:snapToGrid w:val="0"/>
                      <w:kern w:val="0"/>
                      <w:szCs w:val="21"/>
                    </w:rPr>
                    <w:t>2、采用平板印刷工艺或使用非溶剂型原辅材料时，当车间或生产设施排气中NMHC初始排放速率≥2kg/h时，建设末端治污设施，处理效率≥80%。</w:t>
                  </w:r>
                </w:p>
              </w:tc>
              <w:tc>
                <w:tcPr>
                  <w:tcW w:w="1497" w:type="pct"/>
                  <w:vAlign w:val="center"/>
                </w:tcPr>
                <w:p>
                  <w:pPr>
                    <w:spacing w:line="360" w:lineRule="exact"/>
                    <w:jc w:val="left"/>
                    <w:rPr>
                      <w:snapToGrid w:val="0"/>
                      <w:kern w:val="0"/>
                      <w:szCs w:val="21"/>
                    </w:rPr>
                  </w:pPr>
                  <w:r>
                    <w:rPr>
                      <w:snapToGrid w:val="0"/>
                      <w:kern w:val="0"/>
                      <w:szCs w:val="21"/>
                    </w:rPr>
                    <w:t>1、本项目使用非溶剂型油墨；</w:t>
                  </w:r>
                </w:p>
                <w:p>
                  <w:pPr>
                    <w:spacing w:line="360" w:lineRule="exact"/>
                    <w:jc w:val="left"/>
                    <w:rPr>
                      <w:snapToGrid w:val="0"/>
                      <w:kern w:val="0"/>
                      <w:szCs w:val="21"/>
                    </w:rPr>
                  </w:pPr>
                  <w:r>
                    <w:rPr>
                      <w:snapToGrid w:val="0"/>
                      <w:kern w:val="0"/>
                      <w:szCs w:val="21"/>
                    </w:rPr>
                    <w:t>2、项目</w:t>
                  </w:r>
                  <w:r>
                    <w:rPr>
                      <w:rFonts w:hint="eastAsia"/>
                      <w:snapToGrid w:val="0"/>
                      <w:kern w:val="0"/>
                      <w:szCs w:val="21"/>
                    </w:rPr>
                    <w:t>印刷</w:t>
                  </w:r>
                  <w:r>
                    <w:rPr>
                      <w:snapToGrid w:val="0"/>
                      <w:kern w:val="0"/>
                      <w:szCs w:val="21"/>
                    </w:rPr>
                    <w:t>工序NMHC初始排放速率效率小于2kg/h，且经“UV光氧+活性炭吸附装置”处理后排放，治理设施处理效率≥80%。</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排放限值</w:t>
                  </w:r>
                </w:p>
              </w:tc>
              <w:tc>
                <w:tcPr>
                  <w:tcW w:w="2746" w:type="pct"/>
                  <w:vAlign w:val="center"/>
                </w:tcPr>
                <w:p>
                  <w:pPr>
                    <w:spacing w:line="360" w:lineRule="exact"/>
                    <w:jc w:val="left"/>
                    <w:rPr>
                      <w:snapToGrid w:val="0"/>
                      <w:kern w:val="0"/>
                      <w:szCs w:val="21"/>
                    </w:rPr>
                  </w:pPr>
                  <w:r>
                    <w:rPr>
                      <w:snapToGrid w:val="0"/>
                      <w:kern w:val="0"/>
                      <w:szCs w:val="21"/>
                    </w:rPr>
                    <w:t>在连续一年的监测数据中，车间或生产设施排气筒排放的NMHC为20~30mg/m</w:t>
                  </w:r>
                  <w:r>
                    <w:rPr>
                      <w:snapToGrid w:val="0"/>
                      <w:kern w:val="0"/>
                      <w:szCs w:val="21"/>
                      <w:vertAlign w:val="superscript"/>
                    </w:rPr>
                    <w:t>3</w:t>
                  </w:r>
                  <w:r>
                    <w:rPr>
                      <w:snapToGrid w:val="0"/>
                      <w:kern w:val="0"/>
                      <w:szCs w:val="21"/>
                    </w:rPr>
                    <w:t>、TVOC为40~50mg/m</w:t>
                  </w:r>
                  <w:r>
                    <w:rPr>
                      <w:snapToGrid w:val="0"/>
                      <w:kern w:val="0"/>
                      <w:szCs w:val="21"/>
                      <w:vertAlign w:val="superscript"/>
                    </w:rPr>
                    <w:t>3</w:t>
                  </w:r>
                  <w:r>
                    <w:rPr>
                      <w:snapToGrid w:val="0"/>
                      <w:kern w:val="0"/>
                      <w:szCs w:val="21"/>
                    </w:rPr>
                    <w:t>；</w:t>
                  </w:r>
                </w:p>
                <w:p>
                  <w:pPr>
                    <w:spacing w:line="360" w:lineRule="exact"/>
                    <w:jc w:val="left"/>
                    <w:rPr>
                      <w:snapToGrid w:val="0"/>
                      <w:kern w:val="0"/>
                      <w:szCs w:val="21"/>
                    </w:rPr>
                  </w:pPr>
                  <w:r>
                    <w:rPr>
                      <w:snapToGrid w:val="0"/>
                      <w:kern w:val="0"/>
                      <w:szCs w:val="21"/>
                    </w:rPr>
                    <w:t>2、厂区内无组织排放监控点NMHC的1h平均浓度值不高于6mg/m3、任意一次浓度值不高于20mg/m</w:t>
                  </w:r>
                  <w:r>
                    <w:rPr>
                      <w:snapToGrid w:val="0"/>
                      <w:kern w:val="0"/>
                      <w:szCs w:val="21"/>
                      <w:vertAlign w:val="superscript"/>
                    </w:rPr>
                    <w:t>3</w:t>
                  </w:r>
                  <w:r>
                    <w:rPr>
                      <w:snapToGrid w:val="0"/>
                      <w:kern w:val="0"/>
                      <w:szCs w:val="21"/>
                    </w:rPr>
                    <w:t>；</w:t>
                  </w:r>
                </w:p>
                <w:p>
                  <w:pPr>
                    <w:spacing w:line="360" w:lineRule="exact"/>
                    <w:jc w:val="left"/>
                    <w:rPr>
                      <w:snapToGrid w:val="0"/>
                      <w:kern w:val="0"/>
                      <w:szCs w:val="21"/>
                    </w:rPr>
                  </w:pPr>
                  <w:r>
                    <w:rPr>
                      <w:snapToGrid w:val="0"/>
                      <w:kern w:val="0"/>
                      <w:szCs w:val="21"/>
                    </w:rPr>
                    <w:t>3、其他各项污染物稳定达到现行排放控制要求，并从严地方要求。</w:t>
                  </w:r>
                </w:p>
              </w:tc>
              <w:tc>
                <w:tcPr>
                  <w:tcW w:w="1497" w:type="pct"/>
                  <w:vAlign w:val="center"/>
                </w:tcPr>
                <w:p>
                  <w:pPr>
                    <w:spacing w:line="360" w:lineRule="exact"/>
                    <w:jc w:val="left"/>
                    <w:rPr>
                      <w:snapToGrid w:val="0"/>
                      <w:kern w:val="0"/>
                      <w:szCs w:val="21"/>
                    </w:rPr>
                  </w:pPr>
                  <w:r>
                    <w:rPr>
                      <w:snapToGrid w:val="0"/>
                      <w:kern w:val="0"/>
                      <w:szCs w:val="21"/>
                    </w:rPr>
                    <w:t>1、根据预测结果，本项目NMHC排放浓度不高于20mg/m</w:t>
                  </w:r>
                  <w:r>
                    <w:rPr>
                      <w:snapToGrid w:val="0"/>
                      <w:kern w:val="0"/>
                      <w:szCs w:val="21"/>
                      <w:vertAlign w:val="superscript"/>
                    </w:rPr>
                    <w:t>3</w:t>
                  </w:r>
                  <w:r>
                    <w:rPr>
                      <w:snapToGrid w:val="0"/>
                      <w:kern w:val="0"/>
                      <w:szCs w:val="21"/>
                    </w:rPr>
                    <w:t>；</w:t>
                  </w:r>
                </w:p>
                <w:p>
                  <w:pPr>
                    <w:spacing w:line="360" w:lineRule="exact"/>
                    <w:jc w:val="left"/>
                    <w:rPr>
                      <w:snapToGrid w:val="0"/>
                      <w:kern w:val="0"/>
                      <w:szCs w:val="21"/>
                    </w:rPr>
                  </w:pPr>
                  <w:r>
                    <w:rPr>
                      <w:snapToGrid w:val="0"/>
                      <w:kern w:val="0"/>
                      <w:szCs w:val="21"/>
                    </w:rPr>
                    <w:t>2、厂区内无组织监控点NMHC满足《挥发性有机物无组织排放控制标准》（GB37822-2019）要求；</w:t>
                  </w:r>
                </w:p>
                <w:p>
                  <w:pPr>
                    <w:spacing w:line="360" w:lineRule="exact"/>
                    <w:jc w:val="left"/>
                    <w:rPr>
                      <w:snapToGrid w:val="0"/>
                      <w:kern w:val="0"/>
                      <w:szCs w:val="21"/>
                    </w:rPr>
                  </w:pPr>
                  <w:r>
                    <w:rPr>
                      <w:snapToGrid w:val="0"/>
                      <w:kern w:val="0"/>
                      <w:szCs w:val="21"/>
                    </w:rPr>
                    <w:t>3、</w:t>
                  </w:r>
                  <w:r>
                    <w:rPr>
                      <w:rFonts w:hint="eastAsia"/>
                      <w:snapToGrid w:val="0"/>
                      <w:kern w:val="0"/>
                      <w:szCs w:val="21"/>
                    </w:rPr>
                    <w:t>经预测，</w:t>
                  </w:r>
                  <w:r>
                    <w:rPr>
                      <w:snapToGrid w:val="0"/>
                      <w:kern w:val="0"/>
                      <w:szCs w:val="21"/>
                    </w:rPr>
                    <w:t>其他各项污染物稳定达到现行排放控制要求，并从严地方要求。</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监测监控水平</w:t>
                  </w:r>
                </w:p>
              </w:tc>
              <w:tc>
                <w:tcPr>
                  <w:tcW w:w="2746" w:type="pct"/>
                  <w:vAlign w:val="center"/>
                </w:tcPr>
                <w:p>
                  <w:pPr>
                    <w:spacing w:line="360" w:lineRule="exact"/>
                    <w:jc w:val="left"/>
                    <w:rPr>
                      <w:snapToGrid w:val="0"/>
                      <w:kern w:val="0"/>
                      <w:szCs w:val="21"/>
                    </w:rPr>
                  </w:pPr>
                  <w:r>
                    <w:rPr>
                      <w:snapToGrid w:val="0"/>
                      <w:kern w:val="0"/>
                      <w:szCs w:val="21"/>
                    </w:rPr>
                    <w:t>严格执行《排污许可证申请与核发技术规范</w:t>
                  </w:r>
                  <w:r>
                    <w:rPr>
                      <w:rFonts w:hint="eastAsia"/>
                      <w:snapToGrid w:val="0"/>
                      <w:kern w:val="0"/>
                      <w:szCs w:val="21"/>
                    </w:rPr>
                    <w:t>·</w:t>
                  </w:r>
                  <w:r>
                    <w:rPr>
                      <w:snapToGrid w:val="0"/>
                      <w:kern w:val="0"/>
                      <w:szCs w:val="21"/>
                    </w:rPr>
                    <w:t>印刷工业》（HJ1066-2019）规定的自行监测管理要求；</w:t>
                  </w:r>
                </w:p>
                <w:p>
                  <w:pPr>
                    <w:spacing w:line="360" w:lineRule="exact"/>
                    <w:jc w:val="left"/>
                    <w:rPr>
                      <w:snapToGrid w:val="0"/>
                      <w:kern w:val="0"/>
                      <w:szCs w:val="21"/>
                    </w:rPr>
                  </w:pPr>
                  <w:r>
                    <w:rPr>
                      <w:snapToGrid w:val="0"/>
                      <w:kern w:val="0"/>
                      <w:szCs w:val="21"/>
                    </w:rPr>
                    <w:t>2、重点排污企业风量大于10000m</w:t>
                  </w:r>
                  <w:r>
                    <w:rPr>
                      <w:snapToGrid w:val="0"/>
                      <w:kern w:val="0"/>
                      <w:szCs w:val="21"/>
                      <w:vertAlign w:val="superscript"/>
                    </w:rPr>
                    <w:t>3</w:t>
                  </w:r>
                  <w:r>
                    <w:rPr>
                      <w:snapToGrid w:val="0"/>
                      <w:kern w:val="0"/>
                      <w:szCs w:val="21"/>
                    </w:rPr>
                    <w:t>/h的主要排放口安装NMHC在线监测设施（FID检测器），自动监控数据保存一年以上；</w:t>
                  </w:r>
                </w:p>
                <w:p>
                  <w:pPr>
                    <w:spacing w:line="360" w:lineRule="exact"/>
                    <w:jc w:val="left"/>
                    <w:rPr>
                      <w:snapToGrid w:val="0"/>
                      <w:kern w:val="0"/>
                      <w:szCs w:val="21"/>
                    </w:rPr>
                  </w:pPr>
                  <w:r>
                    <w:rPr>
                      <w:snapToGrid w:val="0"/>
                      <w:kern w:val="0"/>
                      <w:szCs w:val="21"/>
                    </w:rPr>
                    <w:t>3、安装DCS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1497" w:type="pct"/>
                  <w:vAlign w:val="center"/>
                </w:tcPr>
                <w:p>
                  <w:pPr>
                    <w:spacing w:line="360" w:lineRule="exact"/>
                    <w:jc w:val="left"/>
                    <w:rPr>
                      <w:snapToGrid w:val="0"/>
                      <w:kern w:val="0"/>
                      <w:szCs w:val="21"/>
                    </w:rPr>
                  </w:pPr>
                  <w:r>
                    <w:rPr>
                      <w:snapToGrid w:val="0"/>
                      <w:kern w:val="0"/>
                      <w:szCs w:val="21"/>
                    </w:rPr>
                    <w:t>1、本</w:t>
                  </w:r>
                  <w:r>
                    <w:rPr>
                      <w:rFonts w:hint="eastAsia"/>
                      <w:snapToGrid w:val="0"/>
                      <w:kern w:val="0"/>
                      <w:szCs w:val="21"/>
                    </w:rPr>
                    <w:t>项目按照左侧规定自行监测管理要求</w:t>
                  </w:r>
                  <w:r>
                    <w:rPr>
                      <w:snapToGrid w:val="0"/>
                      <w:kern w:val="0"/>
                      <w:szCs w:val="21"/>
                    </w:rPr>
                    <w:t>开展自行监测；</w:t>
                  </w:r>
                </w:p>
                <w:p>
                  <w:pPr>
                    <w:spacing w:line="360" w:lineRule="exact"/>
                    <w:jc w:val="left"/>
                    <w:rPr>
                      <w:snapToGrid w:val="0"/>
                      <w:kern w:val="0"/>
                      <w:szCs w:val="21"/>
                    </w:rPr>
                  </w:pPr>
                  <w:r>
                    <w:rPr>
                      <w:snapToGrid w:val="0"/>
                      <w:kern w:val="0"/>
                      <w:szCs w:val="21"/>
                    </w:rPr>
                    <w:t>2、本企业不属于重点排污企业；</w:t>
                  </w:r>
                </w:p>
                <w:p>
                  <w:pPr>
                    <w:spacing w:line="360" w:lineRule="exact"/>
                    <w:jc w:val="left"/>
                    <w:rPr>
                      <w:snapToGrid w:val="0"/>
                      <w:kern w:val="0"/>
                      <w:szCs w:val="21"/>
                    </w:rPr>
                  </w:pPr>
                  <w:r>
                    <w:rPr>
                      <w:snapToGrid w:val="0"/>
                      <w:kern w:val="0"/>
                      <w:szCs w:val="21"/>
                    </w:rPr>
                    <w:t>3、</w:t>
                  </w:r>
                  <w:r>
                    <w:rPr>
                      <w:rFonts w:hint="eastAsia"/>
                      <w:snapToGrid w:val="0"/>
                      <w:kern w:val="0"/>
                      <w:szCs w:val="21"/>
                    </w:rPr>
                    <w:t>项目建设完成后应安装</w:t>
                  </w:r>
                  <w:r>
                    <w:rPr>
                      <w:snapToGrid w:val="0"/>
                      <w:kern w:val="0"/>
                      <w:szCs w:val="21"/>
                    </w:rPr>
                    <w:t>DCS系统、仪器仪表等装置</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restart"/>
                  <w:vAlign w:val="center"/>
                </w:tcPr>
                <w:p>
                  <w:pPr>
                    <w:spacing w:line="360" w:lineRule="exact"/>
                    <w:jc w:val="center"/>
                    <w:rPr>
                      <w:snapToGrid w:val="0"/>
                      <w:kern w:val="0"/>
                      <w:szCs w:val="21"/>
                    </w:rPr>
                  </w:pPr>
                  <w:r>
                    <w:rPr>
                      <w:snapToGrid w:val="0"/>
                      <w:kern w:val="0"/>
                      <w:szCs w:val="21"/>
                    </w:rPr>
                    <w:t>环境管理水平</w:t>
                  </w:r>
                </w:p>
              </w:tc>
              <w:tc>
                <w:tcPr>
                  <w:tcW w:w="2746" w:type="pct"/>
                  <w:vAlign w:val="center"/>
                </w:tcPr>
                <w:p>
                  <w:pPr>
                    <w:spacing w:line="360" w:lineRule="exact"/>
                    <w:jc w:val="left"/>
                    <w:rPr>
                      <w:snapToGrid w:val="0"/>
                      <w:kern w:val="0"/>
                      <w:szCs w:val="21"/>
                    </w:rPr>
                  </w:pPr>
                  <w:r>
                    <w:rPr>
                      <w:snapToGrid w:val="0"/>
                      <w:kern w:val="0"/>
                      <w:szCs w:val="21"/>
                    </w:rPr>
                    <w:t>环保档案齐全：1.环评批复文件；2.排污许可证及季度、年度执行报告；3.竣工验收文件；4.废气治理设施运行管理规程；5.一年内废气监测报告。</w:t>
                  </w:r>
                </w:p>
              </w:tc>
              <w:tc>
                <w:tcPr>
                  <w:tcW w:w="1497" w:type="pct"/>
                  <w:vAlign w:val="center"/>
                </w:tcPr>
                <w:p>
                  <w:pPr>
                    <w:spacing w:line="360" w:lineRule="exact"/>
                    <w:jc w:val="left"/>
                    <w:rPr>
                      <w:snapToGrid w:val="0"/>
                      <w:kern w:val="0"/>
                      <w:szCs w:val="21"/>
                    </w:rPr>
                  </w:pPr>
                  <w:r>
                    <w:rPr>
                      <w:snapToGrid w:val="0"/>
                      <w:kern w:val="0"/>
                      <w:szCs w:val="21"/>
                    </w:rPr>
                    <w:t>企业</w:t>
                  </w:r>
                  <w:r>
                    <w:rPr>
                      <w:rFonts w:hint="eastAsia"/>
                      <w:snapToGrid w:val="0"/>
                      <w:kern w:val="0"/>
                      <w:szCs w:val="21"/>
                    </w:rPr>
                    <w:t>应</w:t>
                  </w:r>
                  <w:r>
                    <w:rPr>
                      <w:snapToGrid w:val="0"/>
                      <w:kern w:val="0"/>
                      <w:szCs w:val="21"/>
                    </w:rPr>
                    <w:t>按要求</w:t>
                  </w:r>
                  <w:r>
                    <w:rPr>
                      <w:rFonts w:hint="eastAsia"/>
                      <w:snapToGrid w:val="0"/>
                      <w:kern w:val="0"/>
                      <w:szCs w:val="21"/>
                    </w:rPr>
                    <w:t>进行环保档案整理</w:t>
                  </w:r>
                  <w:r>
                    <w:rPr>
                      <w:snapToGrid w:val="0"/>
                      <w:kern w:val="0"/>
                      <w:szCs w:val="21"/>
                    </w:rPr>
                    <w:t>。</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台账记录：1.生产设施运行管理信息（生产时间、运行负荷、产品产量等，必须具备近一年及以上所用油墨的固含量、VOCs含量、含水率（水性油墨）等信息的监测报告）；2.废气污染治理设施运行管理信息（燃烧室温度、冷凝温度、过滤材料更换频次、吸附剂更换频次、催化剂更换频次）；3.监测记录信息（主要污染排放口废气排放记录（手工监测和在线监测）等）；4.主要原辅材料消耗记录；5.燃料（天然气）消耗记录</w:t>
                  </w:r>
                </w:p>
              </w:tc>
              <w:tc>
                <w:tcPr>
                  <w:tcW w:w="1497" w:type="pct"/>
                  <w:vAlign w:val="center"/>
                </w:tcPr>
                <w:p>
                  <w:pPr>
                    <w:spacing w:line="360" w:lineRule="exact"/>
                    <w:jc w:val="left"/>
                    <w:rPr>
                      <w:snapToGrid w:val="0"/>
                      <w:kern w:val="0"/>
                      <w:szCs w:val="21"/>
                    </w:rPr>
                  </w:pPr>
                  <w:r>
                    <w:rPr>
                      <w:snapToGrid w:val="0"/>
                      <w:kern w:val="0"/>
                      <w:szCs w:val="21"/>
                    </w:rPr>
                    <w:t>企业后续生产拟按左列要求</w:t>
                  </w:r>
                  <w:r>
                    <w:rPr>
                      <w:rFonts w:hint="eastAsia"/>
                      <w:snapToGrid w:val="0"/>
                      <w:kern w:val="0"/>
                      <w:szCs w:val="21"/>
                    </w:rPr>
                    <w:t>进行台账记录</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Merge w:val="continue"/>
                  <w:vAlign w:val="center"/>
                </w:tcPr>
                <w:p>
                  <w:pPr>
                    <w:spacing w:line="360" w:lineRule="exact"/>
                    <w:jc w:val="center"/>
                    <w:rPr>
                      <w:snapToGrid w:val="0"/>
                      <w:kern w:val="0"/>
                      <w:szCs w:val="21"/>
                    </w:rPr>
                  </w:pPr>
                </w:p>
              </w:tc>
              <w:tc>
                <w:tcPr>
                  <w:tcW w:w="2746" w:type="pct"/>
                  <w:vAlign w:val="center"/>
                </w:tcPr>
                <w:p>
                  <w:pPr>
                    <w:spacing w:line="360" w:lineRule="exact"/>
                    <w:jc w:val="left"/>
                    <w:rPr>
                      <w:snapToGrid w:val="0"/>
                      <w:kern w:val="0"/>
                      <w:szCs w:val="21"/>
                    </w:rPr>
                  </w:pPr>
                  <w:r>
                    <w:rPr>
                      <w:snapToGrid w:val="0"/>
                      <w:kern w:val="0"/>
                      <w:szCs w:val="21"/>
                    </w:rPr>
                    <w:t>人员配置：设置环保部门，配备专职环保人员，并具备相应的环境管理能力</w:t>
                  </w:r>
                </w:p>
              </w:tc>
              <w:tc>
                <w:tcPr>
                  <w:tcW w:w="1497" w:type="pct"/>
                  <w:vAlign w:val="center"/>
                </w:tcPr>
                <w:p>
                  <w:pPr>
                    <w:spacing w:line="360" w:lineRule="exact"/>
                    <w:jc w:val="left"/>
                    <w:rPr>
                      <w:snapToGrid w:val="0"/>
                      <w:kern w:val="0"/>
                      <w:szCs w:val="21"/>
                    </w:rPr>
                  </w:pPr>
                  <w:r>
                    <w:rPr>
                      <w:snapToGrid w:val="0"/>
                      <w:kern w:val="0"/>
                      <w:szCs w:val="21"/>
                    </w:rPr>
                    <w:t>企业按要求配备专职环保</w:t>
                  </w:r>
                  <w:r>
                    <w:rPr>
                      <w:rFonts w:hint="eastAsia"/>
                      <w:snapToGrid w:val="0"/>
                      <w:kern w:val="0"/>
                      <w:szCs w:val="21"/>
                    </w:rPr>
                    <w:t>部门及</w:t>
                  </w:r>
                  <w:r>
                    <w:rPr>
                      <w:snapToGrid w:val="0"/>
                      <w:kern w:val="0"/>
                      <w:szCs w:val="21"/>
                    </w:rPr>
                    <w:t>人员</w:t>
                  </w:r>
                  <w:r>
                    <w:rPr>
                      <w:rFonts w:hint="eastAsia"/>
                      <w:snapToGrid w:val="0"/>
                      <w:kern w:val="0"/>
                      <w:szCs w:val="21"/>
                    </w:rPr>
                    <w:t>。</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运输</w:t>
                  </w:r>
                </w:p>
                <w:p>
                  <w:pPr>
                    <w:spacing w:line="360" w:lineRule="exact"/>
                    <w:jc w:val="center"/>
                    <w:rPr>
                      <w:snapToGrid w:val="0"/>
                      <w:kern w:val="0"/>
                      <w:szCs w:val="21"/>
                    </w:rPr>
                  </w:pPr>
                  <w:r>
                    <w:rPr>
                      <w:snapToGrid w:val="0"/>
                      <w:kern w:val="0"/>
                      <w:szCs w:val="21"/>
                    </w:rPr>
                    <w:t>方式</w:t>
                  </w:r>
                </w:p>
              </w:tc>
              <w:tc>
                <w:tcPr>
                  <w:tcW w:w="2746" w:type="pct"/>
                  <w:vAlign w:val="center"/>
                </w:tcPr>
                <w:p>
                  <w:pPr>
                    <w:spacing w:line="360" w:lineRule="exact"/>
                    <w:jc w:val="left"/>
                    <w:rPr>
                      <w:snapToGrid w:val="0"/>
                      <w:kern w:val="0"/>
                      <w:szCs w:val="21"/>
                    </w:rPr>
                  </w:pPr>
                  <w:r>
                    <w:rPr>
                      <w:snapToGrid w:val="0"/>
                      <w:kern w:val="0"/>
                      <w:szCs w:val="21"/>
                    </w:rPr>
                    <w:t>1、物料公路运输使用达到国五及以上排放</w:t>
                  </w:r>
                  <w:r>
                    <w:rPr>
                      <w:rFonts w:hint="eastAsia"/>
                      <w:snapToGrid w:val="0"/>
                      <w:kern w:val="0"/>
                      <w:szCs w:val="21"/>
                    </w:rPr>
                    <w:t>标</w:t>
                  </w:r>
                  <w:r>
                    <w:rPr>
                      <w:snapToGrid w:val="0"/>
                      <w:kern w:val="0"/>
                      <w:szCs w:val="21"/>
                    </w:rPr>
                    <w:t>准重型载货车辆（含燃气）或新能源车辆；</w:t>
                  </w:r>
                </w:p>
                <w:p>
                  <w:pPr>
                    <w:spacing w:line="360" w:lineRule="exact"/>
                    <w:jc w:val="left"/>
                    <w:rPr>
                      <w:snapToGrid w:val="0"/>
                      <w:kern w:val="0"/>
                      <w:szCs w:val="21"/>
                    </w:rPr>
                  </w:pPr>
                  <w:r>
                    <w:rPr>
                      <w:snapToGrid w:val="0"/>
                      <w:kern w:val="0"/>
                      <w:szCs w:val="21"/>
                    </w:rPr>
                    <w:t>2.厂内运输车辆达到国五及以上排放标准车辆（含燃气）或使用新能源车辆；</w:t>
                  </w:r>
                </w:p>
                <w:p>
                  <w:pPr>
                    <w:spacing w:line="360" w:lineRule="exact"/>
                    <w:jc w:val="left"/>
                    <w:rPr>
                      <w:snapToGrid w:val="0"/>
                      <w:kern w:val="0"/>
                      <w:szCs w:val="21"/>
                    </w:rPr>
                  </w:pPr>
                  <w:r>
                    <w:rPr>
                      <w:snapToGrid w:val="0"/>
                      <w:kern w:val="0"/>
                      <w:szCs w:val="21"/>
                    </w:rPr>
                    <w:t>3.厂内非道路移动机械使用达到国三及以上排放标准或使用新能源机械。</w:t>
                  </w:r>
                </w:p>
              </w:tc>
              <w:tc>
                <w:tcPr>
                  <w:tcW w:w="1497" w:type="pct"/>
                  <w:vAlign w:val="center"/>
                </w:tcPr>
                <w:p>
                  <w:pPr>
                    <w:spacing w:line="360" w:lineRule="exact"/>
                    <w:jc w:val="left"/>
                    <w:rPr>
                      <w:snapToGrid w:val="0"/>
                      <w:kern w:val="0"/>
                      <w:szCs w:val="21"/>
                    </w:rPr>
                  </w:pPr>
                  <w:r>
                    <w:rPr>
                      <w:rFonts w:hint="eastAsia"/>
                      <w:snapToGrid w:val="0"/>
                      <w:kern w:val="0"/>
                      <w:szCs w:val="21"/>
                    </w:rPr>
                    <w:t>1、</w:t>
                  </w:r>
                  <w:r>
                    <w:rPr>
                      <w:snapToGrid w:val="0"/>
                      <w:kern w:val="0"/>
                      <w:szCs w:val="21"/>
                    </w:rPr>
                    <w:t>项目物料运输使用达到国五及以上排放</w:t>
                  </w:r>
                  <w:r>
                    <w:rPr>
                      <w:rFonts w:hint="eastAsia"/>
                      <w:snapToGrid w:val="0"/>
                      <w:kern w:val="0"/>
                      <w:szCs w:val="21"/>
                    </w:rPr>
                    <w:t>标</w:t>
                  </w:r>
                  <w:r>
                    <w:rPr>
                      <w:snapToGrid w:val="0"/>
                      <w:kern w:val="0"/>
                      <w:szCs w:val="21"/>
                    </w:rPr>
                    <w:t>准重型载货车辆（含燃气）或新能源车辆；</w:t>
                  </w:r>
                </w:p>
                <w:p>
                  <w:pPr>
                    <w:spacing w:line="360" w:lineRule="exact"/>
                    <w:jc w:val="left"/>
                    <w:rPr>
                      <w:snapToGrid w:val="0"/>
                      <w:kern w:val="0"/>
                      <w:szCs w:val="21"/>
                    </w:rPr>
                  </w:pPr>
                  <w:r>
                    <w:rPr>
                      <w:snapToGrid w:val="0"/>
                      <w:kern w:val="0"/>
                      <w:szCs w:val="21"/>
                    </w:rPr>
                    <w:t>2.</w:t>
                  </w:r>
                  <w:r>
                    <w:rPr>
                      <w:rFonts w:hint="eastAsia"/>
                      <w:snapToGrid w:val="0"/>
                      <w:kern w:val="0"/>
                      <w:szCs w:val="21"/>
                    </w:rPr>
                    <w:t>项目</w:t>
                  </w:r>
                  <w:r>
                    <w:rPr>
                      <w:snapToGrid w:val="0"/>
                      <w:kern w:val="0"/>
                      <w:szCs w:val="21"/>
                    </w:rPr>
                    <w:t>厂内运输车辆达到国五及以上排放标准车辆（含燃气）或使用新能源车辆；</w:t>
                  </w:r>
                </w:p>
                <w:p>
                  <w:pPr>
                    <w:spacing w:line="360" w:lineRule="exact"/>
                    <w:jc w:val="left"/>
                    <w:rPr>
                      <w:snapToGrid w:val="0"/>
                      <w:kern w:val="0"/>
                      <w:szCs w:val="21"/>
                    </w:rPr>
                  </w:pPr>
                  <w:r>
                    <w:rPr>
                      <w:snapToGrid w:val="0"/>
                      <w:kern w:val="0"/>
                      <w:szCs w:val="21"/>
                    </w:rPr>
                    <w:t>3.</w:t>
                  </w:r>
                  <w:r>
                    <w:rPr>
                      <w:rFonts w:hint="eastAsia"/>
                      <w:snapToGrid w:val="0"/>
                      <w:kern w:val="0"/>
                      <w:szCs w:val="21"/>
                    </w:rPr>
                    <w:t>项目</w:t>
                  </w:r>
                  <w:r>
                    <w:rPr>
                      <w:snapToGrid w:val="0"/>
                      <w:kern w:val="0"/>
                      <w:szCs w:val="21"/>
                    </w:rPr>
                    <w:t>厂内非道路移动机械使用达到国三及以上排放标准或使用新能源机械。</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pct"/>
                  <w:vAlign w:val="center"/>
                </w:tcPr>
                <w:p>
                  <w:pPr>
                    <w:spacing w:line="360" w:lineRule="exact"/>
                    <w:jc w:val="center"/>
                    <w:rPr>
                      <w:snapToGrid w:val="0"/>
                      <w:kern w:val="0"/>
                      <w:szCs w:val="21"/>
                    </w:rPr>
                  </w:pPr>
                  <w:r>
                    <w:rPr>
                      <w:snapToGrid w:val="0"/>
                      <w:kern w:val="0"/>
                      <w:szCs w:val="21"/>
                    </w:rPr>
                    <w:t>运输监管</w:t>
                  </w:r>
                </w:p>
              </w:tc>
              <w:tc>
                <w:tcPr>
                  <w:tcW w:w="2746" w:type="pct"/>
                  <w:vAlign w:val="center"/>
                </w:tcPr>
                <w:p>
                  <w:pPr>
                    <w:spacing w:line="360" w:lineRule="exact"/>
                    <w:jc w:val="left"/>
                    <w:rPr>
                      <w:snapToGrid w:val="0"/>
                      <w:kern w:val="0"/>
                      <w:szCs w:val="21"/>
                    </w:rPr>
                  </w:pPr>
                  <w:r>
                    <w:rPr>
                      <w:snapToGrid w:val="0"/>
                      <w:kern w:val="0"/>
                      <w:szCs w:val="21"/>
                    </w:rPr>
                    <w:t>参照《重污染天气重点行业移动源应急管理技术指南》建立门禁系统和电子台账。</w:t>
                  </w:r>
                </w:p>
              </w:tc>
              <w:tc>
                <w:tcPr>
                  <w:tcW w:w="1497" w:type="pct"/>
                  <w:vAlign w:val="center"/>
                </w:tcPr>
                <w:p>
                  <w:pPr>
                    <w:spacing w:line="360" w:lineRule="exact"/>
                    <w:jc w:val="left"/>
                    <w:rPr>
                      <w:snapToGrid w:val="0"/>
                      <w:kern w:val="0"/>
                      <w:szCs w:val="21"/>
                    </w:rPr>
                  </w:pPr>
                  <w:r>
                    <w:rPr>
                      <w:snapToGrid w:val="0"/>
                      <w:kern w:val="0"/>
                      <w:szCs w:val="21"/>
                    </w:rPr>
                    <w:t>项目建成后，企业按照要求建立门禁系统和电子台账。</w:t>
                  </w:r>
                </w:p>
              </w:tc>
              <w:tc>
                <w:tcPr>
                  <w:tcW w:w="242" w:type="pct"/>
                  <w:vAlign w:val="center"/>
                </w:tcPr>
                <w:p>
                  <w:pPr>
                    <w:spacing w:line="360" w:lineRule="exact"/>
                    <w:jc w:val="center"/>
                    <w:rPr>
                      <w:snapToGrid w:val="0"/>
                      <w:kern w:val="0"/>
                      <w:szCs w:val="21"/>
                    </w:rPr>
                  </w:pPr>
                  <w:r>
                    <w:rPr>
                      <w:rFonts w:hint="eastAsia"/>
                      <w:snapToGrid w:val="0"/>
                      <w:kern w:val="0"/>
                      <w:szCs w:val="21"/>
                    </w:rPr>
                    <w:t>相符</w:t>
                  </w:r>
                </w:p>
              </w:tc>
            </w:tr>
          </w:tbl>
          <w:p>
            <w:pPr>
              <w:pStyle w:val="27"/>
              <w:numPr>
                <w:ilvl w:val="0"/>
                <w:numId w:val="0"/>
              </w:numPr>
              <w:spacing w:before="120" w:beforeLines="50" w:line="360" w:lineRule="auto"/>
              <w:ind w:firstLine="480" w:firstLineChars="200"/>
              <w:jc w:val="left"/>
              <w:rPr>
                <w:rFonts w:eastAsia="宋体"/>
                <w:bCs/>
              </w:rPr>
            </w:pPr>
            <w:r>
              <w:rPr>
                <w:rFonts w:eastAsia="宋体"/>
                <w:szCs w:val="24"/>
              </w:rPr>
              <w:t>根据以上分析内容，本项目原辅材料、污染防治设施等均符合“塑料制品”及“印刷行业”绩效分级差异化指标A级企业指标要求。</w:t>
            </w:r>
          </w:p>
          <w:p>
            <w:pPr>
              <w:pStyle w:val="27"/>
              <w:numPr>
                <w:ilvl w:val="0"/>
                <w:numId w:val="0"/>
              </w:numPr>
              <w:spacing w:before="120" w:beforeLines="50" w:line="360" w:lineRule="auto"/>
              <w:ind w:firstLine="480" w:firstLineChars="200"/>
              <w:jc w:val="left"/>
              <w:rPr>
                <w:rFonts w:eastAsia="宋体"/>
                <w:szCs w:val="24"/>
              </w:rPr>
            </w:pPr>
          </w:p>
        </w:tc>
      </w:tr>
    </w:tbl>
    <w:p>
      <w:pPr>
        <w:spacing w:line="360" w:lineRule="auto"/>
        <w:outlineLvl w:val="0"/>
        <w:rPr>
          <w:rFonts w:eastAsia="黑体"/>
          <w:sz w:val="30"/>
        </w:rPr>
        <w:sectPr>
          <w:footerReference r:id="rId3" w:type="default"/>
          <w:pgSz w:w="11906" w:h="16838"/>
          <w:pgMar w:top="1701" w:right="1531" w:bottom="1701" w:left="1531" w:header="851" w:footer="1191" w:gutter="0"/>
          <w:pgNumType w:start="1"/>
          <w:cols w:space="720" w:num="1"/>
          <w:docGrid w:linePitch="312" w:charSpace="0"/>
        </w:sectPr>
      </w:pPr>
    </w:p>
    <w:p>
      <w:pPr>
        <w:pStyle w:val="1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57" w:hRule="atLeast"/>
          <w:jc w:val="center"/>
        </w:trPr>
        <w:tc>
          <w:tcPr>
            <w:tcW w:w="774" w:type="dxa"/>
            <w:vAlign w:val="center"/>
          </w:tcPr>
          <w:p>
            <w:pPr>
              <w:pStyle w:val="15"/>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286" w:type="dxa"/>
          </w:tcPr>
          <w:p>
            <w:pPr>
              <w:adjustRightInd w:val="0"/>
              <w:snapToGrid w:val="0"/>
              <w:spacing w:before="120" w:beforeLines="50" w:line="360" w:lineRule="auto"/>
              <w:rPr>
                <w:rFonts w:ascii="宋体" w:hAnsi="宋体" w:cs="宋体"/>
                <w:b/>
                <w:bCs/>
                <w:sz w:val="24"/>
              </w:rPr>
            </w:pPr>
            <w:r>
              <w:rPr>
                <w:rFonts w:hint="eastAsia" w:ascii="宋体" w:hAnsi="宋体" w:cs="宋体"/>
                <w:b/>
                <w:bCs/>
                <w:sz w:val="24"/>
              </w:rPr>
              <w:t>1.项目概况</w:t>
            </w:r>
          </w:p>
          <w:p>
            <w:pPr>
              <w:adjustRightInd w:val="0"/>
              <w:snapToGrid w:val="0"/>
              <w:spacing w:line="360" w:lineRule="auto"/>
              <w:ind w:left="-46" w:leftChars="-22" w:firstLine="480" w:firstLineChars="200"/>
              <w:rPr>
                <w:rFonts w:ascii="宋体" w:hAnsi="宋体" w:cs="宋体"/>
                <w:sz w:val="24"/>
              </w:rPr>
            </w:pPr>
            <w:r>
              <w:rPr>
                <w:rFonts w:hint="eastAsia" w:ascii="宋体" w:hAnsi="宋体" w:cs="宋体"/>
                <w:sz w:val="24"/>
              </w:rPr>
              <w:t>偃师丰河包装材料有限公司原</w:t>
            </w:r>
            <w:r>
              <w:rPr>
                <w:bCs/>
                <w:sz w:val="24"/>
              </w:rPr>
              <w:t>租用</w:t>
            </w:r>
            <w:r>
              <w:rPr>
                <w:sz w:val="24"/>
              </w:rPr>
              <w:t>偃师市岳滩镇东盛摩托车配件厂</w:t>
            </w:r>
            <w:r>
              <w:rPr>
                <w:bCs/>
                <w:sz w:val="24"/>
              </w:rPr>
              <w:t>的闲置厂房进行</w:t>
            </w:r>
            <w:r>
              <w:rPr>
                <w:rFonts w:hint="eastAsia"/>
                <w:bCs/>
                <w:sz w:val="24"/>
              </w:rPr>
              <w:t>集装袋的储存及销售</w:t>
            </w:r>
            <w:r>
              <w:rPr>
                <w:rFonts w:hint="eastAsia"/>
                <w:sz w:val="24"/>
              </w:rPr>
              <w:t>，租用生产车间约3000平方米，办公楼内办公室约60平方米。随着行业的发展，集装袋产品的应用越来越广，适用范围逐渐扩大，市场需求增大，企业现</w:t>
            </w:r>
            <w:r>
              <w:rPr>
                <w:kern w:val="0"/>
                <w:sz w:val="24"/>
              </w:rPr>
              <w:t>投资</w:t>
            </w:r>
            <w:r>
              <w:rPr>
                <w:rFonts w:hint="eastAsia"/>
                <w:kern w:val="0"/>
                <w:sz w:val="24"/>
              </w:rPr>
              <w:t>100</w:t>
            </w:r>
            <w:r>
              <w:rPr>
                <w:kern w:val="0"/>
                <w:sz w:val="24"/>
              </w:rPr>
              <w:t>万</w:t>
            </w:r>
            <w:r>
              <w:rPr>
                <w:rFonts w:hint="eastAsia" w:ascii="宋体" w:hAnsi="宋体" w:cs="宋体"/>
                <w:sz w:val="24"/>
              </w:rPr>
              <w:t>元在现有厂房进行改建，建设年产100万个集装袋改建项目。</w:t>
            </w:r>
          </w:p>
          <w:p>
            <w:pPr>
              <w:adjustRightInd w:val="0"/>
              <w:snapToGrid w:val="0"/>
              <w:spacing w:line="360" w:lineRule="auto"/>
              <w:ind w:left="-46" w:leftChars="-22" w:firstLine="480" w:firstLineChars="200"/>
              <w:rPr>
                <w:sz w:val="24"/>
              </w:rPr>
            </w:pPr>
            <w:r>
              <w:rPr>
                <w:rFonts w:hint="eastAsia" w:ascii="宋体" w:hAnsi="宋体" w:cs="宋体"/>
                <w:sz w:val="24"/>
              </w:rPr>
              <w:t>项目所在厂区除本项目企业外还入驻了</w:t>
            </w:r>
            <w:r>
              <w:rPr>
                <w:sz w:val="24"/>
              </w:rPr>
              <w:t>偃师市耀洋摩托车配件厂</w:t>
            </w:r>
            <w:r>
              <w:rPr>
                <w:rFonts w:hint="eastAsia"/>
                <w:sz w:val="24"/>
              </w:rPr>
              <w:t>，位于</w:t>
            </w:r>
            <w:r>
              <w:rPr>
                <w:rFonts w:hint="eastAsia" w:ascii="宋体" w:hAnsi="宋体" w:cs="宋体"/>
                <w:sz w:val="24"/>
              </w:rPr>
              <w:t>本项生产车间西侧，</w:t>
            </w:r>
            <w:r>
              <w:rPr>
                <w:sz w:val="24"/>
              </w:rPr>
              <w:t>项目所在厂区现状北侧、西侧、东侧均为机加工企业，南侧为023县道。距项目厂址较近的敏感点为东南侧约130m的赵庄街村。</w:t>
            </w:r>
          </w:p>
          <w:p>
            <w:pPr>
              <w:adjustRightInd w:val="0"/>
              <w:snapToGrid w:val="0"/>
              <w:spacing w:line="360" w:lineRule="auto"/>
              <w:ind w:left="-46" w:leftChars="-22" w:firstLine="480" w:firstLineChars="200"/>
              <w:rPr>
                <w:rFonts w:ascii="宋体" w:hAnsi="宋体" w:cs="宋体"/>
                <w:sz w:val="24"/>
              </w:rPr>
            </w:pPr>
            <w:r>
              <w:rPr>
                <w:rFonts w:hint="eastAsia" w:ascii="宋体" w:hAnsi="宋体" w:cs="宋体"/>
                <w:sz w:val="24"/>
              </w:rPr>
              <w:t>对照《建设项目环境影响评价分类管理名录》（2021年版），“第二十六项-橡胶和塑料制品业-53塑料制品业-</w:t>
            </w:r>
            <w:r>
              <w:rPr>
                <w:rFonts w:hint="eastAsia"/>
                <w:sz w:val="24"/>
              </w:rPr>
              <w:t>以再生塑料为原料生产的；有电镀工艺的；年用溶剂型胶粘剂10吨及以上的；年用溶剂型涂料（含稀释剂）10吨及以上的编制报告书；</w:t>
            </w:r>
            <w:r>
              <w:rPr>
                <w:rFonts w:hint="eastAsia" w:ascii="宋体" w:hAnsi="宋体" w:cs="宋体"/>
                <w:sz w:val="24"/>
              </w:rPr>
              <w:t>其他（年用非溶剂型低VOCs含量涂料10吨以下的除外）的编制报告表”以及“第二十项-印刷和记录媒介复制业-39印刷-年用溶剂油墨10吨及以上的编制报告书；其他（激光印刷除外；年用低VOCs含量油墨10吨以下的印刷除外）的编制报告表”。详见下表：</w:t>
            </w:r>
          </w:p>
          <w:p>
            <w:pPr>
              <w:pStyle w:val="2"/>
              <w:ind w:firstLine="960" w:firstLineChars="400"/>
              <w:rPr>
                <w:rFonts w:eastAsia="黑体"/>
                <w:sz w:val="24"/>
                <w:szCs w:val="24"/>
                <w:u w:val="single"/>
              </w:rPr>
            </w:pPr>
            <w:r>
              <w:rPr>
                <w:rFonts w:eastAsia="黑体"/>
                <w:sz w:val="24"/>
                <w:szCs w:val="24"/>
                <w:u w:val="single"/>
              </w:rPr>
              <w:t xml:space="preserve">表2-1    </w:t>
            </w:r>
            <w:r>
              <w:rPr>
                <w:rFonts w:hint="eastAsia" w:eastAsia="黑体"/>
                <w:sz w:val="24"/>
                <w:szCs w:val="24"/>
                <w:u w:val="single"/>
              </w:rPr>
              <w:t>《建设项目环境影响评价分类管理名录》部分内容</w:t>
            </w:r>
          </w:p>
          <w:tbl>
            <w:tblPr>
              <w:tblStyle w:val="19"/>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447"/>
              <w:gridCol w:w="2153"/>
              <w:gridCol w:w="1813"/>
              <w:gridCol w:w="86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3" w:type="dxa"/>
                  <w:gridSpan w:val="2"/>
                  <w:tcBorders>
                    <w:tl2br w:val="single" w:color="auto" w:sz="4" w:space="0"/>
                  </w:tcBorders>
                </w:tcPr>
                <w:p>
                  <w:pPr>
                    <w:pStyle w:val="2"/>
                    <w:ind w:firstLine="0" w:firstLineChars="0"/>
                    <w:jc w:val="right"/>
                    <w:rPr>
                      <w:u w:val="single"/>
                    </w:rPr>
                  </w:pPr>
                  <w:r>
                    <w:rPr>
                      <w:rFonts w:hint="eastAsia"/>
                      <w:u w:val="single"/>
                    </w:rPr>
                    <w:t>环评类别</w:t>
                  </w:r>
                </w:p>
                <w:p>
                  <w:pPr>
                    <w:rPr>
                      <w:u w:val="single"/>
                    </w:rPr>
                  </w:pPr>
                  <w:r>
                    <w:rPr>
                      <w:rFonts w:hint="eastAsia"/>
                      <w:u w:val="single"/>
                    </w:rPr>
                    <w:t>项目类别</w:t>
                  </w:r>
                </w:p>
              </w:tc>
              <w:tc>
                <w:tcPr>
                  <w:tcW w:w="2153" w:type="dxa"/>
                  <w:vAlign w:val="center"/>
                </w:tcPr>
                <w:p>
                  <w:pPr>
                    <w:pStyle w:val="2"/>
                    <w:ind w:firstLine="0" w:firstLineChars="0"/>
                    <w:jc w:val="center"/>
                    <w:rPr>
                      <w:u w:val="single"/>
                    </w:rPr>
                  </w:pPr>
                  <w:r>
                    <w:rPr>
                      <w:rFonts w:hint="eastAsia"/>
                      <w:u w:val="single"/>
                    </w:rPr>
                    <w:t>报告书</w:t>
                  </w:r>
                </w:p>
              </w:tc>
              <w:tc>
                <w:tcPr>
                  <w:tcW w:w="1813" w:type="dxa"/>
                  <w:vAlign w:val="center"/>
                </w:tcPr>
                <w:p>
                  <w:pPr>
                    <w:pStyle w:val="2"/>
                    <w:ind w:firstLine="0" w:firstLineChars="0"/>
                    <w:jc w:val="center"/>
                    <w:rPr>
                      <w:u w:val="single"/>
                    </w:rPr>
                  </w:pPr>
                  <w:r>
                    <w:rPr>
                      <w:rFonts w:hint="eastAsia"/>
                      <w:u w:val="single"/>
                    </w:rPr>
                    <w:t>报告表</w:t>
                  </w:r>
                </w:p>
              </w:tc>
              <w:tc>
                <w:tcPr>
                  <w:tcW w:w="866" w:type="dxa"/>
                  <w:vAlign w:val="center"/>
                </w:tcPr>
                <w:p>
                  <w:pPr>
                    <w:pStyle w:val="2"/>
                    <w:ind w:firstLine="0" w:firstLineChars="0"/>
                    <w:jc w:val="center"/>
                    <w:rPr>
                      <w:u w:val="single"/>
                    </w:rPr>
                  </w:pPr>
                  <w:r>
                    <w:rPr>
                      <w:rFonts w:hint="eastAsia"/>
                      <w:u w:val="single"/>
                    </w:rPr>
                    <w:t>登记表</w:t>
                  </w:r>
                </w:p>
              </w:tc>
              <w:tc>
                <w:tcPr>
                  <w:tcW w:w="1345" w:type="dxa"/>
                  <w:vAlign w:val="center"/>
                </w:tcPr>
                <w:p>
                  <w:pPr>
                    <w:pStyle w:val="2"/>
                    <w:ind w:firstLine="0" w:firstLineChars="0"/>
                    <w:jc w:val="center"/>
                    <w:rPr>
                      <w:rFonts w:hint="eastAsia"/>
                      <w:u w:val="single"/>
                    </w:rPr>
                  </w:pPr>
                  <w:r>
                    <w:rPr>
                      <w:rFonts w:hint="eastAsia"/>
                      <w:color w:val="auto"/>
                      <w:u w:val="single"/>
                    </w:rPr>
                    <w:t>本项目对照</w:t>
                  </w:r>
                  <w:r>
                    <w:rPr>
                      <w:color w:val="auto"/>
                      <w:u w:val="singl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0" w:type="dxa"/>
                  <w:gridSpan w:val="6"/>
                </w:tcPr>
                <w:p>
                  <w:pPr>
                    <w:widowControl/>
                    <w:jc w:val="left"/>
                    <w:rPr>
                      <w:szCs w:val="21"/>
                      <w:u w:val="single"/>
                    </w:rPr>
                  </w:pPr>
                  <w:r>
                    <w:rPr>
                      <w:rFonts w:hint="eastAsia"/>
                      <w:szCs w:val="21"/>
                      <w:u w:val="single"/>
                    </w:rPr>
                    <w:t>二十、印刷和记录媒介复制业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2"/>
                    <w:ind w:firstLine="0" w:firstLineChars="0"/>
                    <w:jc w:val="center"/>
                    <w:rPr>
                      <w:u w:val="single"/>
                    </w:rPr>
                  </w:pPr>
                  <w:r>
                    <w:rPr>
                      <w:rFonts w:hint="eastAsia"/>
                      <w:u w:val="single"/>
                    </w:rPr>
                    <w:t>39</w:t>
                  </w:r>
                </w:p>
              </w:tc>
              <w:tc>
                <w:tcPr>
                  <w:tcW w:w="1447" w:type="dxa"/>
                  <w:vAlign w:val="center"/>
                </w:tcPr>
                <w:p>
                  <w:pPr>
                    <w:pStyle w:val="2"/>
                    <w:ind w:firstLine="0" w:firstLineChars="0"/>
                    <w:jc w:val="center"/>
                    <w:rPr>
                      <w:u w:val="single"/>
                    </w:rPr>
                  </w:pPr>
                  <w:r>
                    <w:rPr>
                      <w:rFonts w:hint="eastAsia"/>
                      <w:u w:val="single"/>
                    </w:rPr>
                    <w:t>印刷231*</w:t>
                  </w:r>
                </w:p>
              </w:tc>
              <w:tc>
                <w:tcPr>
                  <w:tcW w:w="2153" w:type="dxa"/>
                  <w:vAlign w:val="center"/>
                </w:tcPr>
                <w:p>
                  <w:pPr>
                    <w:pStyle w:val="2"/>
                    <w:ind w:firstLine="0" w:firstLineChars="0"/>
                    <w:jc w:val="center"/>
                    <w:rPr>
                      <w:u w:val="single"/>
                    </w:rPr>
                  </w:pPr>
                  <w:r>
                    <w:rPr>
                      <w:rFonts w:hint="eastAsia"/>
                      <w:u w:val="single"/>
                    </w:rPr>
                    <w:t>年用溶剂油墨10吨及以上的</w:t>
                  </w:r>
                </w:p>
              </w:tc>
              <w:tc>
                <w:tcPr>
                  <w:tcW w:w="1813" w:type="dxa"/>
                  <w:vAlign w:val="center"/>
                </w:tcPr>
                <w:p>
                  <w:pPr>
                    <w:pStyle w:val="2"/>
                    <w:ind w:firstLine="0" w:firstLineChars="0"/>
                    <w:jc w:val="center"/>
                    <w:rPr>
                      <w:u w:val="single"/>
                    </w:rPr>
                  </w:pPr>
                  <w:r>
                    <w:rPr>
                      <w:rFonts w:hint="eastAsia"/>
                      <w:u w:val="single"/>
                    </w:rPr>
                    <w:t>其他（激光印刷除外；年用低VOCs含量油墨10吨以下的印刷除外）</w:t>
                  </w:r>
                </w:p>
              </w:tc>
              <w:tc>
                <w:tcPr>
                  <w:tcW w:w="866" w:type="dxa"/>
                  <w:vAlign w:val="center"/>
                </w:tcPr>
                <w:p>
                  <w:pPr>
                    <w:pStyle w:val="2"/>
                    <w:ind w:firstLine="0" w:firstLineChars="0"/>
                    <w:jc w:val="center"/>
                    <w:rPr>
                      <w:u w:val="single"/>
                    </w:rPr>
                  </w:pPr>
                  <w:r>
                    <w:rPr>
                      <w:rFonts w:hint="eastAsia"/>
                      <w:u w:val="single"/>
                    </w:rPr>
                    <w:t>/</w:t>
                  </w:r>
                </w:p>
              </w:tc>
              <w:tc>
                <w:tcPr>
                  <w:tcW w:w="1345" w:type="dxa"/>
                  <w:vAlign w:val="center"/>
                </w:tcPr>
                <w:p>
                  <w:pPr>
                    <w:pStyle w:val="2"/>
                    <w:ind w:firstLine="0" w:firstLineChars="0"/>
                    <w:jc w:val="center"/>
                    <w:rPr>
                      <w:u w:val="single"/>
                    </w:rPr>
                  </w:pPr>
                  <w:r>
                    <w:rPr>
                      <w:rFonts w:hint="eastAsia"/>
                      <w:u w:val="single"/>
                    </w:rPr>
                    <w:t>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gridSpan w:val="6"/>
                </w:tcPr>
                <w:p>
                  <w:pPr>
                    <w:widowControl/>
                    <w:jc w:val="left"/>
                    <w:rPr>
                      <w:szCs w:val="21"/>
                      <w:u w:val="single"/>
                    </w:rPr>
                  </w:pPr>
                  <w:r>
                    <w:rPr>
                      <w:rFonts w:hint="eastAsia"/>
                      <w:szCs w:val="21"/>
                      <w:u w:val="single"/>
                    </w:rPr>
                    <w:t>二十六、橡胶和塑料制品业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2"/>
                    <w:ind w:firstLine="0" w:firstLineChars="0"/>
                    <w:jc w:val="center"/>
                    <w:rPr>
                      <w:u w:val="single"/>
                    </w:rPr>
                  </w:pPr>
                  <w:r>
                    <w:rPr>
                      <w:rFonts w:hint="eastAsia"/>
                      <w:u w:val="single"/>
                    </w:rPr>
                    <w:t>35</w:t>
                  </w:r>
                </w:p>
              </w:tc>
              <w:tc>
                <w:tcPr>
                  <w:tcW w:w="1447" w:type="dxa"/>
                  <w:vAlign w:val="center"/>
                </w:tcPr>
                <w:p>
                  <w:pPr>
                    <w:pStyle w:val="2"/>
                    <w:ind w:firstLine="0" w:firstLineChars="0"/>
                    <w:jc w:val="center"/>
                    <w:rPr>
                      <w:u w:val="single"/>
                    </w:rPr>
                  </w:pPr>
                  <w:r>
                    <w:rPr>
                      <w:rFonts w:hint="eastAsia"/>
                      <w:u w:val="single"/>
                    </w:rPr>
                    <w:t>塑料制品业292</w:t>
                  </w:r>
                </w:p>
              </w:tc>
              <w:tc>
                <w:tcPr>
                  <w:tcW w:w="2153" w:type="dxa"/>
                  <w:vAlign w:val="center"/>
                </w:tcPr>
                <w:p>
                  <w:pPr>
                    <w:pStyle w:val="2"/>
                    <w:ind w:firstLine="0" w:firstLineChars="0"/>
                    <w:jc w:val="center"/>
                    <w:rPr>
                      <w:u w:val="single"/>
                    </w:rPr>
                  </w:pPr>
                  <w:r>
                    <w:rPr>
                      <w:rFonts w:hint="eastAsia"/>
                      <w:u w:val="single"/>
                    </w:rPr>
                    <w:t>以再生塑料为原料生产的；有电镀工艺的；年用溶剂型胶粘剂10吨及以上的；年用溶剂型涂料（含稀释剂）10吨及以上的</w:t>
                  </w:r>
                </w:p>
              </w:tc>
              <w:tc>
                <w:tcPr>
                  <w:tcW w:w="1813" w:type="dxa"/>
                  <w:vAlign w:val="center"/>
                </w:tcPr>
                <w:p>
                  <w:pPr>
                    <w:pStyle w:val="2"/>
                    <w:ind w:firstLine="0" w:firstLineChars="0"/>
                    <w:jc w:val="center"/>
                    <w:rPr>
                      <w:u w:val="single"/>
                    </w:rPr>
                  </w:pPr>
                  <w:r>
                    <w:rPr>
                      <w:rFonts w:hint="eastAsia"/>
                      <w:u w:val="single"/>
                    </w:rPr>
                    <w:t>其他（年用非溶剂型低VOCs含量涂料10吨以下的除外）</w:t>
                  </w:r>
                </w:p>
              </w:tc>
              <w:tc>
                <w:tcPr>
                  <w:tcW w:w="866" w:type="dxa"/>
                  <w:vAlign w:val="center"/>
                </w:tcPr>
                <w:p>
                  <w:pPr>
                    <w:pStyle w:val="2"/>
                    <w:ind w:firstLine="0" w:firstLineChars="0"/>
                    <w:jc w:val="center"/>
                    <w:rPr>
                      <w:u w:val="single"/>
                    </w:rPr>
                  </w:pPr>
                  <w:r>
                    <w:rPr>
                      <w:rFonts w:hint="eastAsia"/>
                      <w:u w:val="single"/>
                    </w:rPr>
                    <w:t>/</w:t>
                  </w:r>
                </w:p>
              </w:tc>
              <w:tc>
                <w:tcPr>
                  <w:tcW w:w="1345" w:type="dxa"/>
                  <w:vAlign w:val="center"/>
                </w:tcPr>
                <w:p>
                  <w:pPr>
                    <w:pStyle w:val="2"/>
                    <w:ind w:firstLine="0" w:firstLineChars="0"/>
                    <w:jc w:val="center"/>
                    <w:rPr>
                      <w:u w:val="single"/>
                    </w:rPr>
                  </w:pPr>
                  <w:r>
                    <w:rPr>
                      <w:rFonts w:hint="eastAsia"/>
                      <w:u w:val="single"/>
                    </w:rPr>
                    <w:t>报告表</w:t>
                  </w:r>
                </w:p>
              </w:tc>
            </w:tr>
          </w:tbl>
          <w:p>
            <w:pPr>
              <w:pStyle w:val="2"/>
            </w:pPr>
          </w:p>
          <w:p>
            <w:pPr>
              <w:adjustRightInd w:val="0"/>
              <w:snapToGrid w:val="0"/>
              <w:spacing w:line="360" w:lineRule="auto"/>
              <w:ind w:left="-46" w:leftChars="-22" w:firstLine="480" w:firstLineChars="200"/>
              <w:rPr>
                <w:rFonts w:ascii="宋体" w:hAnsi="宋体" w:cs="宋体"/>
                <w:sz w:val="24"/>
              </w:rPr>
            </w:pPr>
            <w:r>
              <w:rPr>
                <w:rFonts w:hint="eastAsia" w:ascii="宋体" w:hAnsi="宋体" w:cs="宋体"/>
                <w:sz w:val="24"/>
              </w:rPr>
              <w:t>本项目工</w:t>
            </w:r>
            <w:r>
              <w:rPr>
                <w:sz w:val="24"/>
              </w:rPr>
              <w:t>艺为：外购原料—剪裁—印刷—缝制—压包—成品外售，印刷所用水性油墨年用量5t/a，本项目主要生产编织袋，属于报告表类别，属于“第二十六项-橡胶和塑料制品业-53塑料制品业-其他（年用非溶剂型低VOCs含量涂料10吨以下的除外）”，全</w:t>
            </w:r>
            <w:r>
              <w:rPr>
                <w:rFonts w:hint="eastAsia" w:ascii="宋体" w:hAnsi="宋体" w:cs="宋体"/>
                <w:sz w:val="24"/>
              </w:rPr>
              <w:t>部编制报告表。受建设单位委托，河南泰悦环保科技有限公司承担本项目的环境影响评价工作。</w:t>
            </w:r>
          </w:p>
          <w:p>
            <w:pPr>
              <w:adjustRightInd w:val="0"/>
              <w:snapToGrid w:val="0"/>
              <w:spacing w:before="120" w:beforeLines="50" w:line="360" w:lineRule="auto"/>
              <w:rPr>
                <w:rFonts w:ascii="宋体" w:hAnsi="宋体" w:cs="宋体"/>
                <w:b/>
                <w:bCs/>
                <w:sz w:val="24"/>
              </w:rPr>
            </w:pPr>
            <w:r>
              <w:rPr>
                <w:rFonts w:hint="eastAsia" w:ascii="宋体" w:hAnsi="宋体" w:cs="宋体"/>
                <w:b/>
                <w:bCs/>
                <w:sz w:val="24"/>
              </w:rPr>
              <w:t>2.建设内容</w:t>
            </w:r>
          </w:p>
          <w:p>
            <w:pPr>
              <w:adjustRightInd w:val="0"/>
              <w:snapToGrid w:val="0"/>
              <w:spacing w:line="360" w:lineRule="auto"/>
              <w:ind w:firstLine="480" w:firstLineChars="200"/>
              <w:rPr>
                <w:sz w:val="24"/>
              </w:rPr>
            </w:pPr>
            <w:r>
              <w:rPr>
                <w:rFonts w:hint="eastAsia"/>
                <w:bCs/>
                <w:sz w:val="24"/>
              </w:rPr>
              <w:t>本改建工程在现有生产车间内进行建设。项目主要生产设备为自动裁布机3台、裁带机2台、印刷机2台、卷布机1台、下料台1台、电裁剪5台、缝纫机50台、清扫机1台、压包机2台等。主要工程内容见下表</w:t>
            </w:r>
            <w:r>
              <w:rPr>
                <w:sz w:val="24"/>
              </w:rPr>
              <w:t>。</w:t>
            </w:r>
          </w:p>
          <w:p>
            <w:pPr>
              <w:pStyle w:val="2"/>
            </w:pPr>
          </w:p>
          <w:p>
            <w:pPr>
              <w:pStyle w:val="2"/>
              <w:ind w:firstLine="480"/>
              <w:jc w:val="center"/>
              <w:rPr>
                <w:rFonts w:eastAsia="黑体"/>
                <w:sz w:val="24"/>
                <w:szCs w:val="24"/>
              </w:rPr>
            </w:pPr>
            <w:r>
              <w:rPr>
                <w:rFonts w:eastAsia="黑体"/>
                <w:sz w:val="24"/>
                <w:szCs w:val="24"/>
              </w:rPr>
              <w:t>表2-</w:t>
            </w:r>
            <w:r>
              <w:rPr>
                <w:rFonts w:hint="eastAsia" w:eastAsia="黑体"/>
                <w:sz w:val="24"/>
                <w:szCs w:val="24"/>
              </w:rPr>
              <w:t>2</w:t>
            </w:r>
            <w:r>
              <w:rPr>
                <w:rFonts w:eastAsia="黑体"/>
                <w:sz w:val="24"/>
                <w:szCs w:val="24"/>
              </w:rPr>
              <w:t xml:space="preserve">    主要建设内容一览表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423"/>
              <w:gridCol w:w="2079"/>
              <w:gridCol w:w="208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750" w:type="pct"/>
                  <w:vMerge w:val="restart"/>
                  <w:vAlign w:val="center"/>
                </w:tcPr>
                <w:p>
                  <w:pPr>
                    <w:tabs>
                      <w:tab w:val="left" w:leader="middleDot" w:pos="8399"/>
                    </w:tabs>
                    <w:adjustRightInd w:val="0"/>
                    <w:snapToGrid w:val="0"/>
                    <w:spacing w:line="360" w:lineRule="exact"/>
                    <w:jc w:val="center"/>
                    <w:rPr>
                      <w:szCs w:val="21"/>
                    </w:rPr>
                  </w:pPr>
                  <w:r>
                    <w:rPr>
                      <w:szCs w:val="21"/>
                    </w:rPr>
                    <w:t>项目组成</w:t>
                  </w:r>
                </w:p>
              </w:tc>
              <w:tc>
                <w:tcPr>
                  <w:tcW w:w="883" w:type="pct"/>
                  <w:vMerge w:val="restart"/>
                  <w:vAlign w:val="center"/>
                </w:tcPr>
                <w:p>
                  <w:pPr>
                    <w:tabs>
                      <w:tab w:val="left" w:leader="middleDot" w:pos="8399"/>
                    </w:tabs>
                    <w:adjustRightInd w:val="0"/>
                    <w:snapToGrid w:val="0"/>
                    <w:spacing w:line="360" w:lineRule="exact"/>
                    <w:ind w:firstLine="8" w:firstLineChars="4"/>
                    <w:jc w:val="center"/>
                    <w:rPr>
                      <w:szCs w:val="21"/>
                    </w:rPr>
                  </w:pPr>
                  <w:r>
                    <w:rPr>
                      <w:szCs w:val="21"/>
                    </w:rPr>
                    <w:t>项目名称</w:t>
                  </w:r>
                </w:p>
              </w:tc>
              <w:tc>
                <w:tcPr>
                  <w:tcW w:w="2580" w:type="pct"/>
                  <w:gridSpan w:val="2"/>
                  <w:vAlign w:val="center"/>
                </w:tcPr>
                <w:p>
                  <w:pPr>
                    <w:tabs>
                      <w:tab w:val="left" w:leader="middleDot" w:pos="8399"/>
                    </w:tabs>
                    <w:adjustRightInd w:val="0"/>
                    <w:snapToGrid w:val="0"/>
                    <w:spacing w:line="360" w:lineRule="exact"/>
                    <w:ind w:firstLine="8" w:firstLineChars="4"/>
                    <w:jc w:val="center"/>
                    <w:rPr>
                      <w:szCs w:val="21"/>
                    </w:rPr>
                  </w:pPr>
                  <w:r>
                    <w:rPr>
                      <w:szCs w:val="21"/>
                    </w:rPr>
                    <w:t>建设内容</w:t>
                  </w:r>
                </w:p>
              </w:tc>
              <w:tc>
                <w:tcPr>
                  <w:tcW w:w="785" w:type="pct"/>
                  <w:vMerge w:val="restart"/>
                  <w:vAlign w:val="center"/>
                </w:tcPr>
                <w:p>
                  <w:pPr>
                    <w:tabs>
                      <w:tab w:val="left" w:leader="middleDot" w:pos="8399"/>
                    </w:tabs>
                    <w:adjustRightInd w:val="0"/>
                    <w:snapToGrid w:val="0"/>
                    <w:spacing w:line="360" w:lineRule="exact"/>
                    <w:ind w:firstLine="8" w:firstLineChars="4"/>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50" w:type="pct"/>
                  <w:vMerge w:val="continue"/>
                  <w:vAlign w:val="center"/>
                </w:tcPr>
                <w:p>
                  <w:pPr>
                    <w:tabs>
                      <w:tab w:val="left" w:leader="middleDot" w:pos="8399"/>
                    </w:tabs>
                    <w:adjustRightInd w:val="0"/>
                    <w:snapToGrid w:val="0"/>
                    <w:spacing w:line="360" w:lineRule="exact"/>
                    <w:ind w:firstLine="8" w:firstLineChars="4"/>
                    <w:jc w:val="center"/>
                  </w:pPr>
                </w:p>
              </w:tc>
              <w:tc>
                <w:tcPr>
                  <w:tcW w:w="883" w:type="pct"/>
                  <w:vMerge w:val="continue"/>
                  <w:vAlign w:val="center"/>
                </w:tcPr>
                <w:p>
                  <w:pPr>
                    <w:tabs>
                      <w:tab w:val="left" w:leader="middleDot" w:pos="8399"/>
                    </w:tabs>
                    <w:adjustRightInd w:val="0"/>
                    <w:snapToGrid w:val="0"/>
                    <w:spacing w:line="360" w:lineRule="exact"/>
                    <w:ind w:firstLine="8" w:firstLineChars="4"/>
                    <w:jc w:val="center"/>
                  </w:pPr>
                </w:p>
              </w:tc>
              <w:tc>
                <w:tcPr>
                  <w:tcW w:w="1289" w:type="pct"/>
                  <w:vAlign w:val="center"/>
                </w:tcPr>
                <w:p>
                  <w:pPr>
                    <w:tabs>
                      <w:tab w:val="left" w:leader="middleDot" w:pos="8399"/>
                    </w:tabs>
                    <w:adjustRightInd w:val="0"/>
                    <w:snapToGrid w:val="0"/>
                    <w:spacing w:line="360" w:lineRule="exact"/>
                    <w:ind w:firstLine="8" w:firstLineChars="4"/>
                    <w:jc w:val="center"/>
                    <w:rPr>
                      <w:szCs w:val="21"/>
                    </w:rPr>
                  </w:pPr>
                  <w:r>
                    <w:rPr>
                      <w:rFonts w:hint="eastAsia"/>
                      <w:szCs w:val="21"/>
                    </w:rPr>
                    <w:t>改建前</w:t>
                  </w:r>
                </w:p>
              </w:tc>
              <w:tc>
                <w:tcPr>
                  <w:tcW w:w="1291" w:type="pct"/>
                  <w:vAlign w:val="center"/>
                </w:tcPr>
                <w:p>
                  <w:pPr>
                    <w:tabs>
                      <w:tab w:val="left" w:leader="middleDot" w:pos="8399"/>
                    </w:tabs>
                    <w:adjustRightInd w:val="0"/>
                    <w:snapToGrid w:val="0"/>
                    <w:spacing w:line="360" w:lineRule="exact"/>
                    <w:ind w:firstLine="8" w:firstLineChars="4"/>
                    <w:jc w:val="center"/>
                    <w:rPr>
                      <w:szCs w:val="21"/>
                    </w:rPr>
                  </w:pPr>
                  <w:r>
                    <w:rPr>
                      <w:rFonts w:hint="eastAsia"/>
                      <w:szCs w:val="21"/>
                    </w:rPr>
                    <w:t>改建后</w:t>
                  </w:r>
                </w:p>
              </w:tc>
              <w:tc>
                <w:tcPr>
                  <w:tcW w:w="785" w:type="pct"/>
                  <w:vMerge w:val="continue"/>
                  <w:vAlign w:val="center"/>
                </w:tcPr>
                <w:p>
                  <w:pPr>
                    <w:tabs>
                      <w:tab w:val="left" w:leader="middleDot" w:pos="8399"/>
                    </w:tabs>
                    <w:adjustRightInd w:val="0"/>
                    <w:snapToGrid w:val="0"/>
                    <w:spacing w:line="360" w:lineRule="exact"/>
                    <w:ind w:firstLine="8" w:firstLineChars="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0" w:type="pct"/>
                  <w:vAlign w:val="center"/>
                </w:tcPr>
                <w:p>
                  <w:pPr>
                    <w:tabs>
                      <w:tab w:val="left" w:leader="middleDot" w:pos="8399"/>
                    </w:tabs>
                    <w:adjustRightInd w:val="0"/>
                    <w:snapToGrid w:val="0"/>
                    <w:spacing w:line="360" w:lineRule="exact"/>
                    <w:jc w:val="center"/>
                    <w:rPr>
                      <w:szCs w:val="21"/>
                    </w:rPr>
                  </w:pPr>
                  <w:r>
                    <w:rPr>
                      <w:szCs w:val="21"/>
                    </w:rPr>
                    <w:t>主体工程</w:t>
                  </w:r>
                </w:p>
              </w:tc>
              <w:tc>
                <w:tcPr>
                  <w:tcW w:w="883" w:type="pct"/>
                  <w:tcBorders>
                    <w:top w:val="single" w:color="auto" w:sz="4" w:space="0"/>
                    <w:left w:val="single" w:color="auto" w:sz="4" w:space="0"/>
                    <w:bottom w:val="single" w:color="auto" w:sz="4" w:space="0"/>
                    <w:right w:val="single" w:color="auto" w:sz="4" w:space="0"/>
                  </w:tcBorders>
                  <w:vAlign w:val="center"/>
                </w:tcPr>
                <w:p>
                  <w:pPr>
                    <w:pStyle w:val="61"/>
                    <w:adjustRightInd w:val="0"/>
                    <w:snapToGrid w:val="0"/>
                    <w:spacing w:line="360" w:lineRule="exact"/>
                    <w:rPr>
                      <w:rFonts w:ascii="Times New Roman" w:hAnsi="Times New Roman"/>
                      <w:kern w:val="2"/>
                      <w:sz w:val="21"/>
                    </w:rPr>
                  </w:pPr>
                  <w:r>
                    <w:rPr>
                      <w:rFonts w:ascii="Times New Roman" w:hAnsi="Times New Roman"/>
                      <w:kern w:val="2"/>
                      <w:sz w:val="21"/>
                    </w:rPr>
                    <w:t>生产车间</w:t>
                  </w:r>
                </w:p>
              </w:tc>
              <w:tc>
                <w:tcPr>
                  <w:tcW w:w="1289" w:type="pct"/>
                  <w:vAlign w:val="center"/>
                </w:tcPr>
                <w:p>
                  <w:pPr>
                    <w:tabs>
                      <w:tab w:val="left" w:leader="middleDot" w:pos="8399"/>
                    </w:tabs>
                    <w:adjustRightInd w:val="0"/>
                    <w:snapToGrid w:val="0"/>
                    <w:spacing w:line="360" w:lineRule="exact"/>
                    <w:jc w:val="center"/>
                    <w:rPr>
                      <w:szCs w:val="21"/>
                    </w:rPr>
                  </w:pPr>
                  <w:r>
                    <w:rPr>
                      <w:szCs w:val="21"/>
                    </w:rPr>
                    <w:t>建筑面积</w:t>
                  </w:r>
                  <w:r>
                    <w:rPr>
                      <w:rFonts w:hint="eastAsia"/>
                      <w:szCs w:val="21"/>
                    </w:rPr>
                    <w:t>约3000</w:t>
                  </w:r>
                  <w:r>
                    <w:rPr>
                      <w:szCs w:val="21"/>
                    </w:rPr>
                    <w:t>m</w:t>
                  </w:r>
                  <w:r>
                    <w:rPr>
                      <w:szCs w:val="21"/>
                      <w:vertAlign w:val="superscript"/>
                    </w:rPr>
                    <w:t>2</w:t>
                  </w:r>
                  <w:r>
                    <w:rPr>
                      <w:szCs w:val="21"/>
                    </w:rPr>
                    <w:t>，</w:t>
                  </w:r>
                  <w:r>
                    <w:rPr>
                      <w:rFonts w:hint="eastAsia"/>
                      <w:szCs w:val="21"/>
                    </w:rPr>
                    <w:t>用于集装袋的储存</w:t>
                  </w:r>
                </w:p>
              </w:tc>
              <w:tc>
                <w:tcPr>
                  <w:tcW w:w="1291" w:type="pct"/>
                  <w:vAlign w:val="center"/>
                </w:tcPr>
                <w:p>
                  <w:pPr>
                    <w:tabs>
                      <w:tab w:val="left" w:leader="middleDot" w:pos="8399"/>
                    </w:tabs>
                    <w:adjustRightInd w:val="0"/>
                    <w:snapToGrid w:val="0"/>
                    <w:spacing w:line="360" w:lineRule="exact"/>
                    <w:jc w:val="center"/>
                    <w:rPr>
                      <w:szCs w:val="21"/>
                    </w:rPr>
                  </w:pPr>
                  <w:r>
                    <w:rPr>
                      <w:szCs w:val="21"/>
                    </w:rPr>
                    <w:t>建筑面积</w:t>
                  </w:r>
                  <w:r>
                    <w:rPr>
                      <w:rFonts w:hint="eastAsia"/>
                      <w:szCs w:val="21"/>
                    </w:rPr>
                    <w:t>约3000</w:t>
                  </w:r>
                  <w:r>
                    <w:rPr>
                      <w:szCs w:val="21"/>
                    </w:rPr>
                    <w:t>m</w:t>
                  </w:r>
                  <w:r>
                    <w:rPr>
                      <w:szCs w:val="21"/>
                      <w:vertAlign w:val="superscript"/>
                    </w:rPr>
                    <w:t>2</w:t>
                  </w:r>
                  <w:r>
                    <w:rPr>
                      <w:szCs w:val="21"/>
                    </w:rPr>
                    <w:t>，</w:t>
                  </w:r>
                  <w:r>
                    <w:rPr>
                      <w:rFonts w:hint="eastAsia"/>
                      <w:szCs w:val="21"/>
                    </w:rPr>
                    <w:t>设置原料区</w:t>
                  </w:r>
                  <w:r>
                    <w:rPr>
                      <w:szCs w:val="21"/>
                    </w:rPr>
                    <w:t>、</w:t>
                  </w:r>
                  <w:r>
                    <w:rPr>
                      <w:rFonts w:hint="eastAsia"/>
                      <w:szCs w:val="21"/>
                    </w:rPr>
                    <w:t>缝纫区、成品</w:t>
                  </w:r>
                  <w:r>
                    <w:rPr>
                      <w:szCs w:val="21"/>
                    </w:rPr>
                    <w:t>区</w:t>
                  </w:r>
                  <w:r>
                    <w:rPr>
                      <w:rFonts w:hint="eastAsia"/>
                      <w:szCs w:val="21"/>
                    </w:rPr>
                    <w:t>等</w:t>
                  </w:r>
                </w:p>
              </w:tc>
              <w:tc>
                <w:tcPr>
                  <w:tcW w:w="785" w:type="pct"/>
                  <w:vAlign w:val="center"/>
                </w:tcPr>
                <w:p>
                  <w:pPr>
                    <w:tabs>
                      <w:tab w:val="left" w:leader="middleDot" w:pos="8399"/>
                    </w:tabs>
                    <w:adjustRightInd w:val="0"/>
                    <w:snapToGrid w:val="0"/>
                    <w:spacing w:line="360" w:lineRule="exact"/>
                    <w:jc w:val="center"/>
                    <w:rPr>
                      <w:szCs w:val="21"/>
                    </w:rPr>
                  </w:pPr>
                  <w:r>
                    <w:rPr>
                      <w:rFonts w:hint="eastAsia"/>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pct"/>
                  <w:vAlign w:val="center"/>
                </w:tcPr>
                <w:p>
                  <w:pPr>
                    <w:tabs>
                      <w:tab w:val="left" w:leader="middleDot" w:pos="8399"/>
                    </w:tabs>
                    <w:adjustRightInd w:val="0"/>
                    <w:snapToGrid w:val="0"/>
                    <w:spacing w:line="360" w:lineRule="exact"/>
                    <w:jc w:val="center"/>
                    <w:rPr>
                      <w:szCs w:val="21"/>
                    </w:rPr>
                  </w:pPr>
                  <w:r>
                    <w:rPr>
                      <w:szCs w:val="21"/>
                    </w:rPr>
                    <w:t>辅助工程</w:t>
                  </w:r>
                </w:p>
              </w:tc>
              <w:tc>
                <w:tcPr>
                  <w:tcW w:w="883" w:type="pct"/>
                  <w:vAlign w:val="center"/>
                </w:tcPr>
                <w:p>
                  <w:pPr>
                    <w:tabs>
                      <w:tab w:val="left" w:leader="middleDot" w:pos="8399"/>
                    </w:tabs>
                    <w:adjustRightInd w:val="0"/>
                    <w:snapToGrid w:val="0"/>
                    <w:spacing w:line="360" w:lineRule="exact"/>
                    <w:ind w:firstLine="8" w:firstLineChars="4"/>
                    <w:jc w:val="center"/>
                    <w:rPr>
                      <w:szCs w:val="21"/>
                    </w:rPr>
                  </w:pPr>
                  <w:r>
                    <w:rPr>
                      <w:szCs w:val="21"/>
                    </w:rPr>
                    <w:t>办公</w:t>
                  </w:r>
                  <w:r>
                    <w:rPr>
                      <w:rFonts w:hint="eastAsia"/>
                      <w:szCs w:val="21"/>
                    </w:rPr>
                    <w:t>室</w:t>
                  </w:r>
                </w:p>
              </w:tc>
              <w:tc>
                <w:tcPr>
                  <w:tcW w:w="1289" w:type="pct"/>
                  <w:vAlign w:val="center"/>
                </w:tcPr>
                <w:p>
                  <w:pPr>
                    <w:tabs>
                      <w:tab w:val="left" w:leader="middleDot" w:pos="8399"/>
                    </w:tabs>
                    <w:adjustRightInd w:val="0"/>
                    <w:snapToGrid w:val="0"/>
                    <w:spacing w:line="360" w:lineRule="exact"/>
                    <w:jc w:val="center"/>
                    <w:rPr>
                      <w:szCs w:val="21"/>
                    </w:rPr>
                  </w:pPr>
                  <w:r>
                    <w:rPr>
                      <w:szCs w:val="21"/>
                    </w:rPr>
                    <w:t>占地面积</w:t>
                  </w:r>
                  <w:r>
                    <w:rPr>
                      <w:rFonts w:hint="eastAsia"/>
                      <w:szCs w:val="21"/>
                    </w:rPr>
                    <w:t>60</w:t>
                  </w:r>
                  <w:r>
                    <w:rPr>
                      <w:szCs w:val="21"/>
                    </w:rPr>
                    <w:t>m</w:t>
                  </w:r>
                  <w:r>
                    <w:rPr>
                      <w:szCs w:val="21"/>
                      <w:vertAlign w:val="superscript"/>
                    </w:rPr>
                    <w:t>2</w:t>
                  </w:r>
                </w:p>
              </w:tc>
              <w:tc>
                <w:tcPr>
                  <w:tcW w:w="1291" w:type="pct"/>
                  <w:vAlign w:val="center"/>
                </w:tcPr>
                <w:p>
                  <w:pPr>
                    <w:tabs>
                      <w:tab w:val="left" w:leader="middleDot" w:pos="8399"/>
                    </w:tabs>
                    <w:adjustRightInd w:val="0"/>
                    <w:snapToGrid w:val="0"/>
                    <w:spacing w:line="360" w:lineRule="exact"/>
                    <w:jc w:val="center"/>
                    <w:rPr>
                      <w:szCs w:val="21"/>
                    </w:rPr>
                  </w:pPr>
                  <w:r>
                    <w:rPr>
                      <w:szCs w:val="21"/>
                    </w:rPr>
                    <w:t>占地面积</w:t>
                  </w:r>
                  <w:r>
                    <w:rPr>
                      <w:rFonts w:hint="eastAsia"/>
                      <w:szCs w:val="21"/>
                    </w:rPr>
                    <w:t>60</w:t>
                  </w:r>
                  <w:r>
                    <w:rPr>
                      <w:szCs w:val="21"/>
                    </w:rPr>
                    <w:t>m</w:t>
                  </w:r>
                  <w:r>
                    <w:rPr>
                      <w:szCs w:val="21"/>
                      <w:vertAlign w:val="superscript"/>
                    </w:rPr>
                    <w:t>2</w:t>
                  </w:r>
                </w:p>
              </w:tc>
              <w:tc>
                <w:tcPr>
                  <w:tcW w:w="785" w:type="pct"/>
                  <w:vAlign w:val="center"/>
                </w:tcPr>
                <w:p>
                  <w:pPr>
                    <w:tabs>
                      <w:tab w:val="left" w:leader="middleDot" w:pos="8399"/>
                    </w:tabs>
                    <w:adjustRightInd w:val="0"/>
                    <w:snapToGrid w:val="0"/>
                    <w:spacing w:line="360" w:lineRule="exact"/>
                    <w:jc w:val="center"/>
                    <w:rPr>
                      <w:szCs w:val="21"/>
                    </w:rPr>
                  </w:pPr>
                  <w:r>
                    <w:rPr>
                      <w:rFonts w:hint="eastAsia"/>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pct"/>
                  <w:vMerge w:val="restart"/>
                  <w:vAlign w:val="center"/>
                </w:tcPr>
                <w:p>
                  <w:pPr>
                    <w:tabs>
                      <w:tab w:val="left" w:leader="middleDot" w:pos="8399"/>
                    </w:tabs>
                    <w:adjustRightInd w:val="0"/>
                    <w:snapToGrid w:val="0"/>
                    <w:spacing w:line="360" w:lineRule="exact"/>
                    <w:jc w:val="center"/>
                    <w:rPr>
                      <w:szCs w:val="21"/>
                    </w:rPr>
                  </w:pPr>
                  <w:r>
                    <w:rPr>
                      <w:szCs w:val="21"/>
                    </w:rPr>
                    <w:t>公用工程</w:t>
                  </w:r>
                </w:p>
              </w:tc>
              <w:tc>
                <w:tcPr>
                  <w:tcW w:w="883" w:type="pct"/>
                  <w:vAlign w:val="center"/>
                </w:tcPr>
                <w:p>
                  <w:pPr>
                    <w:tabs>
                      <w:tab w:val="left" w:leader="middleDot" w:pos="8399"/>
                    </w:tabs>
                    <w:adjustRightInd w:val="0"/>
                    <w:snapToGrid w:val="0"/>
                    <w:spacing w:line="360" w:lineRule="exact"/>
                    <w:jc w:val="center"/>
                    <w:rPr>
                      <w:szCs w:val="21"/>
                    </w:rPr>
                  </w:pPr>
                  <w:r>
                    <w:rPr>
                      <w:szCs w:val="21"/>
                    </w:rPr>
                    <w:t>供水</w:t>
                  </w:r>
                </w:p>
              </w:tc>
              <w:tc>
                <w:tcPr>
                  <w:tcW w:w="1289" w:type="pct"/>
                  <w:vAlign w:val="center"/>
                </w:tcPr>
                <w:p>
                  <w:pPr>
                    <w:tabs>
                      <w:tab w:val="left" w:leader="middleDot" w:pos="8399"/>
                    </w:tabs>
                    <w:adjustRightInd w:val="0"/>
                    <w:snapToGrid w:val="0"/>
                    <w:spacing w:line="360" w:lineRule="exact"/>
                    <w:jc w:val="center"/>
                    <w:rPr>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szCs w:val="21"/>
                    </w:rPr>
                  </w:pPr>
                  <w:r>
                    <w:rPr>
                      <w:rFonts w:hint="eastAsia"/>
                      <w:szCs w:val="21"/>
                    </w:rPr>
                    <w:t>岳滩镇自来水管网</w:t>
                  </w:r>
                </w:p>
              </w:tc>
              <w:tc>
                <w:tcPr>
                  <w:tcW w:w="785" w:type="pct"/>
                  <w:vAlign w:val="center"/>
                </w:tcPr>
                <w:p>
                  <w:pPr>
                    <w:pStyle w:val="61"/>
                    <w:adjustRightInd w:val="0"/>
                    <w:snapToGrid w:val="0"/>
                    <w:spacing w:line="360" w:lineRule="exact"/>
                    <w:rPr>
                      <w:rFonts w:ascii="Times New Roman" w:hAnsi="Times New Roman"/>
                      <w:kern w:val="2"/>
                      <w:sz w:val="21"/>
                    </w:rPr>
                  </w:pPr>
                  <w:r>
                    <w:rPr>
                      <w:rFonts w:hint="eastAsia" w:ascii="Times New Roman" w:hAnsi="Times New Roman"/>
                      <w:kern w:val="2"/>
                      <w:sz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pct"/>
                  <w:vMerge w:val="continue"/>
                  <w:vAlign w:val="center"/>
                </w:tcPr>
                <w:p>
                  <w:pPr>
                    <w:tabs>
                      <w:tab w:val="left" w:leader="middleDot" w:pos="8399"/>
                    </w:tabs>
                    <w:adjustRightInd w:val="0"/>
                    <w:snapToGrid w:val="0"/>
                    <w:spacing w:line="360" w:lineRule="exact"/>
                    <w:jc w:val="center"/>
                    <w:rPr>
                      <w:szCs w:val="21"/>
                    </w:rPr>
                  </w:pPr>
                </w:p>
              </w:tc>
              <w:tc>
                <w:tcPr>
                  <w:tcW w:w="883" w:type="pct"/>
                  <w:vAlign w:val="center"/>
                </w:tcPr>
                <w:p>
                  <w:pPr>
                    <w:tabs>
                      <w:tab w:val="left" w:leader="middleDot" w:pos="8399"/>
                    </w:tabs>
                    <w:adjustRightInd w:val="0"/>
                    <w:snapToGrid w:val="0"/>
                    <w:spacing w:line="360" w:lineRule="exact"/>
                    <w:jc w:val="center"/>
                    <w:rPr>
                      <w:szCs w:val="21"/>
                    </w:rPr>
                  </w:pPr>
                  <w:r>
                    <w:rPr>
                      <w:szCs w:val="21"/>
                    </w:rPr>
                    <w:t>供电</w:t>
                  </w:r>
                </w:p>
              </w:tc>
              <w:tc>
                <w:tcPr>
                  <w:tcW w:w="1289" w:type="pct"/>
                  <w:vAlign w:val="center"/>
                </w:tcPr>
                <w:p>
                  <w:pPr>
                    <w:tabs>
                      <w:tab w:val="left" w:leader="middleDot" w:pos="8399"/>
                    </w:tabs>
                    <w:adjustRightInd w:val="0"/>
                    <w:snapToGrid w:val="0"/>
                    <w:spacing w:line="360" w:lineRule="exact"/>
                    <w:jc w:val="center"/>
                    <w:rPr>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szCs w:val="21"/>
                    </w:rPr>
                  </w:pPr>
                  <w:r>
                    <w:rPr>
                      <w:rFonts w:hint="eastAsia"/>
                      <w:szCs w:val="21"/>
                    </w:rPr>
                    <w:t>岳滩镇电网</w:t>
                  </w:r>
                </w:p>
              </w:tc>
              <w:tc>
                <w:tcPr>
                  <w:tcW w:w="785" w:type="pct"/>
                  <w:vAlign w:val="center"/>
                </w:tcPr>
                <w:p>
                  <w:pPr>
                    <w:pStyle w:val="61"/>
                    <w:adjustRightInd w:val="0"/>
                    <w:snapToGrid w:val="0"/>
                    <w:spacing w:line="360" w:lineRule="exact"/>
                    <w:rPr>
                      <w:rFonts w:ascii="Times New Roman" w:hAnsi="Times New Roman"/>
                      <w:kern w:val="2"/>
                      <w:sz w:val="21"/>
                    </w:rPr>
                  </w:pPr>
                  <w:r>
                    <w:rPr>
                      <w:rFonts w:hint="eastAsia" w:ascii="Times New Roman" w:hAnsi="Times New Roman"/>
                      <w:kern w:val="2"/>
                      <w:sz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pct"/>
                  <w:vMerge w:val="restart"/>
                  <w:vAlign w:val="center"/>
                </w:tcPr>
                <w:p>
                  <w:pPr>
                    <w:tabs>
                      <w:tab w:val="left" w:leader="middleDot" w:pos="8399"/>
                    </w:tabs>
                    <w:adjustRightInd w:val="0"/>
                    <w:snapToGrid w:val="0"/>
                    <w:spacing w:line="360" w:lineRule="exact"/>
                    <w:jc w:val="center"/>
                    <w:rPr>
                      <w:szCs w:val="21"/>
                    </w:rPr>
                  </w:pPr>
                  <w:r>
                    <w:rPr>
                      <w:szCs w:val="21"/>
                    </w:rPr>
                    <w:t>环保工程</w:t>
                  </w:r>
                </w:p>
              </w:tc>
              <w:tc>
                <w:tcPr>
                  <w:tcW w:w="883" w:type="pct"/>
                  <w:vAlign w:val="center"/>
                </w:tcPr>
                <w:p>
                  <w:pPr>
                    <w:jc w:val="center"/>
                    <w:rPr>
                      <w:szCs w:val="21"/>
                    </w:rPr>
                  </w:pPr>
                  <w:r>
                    <w:rPr>
                      <w:szCs w:val="21"/>
                    </w:rPr>
                    <w:t>废气</w:t>
                  </w:r>
                </w:p>
              </w:tc>
              <w:tc>
                <w:tcPr>
                  <w:tcW w:w="1289" w:type="pct"/>
                  <w:vAlign w:val="center"/>
                </w:tcPr>
                <w:p>
                  <w:pPr>
                    <w:tabs>
                      <w:tab w:val="left" w:leader="middleDot" w:pos="8399"/>
                    </w:tabs>
                    <w:adjustRightInd w:val="0"/>
                    <w:snapToGrid w:val="0"/>
                    <w:spacing w:line="360" w:lineRule="exact"/>
                    <w:jc w:val="center"/>
                    <w:rPr>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szCs w:val="21"/>
                    </w:rPr>
                  </w:pPr>
                  <w:r>
                    <w:rPr>
                      <w:rFonts w:hint="eastAsia"/>
                      <w:szCs w:val="21"/>
                    </w:rPr>
                    <w:t>印刷机在车间内二次密闭，剪裁、调墨、印刷废气经</w:t>
                  </w:r>
                  <w:r>
                    <w:rPr>
                      <w:szCs w:val="21"/>
                    </w:rPr>
                    <w:t>集气措施</w:t>
                  </w:r>
                  <w:r>
                    <w:rPr>
                      <w:rFonts w:hint="eastAsia"/>
                      <w:szCs w:val="21"/>
                    </w:rPr>
                    <w:t>收集后经“UV光氧+活性炭吸附”装置处理后经15m高排气筒排放。</w:t>
                  </w:r>
                </w:p>
              </w:tc>
              <w:tc>
                <w:tcPr>
                  <w:tcW w:w="785" w:type="pct"/>
                  <w:vAlign w:val="center"/>
                </w:tcPr>
                <w:p>
                  <w:pPr>
                    <w:tabs>
                      <w:tab w:val="left" w:leader="middleDot" w:pos="8399"/>
                    </w:tabs>
                    <w:adjustRightInd w:val="0"/>
                    <w:snapToGrid w:val="0"/>
                    <w:spacing w:line="36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pct"/>
                  <w:vMerge w:val="continue"/>
                  <w:vAlign w:val="center"/>
                </w:tcPr>
                <w:p>
                  <w:pPr>
                    <w:tabs>
                      <w:tab w:val="left" w:leader="middleDot" w:pos="8399"/>
                    </w:tabs>
                    <w:adjustRightInd w:val="0"/>
                    <w:snapToGrid w:val="0"/>
                    <w:spacing w:line="360" w:lineRule="exact"/>
                    <w:jc w:val="center"/>
                    <w:rPr>
                      <w:szCs w:val="21"/>
                    </w:rPr>
                  </w:pPr>
                </w:p>
              </w:tc>
              <w:tc>
                <w:tcPr>
                  <w:tcW w:w="883" w:type="pct"/>
                  <w:vAlign w:val="center"/>
                </w:tcPr>
                <w:p>
                  <w:pPr>
                    <w:jc w:val="center"/>
                    <w:rPr>
                      <w:szCs w:val="21"/>
                    </w:rPr>
                  </w:pPr>
                  <w:r>
                    <w:rPr>
                      <w:bCs/>
                      <w:szCs w:val="21"/>
                    </w:rPr>
                    <w:t>废水</w:t>
                  </w:r>
                </w:p>
              </w:tc>
              <w:tc>
                <w:tcPr>
                  <w:tcW w:w="1289" w:type="pct"/>
                  <w:vAlign w:val="center"/>
                </w:tcPr>
                <w:p>
                  <w:pPr>
                    <w:tabs>
                      <w:tab w:val="left" w:leader="middleDot" w:pos="8399"/>
                    </w:tabs>
                    <w:adjustRightInd w:val="0"/>
                    <w:snapToGrid w:val="0"/>
                    <w:spacing w:line="360" w:lineRule="exact"/>
                    <w:jc w:val="center"/>
                    <w:rPr>
                      <w:bCs/>
                      <w:szCs w:val="21"/>
                    </w:rPr>
                  </w:pPr>
                  <w:r>
                    <w:rPr>
                      <w:bCs/>
                      <w:szCs w:val="21"/>
                    </w:rPr>
                    <w:t>1个化粪池（10m</w:t>
                  </w:r>
                  <w:r>
                    <w:rPr>
                      <w:bCs/>
                      <w:szCs w:val="21"/>
                      <w:vertAlign w:val="superscript"/>
                    </w:rPr>
                    <w:t>3</w:t>
                  </w:r>
                  <w:r>
                    <w:rPr>
                      <w:bCs/>
                      <w:szCs w:val="21"/>
                    </w:rPr>
                    <w:t>）</w:t>
                  </w:r>
                </w:p>
              </w:tc>
              <w:tc>
                <w:tcPr>
                  <w:tcW w:w="1291" w:type="pct"/>
                  <w:vAlign w:val="center"/>
                </w:tcPr>
                <w:p>
                  <w:pPr>
                    <w:tabs>
                      <w:tab w:val="left" w:leader="middleDot" w:pos="8399"/>
                    </w:tabs>
                    <w:adjustRightInd w:val="0"/>
                    <w:snapToGrid w:val="0"/>
                    <w:spacing w:line="360" w:lineRule="exact"/>
                    <w:jc w:val="center"/>
                    <w:rPr>
                      <w:bCs/>
                      <w:szCs w:val="21"/>
                    </w:rPr>
                  </w:pPr>
                  <w:r>
                    <w:rPr>
                      <w:bCs/>
                      <w:szCs w:val="21"/>
                    </w:rPr>
                    <w:t>1个化粪池（10m</w:t>
                  </w:r>
                  <w:r>
                    <w:rPr>
                      <w:bCs/>
                      <w:szCs w:val="21"/>
                      <w:vertAlign w:val="superscript"/>
                    </w:rPr>
                    <w:t>3</w:t>
                  </w:r>
                  <w:r>
                    <w:rPr>
                      <w:bCs/>
                      <w:szCs w:val="21"/>
                    </w:rPr>
                    <w:t>）</w:t>
                  </w:r>
                </w:p>
              </w:tc>
              <w:tc>
                <w:tcPr>
                  <w:tcW w:w="785" w:type="pct"/>
                  <w:vAlign w:val="center"/>
                </w:tcPr>
                <w:p>
                  <w:pPr>
                    <w:tabs>
                      <w:tab w:val="left" w:leader="middleDot" w:pos="8399"/>
                    </w:tabs>
                    <w:adjustRightInd w:val="0"/>
                    <w:snapToGrid w:val="0"/>
                    <w:spacing w:line="360" w:lineRule="exact"/>
                    <w:jc w:val="center"/>
                    <w:rPr>
                      <w:szCs w:val="21"/>
                    </w:rPr>
                  </w:pPr>
                  <w:r>
                    <w:rPr>
                      <w:rFonts w:hint="eastAsia"/>
                      <w:bCs/>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pct"/>
                  <w:vMerge w:val="continue"/>
                  <w:vAlign w:val="center"/>
                </w:tcPr>
                <w:p>
                  <w:pPr>
                    <w:tabs>
                      <w:tab w:val="left" w:leader="middleDot" w:pos="8399"/>
                    </w:tabs>
                    <w:adjustRightInd w:val="0"/>
                    <w:snapToGrid w:val="0"/>
                    <w:spacing w:line="360" w:lineRule="exact"/>
                    <w:ind w:firstLine="480"/>
                    <w:jc w:val="center"/>
                    <w:rPr>
                      <w:szCs w:val="21"/>
                    </w:rPr>
                  </w:pPr>
                </w:p>
              </w:tc>
              <w:tc>
                <w:tcPr>
                  <w:tcW w:w="883" w:type="pct"/>
                  <w:vAlign w:val="center"/>
                </w:tcPr>
                <w:p>
                  <w:pPr>
                    <w:tabs>
                      <w:tab w:val="left" w:leader="middleDot" w:pos="8399"/>
                    </w:tabs>
                    <w:adjustRightInd w:val="0"/>
                    <w:snapToGrid w:val="0"/>
                    <w:spacing w:line="360" w:lineRule="exact"/>
                    <w:jc w:val="center"/>
                    <w:rPr>
                      <w:szCs w:val="21"/>
                    </w:rPr>
                  </w:pPr>
                  <w:r>
                    <w:rPr>
                      <w:szCs w:val="21"/>
                    </w:rPr>
                    <w:t>噪声</w:t>
                  </w:r>
                </w:p>
              </w:tc>
              <w:tc>
                <w:tcPr>
                  <w:tcW w:w="1289" w:type="pct"/>
                  <w:vAlign w:val="center"/>
                </w:tcPr>
                <w:p>
                  <w:pPr>
                    <w:tabs>
                      <w:tab w:val="left" w:leader="middleDot" w:pos="8399"/>
                    </w:tabs>
                    <w:adjustRightInd w:val="0"/>
                    <w:snapToGrid w:val="0"/>
                    <w:spacing w:line="360" w:lineRule="exact"/>
                    <w:jc w:val="center"/>
                    <w:rPr>
                      <w:bCs/>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szCs w:val="21"/>
                    </w:rPr>
                  </w:pPr>
                  <w:r>
                    <w:rPr>
                      <w:szCs w:val="21"/>
                    </w:rPr>
                    <w:t>设置减震基础、车间隔声等</w:t>
                  </w:r>
                </w:p>
              </w:tc>
              <w:tc>
                <w:tcPr>
                  <w:tcW w:w="785" w:type="pct"/>
                  <w:vAlign w:val="center"/>
                </w:tcPr>
                <w:p>
                  <w:pPr>
                    <w:tabs>
                      <w:tab w:val="left" w:leader="middleDot" w:pos="8399"/>
                    </w:tabs>
                    <w:adjustRightInd w:val="0"/>
                    <w:snapToGrid w:val="0"/>
                    <w:spacing w:line="36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pct"/>
                  <w:vMerge w:val="continue"/>
                  <w:vAlign w:val="center"/>
                </w:tcPr>
                <w:p>
                  <w:pPr>
                    <w:tabs>
                      <w:tab w:val="left" w:leader="middleDot" w:pos="8399"/>
                    </w:tabs>
                    <w:adjustRightInd w:val="0"/>
                    <w:snapToGrid w:val="0"/>
                    <w:spacing w:line="360" w:lineRule="exact"/>
                    <w:ind w:firstLine="480"/>
                    <w:jc w:val="center"/>
                    <w:rPr>
                      <w:szCs w:val="21"/>
                    </w:rPr>
                  </w:pPr>
                </w:p>
              </w:tc>
              <w:tc>
                <w:tcPr>
                  <w:tcW w:w="883" w:type="pct"/>
                  <w:vMerge w:val="restart"/>
                  <w:vAlign w:val="center"/>
                </w:tcPr>
                <w:p>
                  <w:pPr>
                    <w:tabs>
                      <w:tab w:val="left" w:leader="middleDot" w:pos="8399"/>
                    </w:tabs>
                    <w:adjustRightInd w:val="0"/>
                    <w:snapToGrid w:val="0"/>
                    <w:spacing w:line="360" w:lineRule="exact"/>
                    <w:jc w:val="center"/>
                    <w:rPr>
                      <w:szCs w:val="21"/>
                    </w:rPr>
                  </w:pPr>
                  <w:r>
                    <w:rPr>
                      <w:szCs w:val="21"/>
                    </w:rPr>
                    <w:t>固废</w:t>
                  </w:r>
                </w:p>
              </w:tc>
              <w:tc>
                <w:tcPr>
                  <w:tcW w:w="1289" w:type="pct"/>
                  <w:vAlign w:val="center"/>
                </w:tcPr>
                <w:p>
                  <w:pPr>
                    <w:tabs>
                      <w:tab w:val="left" w:leader="middleDot" w:pos="8399"/>
                    </w:tabs>
                    <w:adjustRightInd w:val="0"/>
                    <w:snapToGrid w:val="0"/>
                    <w:spacing w:line="360" w:lineRule="exact"/>
                    <w:jc w:val="center"/>
                    <w:rPr>
                      <w:bCs/>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bCs/>
                      <w:szCs w:val="21"/>
                    </w:rPr>
                  </w:pPr>
                  <w:r>
                    <w:rPr>
                      <w:rFonts w:hint="eastAsia"/>
                      <w:bCs/>
                      <w:szCs w:val="21"/>
                    </w:rPr>
                    <w:t>一般固废暂存区（24</w:t>
                  </w:r>
                  <w:r>
                    <w:rPr>
                      <w:rFonts w:hint="eastAsia"/>
                    </w:rPr>
                    <w:t>m</w:t>
                  </w:r>
                  <w:r>
                    <w:rPr>
                      <w:rFonts w:hint="eastAsia"/>
                      <w:vertAlign w:val="superscript"/>
                    </w:rPr>
                    <w:t>2</w:t>
                  </w:r>
                  <w:r>
                    <w:rPr>
                      <w:rFonts w:hint="eastAsia"/>
                      <w:bCs/>
                      <w:szCs w:val="21"/>
                    </w:rPr>
                    <w:t>）</w:t>
                  </w:r>
                </w:p>
              </w:tc>
              <w:tc>
                <w:tcPr>
                  <w:tcW w:w="785" w:type="pct"/>
                  <w:vAlign w:val="center"/>
                </w:tcPr>
                <w:p>
                  <w:pPr>
                    <w:tabs>
                      <w:tab w:val="left" w:leader="middleDot" w:pos="8399"/>
                    </w:tabs>
                    <w:adjustRightInd w:val="0"/>
                    <w:snapToGrid w:val="0"/>
                    <w:spacing w:line="360" w:lineRule="exact"/>
                    <w:jc w:val="center"/>
                    <w:rPr>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0" w:type="pct"/>
                  <w:vMerge w:val="continue"/>
                  <w:vAlign w:val="center"/>
                </w:tcPr>
                <w:p>
                  <w:pPr>
                    <w:tabs>
                      <w:tab w:val="left" w:leader="middleDot" w:pos="8399"/>
                    </w:tabs>
                    <w:adjustRightInd w:val="0"/>
                    <w:snapToGrid w:val="0"/>
                    <w:spacing w:line="360" w:lineRule="exact"/>
                    <w:jc w:val="center"/>
                  </w:pPr>
                </w:p>
              </w:tc>
              <w:tc>
                <w:tcPr>
                  <w:tcW w:w="883" w:type="pct"/>
                  <w:vMerge w:val="continue"/>
                  <w:vAlign w:val="center"/>
                </w:tcPr>
                <w:p>
                  <w:pPr>
                    <w:tabs>
                      <w:tab w:val="left" w:leader="middleDot" w:pos="8399"/>
                    </w:tabs>
                    <w:adjustRightInd w:val="0"/>
                    <w:snapToGrid w:val="0"/>
                    <w:spacing w:line="360" w:lineRule="exact"/>
                    <w:jc w:val="center"/>
                  </w:pPr>
                </w:p>
              </w:tc>
              <w:tc>
                <w:tcPr>
                  <w:tcW w:w="1289" w:type="pct"/>
                  <w:vAlign w:val="center"/>
                </w:tcPr>
                <w:p>
                  <w:pPr>
                    <w:tabs>
                      <w:tab w:val="left" w:leader="middleDot" w:pos="8399"/>
                    </w:tabs>
                    <w:adjustRightInd w:val="0"/>
                    <w:snapToGrid w:val="0"/>
                    <w:spacing w:line="360" w:lineRule="exact"/>
                    <w:jc w:val="center"/>
                    <w:rPr>
                      <w:bCs/>
                      <w:szCs w:val="21"/>
                    </w:rPr>
                  </w:pPr>
                  <w:r>
                    <w:rPr>
                      <w:rFonts w:hint="eastAsia"/>
                      <w:szCs w:val="21"/>
                    </w:rPr>
                    <w:t>/</w:t>
                  </w:r>
                </w:p>
              </w:tc>
              <w:tc>
                <w:tcPr>
                  <w:tcW w:w="1291" w:type="pct"/>
                  <w:vAlign w:val="center"/>
                </w:tcPr>
                <w:p>
                  <w:pPr>
                    <w:tabs>
                      <w:tab w:val="left" w:leader="middleDot" w:pos="8399"/>
                    </w:tabs>
                    <w:adjustRightInd w:val="0"/>
                    <w:snapToGrid w:val="0"/>
                    <w:spacing w:line="360" w:lineRule="exact"/>
                    <w:jc w:val="center"/>
                    <w:rPr>
                      <w:bCs/>
                      <w:szCs w:val="21"/>
                    </w:rPr>
                  </w:pPr>
                  <w:r>
                    <w:rPr>
                      <w:rFonts w:hint="eastAsia"/>
                      <w:bCs/>
                      <w:szCs w:val="21"/>
                    </w:rPr>
                    <w:t>危险废物暂存间（10</w:t>
                  </w:r>
                  <w:r>
                    <w:rPr>
                      <w:rFonts w:hint="eastAsia"/>
                    </w:rPr>
                    <w:t>m</w:t>
                  </w:r>
                  <w:r>
                    <w:rPr>
                      <w:rFonts w:hint="eastAsia"/>
                      <w:vertAlign w:val="superscript"/>
                    </w:rPr>
                    <w:t>2</w:t>
                  </w:r>
                  <w:r>
                    <w:rPr>
                      <w:rFonts w:hint="eastAsia"/>
                      <w:bCs/>
                      <w:szCs w:val="21"/>
                    </w:rPr>
                    <w:t>）</w:t>
                  </w:r>
                </w:p>
              </w:tc>
              <w:tc>
                <w:tcPr>
                  <w:tcW w:w="785" w:type="pct"/>
                  <w:vAlign w:val="center"/>
                </w:tcPr>
                <w:p>
                  <w:pPr>
                    <w:tabs>
                      <w:tab w:val="left" w:leader="middleDot" w:pos="8399"/>
                    </w:tabs>
                    <w:adjustRightInd w:val="0"/>
                    <w:snapToGrid w:val="0"/>
                    <w:spacing w:line="360" w:lineRule="exact"/>
                    <w:jc w:val="center"/>
                    <w:rPr>
                      <w:bCs/>
                      <w:szCs w:val="21"/>
                      <w:u w:val="single"/>
                    </w:rPr>
                  </w:pPr>
                  <w:r>
                    <w:rPr>
                      <w:rFonts w:hint="eastAsia"/>
                      <w:bCs/>
                      <w:szCs w:val="21"/>
                    </w:rPr>
                    <w:t>新建</w:t>
                  </w:r>
                </w:p>
              </w:tc>
            </w:tr>
          </w:tbl>
          <w:p>
            <w:pPr>
              <w:pStyle w:val="2"/>
              <w:ind w:firstLine="480"/>
              <w:jc w:val="center"/>
              <w:rPr>
                <w:rFonts w:eastAsia="黑体"/>
                <w:sz w:val="24"/>
                <w:szCs w:val="24"/>
              </w:rPr>
            </w:pPr>
          </w:p>
          <w:p>
            <w:pPr>
              <w:spacing w:before="120" w:beforeLines="50" w:line="360" w:lineRule="auto"/>
              <w:rPr>
                <w:sz w:val="24"/>
              </w:rPr>
            </w:pPr>
            <w:r>
              <w:rPr>
                <w:sz w:val="24"/>
              </w:rPr>
              <w:t xml:space="preserve">2.1 </w:t>
            </w:r>
            <w:r>
              <w:rPr>
                <w:rFonts w:eastAsia="黑体"/>
                <w:sz w:val="24"/>
              </w:rPr>
              <w:t>主要产品及产能</w:t>
            </w:r>
          </w:p>
          <w:p>
            <w:pPr>
              <w:spacing w:line="360" w:lineRule="auto"/>
              <w:ind w:firstLine="482"/>
              <w:rPr>
                <w:sz w:val="24"/>
              </w:rPr>
            </w:pPr>
            <w:r>
              <w:rPr>
                <w:rFonts w:hint="eastAsia"/>
                <w:sz w:val="24"/>
              </w:rPr>
              <w:t>本项目产品及产量见下表。</w:t>
            </w:r>
          </w:p>
          <w:p>
            <w:pPr>
              <w:pStyle w:val="2"/>
              <w:spacing w:line="480" w:lineRule="exact"/>
              <w:ind w:firstLine="480"/>
              <w:jc w:val="center"/>
              <w:rPr>
                <w:rFonts w:eastAsia="黑体"/>
                <w:sz w:val="24"/>
                <w:szCs w:val="24"/>
              </w:rPr>
            </w:pPr>
            <w:r>
              <w:rPr>
                <w:rFonts w:eastAsia="黑体"/>
                <w:sz w:val="24"/>
                <w:szCs w:val="24"/>
              </w:rPr>
              <w:t>表2-2  产品方案一览表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220"/>
              <w:gridCol w:w="1220"/>
              <w:gridCol w:w="1217"/>
              <w:gridCol w:w="1220"/>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570" w:type="pct"/>
                  <w:vMerge w:val="restart"/>
                  <w:vAlign w:val="center"/>
                </w:tcPr>
                <w:p>
                  <w:pPr>
                    <w:pStyle w:val="74"/>
                    <w:rPr>
                      <w:sz w:val="21"/>
                      <w:szCs w:val="21"/>
                    </w:rPr>
                  </w:pPr>
                  <w:r>
                    <w:rPr>
                      <w:rFonts w:hint="eastAsia"/>
                      <w:sz w:val="21"/>
                      <w:szCs w:val="21"/>
                    </w:rPr>
                    <w:t>序号</w:t>
                  </w:r>
                </w:p>
              </w:tc>
              <w:tc>
                <w:tcPr>
                  <w:tcW w:w="1512" w:type="pct"/>
                  <w:gridSpan w:val="2"/>
                  <w:vAlign w:val="center"/>
                </w:tcPr>
                <w:p>
                  <w:pPr>
                    <w:pStyle w:val="74"/>
                    <w:rPr>
                      <w:sz w:val="21"/>
                      <w:szCs w:val="21"/>
                    </w:rPr>
                  </w:pPr>
                  <w:r>
                    <w:rPr>
                      <w:rFonts w:hint="eastAsia"/>
                      <w:sz w:val="21"/>
                      <w:szCs w:val="21"/>
                    </w:rPr>
                    <w:t>改建前</w:t>
                  </w:r>
                </w:p>
              </w:tc>
              <w:tc>
                <w:tcPr>
                  <w:tcW w:w="1513" w:type="pct"/>
                  <w:gridSpan w:val="2"/>
                  <w:vAlign w:val="center"/>
                </w:tcPr>
                <w:p>
                  <w:pPr>
                    <w:pStyle w:val="74"/>
                    <w:rPr>
                      <w:sz w:val="21"/>
                      <w:szCs w:val="21"/>
                    </w:rPr>
                  </w:pPr>
                  <w:r>
                    <w:rPr>
                      <w:rFonts w:hint="eastAsia"/>
                      <w:sz w:val="21"/>
                      <w:szCs w:val="21"/>
                    </w:rPr>
                    <w:t>改建后</w:t>
                  </w:r>
                </w:p>
              </w:tc>
              <w:tc>
                <w:tcPr>
                  <w:tcW w:w="1403" w:type="pct"/>
                  <w:vMerge w:val="restart"/>
                  <w:vAlign w:val="center"/>
                </w:tcPr>
                <w:p>
                  <w:pPr>
                    <w:pStyle w:val="74"/>
                    <w:rPr>
                      <w:sz w:val="21"/>
                      <w:szCs w:val="21"/>
                    </w:rPr>
                  </w:pPr>
                  <w:r>
                    <w:rPr>
                      <w:rFonts w:hint="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570" w:type="pct"/>
                  <w:vMerge w:val="continue"/>
                  <w:vAlign w:val="center"/>
                </w:tcPr>
                <w:p>
                  <w:pPr>
                    <w:pStyle w:val="74"/>
                  </w:pPr>
                </w:p>
              </w:tc>
              <w:tc>
                <w:tcPr>
                  <w:tcW w:w="756" w:type="pct"/>
                  <w:vAlign w:val="center"/>
                </w:tcPr>
                <w:p>
                  <w:pPr>
                    <w:pStyle w:val="74"/>
                    <w:rPr>
                      <w:sz w:val="21"/>
                      <w:szCs w:val="21"/>
                    </w:rPr>
                  </w:pPr>
                  <w:r>
                    <w:rPr>
                      <w:sz w:val="21"/>
                      <w:szCs w:val="21"/>
                    </w:rPr>
                    <w:t>产品名称</w:t>
                  </w:r>
                </w:p>
              </w:tc>
              <w:tc>
                <w:tcPr>
                  <w:tcW w:w="756" w:type="pct"/>
                  <w:vAlign w:val="center"/>
                </w:tcPr>
                <w:p>
                  <w:pPr>
                    <w:pStyle w:val="74"/>
                    <w:rPr>
                      <w:sz w:val="21"/>
                      <w:szCs w:val="21"/>
                    </w:rPr>
                  </w:pPr>
                  <w:r>
                    <w:rPr>
                      <w:sz w:val="21"/>
                      <w:szCs w:val="21"/>
                    </w:rPr>
                    <w:t>产量</w:t>
                  </w:r>
                </w:p>
              </w:tc>
              <w:tc>
                <w:tcPr>
                  <w:tcW w:w="1219" w:type="dxa"/>
                  <w:vAlign w:val="center"/>
                </w:tcPr>
                <w:p>
                  <w:pPr>
                    <w:pStyle w:val="74"/>
                    <w:rPr>
                      <w:sz w:val="21"/>
                      <w:szCs w:val="21"/>
                    </w:rPr>
                  </w:pPr>
                  <w:r>
                    <w:rPr>
                      <w:sz w:val="21"/>
                      <w:szCs w:val="21"/>
                    </w:rPr>
                    <w:t>产品名称</w:t>
                  </w:r>
                </w:p>
              </w:tc>
              <w:tc>
                <w:tcPr>
                  <w:tcW w:w="1221" w:type="dxa"/>
                  <w:vAlign w:val="center"/>
                </w:tcPr>
                <w:p>
                  <w:pPr>
                    <w:pStyle w:val="74"/>
                    <w:rPr>
                      <w:sz w:val="21"/>
                      <w:szCs w:val="21"/>
                    </w:rPr>
                  </w:pPr>
                  <w:r>
                    <w:rPr>
                      <w:sz w:val="21"/>
                      <w:szCs w:val="21"/>
                    </w:rPr>
                    <w:t>产量</w:t>
                  </w:r>
                </w:p>
              </w:tc>
              <w:tc>
                <w:tcPr>
                  <w:tcW w:w="1403" w:type="pct"/>
                  <w:vMerge w:val="continue"/>
                  <w:vAlign w:val="center"/>
                </w:tcPr>
                <w:p>
                  <w:pPr>
                    <w:pStyle w:val="74"/>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570" w:type="pct"/>
                  <w:vAlign w:val="center"/>
                </w:tcPr>
                <w:p>
                  <w:pPr>
                    <w:pStyle w:val="74"/>
                    <w:rPr>
                      <w:sz w:val="21"/>
                      <w:szCs w:val="21"/>
                    </w:rPr>
                  </w:pPr>
                  <w:r>
                    <w:rPr>
                      <w:rFonts w:hint="eastAsia"/>
                      <w:sz w:val="21"/>
                      <w:szCs w:val="21"/>
                    </w:rPr>
                    <w:t>1</w:t>
                  </w:r>
                </w:p>
              </w:tc>
              <w:tc>
                <w:tcPr>
                  <w:tcW w:w="756" w:type="pct"/>
                  <w:vAlign w:val="center"/>
                </w:tcPr>
                <w:p>
                  <w:pPr>
                    <w:pStyle w:val="74"/>
                    <w:rPr>
                      <w:sz w:val="21"/>
                      <w:szCs w:val="21"/>
                    </w:rPr>
                  </w:pPr>
                  <w:r>
                    <w:rPr>
                      <w:rFonts w:hint="eastAsia"/>
                      <w:sz w:val="21"/>
                      <w:szCs w:val="21"/>
                    </w:rPr>
                    <w:t>集装袋</w:t>
                  </w:r>
                </w:p>
              </w:tc>
              <w:tc>
                <w:tcPr>
                  <w:tcW w:w="756" w:type="pct"/>
                  <w:vAlign w:val="center"/>
                </w:tcPr>
                <w:p>
                  <w:pPr>
                    <w:pStyle w:val="74"/>
                    <w:rPr>
                      <w:sz w:val="21"/>
                      <w:szCs w:val="21"/>
                    </w:rPr>
                  </w:pPr>
                  <w:r>
                    <w:rPr>
                      <w:rFonts w:hint="eastAsia"/>
                      <w:sz w:val="21"/>
                      <w:szCs w:val="21"/>
                    </w:rPr>
                    <w:t>100万个</w:t>
                  </w:r>
                </w:p>
              </w:tc>
              <w:tc>
                <w:tcPr>
                  <w:tcW w:w="1219" w:type="dxa"/>
                  <w:vAlign w:val="center"/>
                </w:tcPr>
                <w:p>
                  <w:pPr>
                    <w:pStyle w:val="74"/>
                    <w:rPr>
                      <w:sz w:val="21"/>
                      <w:szCs w:val="21"/>
                    </w:rPr>
                  </w:pPr>
                  <w:r>
                    <w:rPr>
                      <w:rFonts w:hint="eastAsia"/>
                      <w:sz w:val="21"/>
                      <w:szCs w:val="21"/>
                    </w:rPr>
                    <w:t>集装袋</w:t>
                  </w:r>
                </w:p>
              </w:tc>
              <w:tc>
                <w:tcPr>
                  <w:tcW w:w="1221" w:type="dxa"/>
                  <w:vAlign w:val="center"/>
                </w:tcPr>
                <w:p>
                  <w:pPr>
                    <w:pStyle w:val="74"/>
                    <w:rPr>
                      <w:sz w:val="21"/>
                      <w:szCs w:val="21"/>
                    </w:rPr>
                  </w:pPr>
                  <w:r>
                    <w:rPr>
                      <w:rFonts w:hint="eastAsia"/>
                      <w:sz w:val="21"/>
                      <w:szCs w:val="21"/>
                    </w:rPr>
                    <w:t>100万个</w:t>
                  </w:r>
                </w:p>
              </w:tc>
              <w:tc>
                <w:tcPr>
                  <w:tcW w:w="1403" w:type="pct"/>
                  <w:vAlign w:val="center"/>
                </w:tcPr>
                <w:p>
                  <w:pPr>
                    <w:pStyle w:val="74"/>
                    <w:rPr>
                      <w:sz w:val="21"/>
                      <w:szCs w:val="21"/>
                    </w:rPr>
                  </w:pPr>
                  <w:r>
                    <w:rPr>
                      <w:rFonts w:hint="eastAsia"/>
                      <w:sz w:val="21"/>
                      <w:szCs w:val="21"/>
                    </w:rPr>
                    <w:t>外售</w:t>
                  </w:r>
                </w:p>
              </w:tc>
            </w:tr>
          </w:tbl>
          <w:p/>
          <w:p>
            <w:pPr>
              <w:pStyle w:val="2"/>
              <w:spacing w:before="120" w:beforeLines="50" w:line="360" w:lineRule="auto"/>
              <w:ind w:firstLine="0" w:firstLineChars="0"/>
              <w:jc w:val="left"/>
              <w:rPr>
                <w:sz w:val="24"/>
                <w:szCs w:val="24"/>
              </w:rPr>
            </w:pPr>
            <w:r>
              <w:rPr>
                <w:sz w:val="24"/>
                <w:szCs w:val="24"/>
              </w:rPr>
              <w:t xml:space="preserve">2.2 </w:t>
            </w:r>
            <w:r>
              <w:rPr>
                <w:rFonts w:eastAsia="黑体"/>
                <w:sz w:val="24"/>
                <w:szCs w:val="24"/>
              </w:rPr>
              <w:t>主要设施及设施参数</w:t>
            </w:r>
          </w:p>
          <w:p>
            <w:pPr>
              <w:pStyle w:val="2"/>
              <w:spacing w:line="360" w:lineRule="auto"/>
              <w:ind w:firstLine="480"/>
              <w:jc w:val="left"/>
              <w:rPr>
                <w:sz w:val="24"/>
                <w:szCs w:val="24"/>
              </w:rPr>
            </w:pPr>
            <w:r>
              <w:rPr>
                <w:sz w:val="24"/>
                <w:szCs w:val="24"/>
              </w:rPr>
              <w:t>本项目主要设施及设施参数见下表。</w:t>
            </w:r>
          </w:p>
          <w:p>
            <w:pPr>
              <w:pStyle w:val="2"/>
              <w:spacing w:line="480" w:lineRule="exact"/>
              <w:ind w:firstLine="480"/>
              <w:jc w:val="center"/>
              <w:rPr>
                <w:rFonts w:eastAsia="黑体"/>
                <w:sz w:val="24"/>
                <w:szCs w:val="24"/>
                <w:u w:val="single"/>
              </w:rPr>
            </w:pPr>
            <w:r>
              <w:rPr>
                <w:rFonts w:eastAsia="黑体"/>
                <w:sz w:val="24"/>
                <w:szCs w:val="24"/>
                <w:u w:val="single"/>
              </w:rPr>
              <w:t>表2-3  主要生产设施及设施参数一览表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70"/>
              <w:gridCol w:w="743"/>
              <w:gridCol w:w="743"/>
              <w:gridCol w:w="1028"/>
              <w:gridCol w:w="2357"/>
              <w:gridCol w:w="94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trPr>
              <w:tc>
                <w:tcPr>
                  <w:tcW w:w="466" w:type="dxa"/>
                  <w:vMerge w:val="restart"/>
                  <w:vAlign w:val="center"/>
                </w:tcPr>
                <w:p>
                  <w:pPr>
                    <w:pStyle w:val="2"/>
                    <w:spacing w:line="360" w:lineRule="exact"/>
                    <w:ind w:firstLine="0" w:firstLineChars="0"/>
                    <w:jc w:val="center"/>
                    <w:rPr>
                      <w:u w:val="single"/>
                    </w:rPr>
                  </w:pPr>
                  <w:r>
                    <w:rPr>
                      <w:rFonts w:hint="eastAsia"/>
                      <w:u w:val="single"/>
                    </w:rPr>
                    <w:t>序号</w:t>
                  </w:r>
                </w:p>
              </w:tc>
              <w:tc>
                <w:tcPr>
                  <w:tcW w:w="2456" w:type="dxa"/>
                  <w:gridSpan w:val="3"/>
                  <w:vAlign w:val="center"/>
                </w:tcPr>
                <w:p>
                  <w:pPr>
                    <w:pStyle w:val="2"/>
                    <w:spacing w:line="360" w:lineRule="exact"/>
                    <w:ind w:firstLine="0" w:firstLineChars="0"/>
                    <w:jc w:val="center"/>
                    <w:rPr>
                      <w:u w:val="single"/>
                    </w:rPr>
                  </w:pPr>
                  <w:r>
                    <w:rPr>
                      <w:rFonts w:hint="eastAsia"/>
                      <w:u w:val="single"/>
                    </w:rPr>
                    <w:t>改建前</w:t>
                  </w:r>
                </w:p>
              </w:tc>
              <w:tc>
                <w:tcPr>
                  <w:tcW w:w="4328" w:type="dxa"/>
                  <w:gridSpan w:val="3"/>
                  <w:vAlign w:val="center"/>
                </w:tcPr>
                <w:p>
                  <w:pPr>
                    <w:pStyle w:val="2"/>
                    <w:spacing w:line="360" w:lineRule="exact"/>
                    <w:ind w:firstLine="0" w:firstLineChars="0"/>
                    <w:jc w:val="center"/>
                    <w:rPr>
                      <w:u w:val="single"/>
                    </w:rPr>
                  </w:pPr>
                  <w:r>
                    <w:rPr>
                      <w:rFonts w:hint="eastAsia"/>
                      <w:u w:val="single"/>
                    </w:rPr>
                    <w:t>改建后</w:t>
                  </w:r>
                </w:p>
              </w:tc>
              <w:tc>
                <w:tcPr>
                  <w:tcW w:w="810" w:type="dxa"/>
                  <w:vMerge w:val="restart"/>
                  <w:vAlign w:val="center"/>
                </w:tcPr>
                <w:p>
                  <w:pPr>
                    <w:pStyle w:val="2"/>
                    <w:spacing w:line="360" w:lineRule="exact"/>
                    <w:ind w:firstLine="0" w:firstLineChars="0"/>
                    <w:jc w:val="center"/>
                    <w:rPr>
                      <w:u w:val="single"/>
                    </w:rPr>
                  </w:pPr>
                  <w:r>
                    <w:rPr>
                      <w:rFonts w:hint="eastAsia"/>
                      <w:u w:val="single"/>
                    </w:rPr>
                    <w:t>合计（台）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66" w:type="dxa"/>
                  <w:vMerge w:val="continue"/>
                  <w:vAlign w:val="center"/>
                </w:tcPr>
                <w:p>
                  <w:pPr>
                    <w:pStyle w:val="2"/>
                    <w:spacing w:line="360" w:lineRule="exact"/>
                    <w:ind w:firstLine="0" w:firstLineChars="0"/>
                    <w:jc w:val="center"/>
                    <w:rPr>
                      <w:u w:val="single"/>
                    </w:rPr>
                  </w:pPr>
                </w:p>
              </w:tc>
              <w:tc>
                <w:tcPr>
                  <w:tcW w:w="970" w:type="dxa"/>
                  <w:vAlign w:val="center"/>
                </w:tcPr>
                <w:p>
                  <w:pPr>
                    <w:pStyle w:val="2"/>
                    <w:spacing w:line="360" w:lineRule="exact"/>
                    <w:ind w:firstLine="0" w:firstLineChars="0"/>
                    <w:jc w:val="center"/>
                    <w:rPr>
                      <w:u w:val="single"/>
                    </w:rPr>
                  </w:pPr>
                  <w:r>
                    <w:rPr>
                      <w:u w:val="single"/>
                    </w:rPr>
                    <w:t>主要生产设施</w:t>
                  </w:r>
                </w:p>
              </w:tc>
              <w:tc>
                <w:tcPr>
                  <w:tcW w:w="743" w:type="dxa"/>
                  <w:vAlign w:val="center"/>
                </w:tcPr>
                <w:p>
                  <w:pPr>
                    <w:pStyle w:val="2"/>
                    <w:spacing w:line="360" w:lineRule="exact"/>
                    <w:ind w:firstLine="0" w:firstLineChars="0"/>
                    <w:jc w:val="center"/>
                    <w:rPr>
                      <w:u w:val="single"/>
                    </w:rPr>
                  </w:pPr>
                  <w:r>
                    <w:rPr>
                      <w:u w:val="single"/>
                    </w:rPr>
                    <w:t>设施参数</w:t>
                  </w:r>
                </w:p>
              </w:tc>
              <w:tc>
                <w:tcPr>
                  <w:tcW w:w="743" w:type="dxa"/>
                  <w:vAlign w:val="center"/>
                </w:tcPr>
                <w:p>
                  <w:pPr>
                    <w:pStyle w:val="2"/>
                    <w:spacing w:line="360" w:lineRule="exact"/>
                    <w:ind w:firstLine="0" w:firstLineChars="0"/>
                    <w:jc w:val="center"/>
                    <w:rPr>
                      <w:u w:val="single"/>
                    </w:rPr>
                  </w:pPr>
                  <w:r>
                    <w:rPr>
                      <w:rFonts w:hint="eastAsia"/>
                      <w:u w:val="single"/>
                    </w:rPr>
                    <w:t>数量（台）</w:t>
                  </w:r>
                </w:p>
              </w:tc>
              <w:tc>
                <w:tcPr>
                  <w:tcW w:w="1028" w:type="dxa"/>
                  <w:vAlign w:val="center"/>
                </w:tcPr>
                <w:p>
                  <w:pPr>
                    <w:pStyle w:val="2"/>
                    <w:spacing w:line="360" w:lineRule="exact"/>
                    <w:ind w:firstLine="0" w:firstLineChars="0"/>
                    <w:jc w:val="center"/>
                    <w:rPr>
                      <w:u w:val="single"/>
                    </w:rPr>
                  </w:pPr>
                  <w:r>
                    <w:rPr>
                      <w:u w:val="single"/>
                    </w:rPr>
                    <w:t>主要生产设施</w:t>
                  </w:r>
                </w:p>
              </w:tc>
              <w:tc>
                <w:tcPr>
                  <w:tcW w:w="2357" w:type="dxa"/>
                  <w:vAlign w:val="center"/>
                </w:tcPr>
                <w:p>
                  <w:pPr>
                    <w:pStyle w:val="2"/>
                    <w:spacing w:line="360" w:lineRule="exact"/>
                    <w:ind w:firstLine="0" w:firstLineChars="0"/>
                    <w:jc w:val="center"/>
                    <w:rPr>
                      <w:u w:val="single"/>
                    </w:rPr>
                  </w:pPr>
                  <w:r>
                    <w:rPr>
                      <w:u w:val="single"/>
                    </w:rPr>
                    <w:t>设施参数</w:t>
                  </w:r>
                </w:p>
              </w:tc>
              <w:tc>
                <w:tcPr>
                  <w:tcW w:w="943" w:type="dxa"/>
                  <w:vAlign w:val="center"/>
                </w:tcPr>
                <w:p>
                  <w:pPr>
                    <w:pStyle w:val="2"/>
                    <w:spacing w:line="360" w:lineRule="exact"/>
                    <w:ind w:firstLine="0" w:firstLineChars="0"/>
                    <w:jc w:val="center"/>
                    <w:rPr>
                      <w:u w:val="single"/>
                    </w:rPr>
                  </w:pPr>
                  <w:r>
                    <w:rPr>
                      <w:rFonts w:hint="eastAsia"/>
                      <w:u w:val="single"/>
                    </w:rPr>
                    <w:t>数量（台）</w:t>
                  </w:r>
                </w:p>
              </w:tc>
              <w:tc>
                <w:tcPr>
                  <w:tcW w:w="810" w:type="dxa"/>
                  <w:vMerge w:val="continue"/>
                  <w:vAlign w:val="center"/>
                </w:tcPr>
                <w:p>
                  <w:pPr>
                    <w:pStyle w:val="2"/>
                    <w:spacing w:line="360" w:lineRule="exact"/>
                    <w:ind w:firstLine="0" w:firstLineChars="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1</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裁布机</w:t>
                  </w:r>
                </w:p>
              </w:tc>
              <w:tc>
                <w:tcPr>
                  <w:tcW w:w="2357" w:type="dxa"/>
                  <w:vAlign w:val="center"/>
                </w:tcPr>
                <w:p>
                  <w:pPr>
                    <w:jc w:val="center"/>
                    <w:rPr>
                      <w:u w:val="single"/>
                    </w:rPr>
                  </w:pPr>
                  <w:r>
                    <w:rPr>
                      <w:rFonts w:hint="eastAsia"/>
                      <w:u w:val="single"/>
                    </w:rPr>
                    <w:t>2400（热切，2.8m×1.9m）</w:t>
                  </w:r>
                </w:p>
              </w:tc>
              <w:tc>
                <w:tcPr>
                  <w:tcW w:w="943" w:type="dxa"/>
                  <w:vAlign w:val="center"/>
                </w:tcPr>
                <w:p>
                  <w:pPr>
                    <w:jc w:val="center"/>
                    <w:rPr>
                      <w:u w:val="single"/>
                    </w:rPr>
                  </w:pPr>
                  <w:r>
                    <w:rPr>
                      <w:rFonts w:hint="eastAsia"/>
                      <w:u w:val="single"/>
                    </w:rPr>
                    <w:t>3</w:t>
                  </w:r>
                </w:p>
              </w:tc>
              <w:tc>
                <w:tcPr>
                  <w:tcW w:w="810" w:type="dxa"/>
                  <w:vAlign w:val="center"/>
                </w:tcPr>
                <w:p>
                  <w:pPr>
                    <w:jc w:val="center"/>
                    <w:rPr>
                      <w:u w:val="single"/>
                    </w:rPr>
                  </w:pPr>
                  <w:r>
                    <w:rPr>
                      <w:rFonts w:hint="eastAsia"/>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2</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裁带机</w:t>
                  </w:r>
                </w:p>
              </w:tc>
              <w:tc>
                <w:tcPr>
                  <w:tcW w:w="2357" w:type="dxa"/>
                  <w:vAlign w:val="center"/>
                </w:tcPr>
                <w:p>
                  <w:pPr>
                    <w:jc w:val="center"/>
                    <w:rPr>
                      <w:u w:val="single"/>
                    </w:rPr>
                  </w:pPr>
                  <w:r>
                    <w:rPr>
                      <w:rFonts w:hint="eastAsia"/>
                      <w:u w:val="single"/>
                    </w:rPr>
                    <w:t>XH4-6（热切，1.15m×0.6m）</w:t>
                  </w:r>
                </w:p>
              </w:tc>
              <w:tc>
                <w:tcPr>
                  <w:tcW w:w="943" w:type="dxa"/>
                  <w:vAlign w:val="center"/>
                </w:tcPr>
                <w:p>
                  <w:pPr>
                    <w:jc w:val="center"/>
                    <w:rPr>
                      <w:u w:val="single"/>
                    </w:rPr>
                  </w:pPr>
                  <w:r>
                    <w:rPr>
                      <w:rFonts w:hint="eastAsia"/>
                      <w:u w:val="single"/>
                    </w:rPr>
                    <w:t>2</w:t>
                  </w:r>
                </w:p>
              </w:tc>
              <w:tc>
                <w:tcPr>
                  <w:tcW w:w="810" w:type="dxa"/>
                  <w:vAlign w:val="center"/>
                </w:tcPr>
                <w:p>
                  <w:pPr>
                    <w:jc w:val="center"/>
                    <w:rPr>
                      <w:u w:val="single"/>
                    </w:rPr>
                  </w:pPr>
                  <w:r>
                    <w:rPr>
                      <w:rFonts w:hint="eastAsia"/>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3</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印刷机</w:t>
                  </w:r>
                </w:p>
              </w:tc>
              <w:tc>
                <w:tcPr>
                  <w:tcW w:w="2357" w:type="dxa"/>
                  <w:vAlign w:val="center"/>
                </w:tcPr>
                <w:p>
                  <w:pPr>
                    <w:jc w:val="center"/>
                    <w:rPr>
                      <w:u w:val="single"/>
                    </w:rPr>
                  </w:pPr>
                  <w:r>
                    <w:rPr>
                      <w:rFonts w:hint="eastAsia"/>
                      <w:u w:val="single"/>
                    </w:rPr>
                    <w:t>PA-09（3.4m×2.4m）</w:t>
                  </w:r>
                </w:p>
              </w:tc>
              <w:tc>
                <w:tcPr>
                  <w:tcW w:w="943" w:type="dxa"/>
                  <w:vAlign w:val="center"/>
                </w:tcPr>
                <w:p>
                  <w:pPr>
                    <w:jc w:val="center"/>
                    <w:rPr>
                      <w:u w:val="single"/>
                    </w:rPr>
                  </w:pPr>
                  <w:r>
                    <w:rPr>
                      <w:rFonts w:hint="eastAsia"/>
                      <w:u w:val="single"/>
                    </w:rPr>
                    <w:t>2</w:t>
                  </w:r>
                </w:p>
              </w:tc>
              <w:tc>
                <w:tcPr>
                  <w:tcW w:w="810" w:type="dxa"/>
                  <w:vAlign w:val="center"/>
                </w:tcPr>
                <w:p>
                  <w:pPr>
                    <w:jc w:val="center"/>
                    <w:rPr>
                      <w:u w:val="single"/>
                    </w:rPr>
                  </w:pPr>
                  <w:r>
                    <w:rPr>
                      <w:rFonts w:hint="eastAsia"/>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4</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卷布机</w:t>
                  </w:r>
                </w:p>
              </w:tc>
              <w:tc>
                <w:tcPr>
                  <w:tcW w:w="2357" w:type="dxa"/>
                  <w:vAlign w:val="center"/>
                </w:tcPr>
                <w:p>
                  <w:pPr>
                    <w:jc w:val="center"/>
                    <w:rPr>
                      <w:u w:val="single"/>
                    </w:rPr>
                  </w:pPr>
                  <w:r>
                    <w:rPr>
                      <w:rFonts w:hint="eastAsia"/>
                      <w:u w:val="single"/>
                    </w:rPr>
                    <w:t>3*1.3*1.8</w:t>
                  </w:r>
                </w:p>
              </w:tc>
              <w:tc>
                <w:tcPr>
                  <w:tcW w:w="943" w:type="dxa"/>
                  <w:vAlign w:val="center"/>
                </w:tcPr>
                <w:p>
                  <w:pPr>
                    <w:jc w:val="center"/>
                    <w:rPr>
                      <w:u w:val="single"/>
                    </w:rPr>
                  </w:pPr>
                  <w:r>
                    <w:rPr>
                      <w:rFonts w:hint="eastAsia"/>
                      <w:u w:val="single"/>
                    </w:rPr>
                    <w:t>1</w:t>
                  </w:r>
                </w:p>
              </w:tc>
              <w:tc>
                <w:tcPr>
                  <w:tcW w:w="810" w:type="dxa"/>
                  <w:vAlign w:val="center"/>
                </w:tcPr>
                <w:p>
                  <w:pPr>
                    <w:jc w:val="center"/>
                    <w:rPr>
                      <w:u w:val="single"/>
                    </w:rPr>
                  </w:pPr>
                  <w:r>
                    <w:rPr>
                      <w:rFonts w:hint="eastAsia"/>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5</w:t>
                  </w:r>
                </w:p>
              </w:tc>
              <w:tc>
                <w:tcPr>
                  <w:tcW w:w="970" w:type="dxa"/>
                  <w:vAlign w:val="center"/>
                </w:tcPr>
                <w:p>
                  <w:pPr>
                    <w:jc w:val="center"/>
                    <w:rPr>
                      <w:szCs w:val="21"/>
                      <w:u w:val="single"/>
                    </w:rPr>
                  </w:pPr>
                  <w:r>
                    <w:rPr>
                      <w:rFonts w:hint="eastAsia"/>
                      <w:u w:val="single"/>
                    </w:rPr>
                    <w:t>/</w:t>
                  </w:r>
                </w:p>
              </w:tc>
              <w:tc>
                <w:tcPr>
                  <w:tcW w:w="743" w:type="dxa"/>
                  <w:vAlign w:val="center"/>
                </w:tcPr>
                <w:p>
                  <w:pPr>
                    <w:jc w:val="center"/>
                    <w:rPr>
                      <w:szCs w:val="21"/>
                      <w:u w:val="single"/>
                    </w:rPr>
                  </w:pPr>
                  <w:r>
                    <w:rPr>
                      <w:rFonts w:hint="eastAsia"/>
                      <w:u w:val="single"/>
                    </w:rPr>
                    <w:t>/</w:t>
                  </w:r>
                </w:p>
              </w:tc>
              <w:tc>
                <w:tcPr>
                  <w:tcW w:w="743" w:type="dxa"/>
                  <w:vAlign w:val="center"/>
                </w:tcPr>
                <w:p>
                  <w:pPr>
                    <w:jc w:val="center"/>
                    <w:rPr>
                      <w:szCs w:val="21"/>
                      <w:u w:val="single"/>
                    </w:rPr>
                  </w:pPr>
                  <w:r>
                    <w:rPr>
                      <w:rFonts w:hint="eastAsia"/>
                      <w:u w:val="single"/>
                    </w:rPr>
                    <w:t>/</w:t>
                  </w:r>
                </w:p>
              </w:tc>
              <w:tc>
                <w:tcPr>
                  <w:tcW w:w="1028" w:type="dxa"/>
                  <w:vAlign w:val="center"/>
                </w:tcPr>
                <w:p>
                  <w:pPr>
                    <w:jc w:val="center"/>
                    <w:rPr>
                      <w:u w:val="single"/>
                    </w:rPr>
                  </w:pPr>
                  <w:r>
                    <w:rPr>
                      <w:rFonts w:hint="eastAsia"/>
                      <w:u w:val="single"/>
                    </w:rPr>
                    <w:t>下料台</w:t>
                  </w:r>
                </w:p>
              </w:tc>
              <w:tc>
                <w:tcPr>
                  <w:tcW w:w="2357" w:type="dxa"/>
                  <w:vAlign w:val="center"/>
                </w:tcPr>
                <w:p>
                  <w:pPr>
                    <w:jc w:val="center"/>
                    <w:rPr>
                      <w:u w:val="single"/>
                    </w:rPr>
                  </w:pPr>
                  <w:r>
                    <w:rPr>
                      <w:rFonts w:hint="eastAsia"/>
                      <w:u w:val="single"/>
                    </w:rPr>
                    <w:t>10.9*2.4*0.65</w:t>
                  </w:r>
                </w:p>
              </w:tc>
              <w:tc>
                <w:tcPr>
                  <w:tcW w:w="943" w:type="dxa"/>
                  <w:vAlign w:val="center"/>
                </w:tcPr>
                <w:p>
                  <w:pPr>
                    <w:jc w:val="center"/>
                    <w:rPr>
                      <w:u w:val="single"/>
                    </w:rPr>
                  </w:pPr>
                  <w:r>
                    <w:rPr>
                      <w:rFonts w:hint="eastAsia"/>
                      <w:u w:val="single"/>
                    </w:rPr>
                    <w:t>1</w:t>
                  </w:r>
                </w:p>
              </w:tc>
              <w:tc>
                <w:tcPr>
                  <w:tcW w:w="810" w:type="dxa"/>
                  <w:vAlign w:val="center"/>
                </w:tcPr>
                <w:p>
                  <w:pPr>
                    <w:jc w:val="center"/>
                    <w:rPr>
                      <w:u w:val="single"/>
                    </w:rPr>
                  </w:pPr>
                  <w:r>
                    <w:rPr>
                      <w:rFonts w:hint="eastAsia"/>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6</w:t>
                  </w:r>
                </w:p>
              </w:tc>
              <w:tc>
                <w:tcPr>
                  <w:tcW w:w="970" w:type="dxa"/>
                  <w:vAlign w:val="center"/>
                </w:tcPr>
                <w:p>
                  <w:pPr>
                    <w:jc w:val="center"/>
                    <w:rPr>
                      <w:szCs w:val="21"/>
                      <w:u w:val="single"/>
                    </w:rPr>
                  </w:pPr>
                  <w:r>
                    <w:rPr>
                      <w:rFonts w:hint="eastAsia"/>
                      <w:u w:val="single"/>
                    </w:rPr>
                    <w:t>/</w:t>
                  </w:r>
                </w:p>
              </w:tc>
              <w:tc>
                <w:tcPr>
                  <w:tcW w:w="743" w:type="dxa"/>
                  <w:vAlign w:val="center"/>
                </w:tcPr>
                <w:p>
                  <w:pPr>
                    <w:jc w:val="center"/>
                    <w:rPr>
                      <w:szCs w:val="21"/>
                      <w:u w:val="single"/>
                    </w:rPr>
                  </w:pPr>
                  <w:r>
                    <w:rPr>
                      <w:rFonts w:hint="eastAsia"/>
                      <w:u w:val="single"/>
                    </w:rPr>
                    <w:t>/</w:t>
                  </w:r>
                </w:p>
              </w:tc>
              <w:tc>
                <w:tcPr>
                  <w:tcW w:w="743" w:type="dxa"/>
                  <w:vAlign w:val="center"/>
                </w:tcPr>
                <w:p>
                  <w:pPr>
                    <w:jc w:val="center"/>
                    <w:rPr>
                      <w:szCs w:val="21"/>
                      <w:u w:val="single"/>
                    </w:rPr>
                  </w:pPr>
                  <w:r>
                    <w:rPr>
                      <w:rFonts w:hint="eastAsia"/>
                      <w:u w:val="single"/>
                    </w:rPr>
                    <w:t>/</w:t>
                  </w:r>
                </w:p>
              </w:tc>
              <w:tc>
                <w:tcPr>
                  <w:tcW w:w="1028" w:type="dxa"/>
                  <w:vAlign w:val="center"/>
                </w:tcPr>
                <w:p>
                  <w:pPr>
                    <w:jc w:val="center"/>
                    <w:rPr>
                      <w:u w:val="single"/>
                    </w:rPr>
                  </w:pPr>
                  <w:r>
                    <w:rPr>
                      <w:rFonts w:hint="eastAsia"/>
                      <w:u w:val="single"/>
                    </w:rPr>
                    <w:t>电裁剪</w:t>
                  </w:r>
                </w:p>
              </w:tc>
              <w:tc>
                <w:tcPr>
                  <w:tcW w:w="2357" w:type="dxa"/>
                  <w:vAlign w:val="center"/>
                </w:tcPr>
                <w:p>
                  <w:pPr>
                    <w:jc w:val="center"/>
                    <w:rPr>
                      <w:u w:val="single"/>
                    </w:rPr>
                  </w:pPr>
                  <w:r>
                    <w:rPr>
                      <w:rFonts w:hint="eastAsia"/>
                      <w:u w:val="single"/>
                    </w:rPr>
                    <w:t>C-800A</w:t>
                  </w:r>
                </w:p>
              </w:tc>
              <w:tc>
                <w:tcPr>
                  <w:tcW w:w="943" w:type="dxa"/>
                  <w:vAlign w:val="center"/>
                </w:tcPr>
                <w:p>
                  <w:pPr>
                    <w:jc w:val="center"/>
                    <w:rPr>
                      <w:u w:val="single"/>
                    </w:rPr>
                  </w:pPr>
                  <w:r>
                    <w:rPr>
                      <w:rFonts w:hint="eastAsia"/>
                      <w:u w:val="single"/>
                    </w:rPr>
                    <w:t>5</w:t>
                  </w:r>
                </w:p>
              </w:tc>
              <w:tc>
                <w:tcPr>
                  <w:tcW w:w="810" w:type="dxa"/>
                  <w:vAlign w:val="center"/>
                </w:tcPr>
                <w:p>
                  <w:pPr>
                    <w:jc w:val="center"/>
                    <w:rPr>
                      <w:u w:val="single"/>
                    </w:rPr>
                  </w:pPr>
                  <w:r>
                    <w:rPr>
                      <w:rFonts w:hint="eastAsia"/>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7</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缝纫机</w:t>
                  </w:r>
                </w:p>
              </w:tc>
              <w:tc>
                <w:tcPr>
                  <w:tcW w:w="2357" w:type="dxa"/>
                  <w:vAlign w:val="center"/>
                </w:tcPr>
                <w:p>
                  <w:pPr>
                    <w:jc w:val="center"/>
                    <w:rPr>
                      <w:u w:val="single"/>
                    </w:rPr>
                  </w:pPr>
                  <w:r>
                    <w:rPr>
                      <w:rFonts w:hint="eastAsia"/>
                      <w:u w:val="single"/>
                    </w:rPr>
                    <w:t>GSC3672TM</w:t>
                  </w:r>
                </w:p>
              </w:tc>
              <w:tc>
                <w:tcPr>
                  <w:tcW w:w="943" w:type="dxa"/>
                  <w:vAlign w:val="center"/>
                </w:tcPr>
                <w:p>
                  <w:pPr>
                    <w:jc w:val="center"/>
                    <w:rPr>
                      <w:u w:val="single"/>
                    </w:rPr>
                  </w:pPr>
                  <w:r>
                    <w:rPr>
                      <w:rFonts w:hint="eastAsia"/>
                      <w:u w:val="single"/>
                    </w:rPr>
                    <w:t>50</w:t>
                  </w:r>
                </w:p>
              </w:tc>
              <w:tc>
                <w:tcPr>
                  <w:tcW w:w="810" w:type="dxa"/>
                  <w:vAlign w:val="center"/>
                </w:tcPr>
                <w:p>
                  <w:pPr>
                    <w:jc w:val="center"/>
                    <w:rPr>
                      <w:u w:val="single"/>
                    </w:rPr>
                  </w:pPr>
                  <w:r>
                    <w:rPr>
                      <w:rFonts w:hint="eastAsia"/>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8</w:t>
                  </w:r>
                </w:p>
              </w:tc>
              <w:tc>
                <w:tcPr>
                  <w:tcW w:w="970"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743" w:type="dxa"/>
                  <w:vAlign w:val="center"/>
                </w:tcPr>
                <w:p>
                  <w:pPr>
                    <w:jc w:val="center"/>
                    <w:rPr>
                      <w:u w:val="single"/>
                    </w:rPr>
                  </w:pPr>
                  <w:r>
                    <w:rPr>
                      <w:rFonts w:hint="eastAsia"/>
                      <w:u w:val="single"/>
                    </w:rPr>
                    <w:t>/</w:t>
                  </w:r>
                </w:p>
              </w:tc>
              <w:tc>
                <w:tcPr>
                  <w:tcW w:w="1028" w:type="dxa"/>
                  <w:vAlign w:val="center"/>
                </w:tcPr>
                <w:p>
                  <w:pPr>
                    <w:jc w:val="center"/>
                    <w:rPr>
                      <w:u w:val="single"/>
                    </w:rPr>
                  </w:pPr>
                  <w:r>
                    <w:rPr>
                      <w:rFonts w:hint="eastAsia"/>
                      <w:u w:val="single"/>
                    </w:rPr>
                    <w:t>清扫机</w:t>
                  </w:r>
                </w:p>
              </w:tc>
              <w:tc>
                <w:tcPr>
                  <w:tcW w:w="2357" w:type="dxa"/>
                  <w:vAlign w:val="center"/>
                </w:tcPr>
                <w:p>
                  <w:pPr>
                    <w:jc w:val="center"/>
                    <w:rPr>
                      <w:u w:val="single"/>
                    </w:rPr>
                  </w:pPr>
                  <w:r>
                    <w:rPr>
                      <w:rFonts w:hint="eastAsia"/>
                      <w:u w:val="single"/>
                    </w:rPr>
                    <w:t>Q7T-A</w:t>
                  </w:r>
                </w:p>
              </w:tc>
              <w:tc>
                <w:tcPr>
                  <w:tcW w:w="943" w:type="dxa"/>
                  <w:vAlign w:val="center"/>
                </w:tcPr>
                <w:p>
                  <w:pPr>
                    <w:jc w:val="center"/>
                    <w:rPr>
                      <w:u w:val="single"/>
                    </w:rPr>
                  </w:pPr>
                  <w:r>
                    <w:rPr>
                      <w:rFonts w:hint="eastAsia"/>
                      <w:u w:val="single"/>
                    </w:rPr>
                    <w:t>1</w:t>
                  </w:r>
                </w:p>
              </w:tc>
              <w:tc>
                <w:tcPr>
                  <w:tcW w:w="810" w:type="dxa"/>
                  <w:vAlign w:val="center"/>
                </w:tcPr>
                <w:p>
                  <w:pPr>
                    <w:jc w:val="center"/>
                    <w:rPr>
                      <w:u w:val="single"/>
                    </w:rPr>
                  </w:pPr>
                  <w:r>
                    <w:rPr>
                      <w:rFonts w:hint="eastAsia"/>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9</w:t>
                  </w:r>
                </w:p>
              </w:tc>
              <w:tc>
                <w:tcPr>
                  <w:tcW w:w="970" w:type="dxa"/>
                  <w:vAlign w:val="center"/>
                </w:tcPr>
                <w:p>
                  <w:pPr>
                    <w:jc w:val="center"/>
                    <w:rPr>
                      <w:color w:val="000000"/>
                      <w:kern w:val="0"/>
                      <w:szCs w:val="21"/>
                      <w:u w:val="single"/>
                    </w:rPr>
                  </w:pPr>
                  <w:r>
                    <w:rPr>
                      <w:rFonts w:hint="eastAsia"/>
                      <w:u w:val="single"/>
                    </w:rPr>
                    <w:t>/</w:t>
                  </w:r>
                </w:p>
              </w:tc>
              <w:tc>
                <w:tcPr>
                  <w:tcW w:w="743" w:type="dxa"/>
                  <w:vAlign w:val="center"/>
                </w:tcPr>
                <w:p>
                  <w:pPr>
                    <w:jc w:val="center"/>
                    <w:rPr>
                      <w:color w:val="000000"/>
                      <w:kern w:val="0"/>
                      <w:szCs w:val="21"/>
                      <w:u w:val="single"/>
                    </w:rPr>
                  </w:pPr>
                  <w:r>
                    <w:rPr>
                      <w:rFonts w:hint="eastAsia"/>
                      <w:u w:val="single"/>
                    </w:rPr>
                    <w:t>/</w:t>
                  </w:r>
                </w:p>
              </w:tc>
              <w:tc>
                <w:tcPr>
                  <w:tcW w:w="743" w:type="dxa"/>
                  <w:vAlign w:val="center"/>
                </w:tcPr>
                <w:p>
                  <w:pPr>
                    <w:jc w:val="center"/>
                    <w:rPr>
                      <w:color w:val="000000"/>
                      <w:kern w:val="0"/>
                      <w:szCs w:val="21"/>
                      <w:u w:val="single"/>
                    </w:rPr>
                  </w:pPr>
                  <w:r>
                    <w:rPr>
                      <w:rFonts w:hint="eastAsia"/>
                      <w:u w:val="single"/>
                    </w:rPr>
                    <w:t>/</w:t>
                  </w:r>
                </w:p>
              </w:tc>
              <w:tc>
                <w:tcPr>
                  <w:tcW w:w="1028" w:type="dxa"/>
                  <w:vAlign w:val="center"/>
                </w:tcPr>
                <w:p>
                  <w:pPr>
                    <w:jc w:val="center"/>
                    <w:rPr>
                      <w:u w:val="single"/>
                    </w:rPr>
                  </w:pPr>
                  <w:r>
                    <w:rPr>
                      <w:rFonts w:hint="eastAsia"/>
                      <w:u w:val="single"/>
                    </w:rPr>
                    <w:t>压包机</w:t>
                  </w:r>
                </w:p>
              </w:tc>
              <w:tc>
                <w:tcPr>
                  <w:tcW w:w="2357" w:type="dxa"/>
                  <w:vAlign w:val="center"/>
                </w:tcPr>
                <w:p>
                  <w:pPr>
                    <w:jc w:val="center"/>
                    <w:rPr>
                      <w:u w:val="single"/>
                    </w:rPr>
                  </w:pPr>
                  <w:r>
                    <w:rPr>
                      <w:rFonts w:hint="eastAsia"/>
                      <w:u w:val="single"/>
                    </w:rPr>
                    <w:t>YE2-100L2-1</w:t>
                  </w:r>
                </w:p>
              </w:tc>
              <w:tc>
                <w:tcPr>
                  <w:tcW w:w="943" w:type="dxa"/>
                  <w:vAlign w:val="center"/>
                </w:tcPr>
                <w:p>
                  <w:pPr>
                    <w:jc w:val="center"/>
                    <w:rPr>
                      <w:u w:val="single"/>
                    </w:rPr>
                  </w:pPr>
                  <w:r>
                    <w:rPr>
                      <w:rFonts w:hint="eastAsia"/>
                      <w:u w:val="single"/>
                    </w:rPr>
                    <w:t>2</w:t>
                  </w:r>
                </w:p>
              </w:tc>
              <w:tc>
                <w:tcPr>
                  <w:tcW w:w="810" w:type="dxa"/>
                  <w:vAlign w:val="center"/>
                </w:tcPr>
                <w:p>
                  <w:pPr>
                    <w:jc w:val="center"/>
                    <w:rPr>
                      <w:u w:val="single"/>
                    </w:rPr>
                  </w:pPr>
                  <w:r>
                    <w:rPr>
                      <w:rFonts w:hint="eastAsia"/>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66" w:type="dxa"/>
                  <w:vAlign w:val="center"/>
                </w:tcPr>
                <w:p>
                  <w:pPr>
                    <w:pStyle w:val="2"/>
                    <w:spacing w:line="360" w:lineRule="exact"/>
                    <w:ind w:firstLine="0" w:firstLineChars="0"/>
                    <w:jc w:val="center"/>
                    <w:rPr>
                      <w:u w:val="single"/>
                    </w:rPr>
                  </w:pPr>
                  <w:r>
                    <w:rPr>
                      <w:rFonts w:hint="eastAsia"/>
                      <w:u w:val="single"/>
                    </w:rPr>
                    <w:t>10</w:t>
                  </w:r>
                </w:p>
              </w:tc>
              <w:tc>
                <w:tcPr>
                  <w:tcW w:w="970" w:type="dxa"/>
                  <w:vAlign w:val="center"/>
                </w:tcPr>
                <w:p>
                  <w:pPr>
                    <w:jc w:val="center"/>
                    <w:rPr>
                      <w:u w:val="single"/>
                    </w:rPr>
                  </w:pPr>
                </w:p>
              </w:tc>
              <w:tc>
                <w:tcPr>
                  <w:tcW w:w="743" w:type="dxa"/>
                  <w:vAlign w:val="center"/>
                </w:tcPr>
                <w:p>
                  <w:pPr>
                    <w:jc w:val="center"/>
                    <w:rPr>
                      <w:u w:val="single"/>
                    </w:rPr>
                  </w:pPr>
                </w:p>
              </w:tc>
              <w:tc>
                <w:tcPr>
                  <w:tcW w:w="743" w:type="dxa"/>
                  <w:vAlign w:val="center"/>
                </w:tcPr>
                <w:p>
                  <w:pPr>
                    <w:jc w:val="center"/>
                    <w:rPr>
                      <w:u w:val="single"/>
                    </w:rPr>
                  </w:pPr>
                </w:p>
              </w:tc>
              <w:tc>
                <w:tcPr>
                  <w:tcW w:w="1028" w:type="dxa"/>
                  <w:vAlign w:val="center"/>
                </w:tcPr>
                <w:p>
                  <w:pPr>
                    <w:jc w:val="center"/>
                    <w:rPr>
                      <w:u w:val="single"/>
                    </w:rPr>
                  </w:pPr>
                  <w:r>
                    <w:rPr>
                      <w:rFonts w:hint="eastAsia"/>
                      <w:u w:val="single"/>
                    </w:rPr>
                    <w:t>风机</w:t>
                  </w:r>
                </w:p>
              </w:tc>
              <w:tc>
                <w:tcPr>
                  <w:tcW w:w="2357" w:type="dxa"/>
                  <w:vAlign w:val="center"/>
                </w:tcPr>
                <w:p>
                  <w:pPr>
                    <w:jc w:val="center"/>
                    <w:rPr>
                      <w:u w:val="single"/>
                    </w:rPr>
                  </w:pPr>
                  <w:r>
                    <w:rPr>
                      <w:rFonts w:hint="eastAsia"/>
                      <w:u w:val="single"/>
                    </w:rPr>
                    <w:t>/</w:t>
                  </w:r>
                </w:p>
              </w:tc>
              <w:tc>
                <w:tcPr>
                  <w:tcW w:w="943" w:type="dxa"/>
                  <w:vAlign w:val="center"/>
                </w:tcPr>
                <w:p>
                  <w:pPr>
                    <w:jc w:val="center"/>
                    <w:rPr>
                      <w:u w:val="single"/>
                    </w:rPr>
                  </w:pPr>
                  <w:r>
                    <w:rPr>
                      <w:rFonts w:hint="eastAsia"/>
                      <w:u w:val="single"/>
                    </w:rPr>
                    <w:t>1</w:t>
                  </w:r>
                </w:p>
              </w:tc>
              <w:tc>
                <w:tcPr>
                  <w:tcW w:w="810" w:type="dxa"/>
                  <w:vAlign w:val="center"/>
                </w:tcPr>
                <w:p>
                  <w:pPr>
                    <w:jc w:val="center"/>
                    <w:rPr>
                      <w:u w:val="single"/>
                    </w:rPr>
                  </w:pPr>
                  <w:r>
                    <w:rPr>
                      <w:rFonts w:hint="eastAsia"/>
                      <w:u w:val="single"/>
                    </w:rPr>
                    <w:t>1</w:t>
                  </w:r>
                </w:p>
              </w:tc>
            </w:tr>
          </w:tbl>
          <w:p>
            <w:pPr>
              <w:snapToGrid w:val="0"/>
              <w:spacing w:line="360" w:lineRule="auto"/>
              <w:ind w:firstLine="480" w:firstLineChars="200"/>
              <w:rPr>
                <w:sz w:val="24"/>
                <w:u w:val="single"/>
              </w:rPr>
            </w:pPr>
            <w:r>
              <w:rPr>
                <w:rFonts w:hint="eastAsia" w:ascii="宋体" w:hAnsi="宋体" w:cs="宋体"/>
                <w:bCs/>
                <w:sz w:val="24"/>
                <w:u w:val="single"/>
              </w:rPr>
              <w:t>对照《产业结构调整指导目录（2019年本）》，</w:t>
            </w:r>
            <w:r>
              <w:rPr>
                <w:rFonts w:hint="eastAsia" w:ascii="宋体" w:hAnsi="宋体" w:cs="宋体"/>
                <w:sz w:val="24"/>
                <w:u w:val="single"/>
              </w:rPr>
              <w:t>本项目生产产品及生产设备不在淘汰落后生产工艺装备和产品目录。</w:t>
            </w:r>
            <w:r>
              <w:rPr>
                <w:sz w:val="24"/>
                <w:u w:val="single"/>
              </w:rPr>
              <w:t>对照《河南省部分工业行业淘汰落后生产工艺装备和产品目录》和工业和信息化部公告2014年工业行业淘汰落后和过剩产能企业名单（第一批-第四批），本项目生产产品及生产设备不在淘汰落后生产工艺装备和产品目录。</w:t>
            </w:r>
          </w:p>
          <w:p>
            <w:pPr>
              <w:snapToGrid w:val="0"/>
              <w:spacing w:before="120" w:beforeLines="50" w:line="360" w:lineRule="auto"/>
              <w:rPr>
                <w:rFonts w:eastAsia="黑体"/>
                <w:sz w:val="24"/>
              </w:rPr>
            </w:pPr>
            <w:r>
              <w:rPr>
                <w:rFonts w:eastAsia="黑体"/>
                <w:sz w:val="24"/>
              </w:rPr>
              <w:t>2.3 主要原辅材料的种类和用量</w:t>
            </w:r>
          </w:p>
          <w:p>
            <w:pPr>
              <w:snapToGrid w:val="0"/>
              <w:spacing w:before="120" w:beforeLines="50" w:line="360" w:lineRule="auto"/>
              <w:ind w:firstLine="720" w:firstLineChars="300"/>
              <w:rPr>
                <w:rFonts w:ascii="宋体" w:hAnsi="宋体" w:cs="宋体"/>
                <w:bCs/>
                <w:sz w:val="24"/>
                <w:u w:val="single"/>
              </w:rPr>
            </w:pPr>
            <w:r>
              <w:rPr>
                <w:rFonts w:ascii="宋体" w:hAnsi="宋体" w:cs="宋体"/>
                <w:bCs/>
                <w:sz w:val="24"/>
                <w:u w:val="single"/>
              </w:rPr>
              <w:t>本项目原辅材料消耗情况见下表。</w:t>
            </w:r>
          </w:p>
          <w:p>
            <w:pPr>
              <w:pStyle w:val="2"/>
              <w:spacing w:line="480" w:lineRule="exact"/>
              <w:ind w:firstLine="480"/>
              <w:jc w:val="center"/>
              <w:rPr>
                <w:rFonts w:eastAsia="黑体"/>
                <w:sz w:val="24"/>
                <w:szCs w:val="24"/>
                <w:u w:val="single"/>
              </w:rPr>
            </w:pPr>
            <w:r>
              <w:rPr>
                <w:rFonts w:eastAsia="黑体"/>
                <w:sz w:val="24"/>
                <w:szCs w:val="24"/>
                <w:u w:val="single"/>
              </w:rPr>
              <w:t>表2-4  项目原辅材料消耗一览表</w:t>
            </w:r>
          </w:p>
          <w:tbl>
            <w:tblPr>
              <w:tblStyle w:val="18"/>
              <w:tblW w:w="498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911"/>
              <w:gridCol w:w="1281"/>
              <w:gridCol w:w="1313"/>
              <w:gridCol w:w="1328"/>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5" w:hRule="atLeast"/>
                <w:tblHeader/>
                <w:jc w:val="center"/>
              </w:trPr>
              <w:tc>
                <w:tcPr>
                  <w:tcW w:w="765" w:type="pct"/>
                  <w:vMerge w:val="restart"/>
                  <w:vAlign w:val="center"/>
                </w:tcPr>
                <w:p>
                  <w:pPr>
                    <w:pStyle w:val="72"/>
                    <w:rPr>
                      <w:rFonts w:eastAsia="宋体"/>
                      <w:szCs w:val="21"/>
                      <w:u w:val="single"/>
                    </w:rPr>
                  </w:pPr>
                  <w:r>
                    <w:rPr>
                      <w:rFonts w:hint="eastAsia" w:eastAsia="宋体"/>
                      <w:szCs w:val="21"/>
                      <w:u w:val="single"/>
                    </w:rPr>
                    <w:t>/</w:t>
                  </w:r>
                </w:p>
              </w:tc>
              <w:tc>
                <w:tcPr>
                  <w:tcW w:w="1364" w:type="pct"/>
                  <w:gridSpan w:val="2"/>
                  <w:vAlign w:val="center"/>
                </w:tcPr>
                <w:p>
                  <w:pPr>
                    <w:pStyle w:val="72"/>
                    <w:rPr>
                      <w:rFonts w:eastAsia="宋体"/>
                      <w:szCs w:val="21"/>
                      <w:u w:val="single"/>
                    </w:rPr>
                  </w:pPr>
                  <w:r>
                    <w:rPr>
                      <w:rFonts w:hint="eastAsia" w:eastAsia="宋体"/>
                      <w:szCs w:val="21"/>
                      <w:u w:val="single"/>
                    </w:rPr>
                    <w:t>改建前</w:t>
                  </w:r>
                </w:p>
              </w:tc>
              <w:tc>
                <w:tcPr>
                  <w:tcW w:w="1645" w:type="pct"/>
                  <w:gridSpan w:val="2"/>
                  <w:vAlign w:val="center"/>
                </w:tcPr>
                <w:p>
                  <w:pPr>
                    <w:pStyle w:val="72"/>
                    <w:rPr>
                      <w:rFonts w:eastAsia="宋体"/>
                      <w:szCs w:val="21"/>
                      <w:u w:val="single"/>
                    </w:rPr>
                  </w:pPr>
                  <w:r>
                    <w:rPr>
                      <w:rFonts w:hint="eastAsia" w:eastAsia="宋体"/>
                      <w:szCs w:val="21"/>
                      <w:u w:val="single"/>
                    </w:rPr>
                    <w:t>改建后</w:t>
                  </w:r>
                </w:p>
              </w:tc>
              <w:tc>
                <w:tcPr>
                  <w:tcW w:w="1224" w:type="pct"/>
                  <w:vMerge w:val="restart"/>
                  <w:vAlign w:val="center"/>
                </w:tcPr>
                <w:p>
                  <w:pPr>
                    <w:pStyle w:val="72"/>
                    <w:rPr>
                      <w:rFonts w:eastAsia="宋体"/>
                      <w:szCs w:val="21"/>
                      <w:u w:val="single"/>
                    </w:rPr>
                  </w:pPr>
                  <w:r>
                    <w:rPr>
                      <w:rFonts w:hint="eastAsia" w:eastAsia="宋体"/>
                      <w:szCs w:val="21"/>
                      <w:u w:val="singl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blHeader/>
                <w:jc w:val="center"/>
              </w:trPr>
              <w:tc>
                <w:tcPr>
                  <w:tcW w:w="765" w:type="pct"/>
                  <w:vMerge w:val="continue"/>
                  <w:vAlign w:val="center"/>
                </w:tcPr>
                <w:p>
                  <w:pPr>
                    <w:pStyle w:val="72"/>
                    <w:rPr>
                      <w:rFonts w:eastAsia="宋体"/>
                      <w:szCs w:val="21"/>
                      <w:u w:val="single"/>
                    </w:rPr>
                  </w:pPr>
                </w:p>
              </w:tc>
              <w:tc>
                <w:tcPr>
                  <w:tcW w:w="567" w:type="pct"/>
                  <w:vAlign w:val="center"/>
                </w:tcPr>
                <w:p>
                  <w:pPr>
                    <w:pStyle w:val="72"/>
                    <w:rPr>
                      <w:rFonts w:eastAsia="宋体"/>
                      <w:szCs w:val="21"/>
                      <w:u w:val="single"/>
                    </w:rPr>
                  </w:pPr>
                  <w:r>
                    <w:rPr>
                      <w:rFonts w:eastAsia="宋体"/>
                      <w:szCs w:val="21"/>
                      <w:u w:val="single"/>
                    </w:rPr>
                    <w:t>名称</w:t>
                  </w:r>
                </w:p>
              </w:tc>
              <w:tc>
                <w:tcPr>
                  <w:tcW w:w="797" w:type="pct"/>
                  <w:vAlign w:val="center"/>
                </w:tcPr>
                <w:p>
                  <w:pPr>
                    <w:pStyle w:val="72"/>
                    <w:rPr>
                      <w:rFonts w:eastAsia="宋体"/>
                      <w:szCs w:val="21"/>
                      <w:u w:val="single"/>
                    </w:rPr>
                  </w:pPr>
                  <w:r>
                    <w:rPr>
                      <w:rFonts w:hint="eastAsia" w:eastAsia="宋体"/>
                      <w:szCs w:val="21"/>
                      <w:u w:val="single"/>
                    </w:rPr>
                    <w:t>用量</w:t>
                  </w:r>
                </w:p>
              </w:tc>
              <w:tc>
                <w:tcPr>
                  <w:tcW w:w="818" w:type="pct"/>
                  <w:vAlign w:val="center"/>
                </w:tcPr>
                <w:p>
                  <w:pPr>
                    <w:pStyle w:val="72"/>
                    <w:rPr>
                      <w:rFonts w:eastAsia="宋体"/>
                      <w:szCs w:val="21"/>
                      <w:u w:val="single"/>
                    </w:rPr>
                  </w:pPr>
                  <w:r>
                    <w:rPr>
                      <w:rFonts w:eastAsia="宋体"/>
                      <w:szCs w:val="21"/>
                      <w:u w:val="single"/>
                    </w:rPr>
                    <w:t>名称</w:t>
                  </w:r>
                </w:p>
              </w:tc>
              <w:tc>
                <w:tcPr>
                  <w:tcW w:w="827" w:type="pct"/>
                  <w:vAlign w:val="center"/>
                </w:tcPr>
                <w:p>
                  <w:pPr>
                    <w:pStyle w:val="72"/>
                    <w:rPr>
                      <w:rFonts w:eastAsia="宋体"/>
                      <w:szCs w:val="21"/>
                      <w:u w:val="single"/>
                    </w:rPr>
                  </w:pPr>
                  <w:r>
                    <w:rPr>
                      <w:rFonts w:hint="eastAsia" w:eastAsia="宋体"/>
                      <w:szCs w:val="21"/>
                      <w:u w:val="single"/>
                    </w:rPr>
                    <w:t>用量</w:t>
                  </w:r>
                </w:p>
              </w:tc>
              <w:tc>
                <w:tcPr>
                  <w:tcW w:w="1224" w:type="pct"/>
                  <w:vMerge w:val="continue"/>
                  <w:vAlign w:val="center"/>
                </w:tcPr>
                <w:p>
                  <w:pPr>
                    <w:pStyle w:val="72"/>
                    <w:rPr>
                      <w:rFonts w:eastAsia="宋体"/>
                      <w:szCs w:val="21"/>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restart"/>
                  <w:vAlign w:val="center"/>
                </w:tcPr>
                <w:p>
                  <w:pPr>
                    <w:pStyle w:val="74"/>
                    <w:rPr>
                      <w:sz w:val="21"/>
                      <w:szCs w:val="21"/>
                      <w:u w:val="single"/>
                    </w:rPr>
                  </w:pPr>
                  <w:r>
                    <w:rPr>
                      <w:rFonts w:hint="eastAsia"/>
                      <w:sz w:val="21"/>
                      <w:szCs w:val="21"/>
                      <w:u w:val="single"/>
                    </w:rPr>
                    <w:t>原辅材料</w:t>
                  </w:r>
                </w:p>
                <w:p>
                  <w:pPr>
                    <w:pStyle w:val="74"/>
                    <w:rPr>
                      <w:sz w:val="21"/>
                      <w:szCs w:val="21"/>
                      <w:u w:val="single"/>
                    </w:rPr>
                  </w:pPr>
                </w:p>
              </w:tc>
              <w:tc>
                <w:tcPr>
                  <w:tcW w:w="567" w:type="pct"/>
                  <w:vAlign w:val="center"/>
                </w:tcPr>
                <w:p>
                  <w:pPr>
                    <w:jc w:val="center"/>
                    <w:rPr>
                      <w:szCs w:val="21"/>
                      <w:u w:val="single"/>
                    </w:rPr>
                  </w:pPr>
                  <w:r>
                    <w:rPr>
                      <w:rFonts w:hint="eastAsia"/>
                      <w:szCs w:val="21"/>
                      <w:u w:val="single"/>
                    </w:rPr>
                    <w:t>集装袋</w:t>
                  </w:r>
                </w:p>
              </w:tc>
              <w:tc>
                <w:tcPr>
                  <w:tcW w:w="797" w:type="pct"/>
                  <w:vAlign w:val="center"/>
                </w:tcPr>
                <w:p>
                  <w:pPr>
                    <w:jc w:val="center"/>
                    <w:rPr>
                      <w:szCs w:val="21"/>
                      <w:u w:val="single"/>
                    </w:rPr>
                  </w:pPr>
                  <w:r>
                    <w:rPr>
                      <w:rFonts w:hint="eastAsia"/>
                      <w:szCs w:val="21"/>
                      <w:u w:val="single"/>
                    </w:rPr>
                    <w:t>100万条/a</w:t>
                  </w:r>
                </w:p>
              </w:tc>
              <w:tc>
                <w:tcPr>
                  <w:tcW w:w="818" w:type="pct"/>
                  <w:vAlign w:val="center"/>
                </w:tcPr>
                <w:p>
                  <w:pPr>
                    <w:jc w:val="center"/>
                    <w:rPr>
                      <w:u w:val="single"/>
                    </w:rPr>
                  </w:pPr>
                  <w:r>
                    <w:rPr>
                      <w:rFonts w:hint="eastAsia"/>
                      <w:u w:val="single"/>
                    </w:rPr>
                    <w:t>/</w:t>
                  </w:r>
                </w:p>
              </w:tc>
              <w:tc>
                <w:tcPr>
                  <w:tcW w:w="827" w:type="pct"/>
                  <w:vAlign w:val="center"/>
                </w:tcPr>
                <w:p>
                  <w:pPr>
                    <w:jc w:val="center"/>
                    <w:rPr>
                      <w:u w:val="single"/>
                    </w:rPr>
                  </w:pPr>
                  <w:r>
                    <w:rPr>
                      <w:rFonts w:hint="eastAsia"/>
                      <w:u w:val="single"/>
                    </w:rPr>
                    <w:t>/</w:t>
                  </w:r>
                </w:p>
              </w:tc>
              <w:tc>
                <w:tcPr>
                  <w:tcW w:w="1224" w:type="pct"/>
                  <w:vAlign w:val="center"/>
                </w:tcPr>
                <w:p>
                  <w:pPr>
                    <w:jc w:val="center"/>
                    <w:rPr>
                      <w:u w:val="single"/>
                    </w:rPr>
                  </w:pPr>
                  <w:r>
                    <w:rPr>
                      <w:rFonts w:hint="eastAsia"/>
                      <w:u w:val="single"/>
                    </w:rPr>
                    <w:t>暂存后直接销售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567" w:type="pct"/>
                  <w:vAlign w:val="center"/>
                </w:tcPr>
                <w:p>
                  <w:pPr>
                    <w:jc w:val="center"/>
                    <w:rPr>
                      <w:szCs w:val="21"/>
                      <w:u w:val="single"/>
                    </w:rPr>
                  </w:pPr>
                  <w:r>
                    <w:rPr>
                      <w:rFonts w:hint="eastAsia"/>
                      <w:u w:val="single"/>
                    </w:rPr>
                    <w:t>/</w:t>
                  </w:r>
                </w:p>
              </w:tc>
              <w:tc>
                <w:tcPr>
                  <w:tcW w:w="797" w:type="pct"/>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基布</w:t>
                  </w:r>
                </w:p>
              </w:tc>
              <w:tc>
                <w:tcPr>
                  <w:tcW w:w="827" w:type="pct"/>
                  <w:vAlign w:val="center"/>
                </w:tcPr>
                <w:p>
                  <w:pPr>
                    <w:jc w:val="center"/>
                    <w:rPr>
                      <w:u w:val="single"/>
                    </w:rPr>
                  </w:pPr>
                  <w:r>
                    <w:rPr>
                      <w:rFonts w:hint="eastAsia"/>
                      <w:u w:val="single"/>
                    </w:rPr>
                    <w:t>700t/a</w:t>
                  </w:r>
                </w:p>
              </w:tc>
              <w:tc>
                <w:tcPr>
                  <w:tcW w:w="1224" w:type="pct"/>
                  <w:vAlign w:val="center"/>
                </w:tcPr>
                <w:p>
                  <w:pPr>
                    <w:jc w:val="center"/>
                    <w:rPr>
                      <w:szCs w:val="21"/>
                      <w:u w:val="single"/>
                    </w:rPr>
                  </w:pPr>
                  <w:r>
                    <w:rPr>
                      <w:rFonts w:hint="eastAsia"/>
                      <w:u w:val="single"/>
                    </w:rPr>
                    <w:t>卷状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涂膜布</w:t>
                  </w:r>
                </w:p>
              </w:tc>
              <w:tc>
                <w:tcPr>
                  <w:tcW w:w="827" w:type="pct"/>
                  <w:vAlign w:val="center"/>
                </w:tcPr>
                <w:p>
                  <w:pPr>
                    <w:jc w:val="center"/>
                    <w:rPr>
                      <w:u w:val="single"/>
                    </w:rPr>
                  </w:pPr>
                  <w:r>
                    <w:rPr>
                      <w:rFonts w:hint="eastAsia"/>
                      <w:u w:val="single"/>
                    </w:rPr>
                    <w:t>300t/a</w:t>
                  </w:r>
                </w:p>
              </w:tc>
              <w:tc>
                <w:tcPr>
                  <w:tcW w:w="1224" w:type="pct"/>
                  <w:vAlign w:val="center"/>
                </w:tcPr>
                <w:p>
                  <w:pPr>
                    <w:jc w:val="center"/>
                    <w:rPr>
                      <w:szCs w:val="21"/>
                      <w:u w:val="single"/>
                    </w:rPr>
                  </w:pPr>
                  <w:r>
                    <w:rPr>
                      <w:rFonts w:hint="eastAsia"/>
                      <w:u w:val="single"/>
                    </w:rPr>
                    <w:t>卷状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编织布</w:t>
                  </w:r>
                </w:p>
              </w:tc>
              <w:tc>
                <w:tcPr>
                  <w:tcW w:w="827" w:type="pct"/>
                  <w:vAlign w:val="center"/>
                </w:tcPr>
                <w:p>
                  <w:pPr>
                    <w:jc w:val="center"/>
                    <w:rPr>
                      <w:u w:val="single"/>
                    </w:rPr>
                  </w:pPr>
                  <w:r>
                    <w:rPr>
                      <w:rFonts w:hint="eastAsia"/>
                      <w:u w:val="single"/>
                    </w:rPr>
                    <w:t>5t/a</w:t>
                  </w:r>
                </w:p>
              </w:tc>
              <w:tc>
                <w:tcPr>
                  <w:tcW w:w="1224" w:type="pct"/>
                  <w:vAlign w:val="center"/>
                </w:tcPr>
                <w:p>
                  <w:pPr>
                    <w:jc w:val="center"/>
                    <w:rPr>
                      <w:szCs w:val="21"/>
                      <w:u w:val="single"/>
                    </w:rPr>
                  </w:pPr>
                  <w:r>
                    <w:rPr>
                      <w:rFonts w:hint="eastAsia"/>
                      <w:u w:val="single"/>
                    </w:rPr>
                    <w:t>卷状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吊带</w:t>
                  </w:r>
                </w:p>
              </w:tc>
              <w:tc>
                <w:tcPr>
                  <w:tcW w:w="827" w:type="pct"/>
                  <w:vAlign w:val="center"/>
                </w:tcPr>
                <w:p>
                  <w:pPr>
                    <w:jc w:val="center"/>
                    <w:rPr>
                      <w:u w:val="single"/>
                    </w:rPr>
                  </w:pPr>
                  <w:r>
                    <w:rPr>
                      <w:rFonts w:hint="eastAsia"/>
                      <w:u w:val="single"/>
                    </w:rPr>
                    <w:t>20t/a</w:t>
                  </w:r>
                </w:p>
              </w:tc>
              <w:tc>
                <w:tcPr>
                  <w:tcW w:w="1224" w:type="pct"/>
                  <w:vAlign w:val="center"/>
                </w:tcPr>
                <w:p>
                  <w:pPr>
                    <w:jc w:val="center"/>
                    <w:rPr>
                      <w:szCs w:val="21"/>
                      <w:u w:val="single"/>
                    </w:rPr>
                  </w:pPr>
                  <w:r>
                    <w:rPr>
                      <w:rFonts w:hint="eastAsia"/>
                      <w:u w:val="single"/>
                    </w:rPr>
                    <w:t>袋装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围带</w:t>
                  </w:r>
                </w:p>
              </w:tc>
              <w:tc>
                <w:tcPr>
                  <w:tcW w:w="827" w:type="pct"/>
                  <w:vAlign w:val="center"/>
                </w:tcPr>
                <w:p>
                  <w:pPr>
                    <w:jc w:val="center"/>
                    <w:rPr>
                      <w:u w:val="single"/>
                    </w:rPr>
                  </w:pPr>
                  <w:r>
                    <w:rPr>
                      <w:rFonts w:hint="eastAsia"/>
                      <w:u w:val="single"/>
                    </w:rPr>
                    <w:t>10t/a</w:t>
                  </w:r>
                </w:p>
              </w:tc>
              <w:tc>
                <w:tcPr>
                  <w:tcW w:w="1224" w:type="pct"/>
                  <w:vAlign w:val="center"/>
                </w:tcPr>
                <w:p>
                  <w:pPr>
                    <w:jc w:val="center"/>
                    <w:rPr>
                      <w:szCs w:val="21"/>
                      <w:u w:val="single"/>
                    </w:rPr>
                  </w:pPr>
                  <w:r>
                    <w:rPr>
                      <w:rFonts w:hint="eastAsia"/>
                      <w:u w:val="single"/>
                    </w:rPr>
                    <w:t>袋装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扎口绳</w:t>
                  </w:r>
                </w:p>
              </w:tc>
              <w:tc>
                <w:tcPr>
                  <w:tcW w:w="827" w:type="pct"/>
                  <w:vAlign w:val="center"/>
                </w:tcPr>
                <w:p>
                  <w:pPr>
                    <w:jc w:val="center"/>
                    <w:rPr>
                      <w:u w:val="single"/>
                    </w:rPr>
                  </w:pPr>
                  <w:r>
                    <w:rPr>
                      <w:rFonts w:hint="eastAsia"/>
                      <w:u w:val="single"/>
                    </w:rPr>
                    <w:t>5t/a</w:t>
                  </w:r>
                </w:p>
              </w:tc>
              <w:tc>
                <w:tcPr>
                  <w:tcW w:w="1224" w:type="pct"/>
                  <w:vAlign w:val="center"/>
                </w:tcPr>
                <w:p>
                  <w:pPr>
                    <w:jc w:val="center"/>
                    <w:rPr>
                      <w:szCs w:val="21"/>
                      <w:u w:val="single"/>
                    </w:rPr>
                  </w:pPr>
                  <w:r>
                    <w:rPr>
                      <w:rFonts w:hint="eastAsia"/>
                      <w:u w:val="single"/>
                    </w:rPr>
                    <w:t>袋装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印版</w:t>
                  </w:r>
                </w:p>
              </w:tc>
              <w:tc>
                <w:tcPr>
                  <w:tcW w:w="827" w:type="pct"/>
                  <w:vAlign w:val="center"/>
                </w:tcPr>
                <w:p>
                  <w:pPr>
                    <w:jc w:val="center"/>
                    <w:rPr>
                      <w:u w:val="single"/>
                    </w:rPr>
                  </w:pPr>
                  <w:r>
                    <w:rPr>
                      <w:rFonts w:hint="eastAsia"/>
                      <w:u w:val="single"/>
                    </w:rPr>
                    <w:t>50条</w:t>
                  </w:r>
                </w:p>
              </w:tc>
              <w:tc>
                <w:tcPr>
                  <w:tcW w:w="1224" w:type="pct"/>
                  <w:vAlign w:val="center"/>
                </w:tcPr>
                <w:p>
                  <w:pPr>
                    <w:jc w:val="center"/>
                    <w:rPr>
                      <w:szCs w:val="21"/>
                      <w:u w:val="single"/>
                    </w:rPr>
                  </w:pPr>
                  <w:r>
                    <w:rPr>
                      <w:rFonts w:hint="eastAsia"/>
                      <w:u w:val="single"/>
                    </w:rPr>
                    <w:t>条状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缝纫线</w:t>
                  </w:r>
                </w:p>
              </w:tc>
              <w:tc>
                <w:tcPr>
                  <w:tcW w:w="827" w:type="pct"/>
                  <w:vAlign w:val="center"/>
                </w:tcPr>
                <w:p>
                  <w:pPr>
                    <w:jc w:val="center"/>
                    <w:rPr>
                      <w:u w:val="single"/>
                    </w:rPr>
                  </w:pPr>
                  <w:r>
                    <w:rPr>
                      <w:rFonts w:hint="eastAsia"/>
                      <w:u w:val="single"/>
                    </w:rPr>
                    <w:t>7t/a</w:t>
                  </w:r>
                </w:p>
              </w:tc>
              <w:tc>
                <w:tcPr>
                  <w:tcW w:w="1224" w:type="pct"/>
                  <w:vAlign w:val="center"/>
                </w:tcPr>
                <w:p>
                  <w:pPr>
                    <w:jc w:val="center"/>
                    <w:rPr>
                      <w:szCs w:val="21"/>
                      <w:u w:val="single"/>
                    </w:rPr>
                  </w:pPr>
                  <w:r>
                    <w:rPr>
                      <w:rFonts w:hint="eastAsia"/>
                      <w:u w:val="single"/>
                    </w:rPr>
                    <w:t>袋装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jc w:val="center"/>
                    <w:rPr>
                      <w:u w:val="single"/>
                    </w:rPr>
                  </w:pPr>
                  <w:r>
                    <w:rPr>
                      <w:rFonts w:hint="eastAsia"/>
                      <w:u w:val="single"/>
                    </w:rPr>
                    <w:t>水性油墨</w:t>
                  </w:r>
                </w:p>
              </w:tc>
              <w:tc>
                <w:tcPr>
                  <w:tcW w:w="827" w:type="pct"/>
                  <w:vAlign w:val="center"/>
                </w:tcPr>
                <w:p>
                  <w:pPr>
                    <w:jc w:val="center"/>
                    <w:rPr>
                      <w:u w:val="single"/>
                    </w:rPr>
                  </w:pPr>
                  <w:r>
                    <w:rPr>
                      <w:rFonts w:hint="eastAsia"/>
                      <w:u w:val="single"/>
                    </w:rPr>
                    <w:t>0.25t/a</w:t>
                  </w:r>
                </w:p>
              </w:tc>
              <w:tc>
                <w:tcPr>
                  <w:tcW w:w="1224" w:type="pct"/>
                  <w:vAlign w:val="center"/>
                </w:tcPr>
                <w:p>
                  <w:pPr>
                    <w:jc w:val="center"/>
                    <w:rPr>
                      <w:szCs w:val="21"/>
                      <w:u w:val="single"/>
                    </w:rPr>
                  </w:pPr>
                  <w:r>
                    <w:rPr>
                      <w:rFonts w:hint="eastAsia"/>
                      <w:u w:val="single"/>
                    </w:rPr>
                    <w:t>桶装20KG/桶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5" w:type="pct"/>
                  <w:vMerge w:val="restart"/>
                  <w:vAlign w:val="center"/>
                </w:tcPr>
                <w:p>
                  <w:pPr>
                    <w:pStyle w:val="74"/>
                    <w:rPr>
                      <w:sz w:val="21"/>
                      <w:szCs w:val="21"/>
                      <w:u w:val="single"/>
                    </w:rPr>
                  </w:pPr>
                  <w:r>
                    <w:rPr>
                      <w:sz w:val="21"/>
                      <w:szCs w:val="21"/>
                      <w:u w:val="single"/>
                    </w:rPr>
                    <w:t>能源</w:t>
                  </w: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pStyle w:val="74"/>
                    <w:rPr>
                      <w:sz w:val="21"/>
                      <w:szCs w:val="21"/>
                      <w:u w:val="single"/>
                    </w:rPr>
                  </w:pPr>
                  <w:r>
                    <w:rPr>
                      <w:sz w:val="21"/>
                      <w:szCs w:val="21"/>
                      <w:u w:val="single"/>
                    </w:rPr>
                    <w:t>新鲜水</w:t>
                  </w:r>
                </w:p>
              </w:tc>
              <w:tc>
                <w:tcPr>
                  <w:tcW w:w="827" w:type="pct"/>
                  <w:vAlign w:val="center"/>
                </w:tcPr>
                <w:p>
                  <w:pPr>
                    <w:pStyle w:val="74"/>
                    <w:rPr>
                      <w:sz w:val="21"/>
                      <w:szCs w:val="21"/>
                      <w:u w:val="single"/>
                    </w:rPr>
                  </w:pPr>
                  <w:r>
                    <w:rPr>
                      <w:rFonts w:hint="eastAsia"/>
                      <w:sz w:val="21"/>
                      <w:szCs w:val="21"/>
                      <w:u w:val="single"/>
                    </w:rPr>
                    <w:t>600.036</w:t>
                  </w:r>
                  <w:r>
                    <w:rPr>
                      <w:sz w:val="21"/>
                      <w:szCs w:val="21"/>
                      <w:u w:val="single"/>
                    </w:rPr>
                    <w:t>m</w:t>
                  </w:r>
                  <w:r>
                    <w:rPr>
                      <w:sz w:val="21"/>
                      <w:szCs w:val="21"/>
                      <w:u w:val="single"/>
                      <w:vertAlign w:val="superscript"/>
                    </w:rPr>
                    <w:t>3</w:t>
                  </w:r>
                  <w:r>
                    <w:rPr>
                      <w:sz w:val="21"/>
                      <w:szCs w:val="21"/>
                      <w:u w:val="single"/>
                    </w:rPr>
                    <w:t>/a</w:t>
                  </w:r>
                  <w:r>
                    <w:rPr>
                      <w:rFonts w:hint="eastAsia"/>
                      <w:sz w:val="21"/>
                      <w:szCs w:val="21"/>
                      <w:u w:val="single"/>
                    </w:rPr>
                    <w:t xml:space="preserve"> </w:t>
                  </w:r>
                </w:p>
              </w:tc>
              <w:tc>
                <w:tcPr>
                  <w:tcW w:w="1224" w:type="pct"/>
                  <w:vAlign w:val="center"/>
                </w:tcPr>
                <w:p>
                  <w:pPr>
                    <w:spacing w:line="400" w:lineRule="exact"/>
                    <w:jc w:val="center"/>
                    <w:rPr>
                      <w:szCs w:val="21"/>
                      <w:u w:val="single"/>
                    </w:rPr>
                  </w:pPr>
                  <w:r>
                    <w:rPr>
                      <w:rFonts w:hint="eastAsia"/>
                      <w:szCs w:val="21"/>
                      <w:u w:val="single"/>
                    </w:rPr>
                    <w:t>岳滩镇自来水管网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pct"/>
                  <w:vMerge w:val="continue"/>
                  <w:vAlign w:val="center"/>
                </w:tcPr>
                <w:p>
                  <w:pPr>
                    <w:pStyle w:val="74"/>
                    <w:rPr>
                      <w:sz w:val="21"/>
                      <w:szCs w:val="21"/>
                      <w:u w:val="single"/>
                    </w:rPr>
                  </w:pPr>
                </w:p>
              </w:tc>
              <w:tc>
                <w:tcPr>
                  <w:tcW w:w="911" w:type="dxa"/>
                  <w:vAlign w:val="center"/>
                </w:tcPr>
                <w:p>
                  <w:pPr>
                    <w:jc w:val="center"/>
                    <w:rPr>
                      <w:szCs w:val="21"/>
                      <w:u w:val="single"/>
                    </w:rPr>
                  </w:pPr>
                  <w:r>
                    <w:rPr>
                      <w:rFonts w:hint="eastAsia"/>
                      <w:u w:val="single"/>
                    </w:rPr>
                    <w:t>/</w:t>
                  </w:r>
                </w:p>
              </w:tc>
              <w:tc>
                <w:tcPr>
                  <w:tcW w:w="1280" w:type="dxa"/>
                  <w:vAlign w:val="center"/>
                </w:tcPr>
                <w:p>
                  <w:pPr>
                    <w:jc w:val="center"/>
                    <w:rPr>
                      <w:szCs w:val="21"/>
                      <w:u w:val="single"/>
                    </w:rPr>
                  </w:pPr>
                  <w:r>
                    <w:rPr>
                      <w:rFonts w:hint="eastAsia"/>
                      <w:u w:val="single"/>
                    </w:rPr>
                    <w:t>/</w:t>
                  </w:r>
                </w:p>
              </w:tc>
              <w:tc>
                <w:tcPr>
                  <w:tcW w:w="818" w:type="pct"/>
                  <w:vAlign w:val="center"/>
                </w:tcPr>
                <w:p>
                  <w:pPr>
                    <w:pStyle w:val="74"/>
                    <w:rPr>
                      <w:sz w:val="21"/>
                      <w:szCs w:val="21"/>
                      <w:u w:val="single"/>
                    </w:rPr>
                  </w:pPr>
                  <w:r>
                    <w:rPr>
                      <w:sz w:val="21"/>
                      <w:szCs w:val="21"/>
                      <w:u w:val="single"/>
                    </w:rPr>
                    <w:t>电</w:t>
                  </w:r>
                </w:p>
              </w:tc>
              <w:tc>
                <w:tcPr>
                  <w:tcW w:w="827" w:type="pct"/>
                  <w:vAlign w:val="center"/>
                </w:tcPr>
                <w:p>
                  <w:pPr>
                    <w:pStyle w:val="74"/>
                    <w:rPr>
                      <w:sz w:val="21"/>
                      <w:szCs w:val="21"/>
                      <w:u w:val="single"/>
                    </w:rPr>
                  </w:pPr>
                  <w:r>
                    <w:rPr>
                      <w:rFonts w:hint="eastAsia"/>
                      <w:sz w:val="21"/>
                      <w:szCs w:val="21"/>
                      <w:u w:val="single"/>
                    </w:rPr>
                    <w:t>45</w:t>
                  </w:r>
                  <w:r>
                    <w:rPr>
                      <w:sz w:val="21"/>
                      <w:szCs w:val="21"/>
                      <w:u w:val="single"/>
                    </w:rPr>
                    <w:t>万度/a</w:t>
                  </w:r>
                </w:p>
              </w:tc>
              <w:tc>
                <w:tcPr>
                  <w:tcW w:w="1224" w:type="pct"/>
                  <w:vAlign w:val="center"/>
                </w:tcPr>
                <w:p>
                  <w:pPr>
                    <w:spacing w:line="400" w:lineRule="exact"/>
                    <w:jc w:val="center"/>
                    <w:rPr>
                      <w:szCs w:val="21"/>
                      <w:u w:val="single"/>
                    </w:rPr>
                  </w:pPr>
                  <w:r>
                    <w:rPr>
                      <w:rFonts w:hint="eastAsia"/>
                      <w:szCs w:val="21"/>
                      <w:u w:val="single"/>
                    </w:rPr>
                    <w:t>岳滩镇</w:t>
                  </w:r>
                  <w:r>
                    <w:rPr>
                      <w:szCs w:val="21"/>
                      <w:u w:val="single"/>
                    </w:rPr>
                    <w:t>电网</w:t>
                  </w:r>
                </w:p>
              </w:tc>
            </w:tr>
          </w:tbl>
          <w:p>
            <w:pPr>
              <w:spacing w:before="120" w:beforeLines="50" w:line="360" w:lineRule="auto"/>
              <w:ind w:firstLine="480" w:firstLineChars="200"/>
              <w:rPr>
                <w:sz w:val="24"/>
                <w:u w:val="single"/>
              </w:rPr>
            </w:pPr>
            <w:r>
              <w:rPr>
                <w:rFonts w:eastAsia="黑体"/>
                <w:sz w:val="24"/>
                <w:u w:val="single"/>
              </w:rPr>
              <w:t>主要原材料理化性质</w:t>
            </w:r>
          </w:p>
          <w:p>
            <w:pPr>
              <w:pStyle w:val="6"/>
              <w:spacing w:after="0" w:line="360" w:lineRule="auto"/>
              <w:ind w:left="0" w:leftChars="0" w:firstLine="480" w:firstLineChars="200"/>
              <w:rPr>
                <w:color w:val="000000"/>
                <w:kern w:val="2"/>
                <w:szCs w:val="24"/>
                <w:u w:val="single"/>
              </w:rPr>
            </w:pPr>
            <w:r>
              <w:rPr>
                <w:color w:val="000000"/>
                <w:kern w:val="2"/>
                <w:szCs w:val="24"/>
                <w:u w:val="single"/>
              </w:rPr>
              <w:t>（1）基布、涂膜布、编织布、吊带、围带为外购成品聚丙烯编制布。聚丙烯：聚丙烯由丙烯(CH=CHCH)金催化剂作用下加聚而成的。它的分子结构与聚乙烯相似，但是碳链上相间的碳原子带有一个甲基(-CH)。聚丙烯根据结构不同分为全同聚丙烯和无规聚丙烯，一般常用的聚丙烯都是全同聚丙烯。</w:t>
            </w:r>
          </w:p>
          <w:p>
            <w:pPr>
              <w:pStyle w:val="6"/>
              <w:spacing w:after="0" w:line="360" w:lineRule="auto"/>
              <w:ind w:left="0" w:leftChars="0" w:firstLine="480" w:firstLineChars="200"/>
              <w:rPr>
                <w:color w:val="000000"/>
                <w:kern w:val="2"/>
                <w:szCs w:val="24"/>
                <w:u w:val="single"/>
              </w:rPr>
            </w:pPr>
            <w:r>
              <w:rPr>
                <w:rFonts w:hint="eastAsia"/>
                <w:color w:val="000000"/>
                <w:kern w:val="2"/>
                <w:szCs w:val="24"/>
                <w:u w:val="single"/>
              </w:rPr>
              <w:t>①</w:t>
            </w:r>
            <w:r>
              <w:rPr>
                <w:color w:val="000000"/>
                <w:kern w:val="2"/>
                <w:szCs w:val="24"/>
                <w:u w:val="single"/>
              </w:rPr>
              <w:t>热性能：聚丙烯具有良好的耐热性，熔点在164~170</w:t>
            </w:r>
            <w:r>
              <w:rPr>
                <w:rFonts w:hint="eastAsia" w:ascii="宋体" w:hAnsi="宋体" w:cs="宋体"/>
                <w:color w:val="000000"/>
                <w:kern w:val="2"/>
                <w:szCs w:val="24"/>
                <w:u w:val="single"/>
              </w:rPr>
              <w:t>℃</w:t>
            </w:r>
            <w:r>
              <w:rPr>
                <w:color w:val="000000"/>
                <w:kern w:val="2"/>
                <w:szCs w:val="24"/>
                <w:u w:val="single"/>
              </w:rPr>
              <w:t>，制品能在100</w:t>
            </w:r>
            <w:r>
              <w:rPr>
                <w:rFonts w:hint="eastAsia" w:ascii="宋体" w:hAnsi="宋体" w:cs="宋体"/>
                <w:color w:val="000000"/>
                <w:kern w:val="2"/>
                <w:szCs w:val="24"/>
                <w:u w:val="single"/>
              </w:rPr>
              <w:t>℃</w:t>
            </w:r>
            <w:r>
              <w:rPr>
                <w:color w:val="000000"/>
                <w:kern w:val="2"/>
                <w:szCs w:val="24"/>
                <w:u w:val="single"/>
              </w:rPr>
              <w:t>以上温度进行消毒灭菌，在不受外力的情况下，150</w:t>
            </w:r>
            <w:r>
              <w:rPr>
                <w:rFonts w:hint="eastAsia" w:ascii="宋体" w:hAnsi="宋体" w:cs="宋体"/>
                <w:color w:val="000000"/>
                <w:kern w:val="2"/>
                <w:szCs w:val="24"/>
                <w:u w:val="single"/>
              </w:rPr>
              <w:t>℃</w:t>
            </w:r>
            <w:r>
              <w:rPr>
                <w:color w:val="000000"/>
                <w:kern w:val="2"/>
                <w:szCs w:val="24"/>
                <w:u w:val="single"/>
              </w:rPr>
              <w:t>也不变形。脆化温度为-35</w:t>
            </w:r>
            <w:r>
              <w:rPr>
                <w:rFonts w:hint="eastAsia" w:ascii="宋体" w:hAnsi="宋体" w:cs="宋体"/>
                <w:color w:val="000000"/>
                <w:kern w:val="2"/>
                <w:szCs w:val="24"/>
                <w:u w:val="single"/>
              </w:rPr>
              <w:t>℃</w:t>
            </w:r>
            <w:r>
              <w:rPr>
                <w:color w:val="000000"/>
                <w:kern w:val="2"/>
                <w:szCs w:val="24"/>
                <w:u w:val="single"/>
              </w:rPr>
              <w:t>，在低于-35会发生脆化，耐寒性不如聚乙烯。</w:t>
            </w:r>
          </w:p>
          <w:p>
            <w:pPr>
              <w:pStyle w:val="6"/>
              <w:spacing w:after="0" w:line="360" w:lineRule="auto"/>
              <w:ind w:left="0" w:leftChars="0" w:firstLine="480" w:firstLineChars="200"/>
              <w:rPr>
                <w:color w:val="000000"/>
                <w:kern w:val="2"/>
                <w:szCs w:val="24"/>
                <w:u w:val="single"/>
              </w:rPr>
            </w:pPr>
            <w:r>
              <w:rPr>
                <w:rFonts w:hint="eastAsia"/>
                <w:color w:val="000000"/>
                <w:kern w:val="2"/>
                <w:szCs w:val="24"/>
                <w:u w:val="single"/>
              </w:rPr>
              <w:t>②</w:t>
            </w:r>
            <w:r>
              <w:rPr>
                <w:color w:val="000000"/>
                <w:kern w:val="2"/>
                <w:szCs w:val="24"/>
                <w:u w:val="single"/>
              </w:rPr>
              <w:t>化学稳定性：聚丙烯的化学稳定性很好，除能被浓硫酸侵蚀外，对其它各种化学试剂都比较稳定，但低分子量的脂肪烃，芳香烃和氯化烃等能使聚丙烯软化和溶胀，同时它的化学稳定性随结品度的增加还有所提高，所以聚丙烯适合制做各种化工管道和配件，防腐蚀性效果良好。</w:t>
            </w:r>
          </w:p>
          <w:p>
            <w:pPr>
              <w:pStyle w:val="6"/>
              <w:numPr>
                <w:ilvl w:val="0"/>
                <w:numId w:val="3"/>
              </w:numPr>
              <w:spacing w:after="0" w:line="360" w:lineRule="auto"/>
              <w:ind w:left="0" w:leftChars="0" w:firstLine="480" w:firstLineChars="200"/>
              <w:rPr>
                <w:color w:val="000000"/>
                <w:kern w:val="2"/>
                <w:szCs w:val="24"/>
              </w:rPr>
            </w:pPr>
            <w:r>
              <w:rPr>
                <w:color w:val="000000"/>
                <w:kern w:val="2"/>
                <w:szCs w:val="24"/>
                <w:u w:val="single"/>
              </w:rPr>
              <w:t>水性油墨：主要由水溶性树脂、有机颜料、溶剂及相关助剂经复合研磨加工而成。</w:t>
            </w:r>
            <w:r>
              <w:rPr>
                <w:kern w:val="2"/>
                <w:szCs w:val="24"/>
                <w:u w:val="single"/>
              </w:rPr>
              <w:t>其中挥发性有机物含量为1.1%(水性油墨检测报告见附件7）</w:t>
            </w:r>
            <w:r>
              <w:rPr>
                <w:color w:val="000000"/>
                <w:kern w:val="2"/>
                <w:szCs w:val="24"/>
                <w:u w:val="single"/>
              </w:rPr>
              <w:t>。</w:t>
            </w:r>
          </w:p>
          <w:p>
            <w:pPr>
              <w:snapToGrid w:val="0"/>
              <w:spacing w:line="360" w:lineRule="auto"/>
              <w:rPr>
                <w:rFonts w:eastAsia="黑体"/>
                <w:sz w:val="24"/>
              </w:rPr>
            </w:pPr>
            <w:r>
              <w:rPr>
                <w:rFonts w:eastAsia="黑体"/>
                <w:sz w:val="24"/>
              </w:rPr>
              <w:t>2.</w:t>
            </w:r>
            <w:r>
              <w:rPr>
                <w:rFonts w:hint="eastAsia" w:eastAsia="黑体"/>
                <w:sz w:val="24"/>
              </w:rPr>
              <w:t>4</w:t>
            </w:r>
            <w:r>
              <w:rPr>
                <w:rFonts w:eastAsia="黑体"/>
                <w:sz w:val="24"/>
              </w:rPr>
              <w:t xml:space="preserve"> </w:t>
            </w:r>
            <w:r>
              <w:rPr>
                <w:rFonts w:hint="eastAsia" w:eastAsia="黑体"/>
                <w:sz w:val="24"/>
              </w:rPr>
              <w:t>水平衡分析</w:t>
            </w:r>
          </w:p>
          <w:p>
            <w:pPr>
              <w:widowControl/>
              <w:spacing w:line="360" w:lineRule="auto"/>
              <w:ind w:firstLine="480" w:firstLineChars="200"/>
              <w:rPr>
                <w:sz w:val="24"/>
              </w:rPr>
            </w:pPr>
            <w:r>
              <w:rPr>
                <w:rFonts w:hint="eastAsia"/>
                <w:sz w:val="24"/>
              </w:rPr>
              <w:t>（1）本项目劳动定员50人，年工作300天，单班工作制，不在厂区食宿。依据河南省《工业与城镇生活用水定额》（DB41/T385-2020）人均用水量按40L/d计，则用水量为2m</w:t>
            </w:r>
            <w:r>
              <w:rPr>
                <w:rFonts w:hint="eastAsia"/>
                <w:sz w:val="24"/>
                <w:vertAlign w:val="superscript"/>
              </w:rPr>
              <w:t>3</w:t>
            </w:r>
            <w:r>
              <w:rPr>
                <w:rFonts w:hint="eastAsia"/>
                <w:sz w:val="24"/>
              </w:rPr>
              <w:t>/d，即600m</w:t>
            </w:r>
            <w:r>
              <w:rPr>
                <w:rFonts w:hint="eastAsia"/>
                <w:sz w:val="24"/>
                <w:vertAlign w:val="superscript"/>
              </w:rPr>
              <w:t>3</w:t>
            </w:r>
            <w:r>
              <w:rPr>
                <w:rFonts w:hint="eastAsia"/>
                <w:sz w:val="24"/>
              </w:rPr>
              <w:t>/a；污水排放系数为0.8，则污水排放量为1.6m</w:t>
            </w:r>
            <w:r>
              <w:rPr>
                <w:rFonts w:hint="eastAsia"/>
                <w:sz w:val="24"/>
                <w:vertAlign w:val="superscript"/>
              </w:rPr>
              <w:t>3</w:t>
            </w:r>
            <w:r>
              <w:rPr>
                <w:rFonts w:hint="eastAsia"/>
                <w:sz w:val="24"/>
              </w:rPr>
              <w:t>/d，即480m</w:t>
            </w:r>
            <w:r>
              <w:rPr>
                <w:rFonts w:hint="eastAsia"/>
                <w:sz w:val="24"/>
                <w:vertAlign w:val="superscript"/>
              </w:rPr>
              <w:t>3</w:t>
            </w:r>
            <w:r>
              <w:rPr>
                <w:rFonts w:hint="eastAsia"/>
                <w:sz w:val="24"/>
              </w:rPr>
              <w:t>/a。</w:t>
            </w:r>
          </w:p>
          <w:p>
            <w:pPr>
              <w:widowControl/>
              <w:spacing w:line="360" w:lineRule="auto"/>
              <w:ind w:firstLine="480" w:firstLineChars="200"/>
              <w:rPr>
                <w:sz w:val="24"/>
                <w:u w:val="single"/>
              </w:rPr>
            </w:pPr>
            <w:r>
              <w:rPr>
                <w:rFonts w:hint="eastAsia"/>
                <w:kern w:val="0"/>
                <w:sz w:val="24"/>
                <w:u w:val="single"/>
              </w:rPr>
              <w:t>（2）本</w:t>
            </w:r>
            <w:r>
              <w:rPr>
                <w:rFonts w:hint="eastAsia"/>
                <w:sz w:val="24"/>
                <w:u w:val="single"/>
              </w:rPr>
              <w:t>项目生产用水为水性油墨配比用水及印刷机墨辊清洗用水。</w:t>
            </w:r>
          </w:p>
          <w:p>
            <w:pPr>
              <w:widowControl/>
              <w:spacing w:line="360" w:lineRule="auto"/>
              <w:ind w:firstLine="480" w:firstLineChars="200"/>
              <w:rPr>
                <w:sz w:val="24"/>
                <w:u w:val="single"/>
              </w:rPr>
            </w:pPr>
            <w:r>
              <w:rPr>
                <w:rFonts w:hint="eastAsia"/>
                <w:sz w:val="24"/>
                <w:u w:val="single"/>
              </w:rPr>
              <w:t>①水性油墨配比用水：本项目使用的水性油墨粘稠度稍大，需加适量水作调整，根据项目实际生产经验，20kg/桶原墨需加水10kg。本项目油墨使用量为0.25t/a（0.00084t/d），则水性油墨稀释用水量为0.125t/a（0.00042t/d），生产过程中全部挥发。</w:t>
            </w:r>
          </w:p>
          <w:p>
            <w:pPr>
              <w:widowControl/>
              <w:spacing w:line="360" w:lineRule="auto"/>
              <w:ind w:firstLine="480" w:firstLineChars="200"/>
              <w:rPr>
                <w:sz w:val="24"/>
                <w:u w:val="single"/>
              </w:rPr>
            </w:pPr>
            <w:r>
              <w:rPr>
                <w:rFonts w:hint="eastAsia"/>
                <w:sz w:val="24"/>
                <w:u w:val="single"/>
              </w:rPr>
              <w:t>②水墨印刷机墨辊清洗用水：水墨印刷机每20天使用清水清洗一次，清洗水流入各自颜色油墨桶内，用于下次水性油墨稀释配置。每台印刷机每次清洗用水量约为3L，即用水量约为0.045t/a（0.00015t/d），全部回用于生产，不外排。本项目建成后全厂共设置2台印刷机，清洗用水量合计为0.09t/a（0.0003t/d）。</w:t>
            </w:r>
          </w:p>
          <w:p>
            <w:pPr>
              <w:spacing w:line="360" w:lineRule="auto"/>
              <w:ind w:firstLine="480" w:firstLineChars="200"/>
              <w:rPr>
                <w:sz w:val="24"/>
                <w:u w:val="single"/>
              </w:rPr>
            </w:pPr>
            <w:r>
              <w:rPr>
                <w:sz w:val="24"/>
                <w:u w:val="single"/>
              </w:rPr>
              <w:t>本项目</w:t>
            </w:r>
            <w:r>
              <w:rPr>
                <w:rFonts w:hint="eastAsia"/>
                <w:sz w:val="24"/>
                <w:u w:val="single"/>
              </w:rPr>
              <w:t>建成后</w:t>
            </w:r>
            <w:r>
              <w:rPr>
                <w:sz w:val="24"/>
                <w:u w:val="single"/>
              </w:rPr>
              <w:t>水平衡分析见下图。</w:t>
            </w:r>
          </w:p>
          <w:p>
            <w:pPr>
              <w:spacing w:line="360" w:lineRule="auto"/>
              <w:rPr>
                <w:sz w:val="24"/>
              </w:rPr>
            </w:pPr>
            <w:r>
              <w:rPr>
                <w:b/>
                <w:sz w:val="28"/>
                <w:szCs w:val="28"/>
              </w:rPr>
              <mc:AlternateContent>
                <mc:Choice Requires="wpc">
                  <w:drawing>
                    <wp:anchor distT="0" distB="0" distL="114300" distR="114300" simplePos="0" relativeHeight="251660288" behindDoc="0" locked="0" layoutInCell="1" allowOverlap="1">
                      <wp:simplePos x="0" y="0"/>
                      <wp:positionH relativeFrom="column">
                        <wp:posOffset>-11430</wp:posOffset>
                      </wp:positionH>
                      <wp:positionV relativeFrom="paragraph">
                        <wp:posOffset>106045</wp:posOffset>
                      </wp:positionV>
                      <wp:extent cx="5386070" cy="3207385"/>
                      <wp:effectExtent l="0" t="0" r="0" b="0"/>
                      <wp:wrapNone/>
                      <wp:docPr id="130" name="画布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文本框 98"/>
                              <wps:cNvSpPr txBox="1"/>
                              <wps:spPr>
                                <a:xfrm>
                                  <a:off x="330200" y="1075690"/>
                                  <a:ext cx="541655" cy="128905"/>
                                </a:xfrm>
                                <a:prstGeom prst="rect">
                                  <a:avLst/>
                                </a:prstGeom>
                                <a:solidFill>
                                  <a:srgbClr val="FFFFFF"/>
                                </a:solidFill>
                                <a:ln>
                                  <a:noFill/>
                                </a:ln>
                              </wps:spPr>
                              <wps:txbx>
                                <w:txbxContent>
                                  <w:p>
                                    <w:pPr>
                                      <w:rPr>
                                        <w:b/>
                                        <w:u w:val="single"/>
                                      </w:rPr>
                                    </w:pPr>
                                    <w:r>
                                      <w:rPr>
                                        <w:rFonts w:hint="eastAsia"/>
                                      </w:rPr>
                                      <w:t>2.00012</w:t>
                                    </w:r>
                                  </w:p>
                                </w:txbxContent>
                              </wps:txbx>
                              <wps:bodyPr lIns="0" tIns="0" rIns="0" bIns="0" upright="1"/>
                            </wps:wsp>
                            <wps:wsp>
                              <wps:cNvPr id="99" name="文本框 99"/>
                              <wps:cNvSpPr txBox="1"/>
                              <wps:spPr>
                                <a:xfrm>
                                  <a:off x="970915" y="317570"/>
                                  <a:ext cx="440690" cy="198164"/>
                                </a:xfrm>
                                <a:prstGeom prst="rect">
                                  <a:avLst/>
                                </a:prstGeom>
                                <a:solidFill>
                                  <a:srgbClr val="FFFFFF"/>
                                </a:solidFill>
                                <a:ln>
                                  <a:noFill/>
                                </a:ln>
                              </wps:spPr>
                              <wps:txbx>
                                <w:txbxContent>
                                  <w:p>
                                    <w:pPr>
                                      <w:rPr>
                                        <w:bCs/>
                                      </w:rPr>
                                    </w:pPr>
                                    <w:r>
                                      <w:rPr>
                                        <w:rFonts w:hint="eastAsia"/>
                                        <w:bCs/>
                                      </w:rPr>
                                      <w:t>2</w:t>
                                    </w:r>
                                  </w:p>
                                </w:txbxContent>
                              </wps:txbx>
                              <wps:bodyPr lIns="0" tIns="0" rIns="0" bIns="0" upright="1"/>
                            </wps:wsp>
                            <wps:wsp>
                              <wps:cNvPr id="100" name="矩形 100"/>
                              <wps:cNvSpPr/>
                              <wps:spPr>
                                <a:xfrm>
                                  <a:off x="1419860" y="418558"/>
                                  <a:ext cx="1028700" cy="2362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left"/>
                                    </w:pPr>
                                    <w:r>
                                      <w:rPr>
                                        <w:rFonts w:hint="eastAsia"/>
                                      </w:rPr>
                                      <w:t>职工生活用水</w:t>
                                    </w:r>
                                  </w:p>
                                </w:txbxContent>
                              </wps:txbx>
                              <wps:bodyPr lIns="0" tIns="0" rIns="0" bIns="0" upright="1"/>
                            </wps:wsp>
                            <wps:wsp>
                              <wps:cNvPr id="101" name="直接连接符 101"/>
                              <wps:cNvCnPr>
                                <a:stCxn id="106" idx="3"/>
                              </wps:cNvCnPr>
                              <wps:spPr>
                                <a:xfrm>
                                  <a:off x="320040" y="1247412"/>
                                  <a:ext cx="469900" cy="3175"/>
                                </a:xfrm>
                                <a:prstGeom prst="line">
                                  <a:avLst/>
                                </a:prstGeom>
                                <a:ln w="9525" cap="flat" cmpd="sng">
                                  <a:solidFill>
                                    <a:srgbClr val="000000"/>
                                  </a:solidFill>
                                  <a:prstDash val="solid"/>
                                  <a:headEnd type="none" w="med" len="med"/>
                                  <a:tailEnd type="triangle" w="med" len="med"/>
                                </a:ln>
                              </wps:spPr>
                              <wps:bodyPr/>
                            </wps:wsp>
                            <wps:wsp>
                              <wps:cNvPr id="102" name="直接连接符 102"/>
                              <wps:cNvCnPr/>
                              <wps:spPr>
                                <a:xfrm>
                                  <a:off x="800100" y="515099"/>
                                  <a:ext cx="624840" cy="635"/>
                                </a:xfrm>
                                <a:prstGeom prst="line">
                                  <a:avLst/>
                                </a:prstGeom>
                                <a:ln w="9525" cap="flat" cmpd="sng">
                                  <a:solidFill>
                                    <a:srgbClr val="000000"/>
                                  </a:solidFill>
                                  <a:prstDash val="solid"/>
                                  <a:headEnd type="none" w="med" len="med"/>
                                  <a:tailEnd type="triangle" w="med" len="med"/>
                                </a:ln>
                              </wps:spPr>
                              <wps:bodyPr/>
                            </wps:wsp>
                            <wps:wsp>
                              <wps:cNvPr id="103" name="直接连接符 103"/>
                              <wps:cNvCnPr/>
                              <wps:spPr>
                                <a:xfrm>
                                  <a:off x="800100" y="527167"/>
                                  <a:ext cx="635" cy="1091172"/>
                                </a:xfrm>
                                <a:prstGeom prst="line">
                                  <a:avLst/>
                                </a:prstGeom>
                                <a:ln w="9525" cap="flat" cmpd="sng">
                                  <a:solidFill>
                                    <a:srgbClr val="000000"/>
                                  </a:solidFill>
                                  <a:prstDash val="solid"/>
                                  <a:headEnd type="none" w="med" len="med"/>
                                  <a:tailEnd type="none" w="med" len="med"/>
                                </a:ln>
                              </wps:spPr>
                              <wps:bodyPr/>
                            </wps:wsp>
                            <wps:wsp>
                              <wps:cNvPr id="104" name="矩形 104"/>
                              <wps:cNvSpPr/>
                              <wps:spPr>
                                <a:xfrm>
                                  <a:off x="2879090" y="402044"/>
                                  <a:ext cx="720725" cy="213407"/>
                                </a:xfrm>
                                <a:prstGeom prst="rect">
                                  <a:avLst/>
                                </a:prstGeom>
                                <a:solidFill>
                                  <a:srgbClr val="FFFFFF"/>
                                </a:solidFill>
                                <a:ln>
                                  <a:noFill/>
                                </a:ln>
                              </wps:spPr>
                              <wps:txbx>
                                <w:txbxContent>
                                  <w:p>
                                    <w:r>
                                      <w:rPr>
                                        <w:rFonts w:hint="eastAsia"/>
                                      </w:rPr>
                                      <w:t>化粪池降解</w:t>
                                    </w:r>
                                  </w:p>
                                </w:txbxContent>
                              </wps:txbx>
                              <wps:bodyPr lIns="0" tIns="0" rIns="0" bIns="0" upright="1"/>
                            </wps:wsp>
                            <wps:wsp>
                              <wps:cNvPr id="105" name="文本框 105"/>
                              <wps:cNvSpPr txBox="1"/>
                              <wps:spPr>
                                <a:xfrm>
                                  <a:off x="2491740" y="302327"/>
                                  <a:ext cx="340360" cy="200069"/>
                                </a:xfrm>
                                <a:prstGeom prst="rect">
                                  <a:avLst/>
                                </a:prstGeom>
                                <a:solidFill>
                                  <a:srgbClr val="FFFFFF"/>
                                </a:solidFill>
                                <a:ln>
                                  <a:noFill/>
                                </a:ln>
                              </wps:spPr>
                              <wps:txbx>
                                <w:txbxContent>
                                  <w:p>
                                    <w:r>
                                      <w:rPr>
                                        <w:rFonts w:hint="eastAsia"/>
                                      </w:rPr>
                                      <w:t>1.6</w:t>
                                    </w:r>
                                  </w:p>
                                </w:txbxContent>
                              </wps:txbx>
                              <wps:bodyPr lIns="0" tIns="0" rIns="0" bIns="0" upright="1"/>
                            </wps:wsp>
                            <wps:wsp>
                              <wps:cNvPr id="106" name="文本框 106"/>
                              <wps:cNvSpPr txBox="1"/>
                              <wps:spPr>
                                <a:xfrm>
                                  <a:off x="24130" y="936625"/>
                                  <a:ext cx="295910" cy="621030"/>
                                </a:xfrm>
                                <a:prstGeom prst="rect">
                                  <a:avLst/>
                                </a:prstGeom>
                                <a:solidFill>
                                  <a:srgbClr val="FFFFFF"/>
                                </a:solidFill>
                                <a:ln>
                                  <a:noFill/>
                                </a:ln>
                              </wps:spPr>
                              <wps:txbx>
                                <w:txbxContent>
                                  <w:p>
                                    <w:pPr>
                                      <w:ind w:firstLine="105" w:firstLineChars="50"/>
                                    </w:pPr>
                                    <w:r>
                                      <w:rPr>
                                        <w:rFonts w:hint="eastAsia"/>
                                      </w:rPr>
                                      <w:t>新</w:t>
                                    </w:r>
                                  </w:p>
                                  <w:p>
                                    <w:pPr>
                                      <w:ind w:firstLine="105" w:firstLineChars="50"/>
                                    </w:pPr>
                                    <w:r>
                                      <w:rPr>
                                        <w:rFonts w:hint="eastAsia"/>
                                      </w:rPr>
                                      <w:t>鲜</w:t>
                                    </w:r>
                                  </w:p>
                                  <w:p>
                                    <w:pPr>
                                      <w:ind w:firstLine="105" w:firstLineChars="50"/>
                                    </w:pPr>
                                    <w:r>
                                      <w:rPr>
                                        <w:rFonts w:hint="eastAsia"/>
                                      </w:rPr>
                                      <w:t>水</w:t>
                                    </w:r>
                                  </w:p>
                                </w:txbxContent>
                              </wps:txbx>
                              <wps:bodyPr lIns="0" tIns="0" rIns="0" bIns="0" upright="1"/>
                            </wps:wsp>
                            <wps:wsp>
                              <wps:cNvPr id="107" name="文本框 107"/>
                              <wps:cNvSpPr txBox="1"/>
                              <wps:spPr>
                                <a:xfrm>
                                  <a:off x="3998595" y="2824480"/>
                                  <a:ext cx="457200" cy="198120"/>
                                </a:xfrm>
                                <a:prstGeom prst="rect">
                                  <a:avLst/>
                                </a:prstGeom>
                                <a:noFill/>
                                <a:ln>
                                  <a:noFill/>
                                </a:ln>
                              </wps:spPr>
                              <wps:txbx>
                                <w:txbxContent>
                                  <w:p>
                                    <w:pPr>
                                      <w:ind w:firstLine="105" w:firstLineChars="50"/>
                                    </w:pPr>
                                    <w:r>
                                      <w:rPr>
                                        <w:rFonts w:hint="eastAsia"/>
                                      </w:rPr>
                                      <w:t>散失</w:t>
                                    </w:r>
                                  </w:p>
                                </w:txbxContent>
                              </wps:txbx>
                              <wps:bodyPr lIns="0" tIns="0" rIns="0" bIns="0" upright="1"/>
                            </wps:wsp>
                            <wps:wsp>
                              <wps:cNvPr id="108" name="文本框 108"/>
                              <wps:cNvSpPr txBox="1"/>
                              <wps:spPr>
                                <a:xfrm>
                                  <a:off x="3003550" y="2857500"/>
                                  <a:ext cx="457200" cy="198120"/>
                                </a:xfrm>
                                <a:prstGeom prst="rect">
                                  <a:avLst/>
                                </a:prstGeom>
                                <a:noFill/>
                                <a:ln>
                                  <a:noFill/>
                                </a:ln>
                              </wps:spPr>
                              <wps:txbx>
                                <w:txbxContent>
                                  <w:p>
                                    <w:pPr>
                                      <w:ind w:firstLine="105" w:firstLineChars="50"/>
                                    </w:pPr>
                                    <w:r>
                                      <w:rPr>
                                        <w:rFonts w:hint="eastAsia"/>
                                      </w:rPr>
                                      <w:t>图例：</w:t>
                                    </w:r>
                                  </w:p>
                                </w:txbxContent>
                              </wps:txbx>
                              <wps:bodyPr lIns="0" tIns="0" rIns="0" bIns="0" upright="1"/>
                            </wps:wsp>
                            <wps:wsp>
                              <wps:cNvPr id="109" name="文本框 109"/>
                              <wps:cNvSpPr txBox="1"/>
                              <wps:spPr>
                                <a:xfrm>
                                  <a:off x="563880" y="2880995"/>
                                  <a:ext cx="800100" cy="198120"/>
                                </a:xfrm>
                                <a:prstGeom prst="rect">
                                  <a:avLst/>
                                </a:prstGeom>
                                <a:noFill/>
                                <a:ln>
                                  <a:noFill/>
                                </a:ln>
                              </wps:spPr>
                              <wps:txbx>
                                <w:txbxContent>
                                  <w:p>
                                    <w:pPr>
                                      <w:ind w:firstLine="105" w:firstLineChars="50"/>
                                      <w:rPr>
                                        <w:b/>
                                      </w:rPr>
                                    </w:pPr>
                                    <w:r>
                                      <w:rPr>
                                        <w:rFonts w:hint="eastAsia"/>
                                      </w:rPr>
                                      <w:t>单位：</w:t>
                                    </w:r>
                                    <w:r>
                                      <w:rPr>
                                        <w:rFonts w:hint="eastAsia"/>
                                        <w:b/>
                                      </w:rPr>
                                      <w:t>m</w:t>
                                    </w:r>
                                    <w:r>
                                      <w:rPr>
                                        <w:rFonts w:hint="eastAsia"/>
                                        <w:b/>
                                        <w:vertAlign w:val="superscript"/>
                                      </w:rPr>
                                      <w:t>3</w:t>
                                    </w:r>
                                    <w:r>
                                      <w:rPr>
                                        <w:rFonts w:hint="eastAsia"/>
                                        <w:b/>
                                      </w:rPr>
                                      <w:t>/d</w:t>
                                    </w:r>
                                  </w:p>
                                </w:txbxContent>
                              </wps:txbx>
                              <wps:bodyPr lIns="0" tIns="0" rIns="0" bIns="0" upright="1"/>
                            </wps:wsp>
                            <wps:wsp>
                              <wps:cNvPr id="110" name="直接连接符 110"/>
                              <wps:cNvCnPr/>
                              <wps:spPr>
                                <a:xfrm>
                                  <a:off x="2467610" y="517004"/>
                                  <a:ext cx="401320" cy="635"/>
                                </a:xfrm>
                                <a:prstGeom prst="line">
                                  <a:avLst/>
                                </a:prstGeom>
                                <a:ln w="9525" cap="flat" cmpd="sng">
                                  <a:solidFill>
                                    <a:srgbClr val="000000"/>
                                  </a:solidFill>
                                  <a:prstDash val="solid"/>
                                  <a:headEnd type="none" w="med" len="med"/>
                                  <a:tailEnd type="triangle" w="med" len="med"/>
                                </a:ln>
                              </wps:spPr>
                              <wps:bodyPr/>
                            </wps:wsp>
                            <wps:wsp>
                              <wps:cNvPr id="111" name="直接连接符 111"/>
                              <wps:cNvCnPr>
                                <a:endCxn id="122" idx="1"/>
                              </wps:cNvCnPr>
                              <wps:spPr>
                                <a:xfrm flipV="1">
                                  <a:off x="800735" y="1606906"/>
                                  <a:ext cx="517525" cy="635"/>
                                </a:xfrm>
                                <a:prstGeom prst="line">
                                  <a:avLst/>
                                </a:prstGeom>
                                <a:ln w="9525" cap="flat" cmpd="sng">
                                  <a:solidFill>
                                    <a:srgbClr val="000000"/>
                                  </a:solidFill>
                                  <a:prstDash val="solid"/>
                                  <a:headEnd type="none" w="med" len="med"/>
                                  <a:tailEnd type="triangle" w="med" len="med"/>
                                </a:ln>
                              </wps:spPr>
                              <wps:bodyPr/>
                            </wps:wsp>
                            <wps:wsp>
                              <wps:cNvPr id="112" name="曲线连接符 112"/>
                              <wps:cNvCnPr/>
                              <wps:spPr>
                                <a:xfrm flipV="1">
                                  <a:off x="1779270" y="125758"/>
                                  <a:ext cx="342900" cy="276286"/>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13" name="曲线连接符 113"/>
                              <wps:cNvCnPr/>
                              <wps:spPr>
                                <a:xfrm flipV="1">
                                  <a:off x="3465195" y="2794635"/>
                                  <a:ext cx="342900" cy="276225"/>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14" name="文本框 114"/>
                              <wps:cNvSpPr txBox="1"/>
                              <wps:spPr>
                                <a:xfrm>
                                  <a:off x="2115820" y="0"/>
                                  <a:ext cx="340360" cy="200069"/>
                                </a:xfrm>
                                <a:prstGeom prst="rect">
                                  <a:avLst/>
                                </a:prstGeom>
                                <a:solidFill>
                                  <a:srgbClr val="FFFFFF"/>
                                </a:solidFill>
                                <a:ln>
                                  <a:noFill/>
                                </a:ln>
                              </wps:spPr>
                              <wps:txbx>
                                <w:txbxContent>
                                  <w:p>
                                    <w:r>
                                      <w:rPr>
                                        <w:rFonts w:hint="eastAsia"/>
                                      </w:rPr>
                                      <w:t>0.4</w:t>
                                    </w:r>
                                  </w:p>
                                </w:txbxContent>
                              </wps:txbx>
                              <wps:bodyPr lIns="0" tIns="0" rIns="0" bIns="0" upright="1"/>
                            </wps:wsp>
                            <wps:wsp>
                              <wps:cNvPr id="115" name="直接连接符 115"/>
                              <wps:cNvCnPr/>
                              <wps:spPr>
                                <a:xfrm>
                                  <a:off x="3623310" y="490964"/>
                                  <a:ext cx="319405" cy="635"/>
                                </a:xfrm>
                                <a:prstGeom prst="line">
                                  <a:avLst/>
                                </a:prstGeom>
                                <a:ln w="9525" cap="flat" cmpd="sng">
                                  <a:solidFill>
                                    <a:srgbClr val="000000"/>
                                  </a:solidFill>
                                  <a:prstDash val="solid"/>
                                  <a:headEnd type="none" w="med" len="med"/>
                                  <a:tailEnd type="triangle" w="med" len="med"/>
                                </a:ln>
                              </wps:spPr>
                              <wps:bodyPr/>
                            </wps:wsp>
                            <wps:wsp>
                              <wps:cNvPr id="116" name="矩形 116"/>
                              <wps:cNvSpPr/>
                              <wps:spPr>
                                <a:xfrm>
                                  <a:off x="3964940" y="325120"/>
                                  <a:ext cx="708025" cy="416560"/>
                                </a:xfrm>
                                <a:prstGeom prst="rect">
                                  <a:avLst/>
                                </a:prstGeom>
                                <a:solidFill>
                                  <a:srgbClr val="FFFFFF"/>
                                </a:solidFill>
                                <a:ln>
                                  <a:noFill/>
                                </a:ln>
                              </wps:spPr>
                              <wps:txbx>
                                <w:txbxContent>
                                  <w:p>
                                    <w:r>
                                      <w:rPr>
                                        <w:rFonts w:hint="eastAsia"/>
                                      </w:rPr>
                                      <w:t>偃师区第三污水处理厂</w:t>
                                    </w:r>
                                  </w:p>
                                </w:txbxContent>
                              </wps:txbx>
                              <wps:bodyPr lIns="0" tIns="0" rIns="0" bIns="0" upright="1"/>
                            </wps:wsp>
                            <wps:wsp>
                              <wps:cNvPr id="119" name="曲线连接符 119"/>
                              <wps:cNvCnPr/>
                              <wps:spPr>
                                <a:xfrm flipV="1">
                                  <a:off x="2451100" y="1156335"/>
                                  <a:ext cx="342900" cy="27686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20" name="文本框 120"/>
                              <wps:cNvSpPr txBox="1"/>
                              <wps:spPr>
                                <a:xfrm>
                                  <a:off x="2805430" y="1001395"/>
                                  <a:ext cx="951230" cy="274955"/>
                                </a:xfrm>
                                <a:prstGeom prst="rect">
                                  <a:avLst/>
                                </a:prstGeom>
                                <a:noFill/>
                                <a:ln>
                                  <a:noFill/>
                                </a:ln>
                              </wps:spPr>
                              <wps:txbx>
                                <w:txbxContent>
                                  <w:p>
                                    <w:r>
                                      <w:rPr>
                                        <w:rFonts w:hint="eastAsia"/>
                                      </w:rPr>
                                      <w:t>0.00042挥发</w:t>
                                    </w:r>
                                  </w:p>
                                </w:txbxContent>
                              </wps:txbx>
                              <wps:bodyPr upright="1"/>
                            </wps:wsp>
                            <wps:wsp>
                              <wps:cNvPr id="121" name="矩形 121"/>
                              <wps:cNvSpPr/>
                              <wps:spPr>
                                <a:xfrm>
                                  <a:off x="1264920" y="2111375"/>
                                  <a:ext cx="152336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水墨印刷机墨辊清洗用水</w:t>
                                    </w:r>
                                  </w:p>
                                </w:txbxContent>
                              </wps:txbx>
                              <wps:bodyPr lIns="0" tIns="0" rIns="0" bIns="0" upright="1"/>
                            </wps:wsp>
                            <wps:wsp>
                              <wps:cNvPr id="122" name="文本框 122"/>
                              <wps:cNvSpPr txBox="1"/>
                              <wps:spPr>
                                <a:xfrm>
                                  <a:off x="1318260" y="1470025"/>
                                  <a:ext cx="132397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水性油墨配比用水</w:t>
                                    </w:r>
                                  </w:p>
                                </w:txbxContent>
                              </wps:txbx>
                              <wps:bodyPr wrap="square" upright="1">
                                <a:spAutoFit/>
                              </wps:bodyPr>
                            </wps:wsp>
                            <wps:wsp>
                              <wps:cNvPr id="123" name="直接连接符 123"/>
                              <wps:cNvCnPr/>
                              <wps:spPr>
                                <a:xfrm rot="5400000" flipH="1" flipV="1">
                                  <a:off x="1707515" y="1918335"/>
                                  <a:ext cx="344805" cy="635"/>
                                </a:xfrm>
                                <a:prstGeom prst="line">
                                  <a:avLst/>
                                </a:prstGeom>
                                <a:ln w="9525" cap="flat" cmpd="sng">
                                  <a:solidFill>
                                    <a:srgbClr val="000000"/>
                                  </a:solidFill>
                                  <a:prstDash val="solid"/>
                                  <a:headEnd type="none" w="med" len="med"/>
                                  <a:tailEnd type="triangle" w="med" len="med"/>
                                </a:ln>
                              </wps:spPr>
                              <wps:bodyPr/>
                            </wps:wsp>
                            <wps:wsp>
                              <wps:cNvPr id="124" name="文本框 124"/>
                              <wps:cNvSpPr txBox="1"/>
                              <wps:spPr>
                                <a:xfrm>
                                  <a:off x="807720" y="1398270"/>
                                  <a:ext cx="505460" cy="191135"/>
                                </a:xfrm>
                                <a:prstGeom prst="rect">
                                  <a:avLst/>
                                </a:prstGeom>
                                <a:noFill/>
                                <a:ln>
                                  <a:noFill/>
                                </a:ln>
                              </wps:spPr>
                              <wps:txbx>
                                <w:txbxContent>
                                  <w:p>
                                    <w:pPr>
                                      <w:rPr>
                                        <w:bCs/>
                                      </w:rPr>
                                    </w:pPr>
                                    <w:r>
                                      <w:rPr>
                                        <w:rFonts w:hint="eastAsia"/>
                                        <w:bCs/>
                                      </w:rPr>
                                      <w:t>0.00012</w:t>
                                    </w:r>
                                  </w:p>
                                </w:txbxContent>
                              </wps:txbx>
                              <wps:bodyPr lIns="0" tIns="0" rIns="0" bIns="0" upright="1"/>
                            </wps:wsp>
                            <wps:wsp>
                              <wps:cNvPr id="125" name="文本框 125"/>
                              <wps:cNvSpPr txBox="1"/>
                              <wps:spPr>
                                <a:xfrm>
                                  <a:off x="840740" y="2038985"/>
                                  <a:ext cx="431800" cy="191135"/>
                                </a:xfrm>
                                <a:prstGeom prst="rect">
                                  <a:avLst/>
                                </a:prstGeom>
                                <a:noFill/>
                                <a:ln>
                                  <a:noFill/>
                                </a:ln>
                              </wps:spPr>
                              <wps:txbx>
                                <w:txbxContent>
                                  <w:p>
                                    <w:pPr>
                                      <w:rPr>
                                        <w:bCs/>
                                      </w:rPr>
                                    </w:pPr>
                                    <w:r>
                                      <w:rPr>
                                        <w:rFonts w:hint="eastAsia"/>
                                        <w:bCs/>
                                      </w:rPr>
                                      <w:t>0.0003</w:t>
                                    </w:r>
                                  </w:p>
                                </w:txbxContent>
                              </wps:txbx>
                              <wps:bodyPr lIns="0" tIns="0" rIns="0" bIns="0" upright="1"/>
                            </wps:wsp>
                            <wps:wsp>
                              <wps:cNvPr id="126" name="直接连接符 126"/>
                              <wps:cNvCnPr/>
                              <wps:spPr>
                                <a:xfrm>
                                  <a:off x="798830" y="1602740"/>
                                  <a:ext cx="7620" cy="666115"/>
                                </a:xfrm>
                                <a:prstGeom prst="line">
                                  <a:avLst/>
                                </a:prstGeom>
                                <a:ln w="9525" cap="flat" cmpd="sng">
                                  <a:solidFill>
                                    <a:srgbClr val="000000"/>
                                  </a:solidFill>
                                  <a:prstDash val="solid"/>
                                  <a:headEnd type="none" w="med" len="med"/>
                                  <a:tailEnd type="none" w="med" len="med"/>
                                </a:ln>
                              </wps:spPr>
                              <wps:bodyPr/>
                            </wps:wsp>
                            <wps:wsp>
                              <wps:cNvPr id="127" name="直接连接符 127"/>
                              <wps:cNvCnPr/>
                              <wps:spPr>
                                <a:xfrm>
                                  <a:off x="806450" y="2252345"/>
                                  <a:ext cx="462915" cy="2540"/>
                                </a:xfrm>
                                <a:prstGeom prst="line">
                                  <a:avLst/>
                                </a:prstGeom>
                                <a:ln w="9525" cap="flat" cmpd="sng">
                                  <a:solidFill>
                                    <a:srgbClr val="000000"/>
                                  </a:solidFill>
                                  <a:prstDash val="solid"/>
                                  <a:headEnd type="none" w="med" len="med"/>
                                  <a:tailEnd type="triangle" w="med" len="med"/>
                                </a:ln>
                              </wps:spPr>
                              <wps:bodyPr/>
                            </wps:wsp>
                            <wps:wsp>
                              <wps:cNvPr id="131" name="文本框 131"/>
                              <wps:cNvSpPr txBox="1"/>
                              <wps:spPr>
                                <a:xfrm>
                                  <a:off x="1894205" y="1849120"/>
                                  <a:ext cx="431800" cy="191135"/>
                                </a:xfrm>
                                <a:prstGeom prst="rect">
                                  <a:avLst/>
                                </a:prstGeom>
                                <a:noFill/>
                                <a:ln>
                                  <a:noFill/>
                                </a:ln>
                              </wps:spPr>
                              <wps:txbx>
                                <w:txbxContent>
                                  <w:p>
                                    <w:pPr>
                                      <w:rPr>
                                        <w:bCs/>
                                      </w:rPr>
                                    </w:pPr>
                                    <w:r>
                                      <w:rPr>
                                        <w:rFonts w:hint="eastAsia"/>
                                        <w:bCs/>
                                      </w:rPr>
                                      <w:t>0.0003</w:t>
                                    </w:r>
                                  </w:p>
                                </w:txbxContent>
                              </wps:txbx>
                              <wps:bodyPr lIns="0" tIns="0" rIns="0" bIns="0" upright="1"/>
                            </wps:wsp>
                          </wpc:wpc>
                        </a:graphicData>
                      </a:graphic>
                    </wp:anchor>
                  </w:drawing>
                </mc:Choice>
                <mc:Fallback>
                  <w:pict>
                    <v:group id="_x0000_s1026" o:spid="_x0000_s1026" o:spt="203" style="position:absolute;left:0pt;margin-left:-0.9pt;margin-top:8.35pt;height:252.55pt;width:424.1pt;z-index:251660288;mso-width-relative:page;mso-height-relative:page;" coordsize="5386070,3207385" editas="canvas" o:gfxdata="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">
                      <o:lock v:ext="edit" aspectratio="f"/>
                      <v:shape id="_x0000_s1026" o:spid="_x0000_s1026" style="position:absolute;left:0;top:0;height:3207385;width:5386070;" filled="f" stroked="f" coordsize="21600,21600" o:gfxdata="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AAAAAZHJzL1BLAQIUABQAAAAIAIdO4kChuIt32QAAAAkBAAAPAAAAAAAAAAEAIAAA&#10;ACIAAABkcnMvZG93bnJldi54bWxQSwECFAAUAAAACACHTuJA13zktA4IAAC/OwAADgAAAAAAAAAB&#10;ACAAAAAoAQAAZHJzL2Uyb0RvYy54bWxQSwUGAAAAAAYABgBZAQAAqAsAAAAA&#10;">
                        <v:fill on="f" focussize="0,0"/>
                        <v:stroke on="f"/>
                        <v:imagedata o:title=""/>
                        <o:lock v:ext="edit" aspectratio="t"/>
                      </v:shape>
                      <v:shape id="_x0000_s1026" o:spid="_x0000_s1026" o:spt="202" type="#_x0000_t202" style="position:absolute;left:330200;top:1075690;height:128905;width:541655;" fillcolor="#FFFFFF" filled="t" stroked="f" coordsize="21600,21600" o:gfxdata="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j6/cXYAAAACQEAAA8AAAAAAAAA&#10;AQAgAAAAIgAAAGRycy9kb3ducmV2LnhtbFBLAQIUABQAAAAIAIdO4kA7kaO+2AEAAKcDAAAOAAAA&#10;AAAAAAEAIAAAACcBAABkcnMvZTJvRG9jLnhtbFBLBQYAAAAABgAGAFkBAABxBQAAAAA=&#10;">
                        <v:fill on="t" focussize="0,0"/>
                        <v:stroke on="f"/>
                        <v:imagedata o:title=""/>
                        <o:lock v:ext="edit" aspectratio="f"/>
                        <v:textbox inset="0mm,0mm,0mm,0mm">
                          <w:txbxContent>
                            <w:p>
                              <w:pPr>
                                <w:rPr>
                                  <w:b/>
                                  <w:u w:val="single"/>
                                </w:rPr>
                              </w:pPr>
                              <w:r>
                                <w:rPr>
                                  <w:rFonts w:hint="eastAsia"/>
                                </w:rPr>
                                <w:t>2.00012</w:t>
                              </w:r>
                            </w:p>
                          </w:txbxContent>
                        </v:textbox>
                      </v:shape>
                      <v:shape id="_x0000_s1026" o:spid="_x0000_s1026" o:spt="202" type="#_x0000_t202" style="position:absolute;left:970915;top:317570;height:198164;width:440690;" fillcolor="#FFFFFF" filled="t" stroked="f" coordsize="21600,21600" o:gfxdata="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Pr9xdgAAAAJAQAADwAAAAAA&#10;AAABACAAAAAiAAAAZHJzL2Rvd25yZXYueG1sUEsBAhQAFAAAAAgAh07iQKJ00cvaAQAApgMAAA4A&#10;AAAAAAAAAQAgAAAAJwEAAGRycy9lMm9Eb2MueG1sUEsFBgAAAAAGAAYAWQEAAHMFAAAAAA==&#10;">
                        <v:fill on="t" focussize="0,0"/>
                        <v:stroke on="f"/>
                        <v:imagedata o:title=""/>
                        <o:lock v:ext="edit" aspectratio="f"/>
                        <v:textbox inset="0mm,0mm,0mm,0mm">
                          <w:txbxContent>
                            <w:p>
                              <w:pPr>
                                <w:rPr>
                                  <w:bCs/>
                                </w:rPr>
                              </w:pPr>
                              <w:r>
                                <w:rPr>
                                  <w:rFonts w:hint="eastAsia"/>
                                  <w:bCs/>
                                </w:rPr>
                                <w:t>2</w:t>
                              </w:r>
                            </w:p>
                          </w:txbxContent>
                        </v:textbox>
                      </v:shape>
                      <v:rect id="_x0000_s1026" o:spid="_x0000_s1026" o:spt="1" style="position:absolute;left:1419860;top:418558;height:236272;width:1028700;" fillcolor="#FFFFFF" filled="t" stroked="t" coordsize="21600,21600" o:gfxdata="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fdsE2QAA&#10;AAkBAAAPAAAAAAAAAAEAIAAAACIAAABkcnMvZG93bnJldi54bWxQSwECFAAUAAAACACHTuJATyWs&#10;Vx0CAABcBAAADgAAAAAAAAABACAAAAAoAQAAZHJzL2Uyb0RvYy54bWxQSwUGAAAAAAYABgBZAQAA&#10;twUAAAAA&#10;">
                        <v:fill on="t" focussize="0,0"/>
                        <v:stroke color="#000000" joinstyle="miter"/>
                        <v:imagedata o:title=""/>
                        <o:lock v:ext="edit" aspectratio="f"/>
                        <v:textbox inset="0mm,0mm,0mm,0mm">
                          <w:txbxContent>
                            <w:p>
                              <w:pPr>
                                <w:ind w:firstLine="210" w:firstLineChars="100"/>
                                <w:jc w:val="left"/>
                              </w:pPr>
                              <w:r>
                                <w:rPr>
                                  <w:rFonts w:hint="eastAsia"/>
                                </w:rPr>
                                <w:t>职工生活用水</w:t>
                              </w:r>
                            </w:p>
                          </w:txbxContent>
                        </v:textbox>
                      </v:rect>
                      <v:line id="_x0000_s1026" o:spid="_x0000_s1026" o:spt="20" style="position:absolute;left:320040;top:1247412;height:3175;width:469900;" filled="f" stroked="t" coordsize="21600,21600" o:gfxdata="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UeuddkAAAAJAQAADwAAAAAA&#10;AAABACAAAAAiAAAAZHJzL2Rvd25yZXYueG1sUEsBAhQAFAAAAAgAh07iQFbNwssSAgAAFQQAAA4A&#10;AAAAAAAAAQAgAAAAKAEAAGRycy9lMm9Eb2MueG1sUEsFBgAAAAAGAAYAWQEAAKwFAAAAAA==&#10;">
                        <v:fill on="f" focussize="0,0"/>
                        <v:stroke color="#000000" joinstyle="round" endarrow="block"/>
                        <v:imagedata o:title=""/>
                        <o:lock v:ext="edit" aspectratio="f"/>
                      </v:line>
                      <v:line id="_x0000_s1026" o:spid="_x0000_s1026" o:spt="20" style="position:absolute;left:800100;top:515099;height:635;width:624840;" filled="f" stroked="t" coordsize="21600,21600" o:gfxdata="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VHrnXZAAAACQEAAA8AAAAAAAAAAQAgAAAAIgAAAGRycy9k&#10;b3ducmV2LnhtbFBLAQIUABQAAAAIAIdO4kBxqDBhAQIAAOsDAAAOAAAAAAAAAAEAIAAAACgBAABk&#10;cnMvZTJvRG9jLnhtbFBLBQYAAAAABgAGAFkBAACbBQAAAAA=&#10;">
                        <v:fill on="f" focussize="0,0"/>
                        <v:stroke color="#000000" joinstyle="round" endarrow="block"/>
                        <v:imagedata o:title=""/>
                        <o:lock v:ext="edit" aspectratio="f"/>
                      </v:line>
                      <v:line id="_x0000_s1026" o:spid="_x0000_s1026" o:spt="20" style="position:absolute;left:800100;top:527167;height:1091172;width:635;" filled="f" stroked="t" coordsize="21600,21600" o:gfxdata="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XlAM1wAAAAkBAAAPAAAAAAAAAAEAIAAAACIAAABkcnMvZG93bnJldi54&#10;bWxQSwECFAAUAAAACACHTuJASUcL/fsBAADoAwAADgAAAAAAAAABACAAAAAmAQAAZHJzL2Uyb0Rv&#10;Yy54bWxQSwUGAAAAAAYABgBZAQAAkwUAAAAA&#10;">
                        <v:fill on="f" focussize="0,0"/>
                        <v:stroke color="#000000" joinstyle="round"/>
                        <v:imagedata o:title=""/>
                        <o:lock v:ext="edit" aspectratio="f"/>
                      </v:line>
                      <v:rect id="_x0000_s1026" o:spid="_x0000_s1026" o:spt="1" style="position:absolute;left:2879090;top:402044;height:213407;width:720725;" fillcolor="#FFFFFF" filled="t" stroked="f" coordsize="21600,21600" o:gfxdata="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IHw5nVAAAACQEAAA8AAAAAAAAAAQAgAAAAIgAA&#10;AGRycy9kb3ducmV2LnhtbFBLAQIUABQAAAAIAIdO4kAuGkVB0gEAAJwDAAAOAAAAAAAAAAEAIAAA&#10;ACQBAABkcnMvZTJvRG9jLnhtbFBLBQYAAAAABgAGAFkBAABoBQAAAAA=&#10;">
                        <v:fill on="t" focussize="0,0"/>
                        <v:stroke on="f"/>
                        <v:imagedata o:title=""/>
                        <o:lock v:ext="edit" aspectratio="f"/>
                        <v:textbox inset="0mm,0mm,0mm,0mm">
                          <w:txbxContent>
                            <w:p>
                              <w:r>
                                <w:rPr>
                                  <w:rFonts w:hint="eastAsia"/>
                                </w:rPr>
                                <w:t>化粪池降解</w:t>
                              </w:r>
                            </w:p>
                          </w:txbxContent>
                        </v:textbox>
                      </v:rect>
                      <v:shape id="_x0000_s1026" o:spid="_x0000_s1026" o:spt="202" type="#_x0000_t202" style="position:absolute;left:2491740;top:302327;height:200069;width:340360;" fillcolor="#FFFFFF" filled="t" stroked="f" coordsize="21600,21600" o:gfxdata="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Pr9xdgAAAAJAQAADwAAAAAA&#10;AAABACAAAAAiAAAAZHJzL2Rvd25yZXYueG1sUEsBAhQAFAAAAAgAh07iQAtQfWHaAQAAqQMAAA4A&#10;AAAAAAAAAQAgAAAAJwEAAGRycy9lMm9Eb2MueG1sUEsFBgAAAAAGAAYAWQEAAHMFAAAAAA==&#10;">
                        <v:fill on="t" focussize="0,0"/>
                        <v:stroke on="f"/>
                        <v:imagedata o:title=""/>
                        <o:lock v:ext="edit" aspectratio="f"/>
                        <v:textbox inset="0mm,0mm,0mm,0mm">
                          <w:txbxContent>
                            <w:p>
                              <w:r>
                                <w:rPr>
                                  <w:rFonts w:hint="eastAsia"/>
                                </w:rPr>
                                <w:t>1.6</w:t>
                              </w:r>
                            </w:p>
                          </w:txbxContent>
                        </v:textbox>
                      </v:shape>
                      <v:shape id="_x0000_s1026" o:spid="_x0000_s1026" o:spt="202" type="#_x0000_t202" style="position:absolute;left:24130;top:936625;height:621030;width:295910;" fillcolor="#FFFFFF" filled="t" stroked="f" coordsize="21600,21600" o:gfxdata="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j6/cXYAAAACQEAAA8AAAAAAAAA&#10;AQAgAAAAIgAAAGRycy9kb3ducmV2LnhtbFBLAQIUABQAAAAIAIdO4kBuvXoU2AEAAKcDAAAOAAAA&#10;AAAAAAEAIAAAACcBAABkcnMvZTJvRG9jLnhtbFBLBQYAAAAABgAGAFkBAABxBQAAAAA=&#10;">
                        <v:fill on="t" focussize="0,0"/>
                        <v:stroke on="f"/>
                        <v:imagedata o:title=""/>
                        <o:lock v:ext="edit" aspectratio="f"/>
                        <v:textbox inset="0mm,0mm,0mm,0mm">
                          <w:txbxContent>
                            <w:p>
                              <w:pPr>
                                <w:ind w:firstLine="105" w:firstLineChars="50"/>
                              </w:pPr>
                              <w:r>
                                <w:rPr>
                                  <w:rFonts w:hint="eastAsia"/>
                                </w:rPr>
                                <w:t>新</w:t>
                              </w:r>
                            </w:p>
                            <w:p>
                              <w:pPr>
                                <w:ind w:firstLine="105" w:firstLineChars="50"/>
                              </w:pPr>
                              <w:r>
                                <w:rPr>
                                  <w:rFonts w:hint="eastAsia"/>
                                </w:rPr>
                                <w:t>鲜</w:t>
                              </w:r>
                            </w:p>
                            <w:p>
                              <w:pPr>
                                <w:ind w:firstLine="105" w:firstLineChars="50"/>
                              </w:pPr>
                              <w:r>
                                <w:rPr>
                                  <w:rFonts w:hint="eastAsia"/>
                                </w:rPr>
                                <w:t>水</w:t>
                              </w:r>
                            </w:p>
                          </w:txbxContent>
                        </v:textbox>
                      </v:shape>
                      <v:shape id="_x0000_s1026" o:spid="_x0000_s1026" o:spt="202" type="#_x0000_t202" style="position:absolute;left:3998595;top:2824480;height:198120;width:45720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n4IFtgAAAAJAQAADwAAAAAAAAABACAAAAAiAAAAZHJzL2Rv&#10;d25yZXYueG1sUEsBAhQAFAAAAAgAh07iQMu5MHzIAQAAgQMAAA4AAAAAAAAAAQAgAAAAJwEAAGRy&#10;cy9lMm9Eb2MueG1sUEsFBgAAAAAGAAYAWQEAAGEFAAAAAA==&#10;">
                        <v:fill on="f" focussize="0,0"/>
                        <v:stroke on="f"/>
                        <v:imagedata o:title=""/>
                        <o:lock v:ext="edit" aspectratio="f"/>
                        <v:textbox inset="0mm,0mm,0mm,0mm">
                          <w:txbxContent>
                            <w:p>
                              <w:pPr>
                                <w:ind w:firstLine="105" w:firstLineChars="50"/>
                              </w:pPr>
                              <w:r>
                                <w:rPr>
                                  <w:rFonts w:hint="eastAsia"/>
                                </w:rPr>
                                <w:t>散失</w:t>
                              </w:r>
                            </w:p>
                          </w:txbxContent>
                        </v:textbox>
                      </v:shape>
                      <v:shape id="_x0000_s1026" o:spid="_x0000_s1026" o:spt="202" type="#_x0000_t202" style="position:absolute;left:3003550;top:2857500;height:198120;width:45720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CfggW2AAAAAkBAAAPAAAAAAAAAAEAIAAAACIAAABkcnMvZG93&#10;bnJldi54bWxQSwECFAAUAAAACACHTuJAgvljKMcBAACBAwAADgAAAAAAAAABACAAAAAnAQAAZHJz&#10;L2Uyb0RvYy54bWxQSwUGAAAAAAYABgBZAQAAYAUAAAAA&#10;">
                        <v:fill on="f" focussize="0,0"/>
                        <v:stroke on="f"/>
                        <v:imagedata o:title=""/>
                        <o:lock v:ext="edit" aspectratio="f"/>
                        <v:textbox inset="0mm,0mm,0mm,0mm">
                          <w:txbxContent>
                            <w:p>
                              <w:pPr>
                                <w:ind w:firstLine="105" w:firstLineChars="50"/>
                              </w:pPr>
                              <w:r>
                                <w:rPr>
                                  <w:rFonts w:hint="eastAsia"/>
                                </w:rPr>
                                <w:t>图例：</w:t>
                              </w:r>
                            </w:p>
                          </w:txbxContent>
                        </v:textbox>
                      </v:shape>
                      <v:shape id="_x0000_s1026" o:spid="_x0000_s1026" o:spt="202" type="#_x0000_t202" style="position:absolute;left:563880;top:2880995;height:198120;width:80010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n4IFtgAAAAJAQAADwAAAAAAAAABACAAAAAiAAAAZHJzL2Rvd25y&#10;ZXYueG1sUEsBAhQAFAAAAAgAh07iQFFEDADFAQAAgAMAAA4AAAAAAAAAAQAgAAAAJwEAAGRycy9l&#10;Mm9Eb2MueG1sUEsFBgAAAAAGAAYAWQEAAF4FAAAAAA==&#10;">
                        <v:fill on="f" focussize="0,0"/>
                        <v:stroke on="f"/>
                        <v:imagedata o:title=""/>
                        <o:lock v:ext="edit" aspectratio="f"/>
                        <v:textbox inset="0mm,0mm,0mm,0mm">
                          <w:txbxContent>
                            <w:p>
                              <w:pPr>
                                <w:ind w:firstLine="105" w:firstLineChars="50"/>
                                <w:rPr>
                                  <w:b/>
                                </w:rPr>
                              </w:pPr>
                              <w:r>
                                <w:rPr>
                                  <w:rFonts w:hint="eastAsia"/>
                                </w:rPr>
                                <w:t>单位：</w:t>
                              </w:r>
                              <w:r>
                                <w:rPr>
                                  <w:rFonts w:hint="eastAsia"/>
                                  <w:b/>
                                </w:rPr>
                                <w:t>m</w:t>
                              </w:r>
                              <w:r>
                                <w:rPr>
                                  <w:rFonts w:hint="eastAsia"/>
                                  <w:b/>
                                  <w:vertAlign w:val="superscript"/>
                                </w:rPr>
                                <w:t>3</w:t>
                              </w:r>
                              <w:r>
                                <w:rPr>
                                  <w:rFonts w:hint="eastAsia"/>
                                  <w:b/>
                                </w:rPr>
                                <w:t>/d</w:t>
                              </w:r>
                            </w:p>
                          </w:txbxContent>
                        </v:textbox>
                      </v:shape>
                      <v:line id="_x0000_s1026" o:spid="_x0000_s1026" o:spt="20" style="position:absolute;left:2467610;top:517004;height:635;width:401320;" filled="f" stroked="t" coordsize="21600,21600" o:gfxdata="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R6512QAAAAkBAAAPAAAAAAAAAAEAIAAAACIAAABkcnMv&#10;ZG93bnJldi54bWxQSwECFAAUAAAACACHTuJAHcfvuQICAADsAwAADgAAAAAAAAABACAAAAAoAQAA&#10;ZHJzL2Uyb0RvYy54bWxQSwUGAAAAAAYABgBZAQAAnAUAAAAA&#10;">
                        <v:fill on="f" focussize="0,0"/>
                        <v:stroke color="#000000" joinstyle="round" endarrow="block"/>
                        <v:imagedata o:title=""/>
                        <o:lock v:ext="edit" aspectratio="f"/>
                      </v:line>
                      <v:line id="_x0000_s1026" o:spid="_x0000_s1026" o:spt="20" style="position:absolute;left:800735;top:1606906;flip:y;height:635;width:517525;" filled="f" stroked="t" coordsize="21600,21600" o:gfxdata="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lx37YAAAACQEAAA8A&#10;AAAAAAAAAQAgAAAAIgAAAGRycy9kb3ducmV2LnhtbFBLAQIUABQAAAAIAIdO4kDyzcp4FwIAAB8E&#10;AAAOAAAAAAAAAAEAIAAAACcBAABkcnMvZTJvRG9jLnhtbFBLBQYAAAAABgAGAFkBAACwBQAAAAA=&#10;">
                        <v:fill on="f" focussize="0,0"/>
                        <v:stroke color="#000000" joinstyle="round" endarrow="block"/>
                        <v:imagedata o:title=""/>
                        <o:lock v:ext="edit" aspectratio="f"/>
                      </v:line>
                      <v:shape id="_x0000_s1026" o:spid="_x0000_s1026" o:spt="38" type="#_x0000_t38" style="position:absolute;left:1779270;top:125758;flip:y;height:276286;width:342900;" filled="f" stroked="t" coordsize="21600,21600" o:gfxdata="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B1gAtgAAAAJAQAADwAAAAAAAAABACAAAAAiAAAAZHJzL2Rvd25yZXYueG1sUEsBAhQA&#10;FAAAAAgAh07iQJEZQu4rAgAAMQQAAA4AAAAAAAAAAQAgAAAAJwEAAGRycy9lMm9Eb2MueG1sUEsF&#10;BgAAAAAGAAYAWQEAAMQFAAAAAA==&#10;" adj="10800">
                        <v:fill on="f" focussize="0,0"/>
                        <v:stroke color="#000000" joinstyle="round" dashstyle="dash" endarrow="block"/>
                        <v:imagedata o:title=""/>
                        <o:lock v:ext="edit" aspectratio="f"/>
                      </v:shape>
                      <v:shape id="_x0000_s1026" o:spid="_x0000_s1026" o:spt="38" type="#_x0000_t38" style="position:absolute;left:3465195;top:2794635;flip:y;height:276225;width:342900;" filled="f" stroked="t" coordsize="21600,21600" o:gfxdata="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HWAC2AAAAAkBAAAPAAAAAAAAAAEAIAAAACIAAABkcnMvZG93bnJldi54bWxQSwEC&#10;FAAUAAAACACHTuJAeIzCVy0CAAAyBAAADgAAAAAAAAABACAAAAAnAQAAZHJzL2Uyb0RvYy54bWxQ&#10;SwUGAAAAAAYABgBZAQAAxgUAAAAA&#10;" adj="10800">
                        <v:fill on="f" focussize="0,0"/>
                        <v:stroke color="#000000" joinstyle="round" dashstyle="dash" endarrow="block"/>
                        <v:imagedata o:title=""/>
                        <o:lock v:ext="edit" aspectratio="f"/>
                      </v:shape>
                      <v:shape id="_x0000_s1026" o:spid="_x0000_s1026" o:spt="202" type="#_x0000_t202" style="position:absolute;left:2115820;top:0;height:200069;width:340360;" fillcolor="#FFFFFF" filled="t" stroked="f" coordsize="21600,21600" o:gfxdata="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v3F2AAAAAkBAAAPAAAAAAAAAAEAIAAA&#10;ACIAAABkcnMvZG93bnJldi54bWxQSwECFAAUAAAACACHTuJA1NkKK9MBAACkAwAADgAAAAAAAAAB&#10;ACAAAAAnAQAAZHJzL2Uyb0RvYy54bWxQSwUGAAAAAAYABgBZAQAAbAUAAAAA&#10;">
                        <v:fill on="t" focussize="0,0"/>
                        <v:stroke on="f"/>
                        <v:imagedata o:title=""/>
                        <o:lock v:ext="edit" aspectratio="f"/>
                        <v:textbox inset="0mm,0mm,0mm,0mm">
                          <w:txbxContent>
                            <w:p>
                              <w:r>
                                <w:rPr>
                                  <w:rFonts w:hint="eastAsia"/>
                                </w:rPr>
                                <w:t>0.4</w:t>
                              </w:r>
                            </w:p>
                          </w:txbxContent>
                        </v:textbox>
                      </v:shape>
                      <v:line id="_x0000_s1026" o:spid="_x0000_s1026" o:spt="20" style="position:absolute;left:3623310;top:490964;height:635;width:319405;" filled="f" stroked="t" coordsize="21600,21600" o:gfxdata="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UeuddkAAAAJAQAADwAAAAAAAAABACAAAAAiAAAAZHJz&#10;L2Rvd25yZXYueG1sUEsBAhQAFAAAAAgAh07iQINSw18DAgAA7AMAAA4AAAAAAAAAAQAgAAAAKAEA&#10;AGRycy9lMm9Eb2MueG1sUEsFBgAAAAAGAAYAWQEAAJ0FAAAAAA==&#10;">
                        <v:fill on="f" focussize="0,0"/>
                        <v:stroke color="#000000" joinstyle="round" endarrow="block"/>
                        <v:imagedata o:title=""/>
                        <o:lock v:ext="edit" aspectratio="f"/>
                      </v:line>
                      <v:rect id="_x0000_s1026" o:spid="_x0000_s1026" o:spt="1" style="position:absolute;left:3964940;top:325120;height:416560;width:708025;" fillcolor="#FFFFFF" filled="t" stroked="f" coordsize="21600,21600" o:gfxdata="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B8OZ1QAAAAkBAAAPAAAAAAAAAAEAIAAAACIA&#10;AABkcnMvZG93bnJldi54bWxQSwECFAAUAAAACACHTuJAnCutx9MBAACcAwAADgAAAAAAAAABACAA&#10;AAAkAQAAZHJzL2Uyb0RvYy54bWxQSwUGAAAAAAYABgBZAQAAaQUAAAAA&#10;">
                        <v:fill on="t" focussize="0,0"/>
                        <v:stroke on="f"/>
                        <v:imagedata o:title=""/>
                        <o:lock v:ext="edit" aspectratio="f"/>
                        <v:textbox inset="0mm,0mm,0mm,0mm">
                          <w:txbxContent>
                            <w:p>
                              <w:r>
                                <w:rPr>
                                  <w:rFonts w:hint="eastAsia"/>
                                </w:rPr>
                                <w:t>偃师区第三污水处理厂</w:t>
                              </w:r>
                            </w:p>
                          </w:txbxContent>
                        </v:textbox>
                      </v:rect>
                      <v:shape id="_x0000_s1026" o:spid="_x0000_s1026" o:spt="38" type="#_x0000_t38" style="position:absolute;left:2451100;top:1156335;flip:y;height:276860;width:342900;" filled="f" stroked="t" coordsize="21600,21600" o:gfxdata="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B1gAtgAAAAJAQAADwAAAAAAAAABACAAAAAiAAAAZHJzL2Rvd25yZXYueG1sUEsB&#10;AhQAFAAAAAgAh07iQGZ5CdYuAgAAMgQAAA4AAAAAAAAAAQAgAAAAJwEAAGRycy9lMm9Eb2MueG1s&#10;UEsFBgAAAAAGAAYAWQEAAMcFAAAAAA==&#10;" adj="10800">
                        <v:fill on="f" focussize="0,0"/>
                        <v:stroke color="#000000" joinstyle="round" dashstyle="dash" endarrow="block"/>
                        <v:imagedata o:title=""/>
                        <o:lock v:ext="edit" aspectratio="f"/>
                      </v:shape>
                      <v:shape id="_x0000_s1026" o:spid="_x0000_s1026" o:spt="202" type="#_x0000_t202" style="position:absolute;left:2805430;top:1001395;height:274955;width:951230;" filled="f" stroked="f" coordsize="21600,21600" o:gfxdata="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1Vg5tYAAAAJAQAADwAAAAAAAAABACAAAAAiAAAAZHJzL2Rvd25yZXYueG1sUEsBAhQAFAAA&#10;AAgAh07iQHMhfCm4AQAAXQMAAA4AAAAAAAAAAQAgAAAAJQEAAGRycy9lMm9Eb2MueG1sUEsFBgAA&#10;AAAGAAYAWQEAAE8FAAAAAA==&#10;">
                        <v:fill on="f" focussize="0,0"/>
                        <v:stroke on="f"/>
                        <v:imagedata o:title=""/>
                        <o:lock v:ext="edit" aspectratio="f"/>
                        <v:textbox>
                          <w:txbxContent>
                            <w:p>
                              <w:r>
                                <w:rPr>
                                  <w:rFonts w:hint="eastAsia"/>
                                </w:rPr>
                                <w:t>0.00042挥发</w:t>
                              </w:r>
                            </w:p>
                          </w:txbxContent>
                        </v:textbox>
                      </v:shape>
                      <v:rect id="_x0000_s1026" o:spid="_x0000_s1026" o:spt="1" style="position:absolute;left:1264920;top:2111375;height:287020;width:1523365;" fillcolor="#FFFFFF" filled="t" stroked="t" coordsize="21600,21600" o:gfxdata="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N92wTZAAAA&#10;CQEAAA8AAAAAAAAAAQAgAAAAIgAAAGRycy9kb3ducmV2LnhtbFBLAQIUABQAAAAIAIdO4kAppa0d&#10;HAIAAF0EAAAOAAAAAAAAAAEAIAAAACgBAABkcnMvZTJvRG9jLnhtbFBLBQYAAAAABgAGAFkBAAC2&#10;BQAAAAA=&#10;">
                        <v:fill on="t" focussize="0,0"/>
                        <v:stroke color="#000000" joinstyle="miter"/>
                        <v:imagedata o:title=""/>
                        <o:lock v:ext="edit" aspectratio="f"/>
                        <v:textbox inset="0mm,0mm,0mm,0mm">
                          <w:txbxContent>
                            <w:p>
                              <w:r>
                                <w:rPr>
                                  <w:rFonts w:hint="eastAsia"/>
                                </w:rPr>
                                <w:t>水墨印刷机墨辊清洗用水</w:t>
                              </w:r>
                            </w:p>
                          </w:txbxContent>
                        </v:textbox>
                      </v:rect>
                      <v:shape id="_x0000_s1026" o:spid="_x0000_s1026" o:spt="202" type="#_x0000_t202" style="position:absolute;left:1318260;top:1470025;height:273685;width:1323975;" fillcolor="#FFFFFF" filled="t" stroked="t" coordsize="21600,21600" o:gfxdata="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nIDIdcAAAAJAQAADwAAAAAAAAABACAAAAAiAAAAZHJzL2Rvd25yZXYueG1sUEsBAhQA&#10;FAAAAAgAh07iQFoaNUksAgAAbgQAAA4AAAAAAAAAAQAgAAAAJgEAAGRycy9lMm9Eb2MueG1sUEsF&#10;BgAAAAAGAAYAWQEAAMQFAAAAAA==&#10;">
                        <v:fill on="t" focussize="0,0"/>
                        <v:stroke color="#000000" joinstyle="miter"/>
                        <v:imagedata o:title=""/>
                        <o:lock v:ext="edit" aspectratio="f"/>
                        <v:textbox style="mso-fit-shape-to-text:t;">
                          <w:txbxContent>
                            <w:p>
                              <w:r>
                                <w:rPr>
                                  <w:rFonts w:hint="eastAsia"/>
                                </w:rPr>
                                <w:t>水性油墨配比用水</w:t>
                              </w:r>
                            </w:p>
                          </w:txbxContent>
                        </v:textbox>
                      </v:shape>
                      <v:line id="_x0000_s1026" o:spid="_x0000_s1026" o:spt="20" style="position:absolute;left:1707515;top:1918335;flip:x y;height:635;width:344805;rotation:5898240f;" filled="f" stroked="t" coordsize="21600,21600" o:gfxdata="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EsddsAAAAJAQAA&#10;DwAAAAAAAAABACAAAAAiAAAAZHJzL2Rvd25yZXYueG1sUEsBAhQAFAAAAAgAh07iQMtQivQWAgAA&#10;DwQAAA4AAAAAAAAAAQAgAAAAKgEAAGRycy9lMm9Eb2MueG1sUEsFBgAAAAAGAAYAWQEAALIFAAAA&#10;AA==&#10;">
                        <v:fill on="f" focussize="0,0"/>
                        <v:stroke color="#000000" joinstyle="round" endarrow="block"/>
                        <v:imagedata o:title=""/>
                        <o:lock v:ext="edit" aspectratio="f"/>
                      </v:line>
                      <v:shape id="_x0000_s1026" o:spid="_x0000_s1026" o:spt="202" type="#_x0000_t202" style="position:absolute;left:807720;top:1398270;height:191135;width:50546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n4IFtgAAAAJAQAADwAAAAAAAAABACAAAAAiAAAAZHJzL2Rvd25y&#10;ZXYueG1sUEsBAhQAFAAAAAgAh07iQDEyEXDFAQAAgAMAAA4AAAAAAAAAAQAgAAAAJwEAAGRycy9l&#10;Mm9Eb2MueG1sUEsFBgAAAAAGAAYAWQEAAF4FAAAAAA==&#10;">
                        <v:fill on="f" focussize="0,0"/>
                        <v:stroke on="f"/>
                        <v:imagedata o:title=""/>
                        <o:lock v:ext="edit" aspectratio="f"/>
                        <v:textbox inset="0mm,0mm,0mm,0mm">
                          <w:txbxContent>
                            <w:p>
                              <w:pPr>
                                <w:rPr>
                                  <w:bCs/>
                                </w:rPr>
                              </w:pPr>
                              <w:r>
                                <w:rPr>
                                  <w:rFonts w:hint="eastAsia"/>
                                  <w:bCs/>
                                </w:rPr>
                                <w:t>0.00012</w:t>
                              </w:r>
                            </w:p>
                          </w:txbxContent>
                        </v:textbox>
                      </v:shape>
                      <v:shape id="_x0000_s1026" o:spid="_x0000_s1026" o:spt="202" type="#_x0000_t202" style="position:absolute;left:840740;top:2038985;height:191135;width:43180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CfggW2AAAAAkBAAAPAAAAAAAAAAEAIAAAACIAAABkcnMvZG93&#10;bnJldi54bWxQSwECFAAUAAAACACHTuJATm1Bx8cBAACAAwAADgAAAAAAAAABACAAAAAnAQAAZHJz&#10;L2Uyb0RvYy54bWxQSwUGAAAAAAYABgBZAQAAYAUAAAAA&#10;">
                        <v:fill on="f" focussize="0,0"/>
                        <v:stroke on="f"/>
                        <v:imagedata o:title=""/>
                        <o:lock v:ext="edit" aspectratio="f"/>
                        <v:textbox inset="0mm,0mm,0mm,0mm">
                          <w:txbxContent>
                            <w:p>
                              <w:pPr>
                                <w:rPr>
                                  <w:bCs/>
                                </w:rPr>
                              </w:pPr>
                              <w:r>
                                <w:rPr>
                                  <w:rFonts w:hint="eastAsia"/>
                                  <w:bCs/>
                                </w:rPr>
                                <w:t>0.0003</w:t>
                              </w:r>
                            </w:p>
                          </w:txbxContent>
                        </v:textbox>
                      </v:shape>
                      <v:line id="_x0000_s1026" o:spid="_x0000_s1026" o:spt="20" style="position:absolute;left:798830;top:1602740;height:666115;width:7620;" filled="f" stroked="t" coordsize="21600,21600" o:gfxdata="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ReUAzXAAAACQEAAA8AAAAAAAAAAQAgAAAAIgAAAGRycy9kb3ducmV2Lnht&#10;bFBLAQIUABQAAAAIAIdO4kCVfWib+gEAAOkDAAAOAAAAAAAAAAEAIAAAACYBAABkcnMvZTJvRG9j&#10;LnhtbFBLBQYAAAAABgAGAFkBAACSBQAAAAA=&#10;">
                        <v:fill on="f" focussize="0,0"/>
                        <v:stroke color="#000000" joinstyle="round"/>
                        <v:imagedata o:title=""/>
                        <o:lock v:ext="edit" aspectratio="f"/>
                      </v:line>
                      <v:line id="_x0000_s1026" o:spid="_x0000_s1026" o:spt="20" style="position:absolute;left:806450;top:2252345;height:2540;width:462915;" filled="f" stroked="t" coordsize="21600,21600" o:gfxdata="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&#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R6512QAAAAkBAAAPAAAAAAAAAAEAIAAAACIAAABk&#10;cnMvZG93bnJldi54bWxQSwECFAAUAAAACACHTuJAflxv1wUCAADtAwAADgAAAAAAAAABACAAAAAo&#10;AQAAZHJzL2Uyb0RvYy54bWxQSwUGAAAAAAYABgBZAQAAnwUAAAAA&#10;">
                        <v:fill on="f" focussize="0,0"/>
                        <v:stroke color="#000000" joinstyle="round" endarrow="block"/>
                        <v:imagedata o:title=""/>
                        <o:lock v:ext="edit" aspectratio="f"/>
                      </v:line>
                      <v:shape id="_x0000_s1026" o:spid="_x0000_s1026" o:spt="202" type="#_x0000_t202" style="position:absolute;left:1894205;top:1849120;height:191135;width:431800;" filled="f" stroked="f" coordsize="21600,21600" o:gfxdata="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fggW2AAAAAkBAAAPAAAAAAAAAAEAIAAAACIAAABkcnMvZG93bnJl&#10;di54bWxQSwECFAAUAAAACACHTuJAkIsUocQBAACBAwAADgAAAAAAAAABACAAAAAnAQAAZHJzL2Uy&#10;b0RvYy54bWxQSwUGAAAAAAYABgBZAQAAXQUAAAAA&#10;">
                        <v:fill on="f" focussize="0,0"/>
                        <v:stroke on="f"/>
                        <v:imagedata o:title=""/>
                        <o:lock v:ext="edit" aspectratio="f"/>
                        <v:textbox inset="0mm,0mm,0mm,0mm">
                          <w:txbxContent>
                            <w:p>
                              <w:pPr>
                                <w:rPr>
                                  <w:bCs/>
                                </w:rPr>
                              </w:pPr>
                              <w:r>
                                <w:rPr>
                                  <w:rFonts w:hint="eastAsia"/>
                                  <w:bCs/>
                                </w:rPr>
                                <w:t>0.0003</w:t>
                              </w:r>
                            </w:p>
                          </w:txbxContent>
                        </v:textbox>
                      </v:shape>
                    </v:group>
                  </w:pict>
                </mc:Fallback>
              </mc:AlternateContent>
            </w:r>
            <w:r>
              <w:rPr>
                <w:rFonts w:hint="eastAsia"/>
                <w:sz w:val="24"/>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9"/>
              <w:numPr>
                <w:ilvl w:val="0"/>
                <w:numId w:val="0"/>
              </w:numPr>
              <w:ind w:left="2040" w:hanging="360"/>
            </w:pPr>
          </w:p>
          <w:p>
            <w:pPr>
              <w:pStyle w:val="9"/>
              <w:numPr>
                <w:ilvl w:val="0"/>
                <w:numId w:val="0"/>
              </w:numPr>
              <w:ind w:left="2040" w:hanging="360"/>
            </w:pPr>
          </w:p>
          <w:p>
            <w:pPr>
              <w:spacing w:line="440" w:lineRule="exact"/>
              <w:ind w:firstLine="2214" w:firstLineChars="1050"/>
              <w:rPr>
                <w:b/>
                <w:szCs w:val="21"/>
              </w:rPr>
            </w:pPr>
          </w:p>
          <w:p>
            <w:pPr>
              <w:spacing w:line="360" w:lineRule="auto"/>
              <w:rPr>
                <w:b/>
                <w:szCs w:val="21"/>
              </w:rPr>
            </w:pPr>
          </w:p>
          <w:p>
            <w:pPr>
              <w:spacing w:line="360" w:lineRule="auto"/>
              <w:ind w:firstLine="2214" w:firstLineChars="1050"/>
              <w:rPr>
                <w:b/>
                <w:szCs w:val="21"/>
              </w:rPr>
            </w:pPr>
          </w:p>
          <w:p>
            <w:pPr>
              <w:spacing w:line="360" w:lineRule="auto"/>
              <w:ind w:firstLine="2214" w:firstLineChars="1050"/>
              <w:rPr>
                <w:u w:val="single"/>
              </w:rPr>
            </w:pPr>
            <w:r>
              <w:rPr>
                <w:b/>
                <w:szCs w:val="21"/>
                <w:u w:val="single"/>
              </w:rPr>
              <w:t>图1  工程水平衡分析示意图</w:t>
            </w:r>
          </w:p>
          <w:p>
            <w:pPr>
              <w:pStyle w:val="2"/>
            </w:pPr>
          </w:p>
          <w:p>
            <w:pPr>
              <w:snapToGrid w:val="0"/>
              <w:spacing w:line="360" w:lineRule="auto"/>
              <w:rPr>
                <w:rFonts w:eastAsia="黑体"/>
                <w:sz w:val="24"/>
              </w:rPr>
            </w:pPr>
            <w:r>
              <w:rPr>
                <w:rFonts w:eastAsia="黑体"/>
                <w:sz w:val="24"/>
              </w:rPr>
              <w:t>2.</w:t>
            </w:r>
            <w:r>
              <w:rPr>
                <w:rFonts w:hint="eastAsia" w:eastAsia="黑体"/>
                <w:sz w:val="24"/>
              </w:rPr>
              <w:t>5</w:t>
            </w:r>
            <w:r>
              <w:rPr>
                <w:rFonts w:eastAsia="黑体"/>
                <w:sz w:val="24"/>
              </w:rPr>
              <w:t xml:space="preserve"> 劳动定员及劳动制度</w:t>
            </w:r>
          </w:p>
          <w:p>
            <w:pPr>
              <w:spacing w:line="360" w:lineRule="auto"/>
              <w:ind w:firstLine="480" w:firstLineChars="200"/>
              <w:rPr>
                <w:sz w:val="24"/>
              </w:rPr>
            </w:pPr>
            <w:r>
              <w:rPr>
                <w:rFonts w:hint="eastAsia" w:ascii="宋体" w:hAnsi="宋体" w:cs="宋体"/>
                <w:sz w:val="24"/>
              </w:rPr>
              <w:t>改建前劳动定员2人，项目建成后原有职工调剂至本项目生产线，并新增劳动定员48人，本项目</w:t>
            </w:r>
            <w:r>
              <w:rPr>
                <w:rFonts w:hint="eastAsia"/>
                <w:color w:val="000000"/>
                <w:sz w:val="24"/>
              </w:rPr>
              <w:t>劳动定员共计5</w:t>
            </w:r>
            <w:r>
              <w:rPr>
                <w:color w:val="000000"/>
                <w:sz w:val="24"/>
              </w:rPr>
              <w:t>0</w:t>
            </w:r>
            <w:r>
              <w:rPr>
                <w:rFonts w:hint="eastAsia"/>
                <w:color w:val="000000"/>
                <w:sz w:val="24"/>
              </w:rPr>
              <w:t>人。年工作300天，工作制度为单班制，工作时间8h</w:t>
            </w:r>
            <w:r>
              <w:rPr>
                <w:rFonts w:hint="eastAsia"/>
                <w:sz w:val="24"/>
              </w:rPr>
              <w:t>（8:00-12:00，14:00-18:00）</w:t>
            </w:r>
            <w:r>
              <w:rPr>
                <w:rFonts w:hint="eastAsia"/>
                <w:color w:val="000000"/>
                <w:sz w:val="24"/>
              </w:rPr>
              <w:t>。</w:t>
            </w:r>
          </w:p>
          <w:p>
            <w:pPr>
              <w:snapToGrid w:val="0"/>
              <w:spacing w:line="360" w:lineRule="auto"/>
              <w:rPr>
                <w:rFonts w:eastAsia="黑体"/>
                <w:sz w:val="24"/>
              </w:rPr>
            </w:pPr>
            <w:r>
              <w:rPr>
                <w:rFonts w:eastAsia="黑体"/>
                <w:sz w:val="24"/>
              </w:rPr>
              <w:t>2.</w:t>
            </w:r>
            <w:r>
              <w:rPr>
                <w:rFonts w:hint="eastAsia" w:eastAsia="黑体"/>
                <w:sz w:val="24"/>
              </w:rPr>
              <w:t>6</w:t>
            </w:r>
            <w:r>
              <w:rPr>
                <w:rFonts w:eastAsia="黑体"/>
                <w:sz w:val="24"/>
              </w:rPr>
              <w:t xml:space="preserve"> 厂区平面布置</w:t>
            </w:r>
          </w:p>
          <w:p>
            <w:pPr>
              <w:pStyle w:val="2"/>
              <w:spacing w:line="360" w:lineRule="auto"/>
              <w:ind w:firstLine="480"/>
              <w:jc w:val="left"/>
              <w:rPr>
                <w:rFonts w:ascii="宋体" w:hAnsi="宋体" w:cs="宋体"/>
                <w:sz w:val="24"/>
                <w:szCs w:val="24"/>
              </w:rPr>
            </w:pPr>
            <w:r>
              <w:rPr>
                <w:rFonts w:hint="eastAsia" w:ascii="宋体" w:hAnsi="宋体" w:cs="宋体"/>
                <w:sz w:val="24"/>
                <w:szCs w:val="24"/>
              </w:rPr>
              <w:t>本项目位于岳滩镇工业区，车间内依据生产工艺需要，划分为缝纫区、成品区、原料区等。车间内各分区分工明确，可以提高工作效率，</w:t>
            </w:r>
            <w:r>
              <w:rPr>
                <w:sz w:val="24"/>
              </w:rPr>
              <w:t>总体布局</w:t>
            </w:r>
            <w:r>
              <w:rPr>
                <w:rFonts w:hint="eastAsia"/>
                <w:sz w:val="24"/>
              </w:rPr>
              <w:t>合理</w:t>
            </w:r>
            <w:r>
              <w:rPr>
                <w:sz w:val="24"/>
                <w:szCs w:val="24"/>
              </w:rPr>
              <w:t>。厂区平面布置图见附图2。</w:t>
            </w:r>
          </w:p>
          <w:p>
            <w:pPr>
              <w:pStyle w:val="2"/>
              <w:spacing w:line="360" w:lineRule="auto"/>
              <w:ind w:firstLine="480"/>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74" w:type="dxa"/>
            <w:vAlign w:val="center"/>
          </w:tcPr>
          <w:p>
            <w:pPr>
              <w:pStyle w:val="15"/>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286" w:type="dxa"/>
          </w:tcPr>
          <w:p>
            <w:pPr>
              <w:spacing w:line="520" w:lineRule="exact"/>
              <w:jc w:val="left"/>
              <w:rPr>
                <w:rFonts w:ascii="宋体" w:hAnsi="宋体" w:cs="宋体"/>
                <w:b/>
                <w:bCs/>
                <w:sz w:val="24"/>
              </w:rPr>
            </w:pPr>
            <w:r>
              <w:rPr>
                <w:rFonts w:hint="eastAsia" w:ascii="宋体" w:hAnsi="宋体" w:cs="宋体"/>
                <w:b/>
                <w:bCs/>
                <w:sz w:val="24"/>
              </w:rPr>
              <w:t>3.生产工艺流程和产排污环节</w:t>
            </w:r>
          </w:p>
          <w:p>
            <w:pPr>
              <w:adjustRightInd w:val="0"/>
              <w:snapToGrid w:val="0"/>
              <w:spacing w:line="520" w:lineRule="exact"/>
              <w:jc w:val="left"/>
              <w:rPr>
                <w:rFonts w:ascii="黑体" w:hAnsi="黑体" w:eastAsia="黑体" w:cs="黑体"/>
                <w:bCs/>
                <w:sz w:val="24"/>
                <w:u w:val="single"/>
              </w:rPr>
            </w:pPr>
            <w:r>
              <w:rPr>
                <w:rFonts w:hint="eastAsia" w:ascii="黑体" w:hAnsi="黑体" w:eastAsia="黑体" w:cs="黑体"/>
                <w:bCs/>
                <w:sz w:val="24"/>
              </w:rPr>
              <w:t>3.1</w:t>
            </w:r>
            <w:r>
              <w:rPr>
                <w:rFonts w:hint="eastAsia" w:ascii="黑体" w:hAnsi="黑体" w:eastAsia="黑体" w:cs="黑体"/>
                <w:bCs/>
                <w:sz w:val="24"/>
                <w:u w:val="single"/>
              </w:rPr>
              <w:t>集装袋生产工艺流程</w:t>
            </w:r>
          </w:p>
          <w:p>
            <w:pPr>
              <w:pStyle w:val="2"/>
              <w:ind w:firstLine="0" w:firstLineChars="0"/>
              <w:rPr>
                <w:rFonts w:ascii="黑体" w:hAnsi="黑体" w:eastAsia="黑体" w:cs="黑体"/>
                <w:bCs/>
                <w:sz w:val="24"/>
                <w:u w:val="single"/>
              </w:rPr>
            </w:pPr>
          </w:p>
          <w:p>
            <w:pPr>
              <w:rPr>
                <w:u w:val="single"/>
              </w:rPr>
            </w:pPr>
          </w:p>
          <w:p>
            <w:pPr>
              <w:rPr>
                <w:rFonts w:ascii="黑体" w:hAnsi="黑体" w:eastAsia="黑体" w:cs="黑体"/>
                <w:bCs/>
                <w:sz w:val="24"/>
                <w:u w:val="single"/>
              </w:rPr>
            </w:pPr>
            <w:r>
              <w:rPr>
                <w:rFonts w:hAnsi="宋体"/>
                <w:b/>
                <w:sz w:val="24"/>
                <w:u w:val="single"/>
              </w:rPr>
              <mc:AlternateContent>
                <mc:Choice Requires="wpc">
                  <w:drawing>
                    <wp:anchor distT="0" distB="0" distL="114300" distR="114300" simplePos="0" relativeHeight="251659264" behindDoc="0" locked="0" layoutInCell="1" allowOverlap="1">
                      <wp:simplePos x="0" y="0"/>
                      <wp:positionH relativeFrom="column">
                        <wp:posOffset>39370</wp:posOffset>
                      </wp:positionH>
                      <wp:positionV relativeFrom="paragraph">
                        <wp:posOffset>15240</wp:posOffset>
                      </wp:positionV>
                      <wp:extent cx="5189855" cy="4956175"/>
                      <wp:effectExtent l="0" t="0" r="0" b="0"/>
                      <wp:wrapNone/>
                      <wp:docPr id="51" name="画布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矩形 84"/>
                              <wps:cNvSpPr/>
                              <wps:spPr>
                                <a:xfrm>
                                  <a:off x="2403475" y="3812540"/>
                                  <a:ext cx="867410" cy="377825"/>
                                </a:xfrm>
                                <a:prstGeom prst="rect">
                                  <a:avLst/>
                                </a:prstGeom>
                                <a:solidFill>
                                  <a:srgbClr val="FFFFFF"/>
                                </a:solidFill>
                                <a:ln>
                                  <a:noFill/>
                                </a:ln>
                              </wps:spPr>
                              <wps:txbx>
                                <w:txbxContent>
                                  <w:p>
                                    <w:pPr>
                                      <w:pStyle w:val="74"/>
                                      <w:rPr>
                                        <w:sz w:val="21"/>
                                        <w:szCs w:val="21"/>
                                      </w:rPr>
                                    </w:pPr>
                                    <w:r>
                                      <w:rPr>
                                        <w:rFonts w:hint="eastAsia"/>
                                        <w:sz w:val="21"/>
                                        <w:szCs w:val="21"/>
                                        <w:u w:val="single"/>
                                      </w:rPr>
                                      <w:t>成品外售</w:t>
                                    </w:r>
                                  </w:p>
                                </w:txbxContent>
                              </wps:txbx>
                              <wps:bodyPr wrap="square" upright="1"/>
                            </wps:wsp>
                            <wps:wsp>
                              <wps:cNvPr id="10" name="矩形 88"/>
                              <wps:cNvSpPr/>
                              <wps:spPr>
                                <a:xfrm>
                                  <a:off x="836930" y="4173220"/>
                                  <a:ext cx="3564890" cy="332740"/>
                                </a:xfrm>
                                <a:prstGeom prst="rect">
                                  <a:avLst/>
                                </a:prstGeom>
                                <a:noFill/>
                                <a:ln>
                                  <a:noFill/>
                                </a:ln>
                              </wps:spPr>
                              <wps:txbx>
                                <w:txbxContent>
                                  <w:p>
                                    <w:pPr>
                                      <w:jc w:val="center"/>
                                      <w:rPr>
                                        <w:rFonts w:eastAsia="黑体"/>
                                        <w:sz w:val="24"/>
                                        <w:u w:val="single"/>
                                      </w:rPr>
                                    </w:pPr>
                                    <w:r>
                                      <w:rPr>
                                        <w:rFonts w:hAnsi="黑体" w:eastAsia="黑体"/>
                                        <w:sz w:val="24"/>
                                        <w:u w:val="single"/>
                                      </w:rPr>
                                      <w:t>图</w:t>
                                    </w:r>
                                    <w:r>
                                      <w:rPr>
                                        <w:rFonts w:hint="eastAsia" w:eastAsia="黑体"/>
                                        <w:sz w:val="24"/>
                                        <w:u w:val="single"/>
                                      </w:rPr>
                                      <w:t>1   集装袋</w:t>
                                    </w:r>
                                    <w:r>
                                      <w:rPr>
                                        <w:rFonts w:hAnsi="黑体" w:eastAsia="黑体"/>
                                        <w:sz w:val="24"/>
                                        <w:u w:val="single"/>
                                      </w:rPr>
                                      <w:t>生产工艺流程</w:t>
                                    </w:r>
                                    <w:r>
                                      <w:rPr>
                                        <w:rFonts w:hint="eastAsia" w:hAnsi="黑体" w:eastAsia="黑体"/>
                                        <w:sz w:val="24"/>
                                        <w:u w:val="single"/>
                                      </w:rPr>
                                      <w:t>及产污环节</w:t>
                                    </w:r>
                                    <w:r>
                                      <w:rPr>
                                        <w:rFonts w:hAnsi="黑体" w:eastAsia="黑体"/>
                                        <w:sz w:val="24"/>
                                        <w:u w:val="single"/>
                                      </w:rPr>
                                      <w:t>图</w:t>
                                    </w:r>
                                  </w:p>
                                </w:txbxContent>
                              </wps:txbx>
                              <wps:bodyPr wrap="square" upright="1"/>
                            </wps:wsp>
                            <wps:wsp>
                              <wps:cNvPr id="22" name="矩形 100"/>
                              <wps:cNvSpPr/>
                              <wps:spPr>
                                <a:xfrm>
                                  <a:off x="2251075" y="0"/>
                                  <a:ext cx="1136015" cy="285115"/>
                                </a:xfrm>
                                <a:prstGeom prst="rect">
                                  <a:avLst/>
                                </a:prstGeom>
                                <a:noFill/>
                                <a:ln>
                                  <a:noFill/>
                                </a:ln>
                              </wps:spPr>
                              <wps:txbx>
                                <w:txbxContent>
                                  <w:p>
                                    <w:pPr>
                                      <w:pStyle w:val="74"/>
                                      <w:spacing w:line="240" w:lineRule="auto"/>
                                      <w:rPr>
                                        <w:sz w:val="21"/>
                                        <w:szCs w:val="21"/>
                                      </w:rPr>
                                    </w:pPr>
                                    <w:r>
                                      <w:rPr>
                                        <w:rFonts w:hint="eastAsia"/>
                                        <w:sz w:val="21"/>
                                        <w:szCs w:val="21"/>
                                        <w:u w:val="single"/>
                                      </w:rPr>
                                      <w:t>基布、</w:t>
                                    </w:r>
                                    <w:r>
                                      <w:rPr>
                                        <w:sz w:val="21"/>
                                        <w:szCs w:val="21"/>
                                        <w:u w:val="single"/>
                                      </w:rPr>
                                      <w:t>涂膜布</w:t>
                                    </w:r>
                                  </w:p>
                                </w:txbxContent>
                              </wps:txbx>
                              <wps:bodyPr wrap="square" upright="1"/>
                            </wps:wsp>
                            <wps:wsp>
                              <wps:cNvPr id="25" name="矩形 103"/>
                              <wps:cNvSpPr/>
                              <wps:spPr>
                                <a:xfrm>
                                  <a:off x="2319020" y="491490"/>
                                  <a:ext cx="949325" cy="307340"/>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u w:val="single"/>
                                      </w:rPr>
                                    </w:pPr>
                                    <w:r>
                                      <w:rPr>
                                        <w:rFonts w:hint="eastAsia"/>
                                        <w:sz w:val="21"/>
                                        <w:szCs w:val="21"/>
                                        <w:u w:val="single"/>
                                      </w:rPr>
                                      <w:t>剪裁</w:t>
                                    </w:r>
                                  </w:p>
                                </w:txbxContent>
                              </wps:txbx>
                              <wps:bodyPr wrap="square" upright="1"/>
                            </wps:wsp>
                            <wps:wsp>
                              <wps:cNvPr id="26" name="矩形 104"/>
                              <wps:cNvSpPr/>
                              <wps:spPr>
                                <a:xfrm>
                                  <a:off x="2350135" y="1600835"/>
                                  <a:ext cx="868680" cy="296545"/>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rPr>
                                    </w:pPr>
                                    <w:r>
                                      <w:rPr>
                                        <w:rFonts w:hint="eastAsia"/>
                                        <w:sz w:val="21"/>
                                        <w:szCs w:val="21"/>
                                        <w:u w:val="single"/>
                                      </w:rPr>
                                      <w:t>印刷</w:t>
                                    </w:r>
                                  </w:p>
                                </w:txbxContent>
                              </wps:txbx>
                              <wps:bodyPr wrap="square" upright="1"/>
                            </wps:wsp>
                            <wps:wsp>
                              <wps:cNvPr id="27" name="直线 105"/>
                              <wps:cNvCnPr/>
                              <wps:spPr>
                                <a:xfrm>
                                  <a:off x="2766695" y="1897380"/>
                                  <a:ext cx="635" cy="360045"/>
                                </a:xfrm>
                                <a:prstGeom prst="line">
                                  <a:avLst/>
                                </a:prstGeom>
                                <a:ln w="9525" cap="flat" cmpd="sng">
                                  <a:solidFill>
                                    <a:srgbClr val="000000"/>
                                  </a:solidFill>
                                  <a:prstDash val="solid"/>
                                  <a:headEnd type="none" w="med" len="med"/>
                                  <a:tailEnd type="triangle" w="med" len="med"/>
                                </a:ln>
                              </wps:spPr>
                              <wps:bodyPr/>
                            </wps:wsp>
                            <wps:wsp>
                              <wps:cNvPr id="29" name="矩形 107"/>
                              <wps:cNvSpPr/>
                              <wps:spPr>
                                <a:xfrm>
                                  <a:off x="2085975" y="2257425"/>
                                  <a:ext cx="1385570" cy="280035"/>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rPr>
                                    </w:pPr>
                                    <w:r>
                                      <w:rPr>
                                        <w:rFonts w:hint="eastAsia"/>
                                        <w:sz w:val="21"/>
                                        <w:szCs w:val="21"/>
                                        <w:u w:val="single"/>
                                      </w:rPr>
                                      <w:t>缝制</w:t>
                                    </w:r>
                                  </w:p>
                                </w:txbxContent>
                              </wps:txbx>
                              <wps:bodyPr wrap="square" upright="1"/>
                            </wps:wsp>
                            <wps:wsp>
                              <wps:cNvPr id="33" name="矩形 111"/>
                              <wps:cNvSpPr/>
                              <wps:spPr>
                                <a:xfrm>
                                  <a:off x="2555240" y="3350895"/>
                                  <a:ext cx="535305" cy="330835"/>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u w:val="single"/>
                                      </w:rPr>
                                    </w:pPr>
                                    <w:r>
                                      <w:rPr>
                                        <w:rFonts w:hint="eastAsia"/>
                                        <w:sz w:val="21"/>
                                        <w:szCs w:val="21"/>
                                        <w:u w:val="single"/>
                                      </w:rPr>
                                      <w:t>压包</w:t>
                                    </w:r>
                                  </w:p>
                                </w:txbxContent>
                              </wps:txbx>
                              <wps:bodyPr wrap="square" upright="1"/>
                            </wps:wsp>
                            <wps:wsp>
                              <wps:cNvPr id="34" name="直线 112"/>
                              <wps:cNvCnPr/>
                              <wps:spPr>
                                <a:xfrm>
                                  <a:off x="2748280" y="2537460"/>
                                  <a:ext cx="635" cy="288290"/>
                                </a:xfrm>
                                <a:prstGeom prst="line">
                                  <a:avLst/>
                                </a:prstGeom>
                                <a:ln w="9525" cap="flat" cmpd="sng">
                                  <a:solidFill>
                                    <a:srgbClr val="000000"/>
                                  </a:solidFill>
                                  <a:prstDash val="solid"/>
                                  <a:headEnd type="none" w="med" len="med"/>
                                  <a:tailEnd type="triangle" w="med" len="med"/>
                                </a:ln>
                              </wps:spPr>
                              <wps:bodyPr/>
                            </wps:wsp>
                            <wps:wsp>
                              <wps:cNvPr id="35" name="直线 113"/>
                              <wps:cNvCnPr/>
                              <wps:spPr>
                                <a:xfrm>
                                  <a:off x="2776855" y="3134995"/>
                                  <a:ext cx="635" cy="215900"/>
                                </a:xfrm>
                                <a:prstGeom prst="line">
                                  <a:avLst/>
                                </a:prstGeom>
                                <a:ln w="9525" cap="flat" cmpd="sng">
                                  <a:solidFill>
                                    <a:srgbClr val="000000"/>
                                  </a:solidFill>
                                  <a:prstDash val="solid"/>
                                  <a:headEnd type="none" w="med" len="med"/>
                                  <a:tailEnd type="triangle" w="med" len="med"/>
                                </a:ln>
                              </wps:spPr>
                              <wps:bodyPr/>
                            </wps:wsp>
                            <wps:wsp>
                              <wps:cNvPr id="38" name="直线 116"/>
                              <wps:cNvCnPr/>
                              <wps:spPr>
                                <a:xfrm>
                                  <a:off x="2785110" y="208280"/>
                                  <a:ext cx="635" cy="288290"/>
                                </a:xfrm>
                                <a:prstGeom prst="line">
                                  <a:avLst/>
                                </a:prstGeom>
                                <a:ln w="9525" cap="flat" cmpd="sng">
                                  <a:solidFill>
                                    <a:srgbClr val="000000"/>
                                  </a:solidFill>
                                  <a:prstDash val="solid"/>
                                  <a:headEnd type="none" w="med" len="med"/>
                                  <a:tailEnd type="triangle" w="med" len="med"/>
                                </a:ln>
                              </wps:spPr>
                              <wps:bodyPr/>
                            </wps:wsp>
                            <wps:wsp>
                              <wps:cNvPr id="45" name="直线 123"/>
                              <wps:cNvCnPr>
                                <a:endCxn id="9" idx="0"/>
                              </wps:cNvCnPr>
                              <wps:spPr>
                                <a:xfrm>
                                  <a:off x="2780665" y="806450"/>
                                  <a:ext cx="1905" cy="281940"/>
                                </a:xfrm>
                                <a:prstGeom prst="line">
                                  <a:avLst/>
                                </a:prstGeom>
                                <a:ln w="9525" cap="flat" cmpd="sng">
                                  <a:solidFill>
                                    <a:srgbClr val="000000"/>
                                  </a:solidFill>
                                  <a:prstDash val="solid"/>
                                  <a:headEnd type="none" w="med" len="med"/>
                                  <a:tailEnd type="triangle" w="med" len="med"/>
                                </a:ln>
                              </wps:spPr>
                              <wps:bodyPr/>
                            </wps:wsp>
                            <wps:wsp>
                              <wps:cNvPr id="46" name="直线 124"/>
                              <wps:cNvCnPr/>
                              <wps:spPr>
                                <a:xfrm flipV="1">
                                  <a:off x="3268980" y="638175"/>
                                  <a:ext cx="360045" cy="635"/>
                                </a:xfrm>
                                <a:prstGeom prst="line">
                                  <a:avLst/>
                                </a:prstGeom>
                                <a:ln w="9525" cap="flat" cmpd="sng">
                                  <a:solidFill>
                                    <a:srgbClr val="000000"/>
                                  </a:solidFill>
                                  <a:prstDash val="dash"/>
                                  <a:headEnd type="none" w="med" len="med"/>
                                  <a:tailEnd type="triangle" w="med" len="med"/>
                                </a:ln>
                              </wps:spPr>
                              <wps:bodyPr/>
                            </wps:wsp>
                            <wps:wsp>
                              <wps:cNvPr id="47" name="矩形 125"/>
                              <wps:cNvSpPr/>
                              <wps:spPr>
                                <a:xfrm>
                                  <a:off x="3539490" y="504825"/>
                                  <a:ext cx="1633220" cy="289560"/>
                                </a:xfrm>
                                <a:prstGeom prst="rect">
                                  <a:avLst/>
                                </a:prstGeom>
                                <a:noFill/>
                                <a:ln>
                                  <a:noFill/>
                                </a:ln>
                              </wps:spPr>
                              <wps:txbx>
                                <w:txbxContent>
                                  <w:p>
                                    <w:pPr>
                                      <w:pStyle w:val="74"/>
                                      <w:spacing w:line="240" w:lineRule="auto"/>
                                      <w:rPr>
                                        <w:sz w:val="21"/>
                                        <w:szCs w:val="21"/>
                                        <w:u w:val="single"/>
                                      </w:rPr>
                                    </w:pPr>
                                    <w:r>
                                      <w:rPr>
                                        <w:rFonts w:hint="eastAsia"/>
                                        <w:sz w:val="21"/>
                                        <w:szCs w:val="21"/>
                                        <w:u w:val="single"/>
                                      </w:rPr>
                                      <w:t>有机废气、噪声、固废</w:t>
                                    </w:r>
                                  </w:p>
                                </w:txbxContent>
                              </wps:txbx>
                              <wps:bodyPr wrap="square" upright="1"/>
                            </wps:wsp>
                            <wps:wsp>
                              <wps:cNvPr id="53" name="矩形 125"/>
                              <wps:cNvSpPr/>
                              <wps:spPr>
                                <a:xfrm>
                                  <a:off x="3555365" y="1602741"/>
                                  <a:ext cx="1130300" cy="289560"/>
                                </a:xfrm>
                                <a:prstGeom prst="rect">
                                  <a:avLst/>
                                </a:prstGeom>
                                <a:noFill/>
                                <a:ln>
                                  <a:noFill/>
                                </a:ln>
                              </wps:spPr>
                              <wps:txbx>
                                <w:txbxContent>
                                  <w:p>
                                    <w:pPr>
                                      <w:pStyle w:val="74"/>
                                      <w:spacing w:line="240" w:lineRule="auto"/>
                                      <w:rPr>
                                        <w:sz w:val="21"/>
                                        <w:szCs w:val="21"/>
                                      </w:rPr>
                                    </w:pPr>
                                    <w:r>
                                      <w:rPr>
                                        <w:rFonts w:hint="eastAsia"/>
                                        <w:sz w:val="21"/>
                                        <w:szCs w:val="21"/>
                                        <w:u w:val="single"/>
                                      </w:rPr>
                                      <w:t>有机废气、噪声</w:t>
                                    </w:r>
                                  </w:p>
                                </w:txbxContent>
                              </wps:txbx>
                              <wps:bodyPr wrap="square" upright="1"/>
                            </wps:wsp>
                            <wps:wsp>
                              <wps:cNvPr id="55" name="直线 124"/>
                              <wps:cNvCnPr/>
                              <wps:spPr>
                                <a:xfrm flipV="1">
                                  <a:off x="3218815" y="1765935"/>
                                  <a:ext cx="360045" cy="635"/>
                                </a:xfrm>
                                <a:prstGeom prst="line">
                                  <a:avLst/>
                                </a:prstGeom>
                                <a:ln w="9525" cap="flat" cmpd="sng">
                                  <a:solidFill>
                                    <a:srgbClr val="000000"/>
                                  </a:solidFill>
                                  <a:prstDash val="dash"/>
                                  <a:headEnd type="none" w="med" len="med"/>
                                  <a:tailEnd type="triangle" w="med" len="med"/>
                                </a:ln>
                              </wps:spPr>
                              <wps:bodyPr/>
                            </wps:wsp>
                            <wps:wsp>
                              <wps:cNvPr id="19" name="直线 116"/>
                              <wps:cNvCnPr/>
                              <wps:spPr>
                                <a:xfrm flipV="1">
                                  <a:off x="1132840" y="2390775"/>
                                  <a:ext cx="953135" cy="8255"/>
                                </a:xfrm>
                                <a:prstGeom prst="line">
                                  <a:avLst/>
                                </a:prstGeom>
                                <a:ln w="9525" cap="flat" cmpd="sng">
                                  <a:solidFill>
                                    <a:srgbClr val="000000"/>
                                  </a:solidFill>
                                  <a:prstDash val="solid"/>
                                  <a:headEnd type="none" w="med" len="med"/>
                                  <a:tailEnd type="triangle" w="med" len="med"/>
                                </a:ln>
                              </wps:spPr>
                              <wps:bodyPr/>
                            </wps:wsp>
                            <wps:wsp>
                              <wps:cNvPr id="21" name="矩形 100"/>
                              <wps:cNvSpPr/>
                              <wps:spPr>
                                <a:xfrm>
                                  <a:off x="349250" y="307340"/>
                                  <a:ext cx="1586865" cy="495300"/>
                                </a:xfrm>
                                <a:prstGeom prst="rect">
                                  <a:avLst/>
                                </a:prstGeom>
                                <a:noFill/>
                                <a:ln>
                                  <a:noFill/>
                                </a:ln>
                              </wps:spPr>
                              <wps:txbx>
                                <w:txbxContent>
                                  <w:p>
                                    <w:pPr>
                                      <w:pStyle w:val="74"/>
                                      <w:spacing w:line="240" w:lineRule="auto"/>
                                      <w:rPr>
                                        <w:sz w:val="21"/>
                                        <w:szCs w:val="21"/>
                                        <w:u w:val="single"/>
                                      </w:rPr>
                                    </w:pPr>
                                    <w:r>
                                      <w:rPr>
                                        <w:rFonts w:hint="eastAsia"/>
                                        <w:sz w:val="21"/>
                                        <w:szCs w:val="21"/>
                                        <w:u w:val="single"/>
                                      </w:rPr>
                                      <w:t>编制布、</w:t>
                                    </w:r>
                                    <w:r>
                                      <w:rPr>
                                        <w:sz w:val="21"/>
                                        <w:szCs w:val="21"/>
                                        <w:u w:val="single"/>
                                      </w:rPr>
                                      <w:t>吊带、</w:t>
                                    </w:r>
                                  </w:p>
                                  <w:p>
                                    <w:pPr>
                                      <w:pStyle w:val="74"/>
                                      <w:spacing w:line="240" w:lineRule="auto"/>
                                      <w:rPr>
                                        <w:sz w:val="21"/>
                                        <w:szCs w:val="21"/>
                                        <w:u w:val="single"/>
                                      </w:rPr>
                                    </w:pPr>
                                    <w:r>
                                      <w:rPr>
                                        <w:sz w:val="21"/>
                                        <w:szCs w:val="21"/>
                                        <w:u w:val="single"/>
                                      </w:rPr>
                                      <w:t>围带</w:t>
                                    </w:r>
                                    <w:r>
                                      <w:rPr>
                                        <w:rFonts w:hint="eastAsia"/>
                                        <w:sz w:val="21"/>
                                        <w:szCs w:val="21"/>
                                        <w:u w:val="single"/>
                                      </w:rPr>
                                      <w:t>、扎口绳</w:t>
                                    </w:r>
                                  </w:p>
                                </w:txbxContent>
                              </wps:txbx>
                              <wps:bodyPr wrap="square" upright="1"/>
                            </wps:wsp>
                            <wps:wsp>
                              <wps:cNvPr id="23" name="直线 116"/>
                              <wps:cNvCnPr/>
                              <wps:spPr>
                                <a:xfrm>
                                  <a:off x="1128395" y="814070"/>
                                  <a:ext cx="0" cy="669290"/>
                                </a:xfrm>
                                <a:prstGeom prst="line">
                                  <a:avLst/>
                                </a:prstGeom>
                                <a:ln w="9525" cap="flat" cmpd="sng">
                                  <a:solidFill>
                                    <a:srgbClr val="000000"/>
                                  </a:solidFill>
                                  <a:prstDash val="solid"/>
                                  <a:headEnd type="none" w="med" len="med"/>
                                  <a:tailEnd type="triangle" w="med" len="med"/>
                                </a:ln>
                              </wps:spPr>
                              <wps:bodyPr/>
                            </wps:wsp>
                            <wps:wsp>
                              <wps:cNvPr id="24" name="矩形 103"/>
                              <wps:cNvSpPr/>
                              <wps:spPr>
                                <a:xfrm>
                                  <a:off x="826770" y="1482090"/>
                                  <a:ext cx="619125" cy="307340"/>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u w:val="single"/>
                                      </w:rPr>
                                    </w:pPr>
                                    <w:r>
                                      <w:rPr>
                                        <w:rFonts w:hint="eastAsia"/>
                                        <w:sz w:val="21"/>
                                        <w:szCs w:val="21"/>
                                        <w:u w:val="single"/>
                                      </w:rPr>
                                      <w:t>剪裁</w:t>
                                    </w:r>
                                  </w:p>
                                </w:txbxContent>
                              </wps:txbx>
                              <wps:bodyPr wrap="square" upright="1"/>
                            </wps:wsp>
                            <wps:wsp>
                              <wps:cNvPr id="28" name="矩形 104"/>
                              <wps:cNvSpPr/>
                              <wps:spPr>
                                <a:xfrm>
                                  <a:off x="2229485" y="2825750"/>
                                  <a:ext cx="1113790" cy="296545"/>
                                </a:xfrm>
                                <a:prstGeom prst="rect">
                                  <a:avLst/>
                                </a:prstGeom>
                                <a:noFill/>
                                <a:ln w="9525" cap="flat" cmpd="sng">
                                  <a:solidFill>
                                    <a:srgbClr val="000000"/>
                                  </a:solidFill>
                                  <a:prstDash val="dash"/>
                                  <a:miter/>
                                  <a:headEnd type="none" w="med" len="med"/>
                                  <a:tailEnd type="none" w="med" len="med"/>
                                </a:ln>
                              </wps:spPr>
                              <wps:txbx>
                                <w:txbxContent>
                                  <w:p>
                                    <w:pPr>
                                      <w:pStyle w:val="74"/>
                                      <w:spacing w:line="240" w:lineRule="auto"/>
                                      <w:rPr>
                                        <w:sz w:val="21"/>
                                        <w:szCs w:val="21"/>
                                        <w:u w:val="single"/>
                                      </w:rPr>
                                    </w:pPr>
                                    <w:r>
                                      <w:rPr>
                                        <w:rFonts w:hint="eastAsia"/>
                                        <w:sz w:val="21"/>
                                        <w:szCs w:val="21"/>
                                        <w:u w:val="single"/>
                                      </w:rPr>
                                      <w:t>部分清</w:t>
                                    </w:r>
                                    <w:r>
                                      <w:rPr>
                                        <w:sz w:val="21"/>
                                        <w:szCs w:val="21"/>
                                        <w:u w:val="single"/>
                                      </w:rPr>
                                      <w:t>理内部</w:t>
                                    </w:r>
                                  </w:p>
                                </w:txbxContent>
                              </wps:txbx>
                              <wps:bodyPr wrap="square" upright="1"/>
                            </wps:wsp>
                            <wps:wsp>
                              <wps:cNvPr id="30" name="直线 113"/>
                              <wps:cNvCnPr/>
                              <wps:spPr>
                                <a:xfrm>
                                  <a:off x="2795905" y="3696970"/>
                                  <a:ext cx="635" cy="215900"/>
                                </a:xfrm>
                                <a:prstGeom prst="line">
                                  <a:avLst/>
                                </a:prstGeom>
                                <a:ln w="9525" cap="flat" cmpd="sng">
                                  <a:solidFill>
                                    <a:srgbClr val="000000"/>
                                  </a:solidFill>
                                  <a:prstDash val="solid"/>
                                  <a:headEnd type="none" w="med" len="med"/>
                                  <a:tailEnd type="triangle" w="med" len="med"/>
                                </a:ln>
                              </wps:spPr>
                              <wps:bodyPr/>
                            </wps:wsp>
                            <wps:wsp>
                              <wps:cNvPr id="31" name="直线 123"/>
                              <wps:cNvCnPr/>
                              <wps:spPr>
                                <a:xfrm flipH="1">
                                  <a:off x="1132840" y="1779270"/>
                                  <a:ext cx="0" cy="620395"/>
                                </a:xfrm>
                                <a:prstGeom prst="line">
                                  <a:avLst/>
                                </a:prstGeom>
                                <a:ln w="9525" cap="flat" cmpd="sng">
                                  <a:solidFill>
                                    <a:srgbClr val="000000"/>
                                  </a:solidFill>
                                  <a:prstDash val="solid"/>
                                  <a:headEnd type="none" w="med" len="med"/>
                                  <a:tailEnd type="none" w="med" len="med"/>
                                </a:ln>
                              </wps:spPr>
                              <wps:bodyPr/>
                            </wps:wsp>
                            <wps:wsp>
                              <wps:cNvPr id="32" name="直线 124"/>
                              <wps:cNvCnPr/>
                              <wps:spPr>
                                <a:xfrm flipH="1" flipV="1">
                                  <a:off x="580390" y="1632585"/>
                                  <a:ext cx="215265" cy="635"/>
                                </a:xfrm>
                                <a:prstGeom prst="line">
                                  <a:avLst/>
                                </a:prstGeom>
                                <a:ln w="9525" cap="flat" cmpd="sng">
                                  <a:solidFill>
                                    <a:srgbClr val="000000"/>
                                  </a:solidFill>
                                  <a:prstDash val="dash"/>
                                  <a:headEnd type="none" w="med" len="med"/>
                                  <a:tailEnd type="triangle" w="med" len="med"/>
                                </a:ln>
                              </wps:spPr>
                              <wps:bodyPr/>
                            </wps:wsp>
                            <wps:wsp>
                              <wps:cNvPr id="36" name="矩形 125"/>
                              <wps:cNvSpPr/>
                              <wps:spPr>
                                <a:xfrm>
                                  <a:off x="19050" y="1286510"/>
                                  <a:ext cx="676275" cy="735965"/>
                                </a:xfrm>
                                <a:prstGeom prst="rect">
                                  <a:avLst/>
                                </a:prstGeom>
                                <a:noFill/>
                                <a:ln>
                                  <a:noFill/>
                                </a:ln>
                              </wps:spPr>
                              <wps:txbx>
                                <w:txbxContent>
                                  <w:p>
                                    <w:pPr>
                                      <w:pStyle w:val="74"/>
                                      <w:spacing w:line="240" w:lineRule="auto"/>
                                      <w:rPr>
                                        <w:u w:val="single"/>
                                      </w:rPr>
                                    </w:pPr>
                                    <w:r>
                                      <w:rPr>
                                        <w:rFonts w:hint="eastAsia"/>
                                        <w:sz w:val="21"/>
                                        <w:szCs w:val="21"/>
                                        <w:u w:val="single"/>
                                      </w:rPr>
                                      <w:t>噪声、固废、</w:t>
                                    </w:r>
                                    <w:r>
                                      <w:rPr>
                                        <w:rFonts w:hint="eastAsia"/>
                                        <w:u w:val="single"/>
                                      </w:rPr>
                                      <w:t>有机</w:t>
                                    </w:r>
                                    <w:r>
                                      <w:rPr>
                                        <w:u w:val="single"/>
                                      </w:rPr>
                                      <w:t>废气</w:t>
                                    </w:r>
                                  </w:p>
                                </w:txbxContent>
                              </wps:txbx>
                              <wps:bodyPr wrap="square" upright="1"/>
                            </wps:wsp>
                            <wps:wsp>
                              <wps:cNvPr id="37" name="直线 124"/>
                              <wps:cNvCnPr/>
                              <wps:spPr>
                                <a:xfrm flipV="1">
                                  <a:off x="3495040" y="2400300"/>
                                  <a:ext cx="360045" cy="635"/>
                                </a:xfrm>
                                <a:prstGeom prst="line">
                                  <a:avLst/>
                                </a:prstGeom>
                                <a:ln w="9525" cap="flat" cmpd="sng">
                                  <a:solidFill>
                                    <a:srgbClr val="000000"/>
                                  </a:solidFill>
                                  <a:prstDash val="dash"/>
                                  <a:headEnd type="none" w="med" len="med"/>
                                  <a:tailEnd type="triangle" w="med" len="med"/>
                                </a:ln>
                              </wps:spPr>
                              <wps:bodyPr/>
                            </wps:wsp>
                            <wps:wsp>
                              <wps:cNvPr id="39" name="矩形 125"/>
                              <wps:cNvSpPr/>
                              <wps:spPr>
                                <a:xfrm>
                                  <a:off x="3841115" y="2247900"/>
                                  <a:ext cx="683260" cy="289560"/>
                                </a:xfrm>
                                <a:prstGeom prst="rect">
                                  <a:avLst/>
                                </a:prstGeom>
                                <a:noFill/>
                                <a:ln>
                                  <a:noFill/>
                                </a:ln>
                              </wps:spPr>
                              <wps:txbx>
                                <w:txbxContent>
                                  <w:p>
                                    <w:pPr>
                                      <w:pStyle w:val="74"/>
                                      <w:spacing w:line="240" w:lineRule="auto"/>
                                      <w:rPr>
                                        <w:sz w:val="21"/>
                                        <w:szCs w:val="21"/>
                                        <w:u w:val="single"/>
                                      </w:rPr>
                                    </w:pPr>
                                    <w:r>
                                      <w:rPr>
                                        <w:rFonts w:hint="eastAsia"/>
                                        <w:sz w:val="21"/>
                                        <w:szCs w:val="21"/>
                                        <w:u w:val="single"/>
                                      </w:rPr>
                                      <w:t>噪声</w:t>
                                    </w:r>
                                  </w:p>
                                </w:txbxContent>
                              </wps:txbx>
                              <wps:bodyPr wrap="square" upright="1"/>
                            </wps:wsp>
                            <wps:wsp>
                              <wps:cNvPr id="40" name="直线 124"/>
                              <wps:cNvCnPr/>
                              <wps:spPr>
                                <a:xfrm flipV="1">
                                  <a:off x="3343275" y="2990850"/>
                                  <a:ext cx="360045" cy="635"/>
                                </a:xfrm>
                                <a:prstGeom prst="line">
                                  <a:avLst/>
                                </a:prstGeom>
                                <a:ln w="9525" cap="flat" cmpd="sng">
                                  <a:solidFill>
                                    <a:srgbClr val="000000"/>
                                  </a:solidFill>
                                  <a:prstDash val="dash"/>
                                  <a:headEnd type="none" w="med" len="med"/>
                                  <a:tailEnd type="triangle" w="med" len="med"/>
                                </a:ln>
                              </wps:spPr>
                              <wps:bodyPr/>
                            </wps:wsp>
                            <wps:wsp>
                              <wps:cNvPr id="41" name="矩形 125"/>
                              <wps:cNvSpPr/>
                              <wps:spPr>
                                <a:xfrm>
                                  <a:off x="3703320" y="2867025"/>
                                  <a:ext cx="563880" cy="289560"/>
                                </a:xfrm>
                                <a:prstGeom prst="rect">
                                  <a:avLst/>
                                </a:prstGeom>
                                <a:noFill/>
                                <a:ln>
                                  <a:noFill/>
                                </a:ln>
                              </wps:spPr>
                              <wps:txbx>
                                <w:txbxContent>
                                  <w:p>
                                    <w:pPr>
                                      <w:pStyle w:val="74"/>
                                      <w:spacing w:line="240" w:lineRule="auto"/>
                                      <w:rPr>
                                        <w:sz w:val="21"/>
                                        <w:szCs w:val="21"/>
                                        <w:u w:val="single"/>
                                      </w:rPr>
                                    </w:pPr>
                                    <w:r>
                                      <w:rPr>
                                        <w:rFonts w:hint="eastAsia"/>
                                        <w:sz w:val="21"/>
                                        <w:szCs w:val="21"/>
                                        <w:u w:val="single"/>
                                      </w:rPr>
                                      <w:t>噪声</w:t>
                                    </w:r>
                                  </w:p>
                                </w:txbxContent>
                              </wps:txbx>
                              <wps:bodyPr wrap="square" upright="1"/>
                            </wps:wsp>
                            <wps:wsp>
                              <wps:cNvPr id="9" name="矩形 104"/>
                              <wps:cNvSpPr/>
                              <wps:spPr>
                                <a:xfrm>
                                  <a:off x="2348230" y="1088390"/>
                                  <a:ext cx="868680" cy="296545"/>
                                </a:xfrm>
                                <a:prstGeom prst="rect">
                                  <a:avLst/>
                                </a:prstGeom>
                                <a:noFill/>
                                <a:ln w="9525" cap="flat" cmpd="sng">
                                  <a:solidFill>
                                    <a:srgbClr val="000000"/>
                                  </a:solidFill>
                                  <a:prstDash val="solid"/>
                                  <a:miter/>
                                  <a:headEnd type="none" w="med" len="med"/>
                                  <a:tailEnd type="none" w="med" len="med"/>
                                </a:ln>
                              </wps:spPr>
                              <wps:txbx>
                                <w:txbxContent>
                                  <w:p>
                                    <w:pPr>
                                      <w:pStyle w:val="74"/>
                                      <w:spacing w:line="240" w:lineRule="auto"/>
                                      <w:rPr>
                                        <w:sz w:val="21"/>
                                        <w:szCs w:val="21"/>
                                      </w:rPr>
                                    </w:pPr>
                                    <w:r>
                                      <w:rPr>
                                        <w:rFonts w:hint="eastAsia"/>
                                        <w:sz w:val="21"/>
                                        <w:szCs w:val="21"/>
                                        <w:u w:val="single"/>
                                      </w:rPr>
                                      <w:t>调墨</w:t>
                                    </w:r>
                                  </w:p>
                                </w:txbxContent>
                              </wps:txbx>
                              <wps:bodyPr wrap="square" upright="1"/>
                            </wps:wsp>
                            <wps:wsp>
                              <wps:cNvPr id="11" name="直线 123"/>
                              <wps:cNvCnPr>
                                <a:endCxn id="26" idx="0"/>
                              </wps:cNvCnPr>
                              <wps:spPr>
                                <a:xfrm>
                                  <a:off x="2780665" y="1386840"/>
                                  <a:ext cx="3810" cy="213995"/>
                                </a:xfrm>
                                <a:prstGeom prst="line">
                                  <a:avLst/>
                                </a:prstGeom>
                                <a:ln w="9525" cap="flat" cmpd="sng">
                                  <a:solidFill>
                                    <a:srgbClr val="000000"/>
                                  </a:solidFill>
                                  <a:prstDash val="solid"/>
                                  <a:headEnd type="none" w="med" len="med"/>
                                  <a:tailEnd type="triangle" w="med" len="med"/>
                                </a:ln>
                              </wps:spPr>
                              <wps:bodyPr/>
                            </wps:wsp>
                            <wps:wsp>
                              <wps:cNvPr id="12" name="矩形 125"/>
                              <wps:cNvSpPr/>
                              <wps:spPr>
                                <a:xfrm>
                                  <a:off x="3555365" y="1087120"/>
                                  <a:ext cx="858520" cy="289560"/>
                                </a:xfrm>
                                <a:prstGeom prst="rect">
                                  <a:avLst/>
                                </a:prstGeom>
                                <a:noFill/>
                                <a:ln>
                                  <a:noFill/>
                                </a:ln>
                              </wps:spPr>
                              <wps:txbx>
                                <w:txbxContent>
                                  <w:p>
                                    <w:pPr>
                                      <w:pStyle w:val="74"/>
                                      <w:spacing w:line="240" w:lineRule="auto"/>
                                      <w:rPr>
                                        <w:sz w:val="21"/>
                                        <w:szCs w:val="21"/>
                                      </w:rPr>
                                    </w:pPr>
                                    <w:r>
                                      <w:rPr>
                                        <w:rFonts w:hint="eastAsia"/>
                                        <w:sz w:val="21"/>
                                        <w:szCs w:val="21"/>
                                        <w:u w:val="single"/>
                                      </w:rPr>
                                      <w:t>有机废气</w:t>
                                    </w:r>
                                  </w:p>
                                </w:txbxContent>
                              </wps:txbx>
                              <wps:bodyPr wrap="square" upright="1"/>
                            </wps:wsp>
                            <wps:wsp>
                              <wps:cNvPr id="13" name="直线 124"/>
                              <wps:cNvCnPr/>
                              <wps:spPr>
                                <a:xfrm flipV="1">
                                  <a:off x="3218815" y="1249680"/>
                                  <a:ext cx="360045" cy="635"/>
                                </a:xfrm>
                                <a:prstGeom prst="line">
                                  <a:avLst/>
                                </a:prstGeom>
                                <a:ln w="9525" cap="flat" cmpd="sng">
                                  <a:solidFill>
                                    <a:srgbClr val="000000"/>
                                  </a:solidFill>
                                  <a:prstDash val="dash"/>
                                  <a:headEnd type="none" w="med" len="med"/>
                                  <a:tailEnd type="triangle" w="med" len="med"/>
                                </a:ln>
                              </wps:spPr>
                              <wps:bodyPr/>
                            </wps:wsp>
                            <wps:wsp>
                              <wps:cNvPr id="14" name="矩形 100"/>
                              <wps:cNvSpPr/>
                              <wps:spPr>
                                <a:xfrm>
                                  <a:off x="1594485" y="723900"/>
                                  <a:ext cx="628650" cy="285115"/>
                                </a:xfrm>
                                <a:prstGeom prst="rect">
                                  <a:avLst/>
                                </a:prstGeom>
                                <a:noFill/>
                                <a:ln>
                                  <a:noFill/>
                                </a:ln>
                              </wps:spPr>
                              <wps:txbx>
                                <w:txbxContent>
                                  <w:p>
                                    <w:pPr>
                                      <w:pStyle w:val="74"/>
                                      <w:spacing w:line="240" w:lineRule="auto"/>
                                      <w:rPr>
                                        <w:sz w:val="21"/>
                                        <w:szCs w:val="21"/>
                                      </w:rPr>
                                    </w:pPr>
                                    <w:r>
                                      <w:rPr>
                                        <w:rFonts w:hint="eastAsia"/>
                                        <w:sz w:val="21"/>
                                        <w:szCs w:val="21"/>
                                        <w:u w:val="single"/>
                                      </w:rPr>
                                      <w:t>水墨</w:t>
                                    </w:r>
                                  </w:p>
                                </w:txbxContent>
                              </wps:txbx>
                              <wps:bodyPr wrap="square" upright="1"/>
                            </wps:wsp>
                            <wps:wsp>
                              <wps:cNvPr id="15" name="直线 116"/>
                              <wps:cNvCnPr/>
                              <wps:spPr>
                                <a:xfrm>
                                  <a:off x="1937385" y="1268095"/>
                                  <a:ext cx="402590" cy="8890"/>
                                </a:xfrm>
                                <a:prstGeom prst="line">
                                  <a:avLst/>
                                </a:prstGeom>
                                <a:ln w="9525" cap="flat" cmpd="sng">
                                  <a:solidFill>
                                    <a:srgbClr val="000000"/>
                                  </a:solidFill>
                                  <a:prstDash val="solid"/>
                                  <a:headEnd type="none" w="med" len="med"/>
                                  <a:tailEnd type="triangle" w="med" len="med"/>
                                </a:ln>
                              </wps:spPr>
                              <wps:bodyPr/>
                            </wps:wsp>
                            <wps:wsp>
                              <wps:cNvPr id="16" name="直线 123"/>
                              <wps:cNvCnPr/>
                              <wps:spPr>
                                <a:xfrm flipH="1">
                                  <a:off x="1936750" y="1009015"/>
                                  <a:ext cx="8255" cy="260350"/>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w:pict>
                    <v:group id="画布 78" o:spid="_x0000_s1026" o:spt="203" style="position:absolute;left:0pt;margin-left:3.1pt;margin-top:1.2pt;height:390.25pt;width:408.65pt;z-index:251659264;mso-width-relative:page;mso-height-relative:page;" coordsize="5189855,4956175" editas="canvas"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">
                      <o:lock v:ext="edit" aspectratio="f"/>
                      <v:shape id="画布 78" o:spid="_x0000_s1026" style="position:absolute;left:0;top:0;height:4956175;width:5189855;"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">
                        <v:fill on="f" focussize="0,0"/>
                        <v:stroke on="f"/>
                        <v:imagedata o:title=""/>
                        <o:lock v:ext="edit" aspectratio="t"/>
                      </v:shape>
                      <v:rect id="矩形 84" o:spid="_x0000_s1026" o:spt="1" style="position:absolute;left:2403475;top:3812540;height:377825;width:867410;" fillcolor="#FFFFFF" filled="t" stroked="f" coordsize="21600,21600" o:gfxdata="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122utYAAAAHAQAADwAAAAAAAAABACAAAAAiAAAAZHJz&#10;L2Rvd25yZXYueG1sUEsBAhQAFAAAAAgAh07iQKPh32LNAQAAhAMAAA4AAAAAAAAAAQAgAAAAJQEA&#10;AGRycy9lMm9Eb2MueG1sUEsFBgAAAAAGAAYAWQEAAGQFAAAAAA==&#10;">
                        <v:fill on="t" focussize="0,0"/>
                        <v:stroke on="f"/>
                        <v:imagedata o:title=""/>
                        <o:lock v:ext="edit" aspectratio="f"/>
                        <v:textbox>
                          <w:txbxContent>
                            <w:p>
                              <w:pPr>
                                <w:pStyle w:val="74"/>
                                <w:rPr>
                                  <w:sz w:val="21"/>
                                  <w:szCs w:val="21"/>
                                </w:rPr>
                              </w:pPr>
                              <w:r>
                                <w:rPr>
                                  <w:rFonts w:hint="eastAsia"/>
                                  <w:sz w:val="21"/>
                                  <w:szCs w:val="21"/>
                                  <w:u w:val="single"/>
                                </w:rPr>
                                <w:t>成品外售</w:t>
                              </w:r>
                            </w:p>
                          </w:txbxContent>
                        </v:textbox>
                      </v:rect>
                      <v:rect id="矩形 88" o:spid="_x0000_s1026" o:spt="1" style="position:absolute;left:836930;top:4173220;height:332740;width:356489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s2B3/YAAAABwEAAA8AAAAAAAAAAQAgAAAAIgAAAGRycy9kb3ducmV2LnhtbFBLAQIU&#10;ABQAAAAIAIdO4kA7TOQJugEAAFwDAAAOAAAAAAAAAAEAIAAAACcBAABkcnMvZTJvRG9jLnhtbFBL&#10;BQYAAAAABgAGAFkBAABTBQAAAAA=&#10;">
                        <v:fill on="f" focussize="0,0"/>
                        <v:stroke on="f"/>
                        <v:imagedata o:title=""/>
                        <o:lock v:ext="edit" aspectratio="f"/>
                        <v:textbox>
                          <w:txbxContent>
                            <w:p>
                              <w:pPr>
                                <w:jc w:val="center"/>
                                <w:rPr>
                                  <w:rFonts w:eastAsia="黑体"/>
                                  <w:sz w:val="24"/>
                                  <w:u w:val="single"/>
                                </w:rPr>
                              </w:pPr>
                              <w:r>
                                <w:rPr>
                                  <w:rFonts w:hAnsi="黑体" w:eastAsia="黑体"/>
                                  <w:sz w:val="24"/>
                                  <w:u w:val="single"/>
                                </w:rPr>
                                <w:t>图</w:t>
                              </w:r>
                              <w:r>
                                <w:rPr>
                                  <w:rFonts w:hint="eastAsia" w:eastAsia="黑体"/>
                                  <w:sz w:val="24"/>
                                  <w:u w:val="single"/>
                                </w:rPr>
                                <w:t>1   集装袋</w:t>
                              </w:r>
                              <w:r>
                                <w:rPr>
                                  <w:rFonts w:hAnsi="黑体" w:eastAsia="黑体"/>
                                  <w:sz w:val="24"/>
                                  <w:u w:val="single"/>
                                </w:rPr>
                                <w:t>生产工艺流程</w:t>
                              </w:r>
                              <w:r>
                                <w:rPr>
                                  <w:rFonts w:hint="eastAsia" w:hAnsi="黑体" w:eastAsia="黑体"/>
                                  <w:sz w:val="24"/>
                                  <w:u w:val="single"/>
                                </w:rPr>
                                <w:t>及产污环节</w:t>
                              </w:r>
                              <w:r>
                                <w:rPr>
                                  <w:rFonts w:hAnsi="黑体" w:eastAsia="黑体"/>
                                  <w:sz w:val="24"/>
                                  <w:u w:val="single"/>
                                </w:rPr>
                                <w:t>图</w:t>
                              </w:r>
                            </w:p>
                          </w:txbxContent>
                        </v:textbox>
                      </v:rect>
                      <v:rect id="矩形 100" o:spid="_x0000_s1026" o:spt="1" style="position:absolute;left:2251075;top:0;height:285115;width:1136015;"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YH&#10;f9gAAAAHAQAADwAAAAAAAAABACAAAAAiAAAAZHJzL2Rvd25yZXYueG1sUEsBAhQAFAAAAAgAh07i&#10;QNj1IqKwAQAAWAMAAA4AAAAAAAAAAQAgAAAAJwEAAGRycy9lMm9Eb2MueG1sUEsFBgAAAAAGAAYA&#10;WQEAAEkFAAAAAA==&#10;">
                        <v:fill on="f" focussize="0,0"/>
                        <v:stroke on="f"/>
                        <v:imagedata o:title=""/>
                        <o:lock v:ext="edit" aspectratio="f"/>
                        <v:textbox>
                          <w:txbxContent>
                            <w:p>
                              <w:pPr>
                                <w:pStyle w:val="74"/>
                                <w:spacing w:line="240" w:lineRule="auto"/>
                                <w:rPr>
                                  <w:sz w:val="21"/>
                                  <w:szCs w:val="21"/>
                                </w:rPr>
                              </w:pPr>
                              <w:r>
                                <w:rPr>
                                  <w:rFonts w:hint="eastAsia"/>
                                  <w:sz w:val="21"/>
                                  <w:szCs w:val="21"/>
                                  <w:u w:val="single"/>
                                </w:rPr>
                                <w:t>基布、</w:t>
                              </w:r>
                              <w:r>
                                <w:rPr>
                                  <w:sz w:val="21"/>
                                  <w:szCs w:val="21"/>
                                  <w:u w:val="single"/>
                                </w:rPr>
                                <w:t>涂膜布</w:t>
                              </w:r>
                            </w:p>
                          </w:txbxContent>
                        </v:textbox>
                      </v:rect>
                      <v:rect id="矩形 103" o:spid="_x0000_s1026" o:spt="1" style="position:absolute;left:2319020;top:491490;height:307340;width:949325;"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6Q+BzWAAAABwEAAA8AAAAAAAAAAQAg&#10;AAAAIgAAAGRycy9kb3ducmV2LnhtbFBLAQIUABQAAAAIAIdO4kBTHZ59EAIAABsEAAAOAAAAAAAA&#10;AAEAIAAAACUBAABkcnMvZTJvRG9jLnhtbFBLBQYAAAAABgAGAFkBAACnBQAAAAA=&#10;">
                        <v:fill on="f" focussize="0,0"/>
                        <v:stroke color="#000000" joinstyle="miter"/>
                        <v:imagedata o:title=""/>
                        <o:lock v:ext="edit" aspectratio="f"/>
                        <v:textbox>
                          <w:txbxContent>
                            <w:p>
                              <w:pPr>
                                <w:pStyle w:val="74"/>
                                <w:spacing w:line="240" w:lineRule="auto"/>
                                <w:rPr>
                                  <w:sz w:val="21"/>
                                  <w:szCs w:val="21"/>
                                  <w:u w:val="single"/>
                                </w:rPr>
                              </w:pPr>
                              <w:r>
                                <w:rPr>
                                  <w:rFonts w:hint="eastAsia"/>
                                  <w:sz w:val="21"/>
                                  <w:szCs w:val="21"/>
                                  <w:u w:val="single"/>
                                </w:rPr>
                                <w:t>剪裁</w:t>
                              </w:r>
                            </w:p>
                          </w:txbxContent>
                        </v:textbox>
                      </v:rect>
                      <v:rect id="矩形 104" o:spid="_x0000_s1026" o:spt="1" style="position:absolute;left:2350135;top:1600835;height:296545;width:868680;"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6Q+BzWAAAABwEAAA8AAAAAAAAA&#10;AQAgAAAAIgAAAGRycy9kb3ducmV2LnhtbFBLAQIUABQAAAAIAIdO4kCXAfbGEwIAABwEAAAOAAAA&#10;AAAAAAEAIAAAACUBAABkcnMvZTJvRG9jLnhtbFBLBQYAAAAABgAGAFkBAACqBQAAAAA=&#10;">
                        <v:fill on="f" focussize="0,0"/>
                        <v:stroke color="#000000" joinstyle="miter"/>
                        <v:imagedata o:title=""/>
                        <o:lock v:ext="edit" aspectratio="f"/>
                        <v:textbox>
                          <w:txbxContent>
                            <w:p>
                              <w:pPr>
                                <w:pStyle w:val="74"/>
                                <w:spacing w:line="240" w:lineRule="auto"/>
                                <w:rPr>
                                  <w:sz w:val="21"/>
                                  <w:szCs w:val="21"/>
                                </w:rPr>
                              </w:pPr>
                              <w:r>
                                <w:rPr>
                                  <w:rFonts w:hint="eastAsia"/>
                                  <w:sz w:val="21"/>
                                  <w:szCs w:val="21"/>
                                  <w:u w:val="single"/>
                                </w:rPr>
                                <w:t>印刷</w:t>
                              </w:r>
                            </w:p>
                          </w:txbxContent>
                        </v:textbox>
                      </v:rect>
                      <v:line id="直线 105" o:spid="_x0000_s1026" o:spt="20" style="position:absolute;left:2766695;top:1897380;height:360045;width:63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vi+h2AAAAAcBAAAPAAAAAAAAAAEAIAAAACIAAABkcnMvZG93bnJldi54bWxQ&#10;SwECFAAUAAAACACHTuJAGuCsvvcBAADjAwAADgAAAAAAAAABACAAAAAnAQAAZHJzL2Uyb0RvYy54&#10;bWxQSwUGAAAAAAYABgBZAQAAkAUAAAAA&#10;">
                        <v:fill on="f" focussize="0,0"/>
                        <v:stroke color="#000000" joinstyle="round" endarrow="block"/>
                        <v:imagedata o:title=""/>
                        <o:lock v:ext="edit" aspectratio="f"/>
                      </v:line>
                      <v:rect id="矩形 107" o:spid="_x0000_s1026" o:spt="1" style="position:absolute;left:2085975;top:2257425;height:280035;width:1385570;"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6Q+BzWAAAABwEAAA8AAAAAAAAA&#10;AQAgAAAAIgAAAGRycy9kb3ducmV2LnhtbFBLAQIUABQAAAAIAIdO4kDugu7XEwIAAB0EAAAOAAAA&#10;AAAAAAEAIAAAACUBAABkcnMvZTJvRG9jLnhtbFBLBQYAAAAABgAGAFkBAACqBQAAAAA=&#10;">
                        <v:fill on="f" focussize="0,0"/>
                        <v:stroke color="#000000" joinstyle="miter"/>
                        <v:imagedata o:title=""/>
                        <o:lock v:ext="edit" aspectratio="f"/>
                        <v:textbox>
                          <w:txbxContent>
                            <w:p>
                              <w:pPr>
                                <w:pStyle w:val="74"/>
                                <w:spacing w:line="240" w:lineRule="auto"/>
                                <w:rPr>
                                  <w:sz w:val="21"/>
                                  <w:szCs w:val="21"/>
                                </w:rPr>
                              </w:pPr>
                              <w:r>
                                <w:rPr>
                                  <w:rFonts w:hint="eastAsia"/>
                                  <w:sz w:val="21"/>
                                  <w:szCs w:val="21"/>
                                  <w:u w:val="single"/>
                                </w:rPr>
                                <w:t>缝制</w:t>
                              </w:r>
                            </w:p>
                          </w:txbxContent>
                        </v:textbox>
                      </v:rect>
                      <v:rect id="矩形 111" o:spid="_x0000_s1026" o:spt="1" style="position:absolute;left:2555240;top:3350895;height:330835;width:535305;"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kPgc1gAAAAcBAAAPAAAAAAAAAAEA&#10;IAAAACIAAABkcnMvZG93bnJldi54bWxQSwECFAAUAAAACACHTuJA1jEhtRECAAAcBAAADgAAAAAA&#10;AAABACAAAAAlAQAAZHJzL2Uyb0RvYy54bWxQSwUGAAAAAAYABgBZAQAAqAUAAAAA&#10;">
                        <v:fill on="f" focussize="0,0"/>
                        <v:stroke color="#000000" joinstyle="miter"/>
                        <v:imagedata o:title=""/>
                        <o:lock v:ext="edit" aspectratio="f"/>
                        <v:textbox>
                          <w:txbxContent>
                            <w:p>
                              <w:pPr>
                                <w:pStyle w:val="74"/>
                                <w:spacing w:line="240" w:lineRule="auto"/>
                                <w:rPr>
                                  <w:sz w:val="21"/>
                                  <w:szCs w:val="21"/>
                                  <w:u w:val="single"/>
                                </w:rPr>
                              </w:pPr>
                              <w:r>
                                <w:rPr>
                                  <w:rFonts w:hint="eastAsia"/>
                                  <w:sz w:val="21"/>
                                  <w:szCs w:val="21"/>
                                  <w:u w:val="single"/>
                                </w:rPr>
                                <w:t>压包</w:t>
                              </w:r>
                            </w:p>
                          </w:txbxContent>
                        </v:textbox>
                      </v:rect>
                      <v:line id="直线 112" o:spid="_x0000_s1026" o:spt="20" style="position:absolute;left:2748280;top:2537460;height:288290;width:63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vi+h2AAAAAcBAAAPAAAAAAAAAAEAIAAAACIAAABkcnMvZG93bnJldi54bWxQ&#10;SwECFAAUAAAACACHTuJAeVv5dfcBAADjAwAADgAAAAAAAAABACAAAAAnAQAAZHJzL2Uyb0RvYy54&#10;bWxQSwUGAAAAAAYABgBZAQAAkAUAAAAA&#10;">
                        <v:fill on="f" focussize="0,0"/>
                        <v:stroke color="#000000" joinstyle="round" endarrow="block"/>
                        <v:imagedata o:title=""/>
                        <o:lock v:ext="edit" aspectratio="f"/>
                      </v:line>
                      <v:line id="直线 113" o:spid="_x0000_s1026" o:spt="20" style="position:absolute;left:2776855;top:3134995;height:215900;width:63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L4vodgAAAAHAQAADwAAAAAAAAABACAAAAAiAAAAZHJzL2Rvd25yZXYueG1s&#10;UEsBAhQAFAAAAAgAh07iQMsjWCr4AQAA4wMAAA4AAAAAAAAAAQAgAAAAJwEAAGRycy9lMm9Eb2Mu&#10;eG1sUEsFBgAAAAAGAAYAWQEAAJEFAAAAAA==&#10;">
                        <v:fill on="f" focussize="0,0"/>
                        <v:stroke color="#000000" joinstyle="round" endarrow="block"/>
                        <v:imagedata o:title=""/>
                        <o:lock v:ext="edit" aspectratio="f"/>
                      </v:line>
                      <v:line id="直线 116" o:spid="_x0000_s1026" o:spt="20" style="position:absolute;left:2785110;top:208280;height:288290;width:63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L4vodgAAAAHAQAADwAAAAAAAAABACAAAAAiAAAAZHJzL2Rvd25yZXYueG1sUEsB&#10;AhQAFAAAAAgAh07iQPww8Tn1AQAA4gMAAA4AAAAAAAAAAQAgAAAAJwEAAGRycy9lMm9Eb2MueG1s&#10;UEsFBgAAAAAGAAYAWQEAAI4FAAAAAA==&#10;">
                        <v:fill on="f" focussize="0,0"/>
                        <v:stroke color="#000000" joinstyle="round" endarrow="block"/>
                        <v:imagedata o:title=""/>
                        <o:lock v:ext="edit" aspectratio="f"/>
                      </v:line>
                      <v:line id="直线 123" o:spid="_x0000_s1026" o:spt="20" style="position:absolute;left:2780665;top:806450;height:281940;width:190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L6HYAAAABwEAAA8AAAAAAAAAAQAgAAAAIgAAAGRy&#10;cy9kb3ducmV2LnhtbFBLAQIUABQAAAAIAIdO4kBnTNjPBQIAAAoEAAAOAAAAAAAAAAEAIAAAACcB&#10;AABkcnMvZTJvRG9jLnhtbFBLBQYAAAAABgAGAFkBAACeBQAAAAA=&#10;">
                        <v:fill on="f" focussize="0,0"/>
                        <v:stroke color="#000000" joinstyle="round" endarrow="block"/>
                        <v:imagedata o:title=""/>
                        <o:lock v:ext="edit" aspectratio="f"/>
                      </v:line>
                      <v:line id="直线 124" o:spid="_x0000_s1026" o:spt="20" style="position:absolute;left:3268980;top:638175;flip:y;height:635;width:360045;" filled="f" stroked="t" coordsize="21600,21600" o:gfxdata="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pubEdUAAAAHAQAADwAAAAAAAAABACAAAAAiAAAAZHJzL2Rvd25yZXYu&#10;eG1sUEsBAhQAFAAAAAgAh07iQEvwkNX+AQAA6wMAAA4AAAAAAAAAAQAgAAAAJAEAAGRycy9lMm9E&#10;b2MueG1sUEsFBgAAAAAGAAYAWQEAAJQFAAAAAA==&#10;">
                        <v:fill on="f" focussize="0,0"/>
                        <v:stroke color="#000000" joinstyle="round" dashstyle="dash" endarrow="block"/>
                        <v:imagedata o:title=""/>
                        <o:lock v:ext="edit" aspectratio="f"/>
                      </v:line>
                      <v:rect id="矩形 125" o:spid="_x0000_s1026" o:spt="1" style="position:absolute;left:3539490;top:504825;height:289560;width:163322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Ngd/2AAAAAcBAAAPAAAAAAAAAAEAIAAAACIAAABkcnMvZG93bnJldi54bWxQSwEC&#10;FAAUAAAACACHTuJAoBsKQbsBAABdAwAADgAAAAAAAAABACAAAAAnAQAAZHJzL2Uyb0RvYy54bWxQ&#10;SwUGAAAAAAYABgBZAQAAVAUAAAAA&#10;">
                        <v:fill on="f" focussize="0,0"/>
                        <v:stroke on="f"/>
                        <v:imagedata o:title=""/>
                        <o:lock v:ext="edit" aspectratio="f"/>
                        <v:textbox>
                          <w:txbxContent>
                            <w:p>
                              <w:pPr>
                                <w:pStyle w:val="74"/>
                                <w:spacing w:line="240" w:lineRule="auto"/>
                                <w:rPr>
                                  <w:sz w:val="21"/>
                                  <w:szCs w:val="21"/>
                                  <w:u w:val="single"/>
                                </w:rPr>
                              </w:pPr>
                              <w:r>
                                <w:rPr>
                                  <w:rFonts w:hint="eastAsia"/>
                                  <w:sz w:val="21"/>
                                  <w:szCs w:val="21"/>
                                  <w:u w:val="single"/>
                                </w:rPr>
                                <w:t>有机废气、噪声、固废</w:t>
                              </w:r>
                            </w:p>
                          </w:txbxContent>
                        </v:textbox>
                      </v:rect>
                      <v:rect id="矩形 125" o:spid="_x0000_s1026" o:spt="1" style="position:absolute;left:3555365;top:1602741;height:289560;width:113030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zYHf9gAAAAHAQAADwAAAAAAAAABACAAAAAiAAAAZHJzL2Rvd25yZXYueG1sUEsB&#10;AhQAFAAAAAgAh07iQI1Xrr+8AQAAXgMAAA4AAAAAAAAAAQAgAAAAJwEAAGRycy9lMm9Eb2MueG1s&#10;UEsFBgAAAAAGAAYAWQEAAFUFAAAAAA==&#10;">
                        <v:fill on="f" focussize="0,0"/>
                        <v:stroke on="f"/>
                        <v:imagedata o:title=""/>
                        <o:lock v:ext="edit" aspectratio="f"/>
                        <v:textbox>
                          <w:txbxContent>
                            <w:p>
                              <w:pPr>
                                <w:pStyle w:val="74"/>
                                <w:spacing w:line="240" w:lineRule="auto"/>
                                <w:rPr>
                                  <w:sz w:val="21"/>
                                  <w:szCs w:val="21"/>
                                </w:rPr>
                              </w:pPr>
                              <w:r>
                                <w:rPr>
                                  <w:rFonts w:hint="eastAsia"/>
                                  <w:sz w:val="21"/>
                                  <w:szCs w:val="21"/>
                                  <w:u w:val="single"/>
                                </w:rPr>
                                <w:t>有机废气、噪声</w:t>
                              </w:r>
                            </w:p>
                          </w:txbxContent>
                        </v:textbox>
                      </v:rect>
                      <v:line id="直线 124" o:spid="_x0000_s1026" o:spt="20" style="position:absolute;left:3218815;top:1765935;flip:y;height:635;width:360045;" filled="f" stroked="t" coordsize="21600,21600" o:gfxdata="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pubEdUAAAAHAQAADwAAAAAAAAABACAAAAAiAAAAZHJzL2Rvd25yZXYu&#10;eG1sUEsBAhQAFAAAAAgAh07iQNq/tMf+AQAA7AMAAA4AAAAAAAAAAQAgAAAAJAEAAGRycy9lMm9E&#10;b2MueG1sUEsFBgAAAAAGAAYAWQEAAJQFAAAAAA==&#10;">
                        <v:fill on="f" focussize="0,0"/>
                        <v:stroke color="#000000" joinstyle="round" dashstyle="dash" endarrow="block"/>
                        <v:imagedata o:title=""/>
                        <o:lock v:ext="edit" aspectratio="f"/>
                      </v:line>
                      <v:line id="直线 116" o:spid="_x0000_s1026" o:spt="20" style="position:absolute;left:1132840;top:2390775;flip:y;height:8255;width:953135;" filled="f" stroked="t" coordsize="21600,21600" o:gfxdata="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VZZeHYAAAABwEAAA8AAAAAAAAAAQAgAAAAIgAAAGRycy9kb3du&#10;cmV2LnhtbFBLAQIUABQAAAAIAIdO4kBt5vJe/wEAAO4DAAAOAAAAAAAAAAEAIAAAACcBAABkcnMv&#10;ZTJvRG9jLnhtbFBLBQYAAAAABgAGAFkBAACYBQAAAAA=&#10;">
                        <v:fill on="f" focussize="0,0"/>
                        <v:stroke color="#000000" joinstyle="round" endarrow="block"/>
                        <v:imagedata o:title=""/>
                        <o:lock v:ext="edit" aspectratio="f"/>
                      </v:line>
                      <v:rect id="矩形 100" o:spid="_x0000_s1026" o:spt="1" style="position:absolute;left:349250;top:307340;height:495300;width:1586865;"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Ngd/2AAAAAcBAAAPAAAAAAAAAAEAIAAAACIAAABkcnMvZG93bnJldi54bWxQSwECFAAU&#10;AAAACACHTuJAMujdxrgBAABcAwAADgAAAAAAAAABACAAAAAnAQAAZHJzL2Uyb0RvYy54bWxQSwUG&#10;AAAAAAYABgBZAQAAUQUAAAAA&#10;">
                        <v:fill on="f" focussize="0,0"/>
                        <v:stroke on="f"/>
                        <v:imagedata o:title=""/>
                        <o:lock v:ext="edit" aspectratio="f"/>
                        <v:textbox>
                          <w:txbxContent>
                            <w:p>
                              <w:pPr>
                                <w:pStyle w:val="74"/>
                                <w:spacing w:line="240" w:lineRule="auto"/>
                                <w:rPr>
                                  <w:sz w:val="21"/>
                                  <w:szCs w:val="21"/>
                                  <w:u w:val="single"/>
                                </w:rPr>
                              </w:pPr>
                              <w:r>
                                <w:rPr>
                                  <w:rFonts w:hint="eastAsia"/>
                                  <w:sz w:val="21"/>
                                  <w:szCs w:val="21"/>
                                  <w:u w:val="single"/>
                                </w:rPr>
                                <w:t>编制布、</w:t>
                              </w:r>
                              <w:r>
                                <w:rPr>
                                  <w:sz w:val="21"/>
                                  <w:szCs w:val="21"/>
                                  <w:u w:val="single"/>
                                </w:rPr>
                                <w:t>吊带、</w:t>
                              </w:r>
                            </w:p>
                            <w:p>
                              <w:pPr>
                                <w:pStyle w:val="74"/>
                                <w:spacing w:line="240" w:lineRule="auto"/>
                                <w:rPr>
                                  <w:sz w:val="21"/>
                                  <w:szCs w:val="21"/>
                                  <w:u w:val="single"/>
                                </w:rPr>
                              </w:pPr>
                              <w:r>
                                <w:rPr>
                                  <w:sz w:val="21"/>
                                  <w:szCs w:val="21"/>
                                  <w:u w:val="single"/>
                                </w:rPr>
                                <w:t>围带</w:t>
                              </w:r>
                              <w:r>
                                <w:rPr>
                                  <w:rFonts w:hint="eastAsia"/>
                                  <w:sz w:val="21"/>
                                  <w:szCs w:val="21"/>
                                  <w:u w:val="single"/>
                                </w:rPr>
                                <w:t>、扎口绳</w:t>
                              </w:r>
                            </w:p>
                          </w:txbxContent>
                        </v:textbox>
                      </v:rect>
                      <v:line id="直线 116" o:spid="_x0000_s1026" o:spt="20" style="position:absolute;left:1128395;top:814070;height:669290;width:0;"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L6HYAAAABwEAAA8AAAAAAAAAAQAgAAAAIgAAAGRycy9kb3ducmV2LnhtbFBL&#10;AQIUABQAAAAIAIdO4kAp9Iv69gEAAOADAAAOAAAAAAAAAAEAIAAAACcBAABkcnMvZTJvRG9jLnht&#10;bFBLBQYAAAAABgAGAFkBAACPBQAAAAA=&#10;">
                        <v:fill on="f" focussize="0,0"/>
                        <v:stroke color="#000000" joinstyle="round" endarrow="block"/>
                        <v:imagedata o:title=""/>
                        <o:lock v:ext="edit" aspectratio="f"/>
                      </v:line>
                      <v:rect id="矩形 103" o:spid="_x0000_s1026" o:spt="1" style="position:absolute;left:826770;top:1482090;height:307340;width:619125;"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6Q+BzWAAAABwEAAA8AAAAAAAAA&#10;AQAgAAAAIgAAAGRycy9kb3ducmV2LnhtbFBLAQIUABQAAAAIAIdO4kCEry5vEwIAABsEAAAOAAAA&#10;AAAAAAEAIAAAACUBAABkcnMvZTJvRG9jLnhtbFBLBQYAAAAABgAGAFkBAACqBQAAAAA=&#10;">
                        <v:fill on="f" focussize="0,0"/>
                        <v:stroke color="#000000" joinstyle="miter"/>
                        <v:imagedata o:title=""/>
                        <o:lock v:ext="edit" aspectratio="f"/>
                        <v:textbox>
                          <w:txbxContent>
                            <w:p>
                              <w:pPr>
                                <w:pStyle w:val="74"/>
                                <w:spacing w:line="240" w:lineRule="auto"/>
                                <w:rPr>
                                  <w:sz w:val="21"/>
                                  <w:szCs w:val="21"/>
                                  <w:u w:val="single"/>
                                </w:rPr>
                              </w:pPr>
                              <w:r>
                                <w:rPr>
                                  <w:rFonts w:hint="eastAsia"/>
                                  <w:sz w:val="21"/>
                                  <w:szCs w:val="21"/>
                                  <w:u w:val="single"/>
                                </w:rPr>
                                <w:t>剪裁</w:t>
                              </w:r>
                            </w:p>
                          </w:txbxContent>
                        </v:textbox>
                      </v:rect>
                      <v:rect id="矩形 104" o:spid="_x0000_s1026" o:spt="1" style="position:absolute;left:2229485;top:2825750;height:296545;width:1113790;" filled="f" stroked="t" coordsize="21600,21600" o:gfxdata="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kEnXNUAAAAHAQAADwAAAAAAAAAB&#10;ACAAAAAiAAAAZHJzL2Rvd25yZXYueG1sUEsBAhQAFAAAAAgAh07iQBkXM/8TAgAAHAQAAA4AAAAA&#10;AAAAAQAgAAAAJAEAAGRycy9lMm9Eb2MueG1sUEsFBgAAAAAGAAYAWQEAAKkFAAAAAA==&#10;">
                        <v:fill on="f" focussize="0,0"/>
                        <v:stroke color="#000000" joinstyle="miter" dashstyle="dash"/>
                        <v:imagedata o:title=""/>
                        <o:lock v:ext="edit" aspectratio="f"/>
                        <v:textbox>
                          <w:txbxContent>
                            <w:p>
                              <w:pPr>
                                <w:pStyle w:val="74"/>
                                <w:spacing w:line="240" w:lineRule="auto"/>
                                <w:rPr>
                                  <w:sz w:val="21"/>
                                  <w:szCs w:val="21"/>
                                  <w:u w:val="single"/>
                                </w:rPr>
                              </w:pPr>
                              <w:r>
                                <w:rPr>
                                  <w:rFonts w:hint="eastAsia"/>
                                  <w:sz w:val="21"/>
                                  <w:szCs w:val="21"/>
                                  <w:u w:val="single"/>
                                </w:rPr>
                                <w:t>部分清</w:t>
                              </w:r>
                              <w:r>
                                <w:rPr>
                                  <w:sz w:val="21"/>
                                  <w:szCs w:val="21"/>
                                  <w:u w:val="single"/>
                                </w:rPr>
                                <w:t>理内部</w:t>
                              </w:r>
                            </w:p>
                          </w:txbxContent>
                        </v:textbox>
                      </v:rect>
                      <v:line id="直线 113" o:spid="_x0000_s1026" o:spt="20" style="position:absolute;left:2795905;top:3696970;height:215900;width:635;"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L4vodgAAAAHAQAADwAAAAAAAAABACAAAAAiAAAAZHJzL2Rvd25yZXYueG1sUEsB&#10;AhQAFAAAAAgAh07iQApxtYL1AQAA4wMAAA4AAAAAAAAAAQAgAAAAJwEAAGRycy9lMm9Eb2MueG1s&#10;UEsFBgAAAAAGAAYAWQEAAI4FAAAAAA==&#10;">
                        <v:fill on="f" focussize="0,0"/>
                        <v:stroke color="#000000" joinstyle="round" endarrow="block"/>
                        <v:imagedata o:title=""/>
                        <o:lock v:ext="edit" aspectratio="f"/>
                      </v:line>
                      <v:line id="直线 123" o:spid="_x0000_s1026" o:spt="20" style="position:absolute;left:1132840;top:1779270;flip:x;height:620395;width:0;" filled="f" stroked="t" coordsize="21600,21600" o:gfxdata="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eiNh1QAAAAcBAAAPAAAAAAAAAAEAIAAAACIAAABkcnMvZG93bnJldi54bWxQSwECFAAU&#10;AAAACACHTuJAYYg4LfQBAADnAwAADgAAAAAAAAABACAAAAAkAQAAZHJzL2Uyb0RvYy54bWxQSwUG&#10;AAAAAAYABgBZAQAAigUAAAAA&#10;">
                        <v:fill on="f" focussize="0,0"/>
                        <v:stroke color="#000000" joinstyle="round"/>
                        <v:imagedata o:title=""/>
                        <o:lock v:ext="edit" aspectratio="f"/>
                      </v:line>
                      <v:line id="直线 124" o:spid="_x0000_s1026" o:spt="20" style="position:absolute;left:580390;top:1632585;flip:x y;height:635;width:215265;" filled="f" stroked="t" coordsize="21600,21600" o:gfxdata="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yxsJ/WAAAABwEAAA8AAAAAAAAAAQAgAAAAIgAAAGRycy9k&#10;b3ducmV2LnhtbFBLAQIUABQAAAAIAIdO4kDYsCCEBAIAAPUDAAAOAAAAAAAAAAEAIAAAACUBAABk&#10;cnMvZTJvRG9jLnhtbFBLBQYAAAAABgAGAFkBAACbBQAAAAA=&#10;">
                        <v:fill on="f" focussize="0,0"/>
                        <v:stroke color="#000000" joinstyle="round" dashstyle="dash" endarrow="block"/>
                        <v:imagedata o:title=""/>
                        <o:lock v:ext="edit" aspectratio="f"/>
                      </v:line>
                      <v:rect id="矩形 125" o:spid="_x0000_s1026" o:spt="1" style="position:absolute;left:19050;top:1286510;height:735965;width:676275;"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Ngd/2AAAAAcBAAAPAAAAAAAAAAEAIAAAACIAAABkcnMvZG93bnJldi54bWxQSwECFAAU&#10;AAAACACHTuJAg9UCZrgBAABbAwAADgAAAAAAAAABACAAAAAnAQAAZHJzL2Uyb0RvYy54bWxQSwUG&#10;AAAAAAYABgBZAQAAUQUAAAAA&#10;">
                        <v:fill on="f" focussize="0,0"/>
                        <v:stroke on="f"/>
                        <v:imagedata o:title=""/>
                        <o:lock v:ext="edit" aspectratio="f"/>
                        <v:textbox>
                          <w:txbxContent>
                            <w:p>
                              <w:pPr>
                                <w:pStyle w:val="74"/>
                                <w:spacing w:line="240" w:lineRule="auto"/>
                                <w:rPr>
                                  <w:u w:val="single"/>
                                </w:rPr>
                              </w:pPr>
                              <w:r>
                                <w:rPr>
                                  <w:rFonts w:hint="eastAsia"/>
                                  <w:sz w:val="21"/>
                                  <w:szCs w:val="21"/>
                                  <w:u w:val="single"/>
                                </w:rPr>
                                <w:t>噪声、固废、</w:t>
                              </w:r>
                              <w:r>
                                <w:rPr>
                                  <w:rFonts w:hint="eastAsia"/>
                                  <w:u w:val="single"/>
                                </w:rPr>
                                <w:t>有机</w:t>
                              </w:r>
                              <w:r>
                                <w:rPr>
                                  <w:u w:val="single"/>
                                </w:rPr>
                                <w:t>废气</w:t>
                              </w:r>
                            </w:p>
                          </w:txbxContent>
                        </v:textbox>
                      </v:rect>
                      <v:line id="直线 124" o:spid="_x0000_s1026" o:spt="20" style="position:absolute;left:3495040;top:2400300;flip:y;height:635;width:360045;" filled="f" stroked="t" coordsize="21600,21600" o:gfxdata="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pubEdUAAAAHAQAADwAAAAAAAAABACAAAAAiAAAAZHJzL2Rvd25yZXYueG1s&#10;UEsBAhQAFAAAAAgAh07iQNegtfj7AQAA7AMAAA4AAAAAAAAAAQAgAAAAJAEAAGRycy9lMm9Eb2Mu&#10;eG1sUEsFBgAAAAAGAAYAWQEAAJEFAAAAAA==&#10;">
                        <v:fill on="f" focussize="0,0"/>
                        <v:stroke color="#000000" joinstyle="round" dashstyle="dash" endarrow="block"/>
                        <v:imagedata o:title=""/>
                        <o:lock v:ext="edit" aspectratio="f"/>
                      </v:line>
                      <v:rect id="矩形 125" o:spid="_x0000_s1026" o:spt="1" style="position:absolute;left:3841115;top:2247900;height:289560;width:68326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Ngd/2AAAAAcBAAAPAAAAAAAAAAEAIAAAACIAAABkcnMvZG93bnJldi54bWxQSwEC&#10;FAAUAAAACACHTuJAQHMC4rsBAABdAwAADgAAAAAAAAABACAAAAAnAQAAZHJzL2Uyb0RvYy54bWxQ&#10;SwUGAAAAAAYABgBZAQAAVAUAAAAA&#10;">
                        <v:fill on="f" focussize="0,0"/>
                        <v:stroke on="f"/>
                        <v:imagedata o:title=""/>
                        <o:lock v:ext="edit" aspectratio="f"/>
                        <v:textbox>
                          <w:txbxContent>
                            <w:p>
                              <w:pPr>
                                <w:pStyle w:val="74"/>
                                <w:spacing w:line="240" w:lineRule="auto"/>
                                <w:rPr>
                                  <w:sz w:val="21"/>
                                  <w:szCs w:val="21"/>
                                  <w:u w:val="single"/>
                                </w:rPr>
                              </w:pPr>
                              <w:r>
                                <w:rPr>
                                  <w:rFonts w:hint="eastAsia"/>
                                  <w:sz w:val="21"/>
                                  <w:szCs w:val="21"/>
                                  <w:u w:val="single"/>
                                </w:rPr>
                                <w:t>噪声</w:t>
                              </w:r>
                            </w:p>
                          </w:txbxContent>
                        </v:textbox>
                      </v:rect>
                      <v:line id="直线 124" o:spid="_x0000_s1026" o:spt="20" style="position:absolute;left:3343275;top:2990850;flip:y;height:635;width:360045;" filled="f" stroked="t" coordsize="21600,21600" o:gfxdata="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m5sR1QAAAAcBAAAPAAAAAAAAAAEAIAAAACIAAABkcnMvZG93bnJldi54&#10;bWxQSwECFAAUAAAACACHTuJARCAtYv0BAADsAwAADgAAAAAAAAABACAAAAAkAQAAZHJzL2Uyb0Rv&#10;Yy54bWxQSwUGAAAAAAYABgBZAQAAkwUAAAAA&#10;">
                        <v:fill on="f" focussize="0,0"/>
                        <v:stroke color="#000000" joinstyle="round" dashstyle="dash" endarrow="block"/>
                        <v:imagedata o:title=""/>
                        <o:lock v:ext="edit" aspectratio="f"/>
                      </v:line>
                      <v:rect id="矩形 125" o:spid="_x0000_s1026" o:spt="1" style="position:absolute;left:3703320;top:2867025;height:289560;width:56388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s2B3/YAAAABwEAAA8AAAAAAAAAAQAgAAAAIgAAAGRycy9kb3ducmV2LnhtbFBLAQIU&#10;ABQAAAAIAIdO4kBfFVauugEAAF0DAAAOAAAAAAAAAAEAIAAAACcBAABkcnMvZTJvRG9jLnhtbFBL&#10;BQYAAAAABgAGAFkBAABTBQAAAAA=&#10;">
                        <v:fill on="f" focussize="0,0"/>
                        <v:stroke on="f"/>
                        <v:imagedata o:title=""/>
                        <o:lock v:ext="edit" aspectratio="f"/>
                        <v:textbox>
                          <w:txbxContent>
                            <w:p>
                              <w:pPr>
                                <w:pStyle w:val="74"/>
                                <w:spacing w:line="240" w:lineRule="auto"/>
                                <w:rPr>
                                  <w:sz w:val="21"/>
                                  <w:szCs w:val="21"/>
                                  <w:u w:val="single"/>
                                </w:rPr>
                              </w:pPr>
                              <w:r>
                                <w:rPr>
                                  <w:rFonts w:hint="eastAsia"/>
                                  <w:sz w:val="21"/>
                                  <w:szCs w:val="21"/>
                                  <w:u w:val="single"/>
                                </w:rPr>
                                <w:t>噪声</w:t>
                              </w:r>
                            </w:p>
                          </w:txbxContent>
                        </v:textbox>
                      </v:rect>
                      <v:rect id="矩形 104" o:spid="_x0000_s1026" o:spt="1" style="position:absolute;left:2348230;top:1088390;height:296545;width:868680;" filled="f" stroked="t" coordsize="21600,21600" o:gfxdata="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pD4HNYAAAAHAQAADwAAAAAAAAAB&#10;ACAAAAAiAAAAZHJzL2Rvd25yZXYueG1sUEsBAhQAFAAAAAgAh07iQJpl87MSAgAAGwQAAA4AAAAA&#10;AAAAAQAgAAAAJQEAAGRycy9lMm9Eb2MueG1sUEsFBgAAAAAGAAYAWQEAAKkFAAAAAA==&#10;">
                        <v:fill on="f" focussize="0,0"/>
                        <v:stroke color="#000000" joinstyle="miter"/>
                        <v:imagedata o:title=""/>
                        <o:lock v:ext="edit" aspectratio="f"/>
                        <v:textbox>
                          <w:txbxContent>
                            <w:p>
                              <w:pPr>
                                <w:pStyle w:val="74"/>
                                <w:spacing w:line="240" w:lineRule="auto"/>
                                <w:rPr>
                                  <w:sz w:val="21"/>
                                  <w:szCs w:val="21"/>
                                </w:rPr>
                              </w:pPr>
                              <w:r>
                                <w:rPr>
                                  <w:rFonts w:hint="eastAsia"/>
                                  <w:sz w:val="21"/>
                                  <w:szCs w:val="21"/>
                                  <w:u w:val="single"/>
                                </w:rPr>
                                <w:t>调墨</w:t>
                              </w:r>
                            </w:p>
                          </w:txbxContent>
                        </v:textbox>
                      </v:rect>
                      <v:line id="直线 123" o:spid="_x0000_s1026" o:spt="20" style="position:absolute;left:2780665;top:1386840;height:213995;width:3810;"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L4vodgAAAAHAQAADwAAAAAAAAABACAAAAAiAAAA&#10;ZHJzL2Rvd25yZXYueG1sUEsBAhQAFAAAAAgAh07iQFg9rfYHAgAADAQAAA4AAAAAAAAAAQAgAAAA&#10;JwEAAGRycy9lMm9Eb2MueG1sUEsFBgAAAAAGAAYAWQEAAKAFAAAAAA==&#10;">
                        <v:fill on="f" focussize="0,0"/>
                        <v:stroke color="#000000" joinstyle="round" endarrow="block"/>
                        <v:imagedata o:title=""/>
                        <o:lock v:ext="edit" aspectratio="f"/>
                      </v:line>
                      <v:rect id="矩形 125" o:spid="_x0000_s1026" o:spt="1" style="position:absolute;left:3555365;top:1087120;height:289560;width:85852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s2B3/YAAAABwEAAA8AAAAAAAAAAQAgAAAAIgAAAGRycy9kb3ducmV2LnhtbFBLAQIU&#10;ABQAAAAIAIdO4kByEQnPugEAAF0DAAAOAAAAAAAAAAEAIAAAACcBAABkcnMvZTJvRG9jLnhtbFBL&#10;BQYAAAAABgAGAFkBAABTBQAAAAA=&#10;">
                        <v:fill on="f" focussize="0,0"/>
                        <v:stroke on="f"/>
                        <v:imagedata o:title=""/>
                        <o:lock v:ext="edit" aspectratio="f"/>
                        <v:textbox>
                          <w:txbxContent>
                            <w:p>
                              <w:pPr>
                                <w:pStyle w:val="74"/>
                                <w:spacing w:line="240" w:lineRule="auto"/>
                                <w:rPr>
                                  <w:sz w:val="21"/>
                                  <w:szCs w:val="21"/>
                                </w:rPr>
                              </w:pPr>
                              <w:r>
                                <w:rPr>
                                  <w:rFonts w:hint="eastAsia"/>
                                  <w:sz w:val="21"/>
                                  <w:szCs w:val="21"/>
                                  <w:u w:val="single"/>
                                </w:rPr>
                                <w:t>有机废气</w:t>
                              </w:r>
                            </w:p>
                          </w:txbxContent>
                        </v:textbox>
                      </v:rect>
                      <v:line id="直线 124" o:spid="_x0000_s1026" o:spt="20" style="position:absolute;left:3218815;top:1249680;flip:y;height:635;width:360045;" filled="f" stroked="t" coordsize="21600,21600" o:gfxdata="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KbmxHVAAAABwEAAA8AAAAAAAAAAQAgAAAAIgAAAGRycy9kb3ducmV2Lnht&#10;bFBLAQIUABQAAAAIAIdO4kBNRDJc/AEAAOwDAAAOAAAAAAAAAAEAIAAAACQBAABkcnMvZTJvRG9j&#10;LnhtbFBLBQYAAAAABgAGAFkBAACSBQAAAAA=&#10;">
                        <v:fill on="f" focussize="0,0"/>
                        <v:stroke color="#000000" joinstyle="round" dashstyle="dash" endarrow="block"/>
                        <v:imagedata o:title=""/>
                        <o:lock v:ext="edit" aspectratio="f"/>
                      </v:line>
                      <v:rect id="矩形 100" o:spid="_x0000_s1026" o:spt="1" style="position:absolute;left:1594485;top:723900;height:285115;width:628650;" filled="f" stroked="f" coordsize="21600,21600" o:gfxdata="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zYHf9gAAAAHAQAADwAAAAAAAAABACAAAAAiAAAAZHJzL2Rvd25yZXYueG1sUEsBAhQA&#10;FAAAAAgAh07iQIyAKUG5AQAAXAMAAA4AAAAAAAAAAQAgAAAAJwEAAGRycy9lMm9Eb2MueG1sUEsF&#10;BgAAAAAGAAYAWQEAAFIFAAAAAA==&#10;">
                        <v:fill on="f" focussize="0,0"/>
                        <v:stroke on="f"/>
                        <v:imagedata o:title=""/>
                        <o:lock v:ext="edit" aspectratio="f"/>
                        <v:textbox>
                          <w:txbxContent>
                            <w:p>
                              <w:pPr>
                                <w:pStyle w:val="74"/>
                                <w:spacing w:line="240" w:lineRule="auto"/>
                                <w:rPr>
                                  <w:sz w:val="21"/>
                                  <w:szCs w:val="21"/>
                                </w:rPr>
                              </w:pPr>
                              <w:r>
                                <w:rPr>
                                  <w:rFonts w:hint="eastAsia"/>
                                  <w:sz w:val="21"/>
                                  <w:szCs w:val="21"/>
                                  <w:u w:val="single"/>
                                </w:rPr>
                                <w:t>水墨</w:t>
                              </w:r>
                            </w:p>
                          </w:txbxContent>
                        </v:textbox>
                      </v:rect>
                      <v:line id="直线 116" o:spid="_x0000_s1026" o:spt="20" style="position:absolute;left:1937385;top:1268095;height:8890;width:402590;" filled="f" stroked="t" coordsize="21600,21600" o:gfxdata="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L6HYAAAABwEAAA8AAAAAAAAAAQAgAAAAIgAAAGRycy9kb3ducmV2LnhtbFBL&#10;AQIUABQAAAAIAIdO4kDXaF3C9gEAAOQDAAAOAAAAAAAAAAEAIAAAACcBAABkcnMvZTJvRG9jLnht&#10;bFBLBQYAAAAABgAGAFkBAACPBQAAAAA=&#10;">
                        <v:fill on="f" focussize="0,0"/>
                        <v:stroke color="#000000" joinstyle="round" endarrow="block"/>
                        <v:imagedata o:title=""/>
                        <o:lock v:ext="edit" aspectratio="f"/>
                      </v:line>
                      <v:line id="直线 123" o:spid="_x0000_s1026" o:spt="20" style="position:absolute;left:1936750;top:1009015;flip:x;height:260350;width:8255;" filled="f" stroked="t" coordsize="21600,21600" o:gfxdata="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HojYdUAAAAHAQAADwAAAAAAAAABACAAAAAiAAAAZHJzL2Rvd25yZXYueG1sUEsBAhQA&#10;FAAAAAgAh07iQDTD7WH1AQAA6gMAAA4AAAAAAAAAAQAgAAAAJAEAAGRycy9lMm9Eb2MueG1sUEsF&#10;BgAAAAAGAAYAWQEAAIsFAAAAAA==&#10;">
                        <v:fill on="f" focussize="0,0"/>
                        <v:stroke color="#000000" joinstyle="round"/>
                        <v:imagedata o:title=""/>
                        <o:lock v:ext="edit" aspectratio="f"/>
                      </v:line>
                    </v:group>
                  </w:pict>
                </mc:Fallback>
              </mc:AlternateContent>
            </w:r>
          </w:p>
          <w:p>
            <w:pPr>
              <w:rPr>
                <w:rFonts w:ascii="黑体" w:hAnsi="黑体" w:eastAsia="黑体" w:cs="黑体"/>
                <w:bCs/>
                <w:sz w:val="24"/>
                <w:u w:val="single"/>
              </w:rPr>
            </w:pPr>
          </w:p>
          <w:p>
            <w:pPr>
              <w:pStyle w:val="2"/>
              <w:rPr>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pStyle w:val="9"/>
              <w:numPr>
                <w:ilvl w:val="0"/>
                <w:numId w:val="0"/>
              </w:numPr>
              <w:rPr>
                <w:rFonts w:ascii="黑体" w:hAnsi="黑体" w:eastAsia="黑体" w:cs="黑体"/>
                <w:bCs/>
                <w:sz w:val="24"/>
                <w:u w:val="single"/>
              </w:rPr>
            </w:pPr>
          </w:p>
          <w:p>
            <w:pPr>
              <w:adjustRightInd w:val="0"/>
              <w:snapToGrid w:val="0"/>
              <w:spacing w:line="360" w:lineRule="auto"/>
              <w:rPr>
                <w:b/>
                <w:sz w:val="24"/>
                <w:u w:val="single"/>
              </w:rPr>
            </w:pPr>
          </w:p>
          <w:p>
            <w:pPr>
              <w:pStyle w:val="6"/>
              <w:rPr>
                <w:u w:val="single"/>
              </w:rPr>
            </w:pPr>
          </w:p>
          <w:p>
            <w:pPr>
              <w:pStyle w:val="5"/>
              <w:rPr>
                <w:u w:val="single"/>
              </w:rPr>
            </w:pPr>
          </w:p>
          <w:p>
            <w:pPr>
              <w:pStyle w:val="9"/>
              <w:numPr>
                <w:ilvl w:val="0"/>
                <w:numId w:val="0"/>
              </w:numPr>
              <w:ind w:left="2040" w:hanging="360"/>
              <w:rPr>
                <w:u w:val="single"/>
              </w:rPr>
            </w:pPr>
          </w:p>
          <w:p>
            <w:pPr>
              <w:pStyle w:val="9"/>
              <w:numPr>
                <w:ilvl w:val="0"/>
                <w:numId w:val="0"/>
              </w:numPr>
              <w:ind w:left="2040" w:hanging="360"/>
              <w:rPr>
                <w:u w:val="single"/>
              </w:rPr>
            </w:pPr>
          </w:p>
          <w:p>
            <w:pPr>
              <w:pStyle w:val="9"/>
              <w:numPr>
                <w:ilvl w:val="0"/>
                <w:numId w:val="0"/>
              </w:numPr>
              <w:ind w:left="2040" w:hanging="360"/>
              <w:rPr>
                <w:rFonts w:hAnsi="宋体"/>
                <w:b/>
                <w:sz w:val="24"/>
                <w:u w:val="single"/>
              </w:rPr>
            </w:pPr>
          </w:p>
          <w:p>
            <w:pPr>
              <w:pStyle w:val="9"/>
              <w:numPr>
                <w:ilvl w:val="0"/>
                <w:numId w:val="0"/>
              </w:numPr>
              <w:ind w:left="2040" w:hanging="360"/>
              <w:rPr>
                <w:rFonts w:hAnsi="宋体"/>
                <w:b/>
                <w:sz w:val="24"/>
                <w:u w:val="single"/>
              </w:rPr>
            </w:pPr>
          </w:p>
          <w:p>
            <w:pPr>
              <w:pStyle w:val="9"/>
              <w:numPr>
                <w:ilvl w:val="0"/>
                <w:numId w:val="0"/>
              </w:numPr>
              <w:ind w:left="2040" w:hanging="360"/>
              <w:rPr>
                <w:rFonts w:hAnsi="宋体"/>
                <w:b/>
                <w:sz w:val="24"/>
                <w:u w:val="single"/>
              </w:rPr>
            </w:pPr>
          </w:p>
          <w:p>
            <w:pPr>
              <w:pStyle w:val="9"/>
              <w:numPr>
                <w:ilvl w:val="0"/>
                <w:numId w:val="0"/>
              </w:numPr>
              <w:ind w:left="2040" w:hanging="360"/>
              <w:rPr>
                <w:rFonts w:hAnsi="宋体"/>
                <w:b/>
                <w:sz w:val="24"/>
                <w:u w:val="single"/>
              </w:rPr>
            </w:pPr>
          </w:p>
          <w:p>
            <w:pPr>
              <w:pStyle w:val="9"/>
              <w:numPr>
                <w:ilvl w:val="0"/>
                <w:numId w:val="0"/>
              </w:numPr>
              <w:ind w:left="2040" w:hanging="360"/>
              <w:rPr>
                <w:rFonts w:hAnsi="宋体"/>
                <w:b/>
                <w:sz w:val="24"/>
                <w:u w:val="single"/>
              </w:rPr>
            </w:pPr>
          </w:p>
          <w:p>
            <w:pPr>
              <w:pStyle w:val="9"/>
              <w:numPr>
                <w:ilvl w:val="0"/>
                <w:numId w:val="0"/>
              </w:numPr>
              <w:ind w:left="2040" w:hanging="360"/>
              <w:rPr>
                <w:rFonts w:hAnsi="宋体"/>
                <w:b/>
                <w:sz w:val="24"/>
                <w:u w:val="single"/>
              </w:rPr>
            </w:pPr>
          </w:p>
          <w:p>
            <w:pPr>
              <w:adjustRightInd w:val="0"/>
              <w:snapToGrid w:val="0"/>
              <w:spacing w:before="120" w:beforeLines="50" w:line="360" w:lineRule="auto"/>
              <w:rPr>
                <w:rFonts w:ascii="黑体" w:hAnsi="黑体" w:eastAsia="黑体" w:cs="黑体"/>
                <w:bCs/>
                <w:sz w:val="24"/>
                <w:u w:val="single"/>
              </w:rPr>
            </w:pPr>
          </w:p>
          <w:p>
            <w:pPr>
              <w:pStyle w:val="2"/>
              <w:rPr>
                <w:u w:val="single"/>
              </w:rPr>
            </w:pPr>
          </w:p>
          <w:p>
            <w:pPr>
              <w:adjustRightInd w:val="0"/>
              <w:snapToGrid w:val="0"/>
              <w:spacing w:before="120" w:beforeLines="50" w:line="360" w:lineRule="auto"/>
              <w:rPr>
                <w:rFonts w:ascii="黑体" w:hAnsi="黑体" w:eastAsia="黑体" w:cs="黑体"/>
                <w:bCs/>
                <w:sz w:val="24"/>
                <w:u w:val="single"/>
              </w:rPr>
            </w:pPr>
            <w:r>
              <w:rPr>
                <w:rFonts w:hint="eastAsia" w:ascii="黑体" w:hAnsi="黑体" w:eastAsia="黑体" w:cs="黑体"/>
                <w:bCs/>
                <w:sz w:val="24"/>
                <w:u w:val="single"/>
              </w:rPr>
              <w:t>工艺流程简述</w:t>
            </w:r>
          </w:p>
          <w:p>
            <w:pPr>
              <w:numPr>
                <w:ilvl w:val="0"/>
                <w:numId w:val="4"/>
              </w:numPr>
              <w:tabs>
                <w:tab w:val="left" w:pos="2580"/>
              </w:tabs>
              <w:snapToGrid w:val="0"/>
              <w:spacing w:line="360" w:lineRule="auto"/>
              <w:ind w:firstLine="480"/>
              <w:rPr>
                <w:rFonts w:ascii="宋体" w:hAnsi="宋体" w:cs="宋体"/>
                <w:sz w:val="24"/>
                <w:u w:val="single"/>
              </w:rPr>
            </w:pPr>
            <w:r>
              <w:rPr>
                <w:rFonts w:hint="eastAsia" w:ascii="宋体" w:hAnsi="宋体" w:cs="宋体"/>
                <w:sz w:val="24"/>
                <w:u w:val="single"/>
              </w:rPr>
              <w:t>剪裁：将原料布剪裁成客户需要的形状。剪裁过程采用热切工艺，设备运行时切刀温度</w:t>
            </w:r>
            <w:r>
              <w:rPr>
                <w:sz w:val="24"/>
                <w:u w:val="single"/>
              </w:rPr>
              <w:t>170~180</w:t>
            </w:r>
            <w:r>
              <w:rPr>
                <w:rFonts w:hint="eastAsia"/>
                <w:sz w:val="24"/>
                <w:u w:val="single"/>
              </w:rPr>
              <w:t>℃，该</w:t>
            </w:r>
            <w:r>
              <w:rPr>
                <w:rFonts w:hint="eastAsia" w:ascii="宋体" w:hAnsi="宋体" w:cs="宋体"/>
                <w:sz w:val="24"/>
                <w:u w:val="single"/>
              </w:rPr>
              <w:t>过程会挥发少量非甲烷总烃。</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调墨：本项目所用油墨为非溶剂型油墨，调墨时将水性油墨与水进行调和，调墨在印刷机密闭区域内进行。</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印刷：根据客户需要，用印刷机</w:t>
            </w:r>
            <w:r>
              <w:rPr>
                <w:rFonts w:hint="eastAsia" w:hAnsi="宋体"/>
                <w:sz w:val="24"/>
                <w:u w:val="single"/>
              </w:rPr>
              <w:t>在集装袋上印上客户需要的图案及文字等。印刷工艺为柔版印刷，通过网纹传墨辊传递油墨施印，印刷过程会产生少量有</w:t>
            </w:r>
            <w:r>
              <w:rPr>
                <w:rFonts w:hint="eastAsia" w:ascii="宋体" w:hAnsi="宋体" w:cs="宋体"/>
                <w:sz w:val="24"/>
                <w:u w:val="single"/>
              </w:rPr>
              <w:t>机废气。</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缝制：裁剪印刷后的半成品利用缝纫机进行缝纫。</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部分清理内部：部分产品要求较高时，需要使用清扫机对集装袋内部进行清扫，防止内部有杂物残留。</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压包：生产出的成品经过压包机进行压包整理。</w:t>
            </w:r>
          </w:p>
          <w:p>
            <w:pPr>
              <w:numPr>
                <w:ilvl w:val="0"/>
                <w:numId w:val="4"/>
              </w:numPr>
              <w:tabs>
                <w:tab w:val="left" w:pos="2580"/>
              </w:tabs>
              <w:snapToGrid w:val="0"/>
              <w:spacing w:line="360" w:lineRule="auto"/>
              <w:ind w:firstLine="480" w:firstLineChars="200"/>
              <w:rPr>
                <w:rFonts w:ascii="宋体" w:hAnsi="宋体" w:cs="宋体"/>
                <w:sz w:val="24"/>
                <w:u w:val="single"/>
              </w:rPr>
            </w:pPr>
            <w:r>
              <w:rPr>
                <w:rFonts w:hint="eastAsia" w:ascii="宋体" w:hAnsi="宋体" w:cs="宋体"/>
                <w:sz w:val="24"/>
                <w:u w:val="single"/>
              </w:rPr>
              <w:t>成品外售</w:t>
            </w:r>
            <w:r>
              <w:rPr>
                <w:rFonts w:hint="eastAsia" w:hAnsi="宋体"/>
                <w:sz w:val="24"/>
                <w:u w:val="single"/>
              </w:rPr>
              <w:t>：打包后的产品入库待</w:t>
            </w:r>
            <w:r>
              <w:rPr>
                <w:rFonts w:hint="eastAsia" w:ascii="宋体" w:hAnsi="宋体" w:cs="宋体"/>
                <w:sz w:val="24"/>
                <w:u w:val="single"/>
              </w:rPr>
              <w:t>售。</w:t>
            </w:r>
          </w:p>
          <w:p>
            <w:pPr>
              <w:adjustRightInd w:val="0"/>
              <w:snapToGrid w:val="0"/>
              <w:spacing w:line="360" w:lineRule="auto"/>
              <w:rPr>
                <w:rFonts w:ascii="黑体" w:hAnsi="黑体" w:eastAsia="黑体" w:cs="黑体"/>
                <w:bCs/>
                <w:sz w:val="24"/>
              </w:rPr>
            </w:pPr>
            <w:r>
              <w:rPr>
                <w:rFonts w:hint="eastAsia" w:ascii="黑体" w:hAnsi="黑体" w:eastAsia="黑体" w:cs="黑体"/>
                <w:bCs/>
                <w:sz w:val="24"/>
              </w:rPr>
              <w:t>3.</w:t>
            </w:r>
            <w:r>
              <w:rPr>
                <w:rFonts w:ascii="黑体" w:hAnsi="黑体" w:eastAsia="黑体" w:cs="黑体"/>
                <w:bCs/>
                <w:sz w:val="24"/>
              </w:rPr>
              <w:t>2</w:t>
            </w:r>
            <w:r>
              <w:rPr>
                <w:rFonts w:hint="eastAsia" w:ascii="黑体" w:hAnsi="黑体" w:eastAsia="黑体" w:cs="黑体"/>
                <w:bCs/>
                <w:sz w:val="24"/>
              </w:rPr>
              <w:t xml:space="preserve"> 产污环节及污染物治理措施</w:t>
            </w:r>
          </w:p>
          <w:p>
            <w:pPr>
              <w:pStyle w:val="8"/>
              <w:spacing w:line="360" w:lineRule="auto"/>
              <w:ind w:firstLine="482"/>
              <w:rPr>
                <w:rFonts w:ascii="Times New Roman" w:hAnsi="Times New Roman"/>
                <w:sz w:val="24"/>
              </w:rPr>
            </w:pPr>
            <w:r>
              <w:rPr>
                <w:rFonts w:ascii="Times New Roman" w:hAnsi="Times New Roman"/>
                <w:sz w:val="24"/>
              </w:rPr>
              <w:t>根据工艺流程分析，本项目主要产污工序、主要污染物及拟采取的污染防治措施见下表。</w:t>
            </w:r>
          </w:p>
          <w:p>
            <w:pPr>
              <w:pStyle w:val="2"/>
              <w:spacing w:line="440" w:lineRule="exact"/>
              <w:ind w:firstLine="480"/>
              <w:jc w:val="center"/>
              <w:rPr>
                <w:rFonts w:eastAsia="黑体"/>
                <w:sz w:val="24"/>
                <w:szCs w:val="24"/>
              </w:rPr>
            </w:pPr>
            <w:r>
              <w:rPr>
                <w:rFonts w:eastAsia="黑体"/>
                <w:sz w:val="24"/>
                <w:szCs w:val="24"/>
              </w:rPr>
              <w:t>表2-</w:t>
            </w:r>
            <w:r>
              <w:rPr>
                <w:rFonts w:hint="eastAsia" w:eastAsia="黑体"/>
                <w:sz w:val="24"/>
                <w:szCs w:val="24"/>
              </w:rPr>
              <w:t>5</w:t>
            </w:r>
            <w:r>
              <w:rPr>
                <w:rFonts w:eastAsia="黑体"/>
                <w:sz w:val="24"/>
                <w:szCs w:val="24"/>
              </w:rPr>
              <w:t xml:space="preserve">  产排污环节及治理措施一览表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85"/>
              <w:gridCol w:w="170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7"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污染</w:t>
                  </w:r>
                </w:p>
                <w:p>
                  <w:pPr>
                    <w:pStyle w:val="25"/>
                    <w:spacing w:before="24" w:after="24" w:line="360" w:lineRule="exact"/>
                    <w:rPr>
                      <w:rFonts w:ascii="Times New Roman"/>
                      <w:color w:val="000000"/>
                      <w:szCs w:val="21"/>
                    </w:rPr>
                  </w:pPr>
                  <w:r>
                    <w:rPr>
                      <w:rFonts w:ascii="Times New Roman"/>
                      <w:color w:val="000000"/>
                      <w:szCs w:val="21"/>
                    </w:rPr>
                    <w:t>类型</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产污工序</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主要污染物</w:t>
                  </w:r>
                </w:p>
              </w:tc>
              <w:tc>
                <w:tcPr>
                  <w:tcW w:w="2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拟采取的污染防治措施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7" w:type="dxa"/>
                  <w:vMerge w:val="restart"/>
                  <w:tcBorders>
                    <w:left w:val="single" w:color="auto" w:sz="4" w:space="0"/>
                    <w:right w:val="single" w:color="auto" w:sz="4" w:space="0"/>
                  </w:tcBorders>
                  <w:vAlign w:val="center"/>
                </w:tcPr>
                <w:p>
                  <w:pPr>
                    <w:widowControl/>
                    <w:spacing w:line="360" w:lineRule="exact"/>
                    <w:jc w:val="left"/>
                    <w:rPr>
                      <w:color w:val="000000"/>
                      <w:kern w:val="0"/>
                      <w:szCs w:val="21"/>
                    </w:rPr>
                  </w:pPr>
                  <w:r>
                    <w:rPr>
                      <w:rFonts w:hint="eastAsia"/>
                      <w:color w:val="000000"/>
                      <w:kern w:val="0"/>
                      <w:szCs w:val="21"/>
                    </w:rPr>
                    <w:t>废气</w:t>
                  </w:r>
                </w:p>
              </w:tc>
              <w:tc>
                <w:tcPr>
                  <w:tcW w:w="2685" w:type="dxa"/>
                  <w:tcBorders>
                    <w:top w:val="single" w:color="auto" w:sz="4" w:space="0"/>
                    <w:left w:val="single" w:color="auto" w:sz="4" w:space="0"/>
                    <w:right w:val="single" w:color="auto" w:sz="4" w:space="0"/>
                  </w:tcBorders>
                  <w:vAlign w:val="center"/>
                </w:tcPr>
                <w:p>
                  <w:pPr>
                    <w:widowControl/>
                    <w:spacing w:line="360" w:lineRule="exact"/>
                    <w:jc w:val="center"/>
                    <w:rPr>
                      <w:bCs/>
                      <w:color w:val="000000"/>
                      <w:kern w:val="0"/>
                      <w:szCs w:val="21"/>
                    </w:rPr>
                  </w:pPr>
                  <w:r>
                    <w:rPr>
                      <w:rFonts w:hint="eastAsia"/>
                      <w:bCs/>
                      <w:color w:val="000000"/>
                      <w:kern w:val="0"/>
                      <w:szCs w:val="21"/>
                    </w:rPr>
                    <w:t>基布</w:t>
                  </w:r>
                  <w:r>
                    <w:rPr>
                      <w:bCs/>
                      <w:color w:val="000000"/>
                      <w:kern w:val="0"/>
                      <w:szCs w:val="21"/>
                    </w:rPr>
                    <w:t>、涂膜布</w:t>
                  </w:r>
                  <w:r>
                    <w:rPr>
                      <w:rFonts w:hint="eastAsia"/>
                      <w:bCs/>
                      <w:color w:val="000000"/>
                      <w:kern w:val="0"/>
                      <w:szCs w:val="21"/>
                    </w:rPr>
                    <w:t>剪裁工序</w:t>
                  </w:r>
                </w:p>
              </w:tc>
              <w:tc>
                <w:tcPr>
                  <w:tcW w:w="1701" w:type="dxa"/>
                  <w:vMerge w:val="restart"/>
                  <w:tcBorders>
                    <w:top w:val="single" w:color="auto" w:sz="4" w:space="0"/>
                    <w:left w:val="single" w:color="auto" w:sz="4" w:space="0"/>
                    <w:right w:val="single" w:color="auto" w:sz="4" w:space="0"/>
                  </w:tcBorders>
                  <w:vAlign w:val="center"/>
                </w:tcPr>
                <w:p>
                  <w:pPr>
                    <w:jc w:val="center"/>
                    <w:rPr>
                      <w:bCs/>
                      <w:color w:val="000000"/>
                      <w:szCs w:val="21"/>
                    </w:rPr>
                  </w:pPr>
                  <w:r>
                    <w:rPr>
                      <w:bCs/>
                      <w:color w:val="000000"/>
                      <w:szCs w:val="21"/>
                    </w:rPr>
                    <w:t>非甲烷总烃</w:t>
                  </w:r>
                </w:p>
              </w:tc>
              <w:tc>
                <w:tcPr>
                  <w:tcW w:w="2902" w:type="dxa"/>
                  <w:vMerge w:val="restart"/>
                  <w:tcBorders>
                    <w:top w:val="single" w:color="auto" w:sz="4" w:space="0"/>
                    <w:left w:val="single" w:color="auto" w:sz="4" w:space="0"/>
                    <w:right w:val="single" w:color="auto" w:sz="4" w:space="0"/>
                  </w:tcBorders>
                  <w:vAlign w:val="center"/>
                </w:tcPr>
                <w:p>
                  <w:pPr>
                    <w:widowControl/>
                    <w:spacing w:line="360" w:lineRule="exact"/>
                    <w:jc w:val="left"/>
                    <w:rPr>
                      <w:bCs/>
                      <w:color w:val="000000"/>
                      <w:kern w:val="0"/>
                      <w:szCs w:val="21"/>
                    </w:rPr>
                  </w:pPr>
                  <w:r>
                    <w:rPr>
                      <w:rFonts w:hint="eastAsia"/>
                      <w:bCs/>
                      <w:color w:val="000000"/>
                      <w:szCs w:val="21"/>
                    </w:rPr>
                    <w:t>印刷机在车间内二次密闭，产生废气的工序设置</w:t>
                  </w:r>
                  <w:r>
                    <w:rPr>
                      <w:bCs/>
                      <w:color w:val="000000"/>
                      <w:szCs w:val="21"/>
                    </w:rPr>
                    <w:t>集气罩+1套</w:t>
                  </w:r>
                  <w:r>
                    <w:rPr>
                      <w:rFonts w:hint="eastAsia"/>
                      <w:bCs/>
                      <w:color w:val="000000"/>
                      <w:szCs w:val="21"/>
                    </w:rPr>
                    <w:t>UV光氧</w:t>
                  </w:r>
                  <w:r>
                    <w:rPr>
                      <w:bCs/>
                      <w:color w:val="000000"/>
                      <w:szCs w:val="21"/>
                    </w:rPr>
                    <w:t>+活性炭吸附装置（1套）+15m排气筒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647" w:type="dxa"/>
                  <w:vMerge w:val="continue"/>
                  <w:tcBorders>
                    <w:left w:val="single" w:color="auto" w:sz="4" w:space="0"/>
                    <w:right w:val="single" w:color="auto" w:sz="4" w:space="0"/>
                  </w:tcBorders>
                  <w:vAlign w:val="center"/>
                </w:tcPr>
                <w:p>
                  <w:pPr>
                    <w:widowControl/>
                    <w:spacing w:line="360" w:lineRule="exact"/>
                    <w:jc w:val="left"/>
                    <w:rPr>
                      <w:color w:val="000000"/>
                      <w:kern w:val="0"/>
                      <w:szCs w:val="21"/>
                    </w:rPr>
                  </w:pPr>
                </w:p>
              </w:tc>
              <w:tc>
                <w:tcPr>
                  <w:tcW w:w="2685" w:type="dxa"/>
                  <w:tcBorders>
                    <w:left w:val="single" w:color="auto" w:sz="4" w:space="0"/>
                    <w:right w:val="single" w:color="auto" w:sz="4" w:space="0"/>
                  </w:tcBorders>
                  <w:vAlign w:val="center"/>
                </w:tcPr>
                <w:p>
                  <w:pPr>
                    <w:pStyle w:val="74"/>
                    <w:rPr>
                      <w:sz w:val="21"/>
                      <w:szCs w:val="21"/>
                    </w:rPr>
                  </w:pPr>
                  <w:r>
                    <w:rPr>
                      <w:rFonts w:hint="eastAsia"/>
                      <w:bCs/>
                      <w:color w:val="000000"/>
                      <w:kern w:val="0"/>
                      <w:sz w:val="21"/>
                      <w:szCs w:val="21"/>
                    </w:rPr>
                    <w:t>调墨、印刷</w:t>
                  </w:r>
                </w:p>
              </w:tc>
              <w:tc>
                <w:tcPr>
                  <w:tcW w:w="1701" w:type="dxa"/>
                  <w:vMerge w:val="continue"/>
                  <w:tcBorders>
                    <w:left w:val="single" w:color="auto" w:sz="4" w:space="0"/>
                    <w:right w:val="single" w:color="auto" w:sz="4" w:space="0"/>
                  </w:tcBorders>
                  <w:vAlign w:val="center"/>
                </w:tcPr>
                <w:p>
                  <w:pPr>
                    <w:rPr>
                      <w:bCs/>
                      <w:color w:val="000000"/>
                      <w:szCs w:val="21"/>
                    </w:rPr>
                  </w:pPr>
                </w:p>
              </w:tc>
              <w:tc>
                <w:tcPr>
                  <w:tcW w:w="2902" w:type="dxa"/>
                  <w:vMerge w:val="continue"/>
                  <w:tcBorders>
                    <w:left w:val="single" w:color="auto" w:sz="4" w:space="0"/>
                    <w:right w:val="single" w:color="auto" w:sz="4" w:space="0"/>
                  </w:tcBorders>
                  <w:vAlign w:val="center"/>
                </w:tcPr>
                <w:p>
                  <w:pPr>
                    <w:widowControl/>
                    <w:spacing w:line="36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Cs w:val="21"/>
                    </w:rPr>
                  </w:pPr>
                  <w:r>
                    <w:rPr>
                      <w:bCs/>
                      <w:color w:val="000000"/>
                      <w:szCs w:val="21"/>
                    </w:rPr>
                    <w:t>废水</w:t>
                  </w:r>
                </w:p>
              </w:tc>
              <w:tc>
                <w:tcPr>
                  <w:tcW w:w="2685"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bCs/>
                      <w:color w:val="000000"/>
                      <w:szCs w:val="21"/>
                    </w:rPr>
                  </w:pPr>
                  <w:r>
                    <w:rPr>
                      <w:rFonts w:ascii="Times New Roman"/>
                      <w:bCs/>
                      <w:color w:val="000000"/>
                      <w:szCs w:val="21"/>
                    </w:rPr>
                    <w:t>生活污水</w:t>
                  </w:r>
                </w:p>
              </w:tc>
              <w:tc>
                <w:tcPr>
                  <w:tcW w:w="1701"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bCs/>
                      <w:color w:val="000000"/>
                      <w:szCs w:val="21"/>
                    </w:rPr>
                  </w:pPr>
                  <w:r>
                    <w:rPr>
                      <w:rFonts w:ascii="Times New Roman"/>
                      <w:bCs/>
                      <w:color w:val="000000"/>
                      <w:szCs w:val="21"/>
                    </w:rPr>
                    <w:t>COD、SS、氨氮</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FF0000"/>
                      <w:szCs w:val="21"/>
                    </w:rPr>
                  </w:pPr>
                  <w:r>
                    <w:rPr>
                      <w:rFonts w:hint="eastAsia"/>
                    </w:rPr>
                    <w:t>1个10m</w:t>
                  </w:r>
                  <w:r>
                    <w:rPr>
                      <w:rFonts w:hint="eastAsia"/>
                      <w:vertAlign w:val="superscript"/>
                    </w:rPr>
                    <w:t>3</w:t>
                  </w:r>
                  <w:r>
                    <w:rPr>
                      <w:rFonts w:hint="eastAsia"/>
                    </w:rPr>
                    <w:t>化粪池（依托现有）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7"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噪声</w:t>
                  </w:r>
                </w:p>
              </w:tc>
              <w:tc>
                <w:tcPr>
                  <w:tcW w:w="2685"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产生噪声设备</w:t>
                  </w:r>
                </w:p>
              </w:tc>
              <w:tc>
                <w:tcPr>
                  <w:tcW w:w="1701"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等效连续声级</w:t>
                  </w:r>
                </w:p>
              </w:tc>
              <w:tc>
                <w:tcPr>
                  <w:tcW w:w="2902"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设置基础减震、厂房隔声等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Merge w:val="restart"/>
                  <w:tcBorders>
                    <w:left w:val="single" w:color="auto" w:sz="4" w:space="0"/>
                    <w:right w:val="single" w:color="auto" w:sz="4" w:space="0"/>
                  </w:tcBorders>
                  <w:vAlign w:val="center"/>
                </w:tcPr>
                <w:p>
                  <w:pPr>
                    <w:widowControl/>
                    <w:spacing w:line="360" w:lineRule="exact"/>
                    <w:jc w:val="left"/>
                    <w:rPr>
                      <w:bCs/>
                      <w:color w:val="000000"/>
                      <w:kern w:val="0"/>
                      <w:szCs w:val="21"/>
                    </w:rPr>
                  </w:pPr>
                  <w:r>
                    <w:rPr>
                      <w:rFonts w:hint="eastAsia"/>
                      <w:bCs/>
                      <w:color w:val="000000"/>
                      <w:kern w:val="0"/>
                      <w:szCs w:val="21"/>
                    </w:rPr>
                    <w:t>一般固废</w:t>
                  </w:r>
                </w:p>
              </w:tc>
              <w:tc>
                <w:tcPr>
                  <w:tcW w:w="2685"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bCs/>
                      <w:color w:val="000000"/>
                      <w:szCs w:val="21"/>
                    </w:rPr>
                  </w:pPr>
                  <w:r>
                    <w:rPr>
                      <w:rFonts w:hint="eastAsia" w:ascii="Times New Roman"/>
                      <w:bCs/>
                      <w:color w:val="000000"/>
                      <w:szCs w:val="21"/>
                    </w:rPr>
                    <w:t>剪裁</w:t>
                  </w:r>
                </w:p>
              </w:tc>
              <w:tc>
                <w:tcPr>
                  <w:tcW w:w="1701"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hint="eastAsia" w:ascii="Times New Roman"/>
                      <w:color w:val="000000"/>
                      <w:szCs w:val="21"/>
                    </w:rPr>
                    <w:t>废边角料</w:t>
                  </w:r>
                </w:p>
              </w:tc>
              <w:tc>
                <w:tcPr>
                  <w:tcW w:w="2902"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hint="eastAsia" w:ascii="Times New Roman"/>
                      <w:color w:val="000000"/>
                      <w:szCs w:val="21"/>
                    </w:rPr>
                    <w:t>一般固废暂存区</w:t>
                  </w:r>
                  <w:r>
                    <w:rPr>
                      <w:rFonts w:ascii="Times New Roman"/>
                      <w:color w:val="000000"/>
                      <w:szCs w:val="21"/>
                    </w:rPr>
                    <w:t>暂存后定期外售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7" w:type="dxa"/>
                  <w:vMerge w:val="continue"/>
                  <w:tcBorders>
                    <w:left w:val="single" w:color="auto" w:sz="4" w:space="0"/>
                    <w:right w:val="single" w:color="auto" w:sz="4" w:space="0"/>
                  </w:tcBorders>
                  <w:vAlign w:val="center"/>
                </w:tcPr>
                <w:p>
                  <w:pPr>
                    <w:widowControl/>
                    <w:spacing w:line="360" w:lineRule="exact"/>
                    <w:jc w:val="left"/>
                    <w:rPr>
                      <w:bCs/>
                      <w:color w:val="000000"/>
                      <w:kern w:val="0"/>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职工日常</w:t>
                  </w:r>
                </w:p>
              </w:tc>
              <w:tc>
                <w:tcPr>
                  <w:tcW w:w="1701"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生活垃圾</w:t>
                  </w:r>
                </w:p>
              </w:tc>
              <w:tc>
                <w:tcPr>
                  <w:tcW w:w="2902"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color w:val="000000"/>
                      <w:szCs w:val="21"/>
                    </w:rPr>
                  </w:pPr>
                  <w:r>
                    <w:rPr>
                      <w:rFonts w:ascii="Times New Roman"/>
                      <w:color w:val="000000"/>
                      <w:szCs w:val="21"/>
                    </w:rPr>
                    <w:t>收集后交由环卫部门定期填埋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vMerge w:val="restart"/>
                  <w:tcBorders>
                    <w:left w:val="single" w:color="auto" w:sz="4" w:space="0"/>
                    <w:right w:val="single" w:color="auto" w:sz="4" w:space="0"/>
                  </w:tcBorders>
                  <w:vAlign w:val="center"/>
                </w:tcPr>
                <w:p>
                  <w:pPr>
                    <w:spacing w:line="360" w:lineRule="exact"/>
                    <w:jc w:val="left"/>
                    <w:rPr>
                      <w:color w:val="000000"/>
                      <w:szCs w:val="21"/>
                    </w:rPr>
                  </w:pPr>
                  <w:r>
                    <w:rPr>
                      <w:color w:val="000000"/>
                      <w:szCs w:val="21"/>
                    </w:rPr>
                    <w:t>危险废物</w:t>
                  </w:r>
                </w:p>
              </w:tc>
              <w:tc>
                <w:tcPr>
                  <w:tcW w:w="2685" w:type="dxa"/>
                  <w:vMerge w:val="restart"/>
                  <w:tcBorders>
                    <w:top w:val="single" w:color="auto" w:sz="4" w:space="0"/>
                    <w:left w:val="single" w:color="auto" w:sz="4" w:space="0"/>
                    <w:right w:val="single" w:color="auto" w:sz="4" w:space="0"/>
                  </w:tcBorders>
                  <w:vAlign w:val="center"/>
                </w:tcPr>
                <w:p>
                  <w:pPr>
                    <w:pStyle w:val="25"/>
                    <w:spacing w:before="24" w:after="24" w:line="360" w:lineRule="exact"/>
                    <w:rPr>
                      <w:rFonts w:ascii="Times New Roman"/>
                      <w:szCs w:val="21"/>
                    </w:rPr>
                  </w:pPr>
                  <w:r>
                    <w:rPr>
                      <w:rFonts w:ascii="Times New Roman"/>
                      <w:szCs w:val="21"/>
                    </w:rPr>
                    <w:t>环保设备维护</w:t>
                  </w:r>
                </w:p>
              </w:tc>
              <w:tc>
                <w:tcPr>
                  <w:tcW w:w="1701" w:type="dxa"/>
                  <w:tcBorders>
                    <w:top w:val="single" w:color="auto" w:sz="4" w:space="0"/>
                    <w:left w:val="single" w:color="auto" w:sz="4" w:space="0"/>
                    <w:bottom w:val="single" w:color="auto" w:sz="4" w:space="0"/>
                    <w:right w:val="single" w:color="auto" w:sz="4" w:space="0"/>
                  </w:tcBorders>
                  <w:vAlign w:val="center"/>
                </w:tcPr>
                <w:p>
                  <w:pPr>
                    <w:pStyle w:val="25"/>
                    <w:spacing w:before="24" w:after="24" w:line="360" w:lineRule="exact"/>
                    <w:rPr>
                      <w:rFonts w:ascii="Times New Roman"/>
                      <w:szCs w:val="21"/>
                    </w:rPr>
                  </w:pPr>
                  <w:r>
                    <w:rPr>
                      <w:rFonts w:ascii="Times New Roman"/>
                      <w:szCs w:val="21"/>
                    </w:rPr>
                    <w:t>废活性炭</w:t>
                  </w:r>
                </w:p>
              </w:tc>
              <w:tc>
                <w:tcPr>
                  <w:tcW w:w="2902" w:type="dxa"/>
                  <w:vMerge w:val="restart"/>
                  <w:tcBorders>
                    <w:top w:val="single" w:color="auto" w:sz="4" w:space="0"/>
                    <w:left w:val="single" w:color="auto" w:sz="4" w:space="0"/>
                    <w:right w:val="single" w:color="auto" w:sz="4" w:space="0"/>
                  </w:tcBorders>
                  <w:vAlign w:val="center"/>
                </w:tcPr>
                <w:p>
                  <w:pPr>
                    <w:widowControl/>
                    <w:spacing w:line="360" w:lineRule="exact"/>
                    <w:jc w:val="left"/>
                    <w:rPr>
                      <w:color w:val="000000"/>
                      <w:kern w:val="0"/>
                      <w:szCs w:val="21"/>
                    </w:rPr>
                  </w:pPr>
                  <w:r>
                    <w:rPr>
                      <w:color w:val="000000"/>
                      <w:szCs w:val="21"/>
                    </w:rPr>
                    <w:t>经收集后放至厂区危废暂存间</w:t>
                  </w:r>
                  <w:r>
                    <w:rPr>
                      <w:szCs w:val="21"/>
                    </w:rPr>
                    <w:t>（1</w:t>
                  </w:r>
                  <w:r>
                    <w:rPr>
                      <w:rFonts w:hint="eastAsia"/>
                      <w:szCs w:val="21"/>
                    </w:rPr>
                    <w:t>0</w:t>
                  </w:r>
                  <w:r>
                    <w:rPr>
                      <w:szCs w:val="21"/>
                    </w:rPr>
                    <w:t>m</w:t>
                  </w:r>
                  <w:r>
                    <w:rPr>
                      <w:szCs w:val="21"/>
                      <w:vertAlign w:val="superscript"/>
                    </w:rPr>
                    <w:t>2</w:t>
                  </w:r>
                  <w:r>
                    <w:rPr>
                      <w:szCs w:val="21"/>
                    </w:rPr>
                    <w:t>）</w:t>
                  </w:r>
                  <w:r>
                    <w:rPr>
                      <w:color w:val="000000"/>
                      <w:szCs w:val="21"/>
                    </w:rPr>
                    <w:t>，定期交由有资质的单位处理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647" w:type="dxa"/>
                  <w:vMerge w:val="continue"/>
                  <w:tcBorders>
                    <w:left w:val="single" w:color="auto" w:sz="4" w:space="0"/>
                    <w:right w:val="single" w:color="auto" w:sz="4" w:space="0"/>
                  </w:tcBorders>
                  <w:vAlign w:val="center"/>
                </w:tcPr>
                <w:p>
                  <w:pPr>
                    <w:widowControl/>
                    <w:spacing w:line="360" w:lineRule="exact"/>
                    <w:jc w:val="left"/>
                    <w:rPr>
                      <w:color w:val="000000"/>
                      <w:szCs w:val="21"/>
                    </w:rPr>
                  </w:pPr>
                </w:p>
              </w:tc>
              <w:tc>
                <w:tcPr>
                  <w:tcW w:w="2685" w:type="dxa"/>
                  <w:vMerge w:val="continue"/>
                  <w:tcBorders>
                    <w:left w:val="single" w:color="auto" w:sz="4" w:space="0"/>
                    <w:right w:val="single" w:color="auto" w:sz="4" w:space="0"/>
                  </w:tcBorders>
                  <w:vAlign w:val="center"/>
                </w:tcPr>
                <w:p>
                  <w:pPr>
                    <w:pStyle w:val="25"/>
                    <w:spacing w:before="24" w:after="24" w:line="360" w:lineRule="exact"/>
                    <w:rPr>
                      <w:rFonts w:ascii="Times New Roman"/>
                      <w:szCs w:val="21"/>
                    </w:rPr>
                  </w:pPr>
                </w:p>
              </w:tc>
              <w:tc>
                <w:tcPr>
                  <w:tcW w:w="1701" w:type="dxa"/>
                  <w:tcBorders>
                    <w:left w:val="single" w:color="auto" w:sz="4" w:space="0"/>
                    <w:right w:val="single" w:color="auto" w:sz="4" w:space="0"/>
                  </w:tcBorders>
                  <w:vAlign w:val="center"/>
                </w:tcPr>
                <w:p>
                  <w:pPr>
                    <w:pStyle w:val="25"/>
                    <w:spacing w:before="24" w:after="24" w:line="360" w:lineRule="exact"/>
                    <w:rPr>
                      <w:rFonts w:ascii="Times New Roman"/>
                      <w:szCs w:val="21"/>
                    </w:rPr>
                  </w:pPr>
                  <w:r>
                    <w:rPr>
                      <w:rFonts w:hint="eastAsia" w:ascii="Times New Roman"/>
                      <w:szCs w:val="21"/>
                    </w:rPr>
                    <w:t>废UV灯管</w:t>
                  </w:r>
                </w:p>
              </w:tc>
              <w:tc>
                <w:tcPr>
                  <w:tcW w:w="2902" w:type="dxa"/>
                  <w:vMerge w:val="continue"/>
                  <w:tcBorders>
                    <w:left w:val="single" w:color="auto" w:sz="4" w:space="0"/>
                    <w:bottom w:val="single" w:color="auto" w:sz="4" w:space="0"/>
                    <w:right w:val="single" w:color="auto" w:sz="4" w:space="0"/>
                  </w:tcBorders>
                  <w:vAlign w:val="center"/>
                </w:tcPr>
                <w:p>
                  <w:pPr>
                    <w:widowControl/>
                    <w:spacing w:line="360" w:lineRule="exact"/>
                    <w:jc w:val="left"/>
                    <w:rPr>
                      <w:color w:val="000000"/>
                      <w:kern w:val="0"/>
                      <w:szCs w:val="21"/>
                    </w:rPr>
                  </w:pPr>
                </w:p>
              </w:tc>
            </w:tr>
          </w:tbl>
          <w:p>
            <w:pPr>
              <w:pStyle w:val="9"/>
              <w:numPr>
                <w:ilvl w:val="0"/>
                <w:numId w:val="0"/>
              </w:numPr>
              <w:spacing w:line="44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49" w:hRule="atLeast"/>
          <w:jc w:val="center"/>
        </w:trPr>
        <w:tc>
          <w:tcPr>
            <w:tcW w:w="774" w:type="dxa"/>
            <w:vAlign w:val="center"/>
          </w:tcPr>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与</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项</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目</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有</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关</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的</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原</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有</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环</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境</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污</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染</w:t>
            </w:r>
          </w:p>
          <w:p>
            <w:pPr>
              <w:pStyle w:val="15"/>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问</w:t>
            </w:r>
          </w:p>
          <w:p>
            <w:pPr>
              <w:pStyle w:val="15"/>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题</w:t>
            </w:r>
          </w:p>
        </w:tc>
        <w:tc>
          <w:tcPr>
            <w:tcW w:w="8286" w:type="dxa"/>
          </w:tcPr>
          <w:p>
            <w:pPr>
              <w:tabs>
                <w:tab w:val="left" w:pos="2580"/>
              </w:tabs>
              <w:snapToGrid w:val="0"/>
              <w:spacing w:line="360" w:lineRule="auto"/>
              <w:ind w:firstLine="480" w:firstLineChars="200"/>
              <w:rPr>
                <w:rFonts w:ascii="宋体" w:hAnsi="宋体" w:cs="宋体"/>
                <w:sz w:val="24"/>
              </w:rPr>
            </w:pPr>
            <w:r>
              <w:rPr>
                <w:rFonts w:hint="eastAsia" w:ascii="宋体" w:hAnsi="宋体" w:cs="宋体"/>
                <w:sz w:val="24"/>
              </w:rPr>
              <w:t>偃师丰河包装材料有限公司在现租用的偃师市岳滩镇东盛摩托车配件厂的闲置厂房进行改建，厂区除本项目外已入驻有</w:t>
            </w:r>
            <w:r>
              <w:rPr>
                <w:sz w:val="24"/>
              </w:rPr>
              <w:t>偃师市耀洋摩托车配件厂</w:t>
            </w:r>
            <w:r>
              <w:rPr>
                <w:rFonts w:hint="eastAsia"/>
                <w:sz w:val="24"/>
              </w:rPr>
              <w:t>，该企业位于本项西侧，偃师区生态环境局于2021年6月</w:t>
            </w:r>
            <w:r>
              <w:rPr>
                <w:rFonts w:hint="eastAsia" w:ascii="宋体" w:hAnsi="宋体" w:cs="宋体"/>
                <w:sz w:val="24"/>
              </w:rPr>
              <w:t>17日公示了《对偃师市耀洋摩托车配件厂年加工电动车窗用玻璃及差速器壳项目环境影响报告表的批复》偃环监表</w:t>
            </w:r>
            <w:r>
              <w:rPr>
                <w:sz w:val="24"/>
              </w:rPr>
              <w:t>[2021]73</w:t>
            </w:r>
            <w:r>
              <w:rPr>
                <w:rFonts w:hint="eastAsia" w:ascii="宋体" w:hAnsi="宋体" w:cs="宋体"/>
                <w:sz w:val="24"/>
              </w:rPr>
              <w:t>号。</w:t>
            </w:r>
          </w:p>
          <w:p>
            <w:pPr>
              <w:spacing w:line="360" w:lineRule="auto"/>
              <w:rPr>
                <w:rFonts w:ascii="宋体" w:hAnsi="宋体" w:cs="宋体"/>
                <w:sz w:val="24"/>
              </w:rPr>
            </w:pPr>
            <w:r>
              <w:rPr>
                <w:rFonts w:hint="eastAsia" w:ascii="黑体" w:hAnsi="黑体" w:eastAsia="黑体" w:cs="黑体"/>
                <w:bCs/>
                <w:sz w:val="24"/>
              </w:rPr>
              <w:t>1.项目现有工程概况：</w:t>
            </w:r>
          </w:p>
          <w:p>
            <w:pPr>
              <w:tabs>
                <w:tab w:val="left" w:pos="2580"/>
              </w:tabs>
              <w:snapToGrid w:val="0"/>
              <w:spacing w:line="360" w:lineRule="auto"/>
              <w:ind w:firstLine="480" w:firstLineChars="200"/>
              <w:rPr>
                <w:sz w:val="24"/>
              </w:rPr>
            </w:pPr>
            <w:r>
              <w:rPr>
                <w:rFonts w:hint="eastAsia" w:ascii="宋体" w:hAnsi="宋体" w:cs="宋体"/>
                <w:sz w:val="24"/>
              </w:rPr>
              <w:t>本项目车间现仅用于集装袋的存放，</w:t>
            </w:r>
            <w:r>
              <w:rPr>
                <w:rFonts w:hint="eastAsia"/>
                <w:sz w:val="24"/>
              </w:rPr>
              <w:t>该工程不在《建设项目环境影响评价分类管理名录》（2021年版）内，根据分类管理名录第五条规定“本名录未作规定的建设项目，不纳入建设项目环境影响评价管理”，因此，现有工程无需进行环境影响评价。</w:t>
            </w:r>
          </w:p>
          <w:p>
            <w:pPr>
              <w:spacing w:line="360" w:lineRule="auto"/>
              <w:ind w:firstLine="480" w:firstLineChars="200"/>
              <w:rPr>
                <w:sz w:val="24"/>
              </w:rPr>
            </w:pPr>
            <w:r>
              <w:rPr>
                <w:rFonts w:hint="eastAsia"/>
                <w:sz w:val="24"/>
              </w:rPr>
              <w:t>（1）废水</w:t>
            </w:r>
          </w:p>
          <w:p>
            <w:pPr>
              <w:spacing w:line="360" w:lineRule="auto"/>
              <w:ind w:firstLine="486"/>
              <w:rPr>
                <w:kern w:val="0"/>
                <w:sz w:val="24"/>
              </w:rPr>
            </w:pPr>
            <w:r>
              <w:rPr>
                <w:rFonts w:hint="eastAsia"/>
                <w:sz w:val="24"/>
              </w:rPr>
              <w:t>现有职工2人，均不在厂区食宿，产生的生活污水量为</w:t>
            </w:r>
            <w:r>
              <w:rPr>
                <w:rFonts w:hint="eastAsia"/>
                <w:kern w:val="0"/>
                <w:sz w:val="24"/>
              </w:rPr>
              <w:t>19.2</w:t>
            </w:r>
            <w:r>
              <w:rPr>
                <w:kern w:val="0"/>
                <w:sz w:val="24"/>
              </w:rPr>
              <w:t>m</w:t>
            </w:r>
            <w:r>
              <w:rPr>
                <w:kern w:val="0"/>
                <w:sz w:val="24"/>
                <w:vertAlign w:val="superscript"/>
              </w:rPr>
              <w:t>3</w:t>
            </w:r>
            <w:r>
              <w:rPr>
                <w:kern w:val="0"/>
                <w:sz w:val="24"/>
              </w:rPr>
              <w:t>/</w:t>
            </w:r>
            <w:r>
              <w:rPr>
                <w:rFonts w:hint="eastAsia"/>
                <w:kern w:val="0"/>
                <w:sz w:val="24"/>
              </w:rPr>
              <w:t>a，经厂区化粪池降解处理后定期清掏至周围农田施肥。则</w:t>
            </w:r>
            <w:r>
              <w:rPr>
                <w:sz w:val="24"/>
              </w:rPr>
              <w:t>污染物排放</w:t>
            </w:r>
            <w:r>
              <w:rPr>
                <w:kern w:val="0"/>
                <w:sz w:val="24"/>
              </w:rPr>
              <w:t>量为COD0.0</w:t>
            </w:r>
            <w:r>
              <w:rPr>
                <w:rFonts w:hint="eastAsia"/>
                <w:kern w:val="0"/>
                <w:sz w:val="24"/>
              </w:rPr>
              <w:t>054</w:t>
            </w:r>
            <w:r>
              <w:rPr>
                <w:kern w:val="0"/>
                <w:sz w:val="24"/>
              </w:rPr>
              <w:t>t/a、SS0.00</w:t>
            </w:r>
            <w:r>
              <w:rPr>
                <w:rFonts w:hint="eastAsia"/>
                <w:kern w:val="0"/>
                <w:sz w:val="24"/>
              </w:rPr>
              <w:t>12</w:t>
            </w:r>
            <w:r>
              <w:rPr>
                <w:kern w:val="0"/>
                <w:sz w:val="24"/>
              </w:rPr>
              <w:t>t/a、氨氮0.00</w:t>
            </w:r>
            <w:r>
              <w:rPr>
                <w:rFonts w:hint="eastAsia"/>
                <w:kern w:val="0"/>
                <w:sz w:val="24"/>
              </w:rPr>
              <w:t>059</w:t>
            </w:r>
            <w:r>
              <w:rPr>
                <w:kern w:val="0"/>
                <w:sz w:val="24"/>
              </w:rPr>
              <w:t>t/a。</w:t>
            </w:r>
          </w:p>
          <w:p>
            <w:pPr>
              <w:spacing w:line="360" w:lineRule="auto"/>
              <w:ind w:firstLine="486"/>
              <w:rPr>
                <w:sz w:val="24"/>
              </w:rPr>
            </w:pPr>
            <w:r>
              <w:rPr>
                <w:rFonts w:hint="eastAsia"/>
                <w:sz w:val="24"/>
              </w:rPr>
              <w:t>（2）生活垃圾</w:t>
            </w:r>
          </w:p>
          <w:p>
            <w:pPr>
              <w:spacing w:line="360" w:lineRule="auto"/>
              <w:ind w:firstLine="486"/>
              <w:rPr>
                <w:sz w:val="24"/>
              </w:rPr>
            </w:pPr>
            <w:r>
              <w:rPr>
                <w:rFonts w:hint="eastAsia"/>
                <w:sz w:val="24"/>
              </w:rPr>
              <w:t>现有职工2人，产生的生活垃圾量为0.3t/a，集中收集后定期交由当地环卫部门统一处理。</w:t>
            </w:r>
          </w:p>
          <w:p>
            <w:pPr>
              <w:spacing w:line="360" w:lineRule="auto"/>
              <w:ind w:firstLine="486"/>
              <w:rPr>
                <w:sz w:val="24"/>
              </w:rPr>
            </w:pPr>
            <w:r>
              <w:rPr>
                <w:rFonts w:hint="eastAsia"/>
                <w:sz w:val="24"/>
              </w:rPr>
              <w:t>现有工程运营期主要污染物排放情况见下表。</w:t>
            </w:r>
          </w:p>
          <w:p>
            <w:pPr>
              <w:pStyle w:val="3"/>
              <w:spacing w:before="0" w:after="0" w:line="440" w:lineRule="exact"/>
              <w:jc w:val="center"/>
              <w:rPr>
                <w:b w:val="0"/>
                <w:color w:val="auto"/>
                <w:sz w:val="24"/>
                <w:szCs w:val="24"/>
              </w:rPr>
            </w:pPr>
            <w:r>
              <w:rPr>
                <w:b w:val="0"/>
                <w:color w:val="auto"/>
                <w:sz w:val="24"/>
                <w:szCs w:val="24"/>
              </w:rPr>
              <w:t>表2-</w:t>
            </w:r>
            <w:r>
              <w:rPr>
                <w:rFonts w:hint="eastAsia"/>
                <w:b w:val="0"/>
                <w:color w:val="auto"/>
                <w:sz w:val="24"/>
                <w:szCs w:val="24"/>
              </w:rPr>
              <w:t>6</w:t>
            </w:r>
            <w:r>
              <w:rPr>
                <w:b w:val="0"/>
                <w:color w:val="auto"/>
                <w:sz w:val="24"/>
                <w:szCs w:val="24"/>
              </w:rPr>
              <w:t xml:space="preserve">        </w:t>
            </w:r>
            <w:r>
              <w:rPr>
                <w:rFonts w:hint="eastAsia"/>
                <w:b w:val="0"/>
                <w:color w:val="auto"/>
                <w:sz w:val="24"/>
                <w:szCs w:val="24"/>
              </w:rPr>
              <w:t>现有工程运营期</w:t>
            </w:r>
            <w:r>
              <w:rPr>
                <w:b w:val="0"/>
                <w:color w:val="auto"/>
                <w:sz w:val="24"/>
                <w:szCs w:val="24"/>
              </w:rPr>
              <w:t>污染物排放情况一览表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68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1666" w:type="pct"/>
                  <w:vAlign w:val="center"/>
                </w:tcPr>
                <w:p>
                  <w:pPr>
                    <w:spacing w:line="360" w:lineRule="exact"/>
                    <w:jc w:val="center"/>
                  </w:pPr>
                  <w:r>
                    <w:rPr>
                      <w:rFonts w:hint="eastAsia"/>
                    </w:rPr>
                    <w:t>项目</w:t>
                  </w:r>
                </w:p>
              </w:tc>
              <w:tc>
                <w:tcPr>
                  <w:tcW w:w="1666" w:type="pct"/>
                  <w:vAlign w:val="center"/>
                </w:tcPr>
                <w:p>
                  <w:pPr>
                    <w:spacing w:line="360" w:lineRule="exact"/>
                    <w:jc w:val="center"/>
                  </w:pPr>
                  <w:r>
                    <w:rPr>
                      <w:rFonts w:hint="eastAsia"/>
                    </w:rPr>
                    <w:t>污染物</w:t>
                  </w:r>
                </w:p>
              </w:tc>
              <w:tc>
                <w:tcPr>
                  <w:tcW w:w="1666" w:type="pct"/>
                  <w:vAlign w:val="center"/>
                </w:tcPr>
                <w:p>
                  <w:pPr>
                    <w:spacing w:line="360" w:lineRule="exact"/>
                    <w:jc w:val="center"/>
                  </w:pPr>
                  <w:r>
                    <w:rPr>
                      <w:rFonts w:hint="eastAsia"/>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restart"/>
                  <w:vAlign w:val="center"/>
                </w:tcPr>
                <w:p>
                  <w:pPr>
                    <w:spacing w:line="360" w:lineRule="exact"/>
                    <w:jc w:val="center"/>
                  </w:pPr>
                  <w:r>
                    <w:rPr>
                      <w:rFonts w:hint="eastAsia"/>
                    </w:rPr>
                    <w:t>废水</w:t>
                  </w:r>
                </w:p>
              </w:tc>
              <w:tc>
                <w:tcPr>
                  <w:tcW w:w="1666" w:type="pct"/>
                  <w:vAlign w:val="center"/>
                </w:tcPr>
                <w:p>
                  <w:pPr>
                    <w:spacing w:line="360" w:lineRule="exact"/>
                    <w:jc w:val="center"/>
                  </w:pPr>
                  <w:r>
                    <w:rPr>
                      <w:rFonts w:hint="eastAsia"/>
                    </w:rPr>
                    <w:t>废水量</w:t>
                  </w:r>
                </w:p>
              </w:tc>
              <w:tc>
                <w:tcPr>
                  <w:tcW w:w="1666" w:type="pct"/>
                  <w:vAlign w:val="center"/>
                </w:tcPr>
                <w:p>
                  <w:pPr>
                    <w:spacing w:line="360" w:lineRule="exact"/>
                    <w:jc w:val="center"/>
                  </w:pPr>
                  <w:r>
                    <w:rPr>
                      <w:rFonts w:hint="eastAsia"/>
                    </w:rPr>
                    <w:t>19.2t/a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continue"/>
                  <w:vAlign w:val="center"/>
                </w:tcPr>
                <w:p>
                  <w:pPr>
                    <w:spacing w:line="360" w:lineRule="exact"/>
                    <w:jc w:val="center"/>
                  </w:pPr>
                </w:p>
              </w:tc>
              <w:tc>
                <w:tcPr>
                  <w:tcW w:w="1666" w:type="pct"/>
                  <w:vAlign w:val="center"/>
                </w:tcPr>
                <w:p>
                  <w:pPr>
                    <w:spacing w:line="360" w:lineRule="exact"/>
                    <w:jc w:val="center"/>
                  </w:pPr>
                  <w:r>
                    <w:rPr>
                      <w:rFonts w:hint="eastAsia"/>
                    </w:rPr>
                    <w:t>COD</w:t>
                  </w:r>
                </w:p>
              </w:tc>
              <w:tc>
                <w:tcPr>
                  <w:tcW w:w="1666" w:type="pct"/>
                  <w:vAlign w:val="center"/>
                </w:tcPr>
                <w:p>
                  <w:pPr>
                    <w:spacing w:line="360" w:lineRule="exact"/>
                    <w:jc w:val="center"/>
                  </w:pPr>
                  <w:r>
                    <w:rPr>
                      <w:rFonts w:hint="eastAsia"/>
                    </w:rPr>
                    <w:t>0.0054t/a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continue"/>
                  <w:vAlign w:val="center"/>
                </w:tcPr>
                <w:p>
                  <w:pPr>
                    <w:spacing w:line="360" w:lineRule="exact"/>
                    <w:jc w:val="center"/>
                  </w:pPr>
                </w:p>
              </w:tc>
              <w:tc>
                <w:tcPr>
                  <w:tcW w:w="1666" w:type="pct"/>
                  <w:vAlign w:val="center"/>
                </w:tcPr>
                <w:p>
                  <w:pPr>
                    <w:spacing w:line="360" w:lineRule="exact"/>
                    <w:jc w:val="center"/>
                  </w:pPr>
                  <w:r>
                    <w:rPr>
                      <w:kern w:val="0"/>
                      <w:sz w:val="24"/>
                    </w:rPr>
                    <w:t>SS</w:t>
                  </w:r>
                </w:p>
              </w:tc>
              <w:tc>
                <w:tcPr>
                  <w:tcW w:w="1666" w:type="pct"/>
                  <w:vAlign w:val="center"/>
                </w:tcPr>
                <w:p>
                  <w:pPr>
                    <w:spacing w:line="360" w:lineRule="exact"/>
                    <w:jc w:val="center"/>
                  </w:pPr>
                  <w:r>
                    <w:rPr>
                      <w:rFonts w:hint="eastAsia"/>
                    </w:rPr>
                    <w:t>0.0012t/a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continue"/>
                  <w:vAlign w:val="center"/>
                </w:tcPr>
                <w:p>
                  <w:pPr>
                    <w:spacing w:line="360" w:lineRule="exact"/>
                    <w:jc w:val="center"/>
                  </w:pPr>
                </w:p>
              </w:tc>
              <w:tc>
                <w:tcPr>
                  <w:tcW w:w="1666" w:type="pct"/>
                  <w:vAlign w:val="center"/>
                </w:tcPr>
                <w:p>
                  <w:pPr>
                    <w:spacing w:line="360" w:lineRule="exact"/>
                    <w:jc w:val="center"/>
                  </w:pPr>
                  <w:r>
                    <w:rPr>
                      <w:rFonts w:hint="eastAsia"/>
                    </w:rPr>
                    <w:t>氨氮</w:t>
                  </w:r>
                </w:p>
              </w:tc>
              <w:tc>
                <w:tcPr>
                  <w:tcW w:w="1666" w:type="pct"/>
                  <w:vAlign w:val="center"/>
                </w:tcPr>
                <w:p>
                  <w:pPr>
                    <w:spacing w:line="360" w:lineRule="exact"/>
                    <w:jc w:val="center"/>
                  </w:pPr>
                  <w:r>
                    <w:rPr>
                      <w:rFonts w:hint="eastAsia"/>
                    </w:rPr>
                    <w:t>0.00059t/a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Align w:val="center"/>
                </w:tcPr>
                <w:p>
                  <w:pPr>
                    <w:spacing w:line="360" w:lineRule="exact"/>
                    <w:jc w:val="center"/>
                  </w:pPr>
                  <w:r>
                    <w:rPr>
                      <w:rFonts w:hint="eastAsia"/>
                    </w:rPr>
                    <w:t>固废</w:t>
                  </w:r>
                </w:p>
              </w:tc>
              <w:tc>
                <w:tcPr>
                  <w:tcW w:w="1666" w:type="pct"/>
                  <w:vAlign w:val="center"/>
                </w:tcPr>
                <w:p>
                  <w:pPr>
                    <w:spacing w:line="360" w:lineRule="exact"/>
                    <w:jc w:val="center"/>
                  </w:pPr>
                  <w:r>
                    <w:rPr>
                      <w:rFonts w:hint="eastAsia"/>
                    </w:rPr>
                    <w:t>生活垃圾</w:t>
                  </w:r>
                </w:p>
              </w:tc>
              <w:tc>
                <w:tcPr>
                  <w:tcW w:w="1666" w:type="pct"/>
                  <w:vAlign w:val="center"/>
                </w:tcPr>
                <w:p>
                  <w:pPr>
                    <w:spacing w:line="360" w:lineRule="exact"/>
                    <w:jc w:val="center"/>
                  </w:pPr>
                  <w:r>
                    <w:rPr>
                      <w:rFonts w:hint="eastAsia"/>
                    </w:rPr>
                    <w:t>0.3t/a</w:t>
                  </w:r>
                </w:p>
              </w:tc>
            </w:tr>
          </w:tbl>
          <w:p>
            <w:pPr>
              <w:pStyle w:val="3"/>
              <w:spacing w:before="0" w:after="0" w:line="360" w:lineRule="auto"/>
              <w:ind w:left="430" w:hanging="429" w:hangingChars="179"/>
              <w:rPr>
                <w:rFonts w:ascii="黑体" w:hAnsi="黑体" w:cs="黑体"/>
                <w:b w:val="0"/>
                <w:color w:val="auto"/>
                <w:kern w:val="2"/>
                <w:sz w:val="24"/>
                <w:szCs w:val="24"/>
              </w:rPr>
            </w:pPr>
            <w:r>
              <w:rPr>
                <w:rFonts w:hint="eastAsia" w:ascii="黑体" w:hAnsi="黑体" w:cs="黑体"/>
                <w:b w:val="0"/>
                <w:color w:val="auto"/>
                <w:kern w:val="2"/>
                <w:sz w:val="24"/>
                <w:szCs w:val="24"/>
              </w:rPr>
              <w:t>2.现存环境问题及整改措施</w:t>
            </w:r>
          </w:p>
          <w:p>
            <w:pPr>
              <w:pStyle w:val="2"/>
              <w:spacing w:line="360" w:lineRule="auto"/>
              <w:ind w:firstLine="480"/>
              <w:rPr>
                <w:sz w:val="24"/>
                <w:szCs w:val="24"/>
              </w:rPr>
            </w:pPr>
            <w:r>
              <w:rPr>
                <w:rFonts w:hint="eastAsia"/>
                <w:sz w:val="24"/>
                <w:szCs w:val="24"/>
              </w:rPr>
              <w:t>根据现场调查，现有项目产生的污染物均得到了妥善处置，无需整改。</w:t>
            </w:r>
          </w:p>
          <w:p/>
          <w:p>
            <w:pPr>
              <w:pStyle w:val="2"/>
            </w:pPr>
          </w:p>
          <w:p/>
          <w:p>
            <w:pPr>
              <w:pStyle w:val="2"/>
            </w:pPr>
          </w:p>
          <w:p/>
          <w:p>
            <w:pPr>
              <w:pStyle w:val="2"/>
              <w:rPr>
                <w:rFonts w:hint="eastAsia"/>
              </w:rPr>
            </w:pPr>
          </w:p>
          <w:p>
            <w:pPr>
              <w:pStyle w:val="9"/>
              <w:numPr>
                <w:ilvl w:val="0"/>
                <w:numId w:val="0"/>
              </w:numPr>
            </w:pPr>
          </w:p>
        </w:tc>
      </w:tr>
    </w:tbl>
    <w:p>
      <w:pPr>
        <w:pStyle w:val="15"/>
        <w:jc w:val="center"/>
        <w:rPr>
          <w:rFonts w:ascii="Times New Roman" w:hAnsi="Times New Roman" w:eastAsia="黑体"/>
          <w:snapToGrid w:val="0"/>
          <w:sz w:val="36"/>
          <w:szCs w:val="36"/>
        </w:rPr>
        <w:sectPr>
          <w:pgSz w:w="11906" w:h="16838"/>
          <w:pgMar w:top="1531" w:right="1531" w:bottom="1531" w:left="1531" w:header="851" w:footer="1134" w:gutter="0"/>
          <w:cols w:space="720" w:num="1"/>
          <w:docGrid w:linePitch="312" w:charSpace="0"/>
        </w:sectPr>
      </w:pPr>
    </w:p>
    <w:p>
      <w:pPr>
        <w:pStyle w:val="15"/>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1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00"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Cs w:val="21"/>
              </w:rPr>
            </w:pPr>
            <w:r>
              <w:rPr>
                <w:kern w:val="0"/>
                <w:sz w:val="24"/>
              </w:rPr>
              <w:t>现状</w:t>
            </w:r>
          </w:p>
        </w:tc>
        <w:tc>
          <w:tcPr>
            <w:tcW w:w="8190" w:type="dxa"/>
            <w:vAlign w:val="center"/>
          </w:tcPr>
          <w:p>
            <w:pPr>
              <w:numPr>
                <w:ilvl w:val="0"/>
                <w:numId w:val="5"/>
              </w:numPr>
              <w:snapToGrid w:val="0"/>
              <w:spacing w:line="520" w:lineRule="exact"/>
              <w:rPr>
                <w:rFonts w:eastAsia="黑体"/>
                <w:sz w:val="28"/>
                <w:szCs w:val="28"/>
              </w:rPr>
            </w:pPr>
            <w:r>
              <w:rPr>
                <w:rFonts w:eastAsia="黑体"/>
                <w:sz w:val="28"/>
                <w:szCs w:val="28"/>
              </w:rPr>
              <w:t>环境空气质量现状</w:t>
            </w:r>
          </w:p>
          <w:p>
            <w:pPr>
              <w:pStyle w:val="7"/>
              <w:spacing w:before="120" w:beforeLines="50" w:line="360" w:lineRule="auto"/>
              <w:ind w:right="0"/>
              <w:jc w:val="both"/>
              <w:rPr>
                <w:rFonts w:hint="default" w:ascii="黑体" w:hAnsi="黑体" w:eastAsia="黑体" w:cs="黑体"/>
              </w:rPr>
            </w:pPr>
            <w:r>
              <w:rPr>
                <w:rFonts w:ascii="黑体" w:hAnsi="黑体" w:eastAsia="黑体" w:cs="黑体"/>
              </w:rPr>
              <w:t>1.1 空气质量达标区判定</w:t>
            </w:r>
          </w:p>
          <w:p>
            <w:pPr>
              <w:spacing w:line="360" w:lineRule="auto"/>
              <w:ind w:firstLine="480" w:firstLineChars="200"/>
              <w:contextualSpacing/>
              <w:rPr>
                <w:bCs/>
                <w:sz w:val="24"/>
                <w:u w:val="single"/>
              </w:rPr>
            </w:pPr>
            <w:r>
              <w:rPr>
                <w:rFonts w:hint="eastAsia"/>
                <w:sz w:val="24"/>
                <w:u w:val="single"/>
              </w:rPr>
              <w:t>根据</w:t>
            </w:r>
            <w:r>
              <w:rPr>
                <w:rFonts w:hint="eastAsia"/>
                <w:bCs/>
                <w:sz w:val="24"/>
                <w:u w:val="single"/>
              </w:rPr>
              <w:t>洛阳市生态环境主管部门公开发布的《</w:t>
            </w:r>
            <w:r>
              <w:rPr>
                <w:bCs/>
                <w:sz w:val="24"/>
                <w:u w:val="single"/>
              </w:rPr>
              <w:t>202</w:t>
            </w:r>
            <w:r>
              <w:rPr>
                <w:rFonts w:hint="eastAsia"/>
                <w:bCs/>
                <w:sz w:val="24"/>
                <w:u w:val="single"/>
              </w:rPr>
              <w:t>2年洛阳市生态环境状况公报》，2022年，洛阳市空气质量共监测365天，优良天数230天（占63.0%），与2021年相比优良天数减少16天。细颗粒物(PM</w:t>
            </w:r>
            <w:r>
              <w:rPr>
                <w:rFonts w:hint="eastAsia"/>
                <w:bCs/>
                <w:sz w:val="24"/>
                <w:u w:val="single"/>
                <w:vertAlign w:val="subscript"/>
              </w:rPr>
              <w:t>2.5</w:t>
            </w:r>
            <w:r>
              <w:rPr>
                <w:rFonts w:hint="eastAsia"/>
                <w:bCs/>
                <w:sz w:val="24"/>
                <w:u w:val="single"/>
              </w:rPr>
              <w:t>)、二氧化硫、一氧化碳、可吸入颗粒物(PM</w:t>
            </w:r>
            <w:r>
              <w:rPr>
                <w:rFonts w:hint="eastAsia"/>
                <w:bCs/>
                <w:sz w:val="24"/>
                <w:u w:val="single"/>
                <w:vertAlign w:val="subscript"/>
              </w:rPr>
              <w:t>10</w:t>
            </w:r>
            <w:r>
              <w:rPr>
                <w:rFonts w:hint="eastAsia"/>
                <w:bCs/>
                <w:sz w:val="24"/>
                <w:u w:val="single"/>
              </w:rPr>
              <w:t>)污染程度较去年稍有上升，二氧化氮和臭氧的污染程度较去年有所下降。区域空气质量现状评价表见下表。</w:t>
            </w:r>
          </w:p>
          <w:p>
            <w:pPr>
              <w:ind w:firstLine="480" w:firstLineChars="200"/>
              <w:contextualSpacing/>
              <w:jc w:val="center"/>
              <w:rPr>
                <w:rFonts w:ascii="黑体" w:hAnsi="黑体" w:eastAsia="黑体"/>
                <w:sz w:val="24"/>
                <w:u w:val="single"/>
              </w:rPr>
            </w:pPr>
            <w:r>
              <w:rPr>
                <w:rFonts w:ascii="黑体" w:hAnsi="黑体" w:eastAsia="黑体"/>
                <w:sz w:val="24"/>
                <w:u w:val="single"/>
              </w:rPr>
              <w:t>表</w:t>
            </w:r>
            <w:r>
              <w:rPr>
                <w:rFonts w:hint="eastAsia" w:ascii="黑体" w:hAnsi="黑体" w:eastAsia="黑体"/>
                <w:sz w:val="24"/>
                <w:u w:val="single"/>
              </w:rPr>
              <w:t>3-1</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洛阳市</w:t>
            </w:r>
            <w:r>
              <w:rPr>
                <w:rFonts w:ascii="黑体" w:hAnsi="黑体" w:eastAsia="黑体"/>
                <w:sz w:val="24"/>
                <w:u w:val="single"/>
              </w:rPr>
              <w:t>区域环境空气质量现状评价表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69"/>
              <w:gridCol w:w="1255"/>
              <w:gridCol w:w="1378"/>
              <w:gridCol w:w="124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3"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污染物</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评价指标</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现状浓度/(μg/m</w:t>
                  </w:r>
                  <w:r>
                    <w:rPr>
                      <w:sz w:val="18"/>
                      <w:szCs w:val="18"/>
                      <w:u w:val="single"/>
                      <w:vertAlign w:val="superscript"/>
                    </w:rPr>
                    <w:t>3</w:t>
                  </w:r>
                  <w:r>
                    <w:rPr>
                      <w:sz w:val="18"/>
                      <w:szCs w:val="18"/>
                      <w:u w:val="single"/>
                    </w:rPr>
                    <w:t>)</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标准值/(μg/m</w:t>
                  </w:r>
                  <w:r>
                    <w:rPr>
                      <w:sz w:val="18"/>
                      <w:szCs w:val="18"/>
                      <w:u w:val="single"/>
                      <w:vertAlign w:val="superscript"/>
                    </w:rPr>
                    <w:t>3</w:t>
                  </w:r>
                  <w:r>
                    <w:rPr>
                      <w:sz w:val="18"/>
                      <w:szCs w:val="18"/>
                      <w:u w:val="single"/>
                    </w:rPr>
                    <w:t>)</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占标率/(%)</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PM</w:t>
                  </w:r>
                  <w:r>
                    <w:rPr>
                      <w:bCs/>
                      <w:snapToGrid w:val="0"/>
                      <w:kern w:val="0"/>
                      <w:sz w:val="18"/>
                      <w:szCs w:val="18"/>
                      <w:u w:val="single"/>
                      <w:vertAlign w:val="subscript"/>
                    </w:rPr>
                    <w:t>2.5</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47</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35</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134.3</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PM</w:t>
                  </w:r>
                  <w:r>
                    <w:rPr>
                      <w:bCs/>
                      <w:snapToGrid w:val="0"/>
                      <w:kern w:val="0"/>
                      <w:sz w:val="18"/>
                      <w:szCs w:val="18"/>
                      <w:u w:val="single"/>
                      <w:vertAlign w:val="subscript"/>
                    </w:rPr>
                    <w:t>10</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80</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70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11</w:t>
                  </w:r>
                  <w:r>
                    <w:rPr>
                      <w:rFonts w:hint="eastAsia"/>
                      <w:sz w:val="18"/>
                      <w:szCs w:val="18"/>
                      <w:u w:val="single"/>
                    </w:rPr>
                    <w:t>4.3</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3" w:type="pct"/>
                  <w:tcBorders>
                    <w:top w:val="single" w:color="auto" w:sz="4" w:space="0"/>
                    <w:left w:val="single" w:color="auto" w:sz="4" w:space="0"/>
                    <w:bottom w:val="single" w:color="auto" w:sz="4" w:space="0"/>
                    <w:right w:val="single" w:color="auto" w:sz="4" w:space="0"/>
                  </w:tcBorders>
                  <w:vAlign w:val="center"/>
                </w:tcPr>
                <w:p>
                  <w:pPr>
                    <w:snapToGrid w:val="0"/>
                    <w:jc w:val="center"/>
                    <w:rPr>
                      <w:bCs/>
                      <w:snapToGrid w:val="0"/>
                      <w:kern w:val="0"/>
                      <w:sz w:val="18"/>
                      <w:szCs w:val="18"/>
                      <w:u w:val="single"/>
                    </w:rPr>
                  </w:pPr>
                  <w:r>
                    <w:rPr>
                      <w:sz w:val="18"/>
                      <w:szCs w:val="18"/>
                      <w:u w:val="single"/>
                    </w:rPr>
                    <w:t>O</w:t>
                  </w:r>
                  <w:r>
                    <w:rPr>
                      <w:sz w:val="18"/>
                      <w:szCs w:val="18"/>
                      <w:u w:val="single"/>
                      <w:vertAlign w:val="subscript"/>
                    </w:rPr>
                    <w:t>3</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日最大8h平均质量浓度第90百分位数</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17</w:t>
                  </w:r>
                  <w:r>
                    <w:rPr>
                      <w:rFonts w:hint="eastAsia"/>
                      <w:sz w:val="18"/>
                      <w:szCs w:val="18"/>
                      <w:u w:val="single"/>
                    </w:rPr>
                    <w:t>1</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160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10</w:t>
                  </w:r>
                  <w:r>
                    <w:rPr>
                      <w:rFonts w:hint="eastAsia"/>
                      <w:sz w:val="18"/>
                      <w:szCs w:val="18"/>
                      <w:u w:val="single"/>
                    </w:rPr>
                    <w:t>6.9</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3" w:type="pct"/>
                  <w:tcBorders>
                    <w:top w:val="single" w:color="auto" w:sz="4" w:space="0"/>
                    <w:left w:val="single" w:color="auto" w:sz="4" w:space="0"/>
                    <w:bottom w:val="single" w:color="auto" w:sz="4" w:space="0"/>
                    <w:right w:val="single" w:color="auto" w:sz="4" w:space="0"/>
                  </w:tcBorders>
                  <w:vAlign w:val="center"/>
                </w:tcPr>
                <w:p>
                  <w:pPr>
                    <w:jc w:val="center"/>
                    <w:rPr>
                      <w:bCs/>
                      <w:snapToGrid w:val="0"/>
                      <w:kern w:val="0"/>
                      <w:sz w:val="18"/>
                      <w:szCs w:val="18"/>
                      <w:u w:val="single"/>
                    </w:rPr>
                  </w:pPr>
                  <w:r>
                    <w:rPr>
                      <w:sz w:val="18"/>
                      <w:szCs w:val="18"/>
                      <w:u w:val="single"/>
                    </w:rPr>
                    <w:t>CO</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24h平均质量浓度第95百分位数</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w:t>
                  </w:r>
                  <w:r>
                    <w:rPr>
                      <w:rFonts w:hint="eastAsia"/>
                      <w:sz w:val="18"/>
                      <w:szCs w:val="18"/>
                      <w:u w:val="single"/>
                    </w:rPr>
                    <w:t>2</w:t>
                  </w:r>
                  <w:r>
                    <w:rPr>
                      <w:sz w:val="18"/>
                      <w:szCs w:val="18"/>
                      <w:u w:val="single"/>
                    </w:rPr>
                    <w:t>mg/m</w:t>
                  </w:r>
                  <w:r>
                    <w:rPr>
                      <w:sz w:val="18"/>
                      <w:szCs w:val="18"/>
                      <w:u w:val="single"/>
                      <w:vertAlign w:val="superscript"/>
                    </w:rPr>
                    <w:t>3</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4.0mg/m</w:t>
                  </w:r>
                  <w:r>
                    <w:rPr>
                      <w:sz w:val="18"/>
                      <w:szCs w:val="18"/>
                      <w:u w:val="single"/>
                      <w:vertAlign w:val="superscript"/>
                    </w:rPr>
                    <w:t>3</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30</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SO</w:t>
                  </w:r>
                  <w:r>
                    <w:rPr>
                      <w:bCs/>
                      <w:snapToGrid w:val="0"/>
                      <w:kern w:val="0"/>
                      <w:sz w:val="18"/>
                      <w:szCs w:val="18"/>
                      <w:u w:val="single"/>
                      <w:vertAlign w:val="subscript"/>
                    </w:rPr>
                    <w:t>2</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7</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60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11.7</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NO</w:t>
                  </w:r>
                  <w:r>
                    <w:rPr>
                      <w:bCs/>
                      <w:snapToGrid w:val="0"/>
                      <w:kern w:val="0"/>
                      <w:sz w:val="18"/>
                      <w:szCs w:val="18"/>
                      <w:u w:val="single"/>
                      <w:vertAlign w:val="subscript"/>
                    </w:rPr>
                    <w:t>2</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26</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40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65</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bl>
          <w:p>
            <w:pPr>
              <w:adjustRightInd w:val="0"/>
              <w:snapToGrid w:val="0"/>
              <w:spacing w:line="360" w:lineRule="auto"/>
              <w:ind w:firstLine="480" w:firstLineChars="200"/>
              <w:jc w:val="left"/>
              <w:rPr>
                <w:kern w:val="0"/>
                <w:sz w:val="24"/>
                <w:u w:val="single"/>
              </w:rPr>
            </w:pPr>
            <w:r>
              <w:rPr>
                <w:rFonts w:hint="eastAsia"/>
                <w:kern w:val="0"/>
                <w:sz w:val="24"/>
                <w:u w:val="single"/>
              </w:rPr>
              <w:t>由上表可知，洛阳市</w:t>
            </w:r>
            <w:r>
              <w:rPr>
                <w:kern w:val="0"/>
                <w:sz w:val="24"/>
                <w:u w:val="single"/>
              </w:rPr>
              <w:t>区域PM</w:t>
            </w:r>
            <w:r>
              <w:rPr>
                <w:kern w:val="0"/>
                <w:sz w:val="24"/>
                <w:u w:val="single"/>
                <w:vertAlign w:val="subscript"/>
              </w:rPr>
              <w:t>2.5</w:t>
            </w:r>
            <w:r>
              <w:rPr>
                <w:rFonts w:hint="eastAsia"/>
                <w:kern w:val="0"/>
                <w:sz w:val="24"/>
                <w:u w:val="single"/>
              </w:rPr>
              <w:t>、</w:t>
            </w:r>
            <w:r>
              <w:rPr>
                <w:kern w:val="0"/>
                <w:sz w:val="24"/>
                <w:u w:val="single"/>
              </w:rPr>
              <w:t>PM</w:t>
            </w:r>
            <w:r>
              <w:rPr>
                <w:kern w:val="0"/>
                <w:sz w:val="24"/>
                <w:u w:val="single"/>
                <w:vertAlign w:val="subscript"/>
              </w:rPr>
              <w:t>10</w:t>
            </w:r>
            <w:r>
              <w:rPr>
                <w:kern w:val="0"/>
                <w:sz w:val="24"/>
                <w:u w:val="single"/>
              </w:rPr>
              <w:t>和</w:t>
            </w:r>
            <w:r>
              <w:rPr>
                <w:rFonts w:hint="eastAsia"/>
                <w:kern w:val="0"/>
                <w:sz w:val="24"/>
                <w:u w:val="single"/>
              </w:rPr>
              <w:t>O</w:t>
            </w:r>
            <w:r>
              <w:rPr>
                <w:rFonts w:hint="eastAsia"/>
                <w:kern w:val="0"/>
                <w:sz w:val="24"/>
                <w:u w:val="single"/>
                <w:vertAlign w:val="subscript"/>
              </w:rPr>
              <w:t>3</w:t>
            </w:r>
            <w:r>
              <w:rPr>
                <w:kern w:val="0"/>
                <w:sz w:val="24"/>
                <w:u w:val="single"/>
              </w:rPr>
              <w:t>的年均浓度不能满足《环境空气质量标准》（GB3095-2012）二级标准浓度限值要求，因此</w:t>
            </w:r>
            <w:r>
              <w:rPr>
                <w:rFonts w:hint="eastAsia"/>
                <w:kern w:val="0"/>
                <w:sz w:val="24"/>
                <w:u w:val="single"/>
              </w:rPr>
              <w:t>2022年度洛阳市属于</w:t>
            </w:r>
            <w:r>
              <w:rPr>
                <w:kern w:val="0"/>
                <w:sz w:val="24"/>
                <w:u w:val="single"/>
              </w:rPr>
              <w:t>不达标区。</w:t>
            </w:r>
          </w:p>
          <w:p>
            <w:pPr>
              <w:spacing w:line="360" w:lineRule="auto"/>
              <w:ind w:firstLine="480" w:firstLineChars="200"/>
            </w:pPr>
            <w:r>
              <w:rPr>
                <w:rFonts w:hint="eastAsia"/>
                <w:sz w:val="24"/>
                <w:u w:val="single"/>
              </w:rPr>
              <w:t>针对区域大气环境质量现状超标的情况，出台《洛阳市2023年蓝天、碧水、净土保卫战实施方案》（洛环委办[2023]24号）、《洛阳市2023年夏季挥发性有机物污染防治实施方案》洛环委办[2023]41等相关大气治理文件，从实施源头削减，推进总量减排、强化收集效果，减少无组织排放、提升治理水平等相关政策，通过治理区域环境质量状况将逐步好转。</w:t>
            </w:r>
          </w:p>
          <w:p>
            <w:pPr>
              <w:spacing w:line="360" w:lineRule="auto"/>
              <w:rPr>
                <w:sz w:val="24"/>
              </w:rPr>
            </w:pPr>
            <w:r>
              <w:rPr>
                <w:rFonts w:hint="eastAsia" w:ascii="黑体" w:hAnsi="黑体" w:eastAsia="黑体" w:cs="黑体"/>
                <w:sz w:val="24"/>
              </w:rPr>
              <w:t>1.</w:t>
            </w:r>
            <w:r>
              <w:rPr>
                <w:rFonts w:ascii="黑体" w:hAnsi="黑体" w:eastAsia="黑体" w:cs="黑体"/>
                <w:sz w:val="24"/>
              </w:rPr>
              <w:t>2</w:t>
            </w:r>
            <w:r>
              <w:rPr>
                <w:rFonts w:hint="eastAsia" w:ascii="黑体" w:hAnsi="黑体" w:eastAsia="黑体" w:cs="黑体"/>
                <w:sz w:val="24"/>
              </w:rPr>
              <w:t xml:space="preserve">特征污染物环境质量现状评价    </w:t>
            </w:r>
            <w:r>
              <w:rPr>
                <w:rFonts w:eastAsia="黑体"/>
                <w:sz w:val="24"/>
              </w:rPr>
              <w:t xml:space="preserve">              </w:t>
            </w:r>
          </w:p>
          <w:p>
            <w:pPr>
              <w:adjustRightInd w:val="0"/>
              <w:snapToGrid w:val="0"/>
              <w:spacing w:line="360" w:lineRule="auto"/>
              <w:ind w:firstLine="480" w:firstLineChars="200"/>
              <w:rPr>
                <w:bCs/>
                <w:sz w:val="24"/>
              </w:rPr>
            </w:pPr>
            <w:r>
              <w:rPr>
                <w:rFonts w:hint="eastAsia" w:ascii="宋体" w:hAnsi="宋体" w:cs="宋体"/>
                <w:bCs/>
                <w:sz w:val="24"/>
              </w:rPr>
              <w:t>本项目特征污染物为非甲烷总烃，根据全国环评技术评估服务咨询平台</w:t>
            </w:r>
            <w:r>
              <w:rPr>
                <w:rFonts w:ascii="宋体" w:hAnsi="宋体" w:cs="宋体"/>
                <w:bCs/>
                <w:sz w:val="24"/>
              </w:rPr>
              <w:t>http://iconsult-eia.china-eia.com/index?aimModule=searching_list2&amp;question=%E7 %89%B9%E5%BE%81</w:t>
            </w:r>
            <w:r>
              <w:rPr>
                <w:rFonts w:hint="eastAsia" w:ascii="宋体" w:hAnsi="宋体" w:cs="宋体"/>
                <w:bCs/>
                <w:sz w:val="24"/>
              </w:rPr>
              <w:t>解答内容“《建设项目环境影响报告表编制技术指南（污染影响类）（试行）》中提到</w:t>
            </w:r>
            <w:r>
              <w:rPr>
                <w:rFonts w:ascii="宋体" w:hAnsi="宋体" w:cs="宋体"/>
                <w:bCs/>
                <w:sz w:val="24"/>
              </w:rPr>
              <w:t>“</w:t>
            </w:r>
            <w:r>
              <w:rPr>
                <w:rFonts w:hint="eastAsia" w:ascii="宋体" w:hAnsi="宋体" w:cs="宋体"/>
                <w:bCs/>
                <w:sz w:val="24"/>
              </w:rPr>
              <w:t>排放国家、地方环境空气质量标准中</w:t>
            </w:r>
            <w:r>
              <w:rPr>
                <w:bCs/>
                <w:sz w:val="24"/>
              </w:rPr>
              <w:t>有标准限值要求的特征污染物”，其中环境空气质量标准指《环境空气质量标准》（GB3095）和地方的环境空气质量标准，不包括《环境影响评价技术导则大气环境》（HJ2.2-2018）附录D、《工业企业设计卫生标准》（TJ36-97）、《前苏联居住区标准》（CH245-71）、《环境影响评价技术导则制药建设项目》（HJ611-2011）、《大气污染物综合排放标准详解》等导则或参考资料。排放的特征污染物需要在国家、地方环境空气质量标准中有限值要求才涉及现状监测，且优先引用现有监测数据”，因此，大气特征污染物非甲烷总烃不需要进行现状监测。</w:t>
            </w:r>
          </w:p>
          <w:p>
            <w:pPr>
              <w:snapToGrid w:val="0"/>
              <w:spacing w:line="360" w:lineRule="auto"/>
              <w:rPr>
                <w:rFonts w:ascii="黑体" w:hAnsi="黑体" w:eastAsia="黑体" w:cs="黑体"/>
                <w:sz w:val="24"/>
              </w:rPr>
            </w:pPr>
            <w:r>
              <w:rPr>
                <w:rFonts w:hint="eastAsia" w:ascii="黑体" w:hAnsi="黑体" w:eastAsia="黑体" w:cs="黑体"/>
                <w:sz w:val="24"/>
              </w:rPr>
              <w:t>1.3区域污染物达标消减计划</w:t>
            </w:r>
          </w:p>
          <w:p>
            <w:pPr>
              <w:pStyle w:val="3"/>
              <w:spacing w:before="0" w:after="0" w:line="360" w:lineRule="auto"/>
              <w:ind w:left="0" w:firstLine="480" w:firstLineChars="200"/>
              <w:rPr>
                <w:rFonts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由上述分析判定项目所在评价区域为不达标区，偃师区出台了洛阳市偃师区生态环境保护委员会办公室关于印发《关于印发偃师区2023年蓝天、碧水、净土保卫战实施方案的通知》（偃环委办[2023]3号）等一系列措施。偃师区正在制定一系列防治污染攻坚战实施方案，政策实施后，偃师区环境质量将得到明显改善。</w:t>
            </w:r>
          </w:p>
          <w:p>
            <w:pPr>
              <w:numPr>
                <w:ilvl w:val="0"/>
                <w:numId w:val="5"/>
              </w:numPr>
              <w:snapToGrid w:val="0"/>
              <w:spacing w:line="360" w:lineRule="auto"/>
              <w:rPr>
                <w:rFonts w:eastAsia="黑体"/>
                <w:sz w:val="28"/>
                <w:szCs w:val="28"/>
              </w:rPr>
            </w:pPr>
            <w:r>
              <w:rPr>
                <w:rFonts w:eastAsia="黑体"/>
                <w:sz w:val="28"/>
                <w:szCs w:val="28"/>
              </w:rPr>
              <w:t>声环境质量现状</w:t>
            </w:r>
          </w:p>
          <w:p>
            <w:pPr>
              <w:pStyle w:val="6"/>
              <w:spacing w:after="0" w:line="360" w:lineRule="auto"/>
              <w:ind w:left="0" w:leftChars="0" w:firstLine="480" w:firstLineChars="200"/>
              <w:rPr>
                <w:rFonts w:ascii="宋体" w:hAnsi="宋体" w:cs="宋体"/>
                <w:b/>
                <w:bCs/>
                <w:kern w:val="2"/>
                <w:szCs w:val="24"/>
              </w:rPr>
            </w:pPr>
            <w:r>
              <w:rPr>
                <w:rFonts w:hint="eastAsia"/>
              </w:rPr>
              <w:t>根据调查项目厂界外周边50m范围内不存在声环境保护目标，根据编制指南，项目不需要进行声环境现状监测。</w:t>
            </w:r>
          </w:p>
          <w:p>
            <w:pPr>
              <w:numPr>
                <w:ilvl w:val="0"/>
                <w:numId w:val="5"/>
              </w:numPr>
              <w:snapToGrid w:val="0"/>
              <w:spacing w:line="360" w:lineRule="auto"/>
              <w:rPr>
                <w:rFonts w:eastAsia="黑体"/>
                <w:sz w:val="28"/>
                <w:szCs w:val="28"/>
              </w:rPr>
            </w:pPr>
            <w:r>
              <w:rPr>
                <w:rFonts w:eastAsia="黑体"/>
                <w:sz w:val="28"/>
                <w:szCs w:val="28"/>
              </w:rPr>
              <w:t>地表水质量现状</w:t>
            </w:r>
          </w:p>
          <w:p>
            <w:pPr>
              <w:spacing w:line="360" w:lineRule="auto"/>
              <w:ind w:firstLine="480" w:firstLineChars="200"/>
              <w:rPr>
                <w:color w:val="000000"/>
                <w:sz w:val="24"/>
                <w:u w:val="single"/>
              </w:rPr>
            </w:pPr>
            <w:r>
              <w:rPr>
                <w:color w:val="000000"/>
                <w:sz w:val="24"/>
                <w:u w:val="single"/>
              </w:rPr>
              <w:t>为了解该项目所在区域的地表水环境质量现状，本次评价借用</w:t>
            </w:r>
            <w:r>
              <w:rPr>
                <w:rFonts w:hint="eastAsia"/>
                <w:color w:val="000000"/>
                <w:sz w:val="24"/>
                <w:u w:val="single"/>
              </w:rPr>
              <w:t>《2022年洛阳市生态环境状况公报》中地表水环境现状评价结论。</w:t>
            </w:r>
          </w:p>
          <w:p>
            <w:pPr>
              <w:spacing w:line="360" w:lineRule="auto"/>
              <w:ind w:firstLine="480" w:firstLineChars="200"/>
              <w:rPr>
                <w:color w:val="000000"/>
                <w:sz w:val="24"/>
                <w:u w:val="single"/>
              </w:rPr>
            </w:pPr>
            <w:r>
              <w:rPr>
                <w:rFonts w:hint="eastAsia"/>
                <w:color w:val="000000"/>
                <w:sz w:val="24"/>
                <w:u w:val="single"/>
              </w:rPr>
              <w:t>根据2022年洛阳市生态环境状况公报：</w:t>
            </w:r>
            <w:r>
              <w:rPr>
                <w:color w:val="000000"/>
                <w:sz w:val="24"/>
                <w:u w:val="single"/>
                <w:lang w:val="en"/>
              </w:rPr>
              <w:t>2022年全市8条主要河流中，伊河、洛河、北汝河均为Ⅱ类水质，水质状况为“优”，占河流总数的37.5%；伊洛河、涧河、瀍河、白降河水质为Ⅲ类，水质状况为“良好”，占河流总数的50%；二道河水质为Ⅳ类，水质状况“轻度污染”，占河流总数的12.5%。</w:t>
            </w:r>
          </w:p>
          <w:p>
            <w:pPr>
              <w:spacing w:line="360" w:lineRule="auto"/>
              <w:ind w:firstLine="480" w:firstLineChars="200"/>
              <w:rPr>
                <w:sz w:val="24"/>
                <w:u w:val="single"/>
              </w:rPr>
            </w:pPr>
            <w:r>
              <w:rPr>
                <w:rFonts w:hint="eastAsia"/>
                <w:color w:val="000000"/>
                <w:sz w:val="24"/>
                <w:u w:val="single"/>
              </w:rPr>
              <w:t>因此项目区域地表水</w:t>
            </w:r>
            <w:r>
              <w:rPr>
                <w:color w:val="000000"/>
                <w:sz w:val="24"/>
                <w:u w:val="single"/>
              </w:rPr>
              <w:t>伊洛河</w:t>
            </w:r>
            <w:r>
              <w:rPr>
                <w:rFonts w:hint="eastAsia"/>
                <w:color w:val="000000"/>
                <w:sz w:val="24"/>
                <w:u w:val="single"/>
              </w:rPr>
              <w:t>环境质量状况较好</w:t>
            </w:r>
            <w:r>
              <w:rPr>
                <w:color w:val="000000"/>
                <w:sz w:val="24"/>
                <w:u w:val="single"/>
              </w:rPr>
              <w:t>，</w:t>
            </w:r>
            <w:r>
              <w:rPr>
                <w:sz w:val="24"/>
                <w:u w:val="single"/>
              </w:rPr>
              <w:t>能够满足《地表水环境质量标准》（GB3838-2002）表1中Ⅲ类标准要求。</w:t>
            </w:r>
          </w:p>
          <w:p>
            <w:pPr>
              <w:numPr>
                <w:ilvl w:val="0"/>
                <w:numId w:val="5"/>
              </w:numPr>
              <w:snapToGrid w:val="0"/>
              <w:spacing w:line="360" w:lineRule="auto"/>
              <w:rPr>
                <w:rFonts w:eastAsia="黑体"/>
                <w:sz w:val="28"/>
                <w:szCs w:val="28"/>
              </w:rPr>
            </w:pPr>
            <w:r>
              <w:rPr>
                <w:rFonts w:eastAsia="黑体"/>
                <w:sz w:val="28"/>
                <w:szCs w:val="28"/>
              </w:rPr>
              <w:t>地</w:t>
            </w:r>
            <w:r>
              <w:rPr>
                <w:rFonts w:hint="eastAsia" w:eastAsia="黑体"/>
                <w:sz w:val="28"/>
                <w:szCs w:val="28"/>
              </w:rPr>
              <w:t>下</w:t>
            </w:r>
            <w:r>
              <w:rPr>
                <w:rFonts w:eastAsia="黑体"/>
                <w:sz w:val="28"/>
                <w:szCs w:val="28"/>
              </w:rPr>
              <w:t>水</w:t>
            </w:r>
            <w:r>
              <w:rPr>
                <w:rFonts w:hint="eastAsia" w:eastAsia="黑体"/>
                <w:sz w:val="28"/>
                <w:szCs w:val="28"/>
              </w:rPr>
              <w:t>、土壤环境</w:t>
            </w:r>
          </w:p>
          <w:p>
            <w:pPr>
              <w:spacing w:line="360" w:lineRule="auto"/>
              <w:ind w:firstLine="480" w:firstLineChars="200"/>
              <w:rPr>
                <w:rFonts w:ascii="宋体" w:hAnsi="宋体" w:cs="宋体"/>
                <w:sz w:val="24"/>
              </w:rPr>
            </w:pPr>
            <w:r>
              <w:rPr>
                <w:rFonts w:hint="eastAsia"/>
                <w:color w:val="000000"/>
                <w:sz w:val="24"/>
              </w:rPr>
              <w:t>本项目为塑料制品业，不存在土壤、地下水环境污染途径，根据《建设项目环境影响报告编制技术指南（污染影响类）》（试行）要求，不需要开展地下水、土壤环境质量现状调查。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Cs w:val="21"/>
              </w:rPr>
            </w:pPr>
            <w:r>
              <w:rPr>
                <w:kern w:val="0"/>
                <w:sz w:val="24"/>
              </w:rPr>
              <w:t>目标</w:t>
            </w:r>
          </w:p>
        </w:tc>
        <w:tc>
          <w:tcPr>
            <w:tcW w:w="8190" w:type="dxa"/>
            <w:vAlign w:val="center"/>
          </w:tcPr>
          <w:p>
            <w:pPr>
              <w:adjustRightInd w:val="0"/>
              <w:snapToGrid w:val="0"/>
              <w:spacing w:line="360" w:lineRule="auto"/>
              <w:ind w:left="-46" w:leftChars="-22" w:firstLine="480" w:firstLineChars="200"/>
              <w:rPr>
                <w:sz w:val="24"/>
              </w:rPr>
            </w:pPr>
            <w:r>
              <w:rPr>
                <w:rFonts w:hint="eastAsia"/>
                <w:color w:val="000000"/>
                <w:sz w:val="24"/>
              </w:rPr>
              <w:t>本项目厂界外500米范围内涉及环境空气敏感点赵庄寨、</w:t>
            </w:r>
            <w:r>
              <w:rPr>
                <w:color w:val="000000"/>
                <w:sz w:val="24"/>
              </w:rPr>
              <w:t>赵庄街、黄大王庙、周堂村</w:t>
            </w:r>
            <w:r>
              <w:rPr>
                <w:rFonts w:hint="eastAsia"/>
                <w:color w:val="000000"/>
                <w:sz w:val="24"/>
              </w:rPr>
              <w:t>，厂界外50米范围内无声环境保护目标，厂界外500米范围内涉及的地下水集中式饮用水水源为</w:t>
            </w:r>
            <w:r>
              <w:rPr>
                <w:kern w:val="0"/>
                <w:sz w:val="24"/>
              </w:rPr>
              <w:t>偃师</w:t>
            </w:r>
            <w:r>
              <w:rPr>
                <w:rFonts w:hint="eastAsia"/>
                <w:kern w:val="0"/>
                <w:sz w:val="24"/>
              </w:rPr>
              <w:t>区</w:t>
            </w:r>
            <w:r>
              <w:rPr>
                <w:kern w:val="0"/>
                <w:sz w:val="24"/>
              </w:rPr>
              <w:t>岳滩镇西水厂地下水井群</w:t>
            </w:r>
            <w:r>
              <w:rPr>
                <w:rFonts w:hint="eastAsia"/>
                <w:kern w:val="0"/>
                <w:sz w:val="24"/>
              </w:rPr>
              <w:t>，</w:t>
            </w:r>
            <w:r>
              <w:rPr>
                <w:rFonts w:hint="eastAsia"/>
                <w:color w:val="000000"/>
                <w:sz w:val="24"/>
              </w:rPr>
              <w:t>不涉及热水、矿泉水、温泉等其他特殊地下水资</w:t>
            </w:r>
            <w:r>
              <w:rPr>
                <w:rFonts w:hint="eastAsia"/>
                <w:sz w:val="24"/>
              </w:rPr>
              <w:t>源。故本项目主要环境保护目标见下表。</w:t>
            </w:r>
          </w:p>
          <w:p>
            <w:pPr>
              <w:spacing w:line="480" w:lineRule="exact"/>
              <w:ind w:firstLine="480" w:firstLineChars="200"/>
              <w:jc w:val="center"/>
              <w:rPr>
                <w:rFonts w:ascii="黑体" w:hAnsi="黑体" w:eastAsia="黑体"/>
                <w:sz w:val="24"/>
              </w:rPr>
            </w:pPr>
            <w:r>
              <w:rPr>
                <w:rFonts w:ascii="黑体" w:hAnsi="黑体" w:eastAsia="黑体"/>
                <w:sz w:val="24"/>
              </w:rPr>
              <w:t>表3-</w:t>
            </w:r>
            <w:r>
              <w:rPr>
                <w:rFonts w:hint="eastAsia" w:ascii="黑体" w:hAnsi="黑体" w:eastAsia="黑体"/>
                <w:sz w:val="24"/>
              </w:rPr>
              <w:t>2</w:t>
            </w:r>
            <w:r>
              <w:rPr>
                <w:rFonts w:ascii="黑体" w:hAnsi="黑体" w:eastAsia="黑体"/>
                <w:sz w:val="24"/>
              </w:rPr>
              <w:t xml:space="preserve">  项目区周围主要环境保护目标一览表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45"/>
              <w:gridCol w:w="1464"/>
              <w:gridCol w:w="1342"/>
              <w:gridCol w:w="635"/>
              <w:gridCol w:w="9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641" w:type="dxa"/>
                  <w:vMerge w:val="restart"/>
                  <w:vAlign w:val="center"/>
                </w:tcPr>
                <w:p>
                  <w:pPr>
                    <w:snapToGrid w:val="0"/>
                    <w:spacing w:line="360" w:lineRule="exact"/>
                    <w:jc w:val="center"/>
                  </w:pPr>
                  <w:r>
                    <w:t>环境类别</w:t>
                  </w:r>
                </w:p>
              </w:tc>
              <w:tc>
                <w:tcPr>
                  <w:tcW w:w="1345" w:type="dxa"/>
                  <w:vMerge w:val="restart"/>
                  <w:vAlign w:val="center"/>
                </w:tcPr>
                <w:p>
                  <w:pPr>
                    <w:snapToGrid w:val="0"/>
                    <w:spacing w:line="360" w:lineRule="exact"/>
                    <w:jc w:val="center"/>
                  </w:pPr>
                  <w:r>
                    <w:t>保护目标</w:t>
                  </w:r>
                  <w:r>
                    <w:rPr>
                      <w:rFonts w:hint="eastAsia"/>
                    </w:rPr>
                    <w:t>（人口）</w:t>
                  </w:r>
                </w:p>
              </w:tc>
              <w:tc>
                <w:tcPr>
                  <w:tcW w:w="2806" w:type="dxa"/>
                  <w:gridSpan w:val="2"/>
                  <w:vAlign w:val="center"/>
                </w:tcPr>
                <w:p>
                  <w:pPr>
                    <w:snapToGrid w:val="0"/>
                    <w:spacing w:line="360" w:lineRule="exact"/>
                    <w:jc w:val="center"/>
                  </w:pPr>
                  <w:r>
                    <w:rPr>
                      <w:rFonts w:hint="eastAsia"/>
                    </w:rPr>
                    <w:t>地理坐标</w:t>
                  </w:r>
                </w:p>
              </w:tc>
              <w:tc>
                <w:tcPr>
                  <w:tcW w:w="635" w:type="dxa"/>
                  <w:vMerge w:val="restart"/>
                  <w:vAlign w:val="center"/>
                </w:tcPr>
                <w:p>
                  <w:pPr>
                    <w:snapToGrid w:val="0"/>
                    <w:spacing w:line="360" w:lineRule="exact"/>
                    <w:jc w:val="center"/>
                  </w:pPr>
                  <w:r>
                    <w:t>方位</w:t>
                  </w:r>
                </w:p>
              </w:tc>
              <w:tc>
                <w:tcPr>
                  <w:tcW w:w="970" w:type="dxa"/>
                  <w:vMerge w:val="restart"/>
                  <w:vAlign w:val="center"/>
                </w:tcPr>
                <w:p>
                  <w:pPr>
                    <w:snapToGrid w:val="0"/>
                    <w:spacing w:line="360" w:lineRule="exact"/>
                    <w:jc w:val="center"/>
                  </w:pPr>
                  <w:r>
                    <w:t>相对</w:t>
                  </w:r>
                  <w:r>
                    <w:rPr>
                      <w:rFonts w:hint="eastAsia"/>
                    </w:rPr>
                    <w:t>车间</w:t>
                  </w:r>
                  <w:r>
                    <w:t>距离/m</w:t>
                  </w:r>
                </w:p>
              </w:tc>
              <w:tc>
                <w:tcPr>
                  <w:tcW w:w="1500" w:type="dxa"/>
                  <w:vMerge w:val="restart"/>
                  <w:vAlign w:val="center"/>
                </w:tcPr>
                <w:p>
                  <w:pPr>
                    <w:snapToGrid w:val="0"/>
                    <w:spacing w:line="360" w:lineRule="exact"/>
                    <w:jc w:val="center"/>
                  </w:pPr>
                  <w:r>
                    <w:t>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1" w:type="dxa"/>
                  <w:vMerge w:val="continue"/>
                  <w:vAlign w:val="center"/>
                </w:tcPr>
                <w:p>
                  <w:pPr>
                    <w:snapToGrid w:val="0"/>
                    <w:spacing w:line="360" w:lineRule="exact"/>
                    <w:jc w:val="center"/>
                  </w:pPr>
                </w:p>
              </w:tc>
              <w:tc>
                <w:tcPr>
                  <w:tcW w:w="1345" w:type="dxa"/>
                  <w:vMerge w:val="continue"/>
                  <w:vAlign w:val="center"/>
                </w:tcPr>
                <w:p>
                  <w:pPr>
                    <w:snapToGrid w:val="0"/>
                    <w:spacing w:line="360" w:lineRule="exact"/>
                    <w:jc w:val="center"/>
                  </w:pPr>
                </w:p>
              </w:tc>
              <w:tc>
                <w:tcPr>
                  <w:tcW w:w="1464" w:type="dxa"/>
                  <w:vAlign w:val="center"/>
                </w:tcPr>
                <w:p>
                  <w:pPr>
                    <w:snapToGrid w:val="0"/>
                    <w:spacing w:line="360" w:lineRule="exact"/>
                    <w:jc w:val="center"/>
                  </w:pPr>
                  <w:r>
                    <w:rPr>
                      <w:rFonts w:hint="eastAsia"/>
                    </w:rPr>
                    <w:t>经度</w:t>
                  </w:r>
                </w:p>
              </w:tc>
              <w:tc>
                <w:tcPr>
                  <w:tcW w:w="1342" w:type="dxa"/>
                  <w:vAlign w:val="center"/>
                </w:tcPr>
                <w:p>
                  <w:pPr>
                    <w:snapToGrid w:val="0"/>
                    <w:spacing w:line="360" w:lineRule="exact"/>
                    <w:jc w:val="center"/>
                  </w:pPr>
                  <w:r>
                    <w:rPr>
                      <w:rFonts w:hint="eastAsia"/>
                    </w:rPr>
                    <w:t>纬度</w:t>
                  </w:r>
                </w:p>
              </w:tc>
              <w:tc>
                <w:tcPr>
                  <w:tcW w:w="635" w:type="dxa"/>
                  <w:vMerge w:val="continue"/>
                  <w:vAlign w:val="center"/>
                </w:tcPr>
                <w:p>
                  <w:pPr>
                    <w:snapToGrid w:val="0"/>
                    <w:spacing w:line="360" w:lineRule="exact"/>
                    <w:jc w:val="center"/>
                  </w:pPr>
                </w:p>
              </w:tc>
              <w:tc>
                <w:tcPr>
                  <w:tcW w:w="970" w:type="dxa"/>
                  <w:vMerge w:val="continue"/>
                  <w:vAlign w:val="center"/>
                </w:tcPr>
                <w:p>
                  <w:pPr>
                    <w:snapToGrid w:val="0"/>
                    <w:spacing w:line="360" w:lineRule="exact"/>
                    <w:jc w:val="center"/>
                  </w:pPr>
                </w:p>
              </w:tc>
              <w:tc>
                <w:tcPr>
                  <w:tcW w:w="1500" w:type="dxa"/>
                  <w:vMerge w:val="continue"/>
                  <w:vAlign w:val="center"/>
                </w:tcPr>
                <w:p>
                  <w:pPr>
                    <w:snapToGrid w:val="0"/>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1" w:type="dxa"/>
                  <w:vMerge w:val="restart"/>
                  <w:vAlign w:val="center"/>
                </w:tcPr>
                <w:p>
                  <w:pPr>
                    <w:snapToGrid w:val="0"/>
                    <w:spacing w:line="360" w:lineRule="exact"/>
                    <w:jc w:val="center"/>
                  </w:pPr>
                  <w:r>
                    <w:t>大气环境</w:t>
                  </w:r>
                </w:p>
              </w:tc>
              <w:tc>
                <w:tcPr>
                  <w:tcW w:w="1345" w:type="dxa"/>
                  <w:vAlign w:val="center"/>
                </w:tcPr>
                <w:p>
                  <w:pPr>
                    <w:snapToGrid w:val="0"/>
                    <w:spacing w:line="360" w:lineRule="exact"/>
                    <w:jc w:val="center"/>
                  </w:pPr>
                  <w:r>
                    <w:rPr>
                      <w:rFonts w:hint="eastAsia"/>
                    </w:rPr>
                    <w:t>赵庄寨村（2400）</w:t>
                  </w:r>
                </w:p>
              </w:tc>
              <w:tc>
                <w:tcPr>
                  <w:tcW w:w="1464" w:type="dxa"/>
                  <w:vAlign w:val="center"/>
                </w:tcPr>
                <w:p>
                  <w:pPr>
                    <w:snapToGrid w:val="0"/>
                    <w:spacing w:line="360" w:lineRule="exact"/>
                    <w:jc w:val="center"/>
                  </w:pPr>
                  <w:r>
                    <w:rPr>
                      <w:rFonts w:hint="eastAsia"/>
                    </w:rPr>
                    <w:t>1</w:t>
                  </w:r>
                  <w:r>
                    <w:t>12°</w:t>
                  </w:r>
                  <w:r>
                    <w:rPr>
                      <w:rFonts w:hint="eastAsia"/>
                    </w:rPr>
                    <w:t>44</w:t>
                  </w:r>
                  <w:r>
                    <w:t>′</w:t>
                  </w:r>
                  <w:r>
                    <w:rPr>
                      <w:rFonts w:hint="eastAsia"/>
                    </w:rPr>
                    <w:t>32.67</w:t>
                  </w:r>
                  <w:r>
                    <w:t>″</w:t>
                  </w:r>
                </w:p>
              </w:tc>
              <w:tc>
                <w:tcPr>
                  <w:tcW w:w="1342" w:type="dxa"/>
                  <w:vAlign w:val="center"/>
                </w:tcPr>
                <w:p>
                  <w:pPr>
                    <w:snapToGrid w:val="0"/>
                    <w:spacing w:line="360" w:lineRule="exact"/>
                    <w:jc w:val="center"/>
                  </w:pPr>
                  <w:r>
                    <w:t>34°4</w:t>
                  </w:r>
                  <w:r>
                    <w:rPr>
                      <w:rFonts w:hint="eastAsia"/>
                    </w:rPr>
                    <w:t>1</w:t>
                  </w:r>
                  <w:r>
                    <w:t>′</w:t>
                  </w:r>
                  <w:r>
                    <w:rPr>
                      <w:rFonts w:hint="eastAsia"/>
                    </w:rPr>
                    <w:t>5.85</w:t>
                  </w:r>
                  <w:r>
                    <w:t>″</w:t>
                  </w:r>
                </w:p>
              </w:tc>
              <w:tc>
                <w:tcPr>
                  <w:tcW w:w="635" w:type="dxa"/>
                  <w:vAlign w:val="center"/>
                </w:tcPr>
                <w:p>
                  <w:pPr>
                    <w:snapToGrid w:val="0"/>
                    <w:spacing w:line="360" w:lineRule="exact"/>
                    <w:jc w:val="center"/>
                  </w:pPr>
                  <w:r>
                    <w:t>N</w:t>
                  </w:r>
                </w:p>
              </w:tc>
              <w:tc>
                <w:tcPr>
                  <w:tcW w:w="970" w:type="dxa"/>
                  <w:vAlign w:val="center"/>
                </w:tcPr>
                <w:p>
                  <w:pPr>
                    <w:snapToGrid w:val="0"/>
                    <w:spacing w:line="360" w:lineRule="exact"/>
                    <w:jc w:val="center"/>
                  </w:pPr>
                  <w:r>
                    <w:rPr>
                      <w:rFonts w:hint="eastAsia"/>
                    </w:rPr>
                    <w:t>170</w:t>
                  </w:r>
                </w:p>
              </w:tc>
              <w:tc>
                <w:tcPr>
                  <w:tcW w:w="1500" w:type="dxa"/>
                  <w:vMerge w:val="restart"/>
                  <w:vAlign w:val="center"/>
                </w:tcPr>
                <w:p>
                  <w:pPr>
                    <w:pStyle w:val="31"/>
                    <w:spacing w:line="360" w:lineRule="exact"/>
                  </w:pPr>
                  <w:r>
                    <w:t>《环境空气质量标准》（GB 3095-2012）二级标准要求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1" w:type="dxa"/>
                  <w:vMerge w:val="continue"/>
                  <w:vAlign w:val="center"/>
                </w:tcPr>
                <w:p>
                  <w:pPr>
                    <w:snapToGrid w:val="0"/>
                    <w:spacing w:line="360" w:lineRule="exact"/>
                    <w:jc w:val="center"/>
                  </w:pPr>
                </w:p>
              </w:tc>
              <w:tc>
                <w:tcPr>
                  <w:tcW w:w="1345" w:type="dxa"/>
                  <w:vAlign w:val="center"/>
                </w:tcPr>
                <w:p>
                  <w:pPr>
                    <w:snapToGrid w:val="0"/>
                    <w:spacing w:line="360" w:lineRule="exact"/>
                    <w:jc w:val="center"/>
                  </w:pPr>
                  <w:r>
                    <w:rPr>
                      <w:rFonts w:hint="eastAsia"/>
                    </w:rPr>
                    <w:t>赵庄街村（2100）</w:t>
                  </w:r>
                </w:p>
              </w:tc>
              <w:tc>
                <w:tcPr>
                  <w:tcW w:w="1464" w:type="dxa"/>
                  <w:vAlign w:val="center"/>
                </w:tcPr>
                <w:p>
                  <w:pPr>
                    <w:snapToGrid w:val="0"/>
                    <w:spacing w:line="360" w:lineRule="exact"/>
                    <w:jc w:val="center"/>
                  </w:pPr>
                  <w:r>
                    <w:rPr>
                      <w:rFonts w:hint="eastAsia"/>
                    </w:rPr>
                    <w:t>1</w:t>
                  </w:r>
                  <w:r>
                    <w:t>12°</w:t>
                  </w:r>
                  <w:r>
                    <w:rPr>
                      <w:rFonts w:hint="eastAsia"/>
                    </w:rPr>
                    <w:t>44</w:t>
                  </w:r>
                  <w:r>
                    <w:t>′</w:t>
                  </w:r>
                  <w:r>
                    <w:rPr>
                      <w:rFonts w:hint="eastAsia"/>
                    </w:rPr>
                    <w:t>39.08</w:t>
                  </w:r>
                  <w:r>
                    <w:t>″</w:t>
                  </w:r>
                </w:p>
              </w:tc>
              <w:tc>
                <w:tcPr>
                  <w:tcW w:w="1342" w:type="dxa"/>
                  <w:vAlign w:val="center"/>
                </w:tcPr>
                <w:p>
                  <w:pPr>
                    <w:snapToGrid w:val="0"/>
                    <w:spacing w:line="360" w:lineRule="exact"/>
                    <w:jc w:val="center"/>
                  </w:pPr>
                  <w:r>
                    <w:t>34°4</w:t>
                  </w:r>
                  <w:r>
                    <w:rPr>
                      <w:rFonts w:hint="eastAsia"/>
                    </w:rPr>
                    <w:t>0</w:t>
                  </w:r>
                  <w:r>
                    <w:t>′</w:t>
                  </w:r>
                  <w:r>
                    <w:rPr>
                      <w:rFonts w:hint="eastAsia"/>
                    </w:rPr>
                    <w:t>45.01</w:t>
                  </w:r>
                  <w:r>
                    <w:t>″</w:t>
                  </w:r>
                </w:p>
              </w:tc>
              <w:tc>
                <w:tcPr>
                  <w:tcW w:w="635" w:type="dxa"/>
                  <w:vAlign w:val="center"/>
                </w:tcPr>
                <w:p>
                  <w:pPr>
                    <w:snapToGrid w:val="0"/>
                    <w:spacing w:line="360" w:lineRule="exact"/>
                    <w:jc w:val="center"/>
                  </w:pPr>
                  <w:r>
                    <w:rPr>
                      <w:rFonts w:hint="eastAsia"/>
                    </w:rPr>
                    <w:t>SE</w:t>
                  </w:r>
                </w:p>
              </w:tc>
              <w:tc>
                <w:tcPr>
                  <w:tcW w:w="970" w:type="dxa"/>
                  <w:vAlign w:val="center"/>
                </w:tcPr>
                <w:p>
                  <w:pPr>
                    <w:snapToGrid w:val="0"/>
                    <w:spacing w:line="360" w:lineRule="exact"/>
                    <w:jc w:val="center"/>
                  </w:pPr>
                  <w:r>
                    <w:rPr>
                      <w:rFonts w:hint="eastAsia"/>
                    </w:rPr>
                    <w:t>130</w:t>
                  </w:r>
                </w:p>
              </w:tc>
              <w:tc>
                <w:tcPr>
                  <w:tcW w:w="1500" w:type="dxa"/>
                  <w:vMerge w:val="continue"/>
                  <w:vAlign w:val="center"/>
                </w:tcPr>
                <w:p>
                  <w:pPr>
                    <w:snapToGrid w:val="0"/>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1" w:type="dxa"/>
                  <w:vMerge w:val="continue"/>
                  <w:vAlign w:val="center"/>
                </w:tcPr>
                <w:p>
                  <w:pPr>
                    <w:snapToGrid w:val="0"/>
                    <w:spacing w:line="360" w:lineRule="exact"/>
                    <w:jc w:val="center"/>
                  </w:pPr>
                </w:p>
              </w:tc>
              <w:tc>
                <w:tcPr>
                  <w:tcW w:w="1345" w:type="dxa"/>
                  <w:vAlign w:val="center"/>
                </w:tcPr>
                <w:p>
                  <w:pPr>
                    <w:snapToGrid w:val="0"/>
                    <w:spacing w:line="360" w:lineRule="exact"/>
                    <w:jc w:val="center"/>
                  </w:pPr>
                  <w:r>
                    <w:rPr>
                      <w:rFonts w:hint="eastAsia"/>
                    </w:rPr>
                    <w:t>黄大王庙村（1000）</w:t>
                  </w:r>
                </w:p>
              </w:tc>
              <w:tc>
                <w:tcPr>
                  <w:tcW w:w="1464" w:type="dxa"/>
                  <w:vAlign w:val="center"/>
                </w:tcPr>
                <w:p>
                  <w:pPr>
                    <w:snapToGrid w:val="0"/>
                    <w:spacing w:line="360" w:lineRule="exact"/>
                    <w:jc w:val="center"/>
                  </w:pPr>
                  <w:r>
                    <w:rPr>
                      <w:rFonts w:hint="eastAsia"/>
                    </w:rPr>
                    <w:t>1</w:t>
                  </w:r>
                  <w:r>
                    <w:t>12°</w:t>
                  </w:r>
                  <w:r>
                    <w:rPr>
                      <w:rFonts w:hint="eastAsia"/>
                    </w:rPr>
                    <w:t>44</w:t>
                  </w:r>
                  <w:r>
                    <w:t>′</w:t>
                  </w:r>
                  <w:r>
                    <w:rPr>
                      <w:rFonts w:hint="eastAsia"/>
                    </w:rPr>
                    <w:t>6.63</w:t>
                  </w:r>
                  <w:r>
                    <w:t>″</w:t>
                  </w:r>
                </w:p>
              </w:tc>
              <w:tc>
                <w:tcPr>
                  <w:tcW w:w="1342" w:type="dxa"/>
                  <w:vAlign w:val="center"/>
                </w:tcPr>
                <w:p>
                  <w:pPr>
                    <w:snapToGrid w:val="0"/>
                    <w:spacing w:line="360" w:lineRule="exact"/>
                    <w:jc w:val="center"/>
                  </w:pPr>
                  <w:r>
                    <w:t>34°4</w:t>
                  </w:r>
                  <w:r>
                    <w:rPr>
                      <w:rFonts w:hint="eastAsia"/>
                    </w:rPr>
                    <w:t>0</w:t>
                  </w:r>
                  <w:r>
                    <w:t>′</w:t>
                  </w:r>
                  <w:r>
                    <w:rPr>
                      <w:rFonts w:hint="eastAsia"/>
                    </w:rPr>
                    <w:t>45.90</w:t>
                  </w:r>
                  <w:r>
                    <w:t>″</w:t>
                  </w:r>
                </w:p>
              </w:tc>
              <w:tc>
                <w:tcPr>
                  <w:tcW w:w="635" w:type="dxa"/>
                  <w:vAlign w:val="center"/>
                </w:tcPr>
                <w:p>
                  <w:pPr>
                    <w:snapToGrid w:val="0"/>
                    <w:spacing w:line="360" w:lineRule="exact"/>
                    <w:jc w:val="center"/>
                  </w:pPr>
                  <w:r>
                    <w:rPr>
                      <w:rFonts w:hint="eastAsia"/>
                    </w:rPr>
                    <w:t>SW</w:t>
                  </w:r>
                </w:p>
              </w:tc>
              <w:tc>
                <w:tcPr>
                  <w:tcW w:w="970" w:type="dxa"/>
                  <w:vAlign w:val="center"/>
                </w:tcPr>
                <w:p>
                  <w:pPr>
                    <w:snapToGrid w:val="0"/>
                    <w:spacing w:line="360" w:lineRule="exact"/>
                    <w:jc w:val="center"/>
                  </w:pPr>
                  <w:r>
                    <w:rPr>
                      <w:rFonts w:hint="eastAsia"/>
                    </w:rPr>
                    <w:t>240</w:t>
                  </w:r>
                </w:p>
              </w:tc>
              <w:tc>
                <w:tcPr>
                  <w:tcW w:w="1500" w:type="dxa"/>
                  <w:vMerge w:val="continue"/>
                  <w:vAlign w:val="center"/>
                </w:tcPr>
                <w:p>
                  <w:pPr>
                    <w:snapToGrid w:val="0"/>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1" w:type="dxa"/>
                  <w:vMerge w:val="continue"/>
                  <w:vAlign w:val="center"/>
                </w:tcPr>
                <w:p>
                  <w:pPr>
                    <w:snapToGrid w:val="0"/>
                    <w:spacing w:line="360" w:lineRule="exact"/>
                    <w:jc w:val="center"/>
                  </w:pPr>
                </w:p>
              </w:tc>
              <w:tc>
                <w:tcPr>
                  <w:tcW w:w="1345" w:type="dxa"/>
                  <w:vAlign w:val="center"/>
                </w:tcPr>
                <w:p>
                  <w:pPr>
                    <w:snapToGrid w:val="0"/>
                    <w:spacing w:line="360" w:lineRule="exact"/>
                    <w:jc w:val="center"/>
                  </w:pPr>
                  <w:r>
                    <w:rPr>
                      <w:rFonts w:hint="eastAsia"/>
                    </w:rPr>
                    <w:t>周堂村（842）</w:t>
                  </w:r>
                </w:p>
              </w:tc>
              <w:tc>
                <w:tcPr>
                  <w:tcW w:w="1464" w:type="dxa"/>
                  <w:vAlign w:val="center"/>
                </w:tcPr>
                <w:p>
                  <w:pPr>
                    <w:snapToGrid w:val="0"/>
                    <w:spacing w:line="360" w:lineRule="exact"/>
                    <w:jc w:val="center"/>
                  </w:pPr>
                  <w:r>
                    <w:rPr>
                      <w:rFonts w:hint="eastAsia"/>
                    </w:rPr>
                    <w:t>1</w:t>
                  </w:r>
                  <w:r>
                    <w:t>12°</w:t>
                  </w:r>
                  <w:r>
                    <w:rPr>
                      <w:rFonts w:hint="eastAsia"/>
                    </w:rPr>
                    <w:t>44</w:t>
                  </w:r>
                  <w:r>
                    <w:t>′</w:t>
                  </w:r>
                  <w:r>
                    <w:rPr>
                      <w:rFonts w:hint="eastAsia"/>
                    </w:rPr>
                    <w:t>5.17</w:t>
                  </w:r>
                  <w:r>
                    <w:t>″</w:t>
                  </w:r>
                </w:p>
              </w:tc>
              <w:tc>
                <w:tcPr>
                  <w:tcW w:w="1342" w:type="dxa"/>
                  <w:vAlign w:val="center"/>
                </w:tcPr>
                <w:p>
                  <w:pPr>
                    <w:snapToGrid w:val="0"/>
                    <w:spacing w:line="360" w:lineRule="exact"/>
                    <w:jc w:val="center"/>
                  </w:pPr>
                  <w:r>
                    <w:t>34°4</w:t>
                  </w:r>
                  <w:r>
                    <w:rPr>
                      <w:rFonts w:hint="eastAsia"/>
                    </w:rPr>
                    <w:t>1</w:t>
                  </w:r>
                  <w:r>
                    <w:t>′</w:t>
                  </w:r>
                  <w:r>
                    <w:rPr>
                      <w:rFonts w:hint="eastAsia"/>
                    </w:rPr>
                    <w:t>0.26</w:t>
                  </w:r>
                  <w:r>
                    <w:t>″</w:t>
                  </w:r>
                </w:p>
              </w:tc>
              <w:tc>
                <w:tcPr>
                  <w:tcW w:w="635" w:type="dxa"/>
                  <w:vAlign w:val="center"/>
                </w:tcPr>
                <w:p>
                  <w:pPr>
                    <w:snapToGrid w:val="0"/>
                    <w:spacing w:line="360" w:lineRule="exact"/>
                    <w:jc w:val="center"/>
                  </w:pPr>
                  <w:r>
                    <w:rPr>
                      <w:rFonts w:hint="eastAsia"/>
                    </w:rPr>
                    <w:t>SE</w:t>
                  </w:r>
                </w:p>
              </w:tc>
              <w:tc>
                <w:tcPr>
                  <w:tcW w:w="970" w:type="dxa"/>
                  <w:vAlign w:val="center"/>
                </w:tcPr>
                <w:p>
                  <w:pPr>
                    <w:snapToGrid w:val="0"/>
                    <w:spacing w:line="360" w:lineRule="exact"/>
                    <w:jc w:val="center"/>
                  </w:pPr>
                  <w:r>
                    <w:rPr>
                      <w:rFonts w:hint="eastAsia"/>
                    </w:rPr>
                    <w:t>360</w:t>
                  </w:r>
                </w:p>
              </w:tc>
              <w:tc>
                <w:tcPr>
                  <w:tcW w:w="1500" w:type="dxa"/>
                  <w:vMerge w:val="continue"/>
                  <w:vAlign w:val="center"/>
                </w:tcPr>
                <w:p>
                  <w:pPr>
                    <w:snapToGrid w:val="0"/>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1" w:type="dxa"/>
                  <w:vAlign w:val="center"/>
                </w:tcPr>
                <w:p>
                  <w:pPr>
                    <w:snapToGrid w:val="0"/>
                    <w:spacing w:line="360" w:lineRule="exact"/>
                    <w:jc w:val="center"/>
                  </w:pPr>
                  <w:r>
                    <w:rPr>
                      <w:rFonts w:hint="eastAsia"/>
                    </w:rPr>
                    <w:t>地下水环境</w:t>
                  </w:r>
                </w:p>
              </w:tc>
              <w:tc>
                <w:tcPr>
                  <w:tcW w:w="1345" w:type="dxa"/>
                  <w:vAlign w:val="center"/>
                </w:tcPr>
                <w:p>
                  <w:pPr>
                    <w:snapToGrid w:val="0"/>
                    <w:spacing w:line="360" w:lineRule="exact"/>
                    <w:jc w:val="center"/>
                  </w:pPr>
                  <w:r>
                    <w:rPr>
                      <w:szCs w:val="21"/>
                    </w:rPr>
                    <w:t>偃师市岳滩镇西水厂地下水井群</w:t>
                  </w:r>
                </w:p>
              </w:tc>
              <w:tc>
                <w:tcPr>
                  <w:tcW w:w="1464" w:type="dxa"/>
                  <w:vAlign w:val="center"/>
                </w:tcPr>
                <w:p>
                  <w:pPr>
                    <w:snapToGrid w:val="0"/>
                    <w:spacing w:line="360" w:lineRule="exact"/>
                    <w:jc w:val="center"/>
                  </w:pPr>
                  <w:r>
                    <w:rPr>
                      <w:rFonts w:hint="eastAsia"/>
                    </w:rPr>
                    <w:t>1</w:t>
                  </w:r>
                  <w:r>
                    <w:t>12°</w:t>
                  </w:r>
                  <w:r>
                    <w:rPr>
                      <w:rFonts w:hint="eastAsia"/>
                    </w:rPr>
                    <w:t>44</w:t>
                  </w:r>
                  <w:r>
                    <w:t>′</w:t>
                  </w:r>
                  <w:r>
                    <w:rPr>
                      <w:rFonts w:hint="eastAsia"/>
                    </w:rPr>
                    <w:t>14.01</w:t>
                  </w:r>
                  <w:r>
                    <w:t>″</w:t>
                  </w:r>
                </w:p>
              </w:tc>
              <w:tc>
                <w:tcPr>
                  <w:tcW w:w="1342" w:type="dxa"/>
                  <w:vAlign w:val="center"/>
                </w:tcPr>
                <w:p>
                  <w:pPr>
                    <w:snapToGrid w:val="0"/>
                    <w:spacing w:line="360" w:lineRule="exact"/>
                    <w:jc w:val="center"/>
                  </w:pPr>
                  <w:r>
                    <w:t>34°4</w:t>
                  </w:r>
                  <w:r>
                    <w:rPr>
                      <w:rFonts w:hint="eastAsia"/>
                    </w:rPr>
                    <w:t>1</w:t>
                  </w:r>
                  <w:r>
                    <w:t>′</w:t>
                  </w:r>
                  <w:r>
                    <w:rPr>
                      <w:rFonts w:hint="eastAsia"/>
                    </w:rPr>
                    <w:t>0.61</w:t>
                  </w:r>
                  <w:r>
                    <w:t>″</w:t>
                  </w:r>
                </w:p>
              </w:tc>
              <w:tc>
                <w:tcPr>
                  <w:tcW w:w="635" w:type="dxa"/>
                  <w:vAlign w:val="center"/>
                </w:tcPr>
                <w:p>
                  <w:pPr>
                    <w:snapToGrid w:val="0"/>
                    <w:spacing w:line="360" w:lineRule="exact"/>
                    <w:jc w:val="center"/>
                  </w:pPr>
                  <w:r>
                    <w:rPr>
                      <w:rFonts w:hint="eastAsia"/>
                    </w:rPr>
                    <w:t>W</w:t>
                  </w:r>
                </w:p>
              </w:tc>
              <w:tc>
                <w:tcPr>
                  <w:tcW w:w="970" w:type="dxa"/>
                  <w:vAlign w:val="center"/>
                </w:tcPr>
                <w:p>
                  <w:pPr>
                    <w:snapToGrid w:val="0"/>
                    <w:spacing w:line="360" w:lineRule="exact"/>
                    <w:jc w:val="center"/>
                  </w:pPr>
                  <w:r>
                    <w:rPr>
                      <w:szCs w:val="21"/>
                    </w:rPr>
                    <w:t>距离一级保护区边界</w:t>
                  </w:r>
                  <w:r>
                    <w:rPr>
                      <w:rFonts w:hint="eastAsia"/>
                      <w:szCs w:val="21"/>
                    </w:rPr>
                    <w:t>43</w:t>
                  </w:r>
                  <w:r>
                    <w:rPr>
                      <w:szCs w:val="21"/>
                    </w:rPr>
                    <w:t>m</w:t>
                  </w:r>
                </w:p>
              </w:tc>
              <w:tc>
                <w:tcPr>
                  <w:tcW w:w="1500" w:type="dxa"/>
                  <w:vAlign w:val="center"/>
                </w:tcPr>
                <w:p>
                  <w:pPr>
                    <w:snapToGrid w:val="0"/>
                    <w:spacing w:line="360" w:lineRule="exact"/>
                    <w:jc w:val="center"/>
                  </w:pPr>
                  <w:r>
                    <w:rPr>
                      <w:szCs w:val="21"/>
                    </w:rPr>
                    <w:t>《地下水质量标准》（GB/T14848-93）III类</w:t>
                  </w:r>
                </w:p>
              </w:tc>
            </w:tr>
          </w:tbl>
          <w:p>
            <w:pPr>
              <w:pStyle w:val="5"/>
            </w:pPr>
          </w:p>
          <w:p>
            <w:pPr>
              <w:adjustRightInd w:val="0"/>
              <w:snapToGrid w:val="0"/>
            </w:pPr>
          </w:p>
          <w:p>
            <w:pPr>
              <w:pStyle w:val="6"/>
            </w:pPr>
          </w:p>
          <w:p>
            <w:pPr>
              <w:pStyle w:val="5"/>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1" w:hRule="atLeast"/>
          <w:jc w:val="center"/>
        </w:trPr>
        <w:tc>
          <w:tcPr>
            <w:tcW w:w="800"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8190" w:type="dxa"/>
            <w:vAlign w:val="center"/>
          </w:tcPr>
          <w:p>
            <w:pPr>
              <w:pStyle w:val="5"/>
              <w:snapToGrid/>
              <w:spacing w:before="0" w:after="0" w:line="360" w:lineRule="auto"/>
              <w:ind w:right="0"/>
              <w:rPr>
                <w:sz w:val="24"/>
                <w:szCs w:val="24"/>
              </w:rPr>
            </w:pPr>
            <w:r>
              <w:rPr>
                <w:sz w:val="24"/>
                <w:szCs w:val="24"/>
              </w:rPr>
              <w:t>1、《</w:t>
            </w:r>
            <w:r>
              <w:rPr>
                <w:rFonts w:hint="eastAsia"/>
                <w:sz w:val="24"/>
                <w:szCs w:val="24"/>
              </w:rPr>
              <w:t>印刷工业挥发性有机物排放标准</w:t>
            </w:r>
            <w:r>
              <w:rPr>
                <w:sz w:val="24"/>
                <w:szCs w:val="24"/>
              </w:rPr>
              <w:t>》（</w:t>
            </w:r>
            <w:r>
              <w:rPr>
                <w:rFonts w:hint="eastAsia"/>
                <w:sz w:val="24"/>
                <w:szCs w:val="24"/>
              </w:rPr>
              <w:t>D</w:t>
            </w:r>
            <w:r>
              <w:rPr>
                <w:sz w:val="24"/>
                <w:szCs w:val="24"/>
              </w:rPr>
              <w:t>B</w:t>
            </w:r>
            <w:r>
              <w:rPr>
                <w:rFonts w:hint="eastAsia"/>
                <w:sz w:val="24"/>
                <w:szCs w:val="24"/>
              </w:rPr>
              <w:t>41/1956</w:t>
            </w:r>
            <w:r>
              <w:rPr>
                <w:sz w:val="24"/>
                <w:szCs w:val="24"/>
              </w:rPr>
              <w:t>-20</w:t>
            </w:r>
            <w:r>
              <w:rPr>
                <w:rFonts w:hint="eastAsia"/>
                <w:sz w:val="24"/>
                <w:szCs w:val="24"/>
              </w:rPr>
              <w:t>20</w:t>
            </w:r>
            <w:r>
              <w:rPr>
                <w:sz w:val="24"/>
                <w:szCs w:val="24"/>
              </w:rPr>
              <w:t>）</w:t>
            </w:r>
          </w:p>
          <w:p>
            <w:pPr>
              <w:pStyle w:val="5"/>
              <w:snapToGrid/>
              <w:spacing w:before="0" w:after="0" w:line="360" w:lineRule="auto"/>
              <w:ind w:right="0" w:firstLine="480" w:firstLineChars="200"/>
              <w:rPr>
                <w:sz w:val="24"/>
                <w:szCs w:val="24"/>
              </w:rPr>
            </w:pPr>
            <w:r>
              <w:rPr>
                <w:rFonts w:hint="eastAsia"/>
                <w:sz w:val="24"/>
                <w:szCs w:val="24"/>
              </w:rPr>
              <w:t>最高允许排放值</w:t>
            </w:r>
            <w:r>
              <w:rPr>
                <w:sz w:val="24"/>
                <w:szCs w:val="24"/>
              </w:rPr>
              <w:t>：非甲烷总烃60mg/m</w:t>
            </w:r>
            <w:r>
              <w:rPr>
                <w:sz w:val="24"/>
                <w:szCs w:val="24"/>
                <w:vertAlign w:val="superscript"/>
              </w:rPr>
              <w:t>3</w:t>
            </w:r>
            <w:r>
              <w:rPr>
                <w:rFonts w:hint="eastAsia"/>
                <w:sz w:val="24"/>
                <w:szCs w:val="24"/>
              </w:rPr>
              <w:t>；</w:t>
            </w:r>
            <w:r>
              <w:rPr>
                <w:sz w:val="24"/>
                <w:szCs w:val="24"/>
              </w:rPr>
              <w:t>1.0kg/h</w:t>
            </w:r>
          </w:p>
          <w:p>
            <w:pPr>
              <w:pStyle w:val="5"/>
              <w:snapToGrid/>
              <w:spacing w:before="0" w:after="0" w:line="360" w:lineRule="auto"/>
              <w:ind w:right="0" w:firstLine="480" w:firstLineChars="200"/>
              <w:rPr>
                <w:sz w:val="24"/>
              </w:rPr>
            </w:pPr>
            <w:r>
              <w:rPr>
                <w:rFonts w:hint="eastAsia"/>
                <w:sz w:val="24"/>
                <w:szCs w:val="24"/>
              </w:rPr>
              <w:t>1h平均浓度值</w:t>
            </w:r>
            <w:r>
              <w:rPr>
                <w:sz w:val="24"/>
                <w:szCs w:val="24"/>
              </w:rPr>
              <w:t>：非甲烷总烃</w:t>
            </w:r>
            <w:r>
              <w:rPr>
                <w:rFonts w:hint="eastAsia"/>
                <w:sz w:val="24"/>
                <w:szCs w:val="24"/>
              </w:rPr>
              <w:t>6</w:t>
            </w:r>
            <w:r>
              <w:rPr>
                <w:sz w:val="24"/>
                <w:szCs w:val="24"/>
              </w:rPr>
              <w:t>.0mg/m</w:t>
            </w:r>
            <w:r>
              <w:rPr>
                <w:sz w:val="24"/>
                <w:szCs w:val="24"/>
                <w:vertAlign w:val="superscript"/>
              </w:rPr>
              <w:t>3</w:t>
            </w:r>
          </w:p>
          <w:p>
            <w:pPr>
              <w:adjustRightInd w:val="0"/>
              <w:snapToGrid w:val="0"/>
              <w:spacing w:line="360" w:lineRule="auto"/>
              <w:rPr>
                <w:bCs/>
                <w:sz w:val="24"/>
              </w:rPr>
            </w:pPr>
            <w:r>
              <w:rPr>
                <w:sz w:val="24"/>
              </w:rPr>
              <w:t>2、《关于全省开展工业企业挥发性有机物专项治理工作中排放建议值的通知》（豫环攻坚办〔2017〕162号）</w:t>
            </w:r>
          </w:p>
          <w:p>
            <w:pPr>
              <w:adjustRightInd w:val="0"/>
              <w:snapToGrid w:val="0"/>
              <w:spacing w:line="360" w:lineRule="auto"/>
              <w:ind w:firstLine="480" w:firstLineChars="200"/>
              <w:rPr>
                <w:bCs/>
                <w:sz w:val="24"/>
                <w:vertAlign w:val="superscript"/>
              </w:rPr>
            </w:pPr>
            <w:r>
              <w:rPr>
                <w:rFonts w:hint="eastAsia"/>
                <w:sz w:val="24"/>
              </w:rPr>
              <w:t>印刷工业</w:t>
            </w:r>
            <w:r>
              <w:rPr>
                <w:sz w:val="24"/>
              </w:rPr>
              <w:t>：非甲烷总烃排放浓度50</w:t>
            </w:r>
            <w:r>
              <w:rPr>
                <w:bCs/>
                <w:sz w:val="24"/>
              </w:rPr>
              <w:t>mg/m</w:t>
            </w:r>
            <w:r>
              <w:rPr>
                <w:bCs/>
                <w:sz w:val="24"/>
                <w:vertAlign w:val="superscript"/>
              </w:rPr>
              <w:t>3</w:t>
            </w:r>
          </w:p>
          <w:p>
            <w:pPr>
              <w:adjustRightInd w:val="0"/>
              <w:snapToGrid w:val="0"/>
              <w:spacing w:line="360" w:lineRule="auto"/>
              <w:ind w:firstLine="480" w:firstLineChars="200"/>
              <w:rPr>
                <w:sz w:val="24"/>
                <w:vertAlign w:val="superscript"/>
              </w:rPr>
            </w:pPr>
            <w:r>
              <w:rPr>
                <w:sz w:val="24"/>
              </w:rPr>
              <w:t>企业边界挥发性有机物排放建议值：非甲烷总烃2.0</w:t>
            </w:r>
            <w:r>
              <w:rPr>
                <w:bCs/>
                <w:sz w:val="24"/>
              </w:rPr>
              <w:t>mg/m</w:t>
            </w:r>
            <w:r>
              <w:rPr>
                <w:bCs/>
                <w:sz w:val="24"/>
                <w:vertAlign w:val="superscript"/>
              </w:rPr>
              <w:t>3</w:t>
            </w:r>
          </w:p>
          <w:p>
            <w:pPr>
              <w:adjustRightInd w:val="0"/>
              <w:snapToGrid w:val="0"/>
              <w:spacing w:line="360" w:lineRule="auto"/>
              <w:rPr>
                <w:sz w:val="24"/>
              </w:rPr>
            </w:pPr>
            <w:r>
              <w:rPr>
                <w:sz w:val="24"/>
              </w:rPr>
              <w:t>3、《挥发性有机物无组织排放控制标准》（GB37822-2019）</w:t>
            </w:r>
          </w:p>
          <w:p>
            <w:pPr>
              <w:adjustRightInd w:val="0"/>
              <w:snapToGrid w:val="0"/>
              <w:spacing w:line="360" w:lineRule="auto"/>
              <w:ind w:firstLine="480" w:firstLineChars="200"/>
              <w:rPr>
                <w:sz w:val="24"/>
                <w:vertAlign w:val="superscript"/>
              </w:rPr>
            </w:pPr>
            <w:r>
              <w:rPr>
                <w:rFonts w:hint="eastAsia"/>
                <w:sz w:val="24"/>
              </w:rPr>
              <w:t>厂房外</w:t>
            </w:r>
            <w:r>
              <w:rPr>
                <w:sz w:val="24"/>
              </w:rPr>
              <w:t>监控点处1h平均浓度值：非甲烷总烃6.0</w:t>
            </w:r>
            <w:r>
              <w:rPr>
                <w:bCs/>
                <w:sz w:val="24"/>
              </w:rPr>
              <w:t>mg/m</w:t>
            </w:r>
            <w:r>
              <w:rPr>
                <w:bCs/>
                <w:sz w:val="24"/>
                <w:vertAlign w:val="superscript"/>
              </w:rPr>
              <w:t>3</w:t>
            </w:r>
          </w:p>
          <w:p>
            <w:pPr>
              <w:adjustRightInd w:val="0"/>
              <w:snapToGrid w:val="0"/>
              <w:spacing w:line="360" w:lineRule="auto"/>
              <w:rPr>
                <w:sz w:val="24"/>
              </w:rPr>
            </w:pPr>
            <w:r>
              <w:rPr>
                <w:sz w:val="24"/>
              </w:rPr>
              <w:t>4、《污水综合排放标准》（GB8978-1996）表4三级</w:t>
            </w:r>
          </w:p>
          <w:p>
            <w:pPr>
              <w:widowControl/>
              <w:adjustRightInd w:val="0"/>
              <w:snapToGrid w:val="0"/>
              <w:spacing w:line="360" w:lineRule="auto"/>
              <w:jc w:val="left"/>
              <w:rPr>
                <w:sz w:val="24"/>
              </w:rPr>
            </w:pPr>
            <w:r>
              <w:rPr>
                <w:kern w:val="28"/>
                <w:sz w:val="24"/>
              </w:rPr>
              <w:t xml:space="preserve">   </w:t>
            </w:r>
            <w:r>
              <w:rPr>
                <w:sz w:val="24"/>
              </w:rPr>
              <w:t xml:space="preserve"> COD：500mg/L，氨氮/</w:t>
            </w:r>
          </w:p>
          <w:p>
            <w:pPr>
              <w:pStyle w:val="5"/>
              <w:adjustRightInd w:val="0"/>
              <w:spacing w:before="0" w:after="0" w:line="360" w:lineRule="auto"/>
              <w:ind w:right="0"/>
              <w:rPr>
                <w:sz w:val="24"/>
                <w:szCs w:val="24"/>
              </w:rPr>
            </w:pPr>
            <w:r>
              <w:rPr>
                <w:sz w:val="24"/>
              </w:rPr>
              <w:t>5、</w:t>
            </w:r>
            <w:r>
              <w:rPr>
                <w:sz w:val="24"/>
                <w:szCs w:val="24"/>
              </w:rPr>
              <w:t>《工业企业厂界环境噪声排放标准》（GB12348-2008）2类：</w:t>
            </w:r>
          </w:p>
          <w:p>
            <w:pPr>
              <w:pStyle w:val="5"/>
              <w:adjustRightInd w:val="0"/>
              <w:spacing w:before="0" w:after="0" w:line="360" w:lineRule="auto"/>
              <w:ind w:right="0" w:firstLine="480" w:firstLineChars="200"/>
              <w:rPr>
                <w:sz w:val="24"/>
                <w:szCs w:val="24"/>
              </w:rPr>
            </w:pPr>
            <w:r>
              <w:rPr>
                <w:sz w:val="24"/>
                <w:szCs w:val="24"/>
              </w:rPr>
              <w:t xml:space="preserve">昼间60dB（A）  </w:t>
            </w:r>
          </w:p>
          <w:p>
            <w:pPr>
              <w:adjustRightInd w:val="0"/>
              <w:snapToGrid w:val="0"/>
              <w:spacing w:line="360" w:lineRule="auto"/>
              <w:rPr>
                <w:kern w:val="0"/>
                <w:szCs w:val="21"/>
              </w:rPr>
            </w:pPr>
            <w:r>
              <w:rPr>
                <w:sz w:val="24"/>
              </w:rPr>
              <w:t>6</w:t>
            </w:r>
            <w:r>
              <w:rPr>
                <w:rFonts w:hint="eastAsia"/>
                <w:sz w:val="24"/>
              </w:rPr>
              <w:t>、</w:t>
            </w:r>
            <w:r>
              <w:rPr>
                <w:rFonts w:hint="eastAsia"/>
                <w:sz w:val="24"/>
                <w:u w:val="single"/>
              </w:rPr>
              <w:t>《危险废物贮存污染控制标准》（GB18597-2023）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8190" w:type="dxa"/>
            <w:vAlign w:val="center"/>
          </w:tcPr>
          <w:p>
            <w:pPr>
              <w:spacing w:line="360" w:lineRule="auto"/>
              <w:ind w:firstLine="480" w:firstLineChars="200"/>
              <w:rPr>
                <w:sz w:val="24"/>
              </w:rPr>
            </w:pPr>
            <w:r>
              <w:rPr>
                <w:sz w:val="24"/>
              </w:rPr>
              <w:t>废水污染物总量控制指标：</w:t>
            </w:r>
          </w:p>
          <w:p>
            <w:pPr>
              <w:spacing w:line="360" w:lineRule="auto"/>
              <w:ind w:firstLine="480" w:firstLineChars="200"/>
              <w:rPr>
                <w:sz w:val="24"/>
              </w:rPr>
            </w:pPr>
            <w:r>
              <w:rPr>
                <w:sz w:val="24"/>
              </w:rPr>
              <w:t>项目厂区生活污水经化粪池预处理后</w:t>
            </w:r>
            <w:r>
              <w:rPr>
                <w:rFonts w:hint="eastAsia"/>
                <w:sz w:val="24"/>
              </w:rPr>
              <w:t>通过市政污水管网进入偃师区第三污水处理厂深度处理</w:t>
            </w:r>
            <w:r>
              <w:rPr>
                <w:sz w:val="24"/>
              </w:rPr>
              <w:t>，</w:t>
            </w:r>
            <w:r>
              <w:rPr>
                <w:spacing w:val="-10"/>
                <w:sz w:val="24"/>
              </w:rPr>
              <w:t>本项目废水总量控制指标</w:t>
            </w:r>
            <w:r>
              <w:rPr>
                <w:color w:val="000000"/>
                <w:spacing w:val="-10"/>
                <w:sz w:val="24"/>
              </w:rPr>
              <w:t>为COD</w:t>
            </w:r>
            <w:r>
              <w:rPr>
                <w:rFonts w:hint="eastAsia"/>
                <w:color w:val="000000"/>
                <w:spacing w:val="-10"/>
                <w:sz w:val="24"/>
              </w:rPr>
              <w:t>0.134t/a</w:t>
            </w:r>
            <w:r>
              <w:rPr>
                <w:color w:val="000000"/>
                <w:spacing w:val="-10"/>
                <w:sz w:val="24"/>
              </w:rPr>
              <w:t>，</w:t>
            </w:r>
            <w:r>
              <w:rPr>
                <w:spacing w:val="-10"/>
                <w:sz w:val="24"/>
              </w:rPr>
              <w:t>氨氮0.</w:t>
            </w:r>
            <w:r>
              <w:rPr>
                <w:rFonts w:hint="eastAsia"/>
                <w:spacing w:val="-10"/>
                <w:sz w:val="24"/>
              </w:rPr>
              <w:t>014t/a</w:t>
            </w:r>
            <w:r>
              <w:rPr>
                <w:sz w:val="24"/>
              </w:rPr>
              <w:t>。</w:t>
            </w:r>
          </w:p>
          <w:p>
            <w:pPr>
              <w:spacing w:line="360" w:lineRule="auto"/>
              <w:ind w:firstLine="480" w:firstLineChars="200"/>
              <w:contextualSpacing/>
              <w:rPr>
                <w:sz w:val="24"/>
              </w:rPr>
            </w:pPr>
            <w:r>
              <w:rPr>
                <w:sz w:val="24"/>
              </w:rPr>
              <w:t>废气污染物总量控制指标：</w:t>
            </w:r>
          </w:p>
          <w:p>
            <w:pPr>
              <w:spacing w:line="360" w:lineRule="auto"/>
              <w:ind w:firstLine="480" w:firstLineChars="200"/>
              <w:rPr>
                <w:sz w:val="24"/>
              </w:rPr>
            </w:pPr>
            <w:r>
              <w:rPr>
                <w:rFonts w:hint="eastAsia"/>
                <w:sz w:val="24"/>
              </w:rPr>
              <w:t>偃师丰河包装材料有限公司年产100万条集装袋加工项目VOCs排放量为0.1022t/a，VOCs替代来源为洛阳珠峰华鹰三轮摩托车有限公司的减排量。</w:t>
            </w:r>
          </w:p>
          <w:p>
            <w:pPr>
              <w:pStyle w:val="2"/>
            </w:pPr>
          </w:p>
          <w:p/>
          <w:p>
            <w:pPr>
              <w:pStyle w:val="2"/>
            </w:pPr>
          </w:p>
          <w:p/>
          <w:p>
            <w:pPr>
              <w:pStyle w:val="2"/>
            </w:pPr>
          </w:p>
          <w:p/>
          <w:p>
            <w:pPr>
              <w:pStyle w:val="2"/>
            </w:pPr>
          </w:p>
          <w:p>
            <w:pPr>
              <w:pStyle w:val="2"/>
              <w:ind w:firstLine="0" w:firstLineChars="0"/>
            </w:pPr>
          </w:p>
        </w:tc>
      </w:tr>
    </w:tbl>
    <w:p>
      <w:pPr>
        <w:pStyle w:val="15"/>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6" w:hRule="atLeast"/>
          <w:jc w:val="center"/>
        </w:trPr>
        <w:tc>
          <w:tcPr>
            <w:tcW w:w="746" w:type="dxa"/>
            <w:tcMar>
              <w:left w:w="28" w:type="dxa"/>
              <w:right w:w="28" w:type="dxa"/>
            </w:tcMar>
            <w:vAlign w:val="center"/>
          </w:tcPr>
          <w:p>
            <w:pPr>
              <w:pStyle w:val="15"/>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施工</w:t>
            </w:r>
          </w:p>
          <w:p>
            <w:pPr>
              <w:pStyle w:val="15"/>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期环</w:t>
            </w:r>
          </w:p>
          <w:p>
            <w:pPr>
              <w:pStyle w:val="15"/>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境保</w:t>
            </w:r>
          </w:p>
          <w:p>
            <w:pPr>
              <w:pStyle w:val="15"/>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护措</w:t>
            </w:r>
          </w:p>
          <w:p>
            <w:pPr>
              <w:pStyle w:val="15"/>
              <w:adjustRightInd w:val="0"/>
              <w:snapToGrid w:val="0"/>
              <w:spacing w:before="0" w:beforeAutospacing="0" w:after="0" w:afterAutospacing="0" w:line="360" w:lineRule="auto"/>
              <w:jc w:val="center"/>
              <w:rPr>
                <w:rFonts w:ascii="Times New Roman" w:hAnsi="Times New Roman"/>
                <w:bCs/>
                <w:kern w:val="2"/>
                <w:sz w:val="21"/>
                <w:szCs w:val="21"/>
              </w:rPr>
            </w:pPr>
            <w:r>
              <w:rPr>
                <w:rFonts w:ascii="Times New Roman" w:hAnsi="Times New Roman"/>
                <w:kern w:val="2"/>
                <w:szCs w:val="24"/>
              </w:rPr>
              <w:t>施</w:t>
            </w:r>
          </w:p>
        </w:tc>
        <w:tc>
          <w:tcPr>
            <w:tcW w:w="8162" w:type="dxa"/>
            <w:vAlign w:val="center"/>
          </w:tcPr>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本项目利用现有厂房进行建设，施工期主要建设内容为设备安装；企业购置设备安装后进行生产。施工期主要影响为生产设备安装过程中产生的垃圾、施工人员生活垃圾和生活污水、设备安装噪声等。</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施工期废水主要为施工人员生活污水，施工人员为附近村民，不在厂区内住宿，施工期生活污水主要为洗手洗脸废水，用于厂区降尘。</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施工期噪声主要来源于设备安装、调试工程，由于本项目设备均在车间内，因此设备安装、调试过程中产生的噪声经车间隔音后，对周围声环境影响较小。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施工期固体废物主要为外购设备包装材料，施工人员生活垃圾。废包装材料量较少，集中收集后外卖给废品回收站；施工人员均为附近村民，不在厂区内住宿，生活垃圾产生量较少，由当地环卫部门及时清运至生活垃圾填埋场处理。本项目施工过程中产生的固体废物均得到合理处置，对周围环境影响较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本项目主要施工内容为车间内生产设备和环保治理设施安装，施工期结束后上述影响也随之消失，只要加强施工期的管理，做好施工期生活污水、噪声、固体废物的处置，施工期对周围环境影响较小。</w:t>
            </w:r>
          </w:p>
          <w:p>
            <w:pPr>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pStyle w:val="3"/>
              <w:rPr>
                <w:rFonts w:ascii="宋体" w:hAnsi="宋体" w:eastAsia="宋体" w:cs="宋体"/>
                <w:sz w:val="24"/>
                <w:szCs w:val="24"/>
              </w:rPr>
            </w:pPr>
          </w:p>
          <w:p>
            <w:pPr>
              <w:rPr>
                <w:rFonts w:ascii="宋体" w:hAnsi="宋体" w:cs="宋体"/>
                <w:sz w:val="24"/>
              </w:rPr>
            </w:pPr>
          </w:p>
          <w:p>
            <w:pPr>
              <w:pStyle w:val="3"/>
              <w:rPr>
                <w:rFonts w:ascii="宋体" w:hAnsi="宋体" w:eastAsia="宋体" w:cs="宋体"/>
                <w:sz w:val="24"/>
                <w:szCs w:val="24"/>
              </w:rPr>
            </w:pPr>
          </w:p>
          <w:p>
            <w:pPr>
              <w:rPr>
                <w:rFonts w:ascii="宋体" w:hAnsi="宋体" w:cs="宋体"/>
                <w:sz w:val="24"/>
              </w:rPr>
            </w:pPr>
          </w:p>
          <w:p>
            <w:pPr>
              <w:pStyle w:val="6"/>
            </w:pPr>
          </w:p>
          <w:p>
            <w:pPr>
              <w:pStyle w:val="5"/>
            </w:pPr>
          </w:p>
          <w:p>
            <w:pPr>
              <w:pStyle w:val="9"/>
              <w:numPr>
                <w:ilvl w:val="0"/>
                <w:numId w:val="0"/>
              </w:numPr>
            </w:pPr>
          </w:p>
          <w:p>
            <w:pPr>
              <w:pStyle w:val="9"/>
              <w:numPr>
                <w:ilvl w:val="0"/>
                <w:numId w:val="0"/>
              </w:numPr>
              <w:ind w:left="2040" w:hanging="360"/>
            </w:pPr>
          </w:p>
          <w:p>
            <w:pPr>
              <w:pStyle w:val="3"/>
              <w:rPr>
                <w:rFonts w:ascii="宋体" w:hAnsi="宋体" w:eastAsia="宋体" w:cs="宋体"/>
                <w:sz w:val="24"/>
                <w:szCs w:val="24"/>
              </w:rPr>
            </w:pPr>
          </w:p>
          <w:p>
            <w:pPr>
              <w:rPr>
                <w:rFonts w:ascii="宋体" w:hAnsi="宋体" w:cs="宋体"/>
                <w:sz w:val="24"/>
              </w:rPr>
            </w:pPr>
          </w:p>
          <w:p>
            <w:pPr>
              <w:adjustRightInd w:val="0"/>
              <w:snapToGrid w:val="0"/>
              <w:spacing w:line="440" w:lineRule="exact"/>
              <w:rPr>
                <w:bCs/>
                <w:spacing w:val="-10"/>
                <w:szCs w:val="21"/>
              </w:rPr>
            </w:pPr>
          </w:p>
        </w:tc>
      </w:tr>
    </w:tbl>
    <w:p>
      <w:pPr>
        <w:adjustRightInd w:val="0"/>
        <w:snapToGrid w:val="0"/>
        <w:spacing w:line="440" w:lineRule="exact"/>
        <w:ind w:firstLine="420" w:firstLineChars="200"/>
        <w:sectPr>
          <w:pgSz w:w="11907" w:h="16840"/>
          <w:pgMar w:top="1531" w:right="1531" w:bottom="1531" w:left="1531" w:header="851" w:footer="1134" w:gutter="0"/>
          <w:cols w:space="720" w:num="1"/>
          <w:docGrid w:linePitch="312" w:charSpace="0"/>
        </w:sect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689" w:type="dxa"/>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pStyle w:val="3"/>
              <w:jc w:val="center"/>
            </w:pPr>
            <w:r>
              <w:rPr>
                <w:rFonts w:eastAsia="宋体"/>
                <w:b w:val="0"/>
                <w:color w:val="auto"/>
                <w:kern w:val="2"/>
                <w:sz w:val="24"/>
                <w:szCs w:val="24"/>
              </w:rPr>
              <w:t>措施</w:t>
            </w:r>
          </w:p>
        </w:tc>
        <w:tc>
          <w:tcPr>
            <w:tcW w:w="13433" w:type="dxa"/>
            <w:vAlign w:val="center"/>
          </w:tcPr>
          <w:p>
            <w:pPr>
              <w:adjustRightInd w:val="0"/>
              <w:snapToGrid w:val="0"/>
              <w:spacing w:before="120" w:beforeLines="50" w:line="360" w:lineRule="auto"/>
              <w:rPr>
                <w:rFonts w:ascii="宋体" w:hAnsi="宋体" w:cs="宋体"/>
                <w:b/>
                <w:bCs/>
                <w:sz w:val="24"/>
              </w:rPr>
            </w:pPr>
            <w:r>
              <w:rPr>
                <w:rFonts w:hint="eastAsia" w:ascii="宋体" w:hAnsi="宋体" w:cs="宋体"/>
                <w:b/>
                <w:bCs/>
                <w:sz w:val="24"/>
              </w:rPr>
              <w:t>1 废气</w:t>
            </w:r>
          </w:p>
          <w:p>
            <w:pPr>
              <w:pStyle w:val="70"/>
              <w:spacing w:line="440" w:lineRule="exact"/>
              <w:rPr>
                <w:rFonts w:ascii="宋体" w:hAnsi="宋体" w:cs="宋体"/>
                <w:u w:val="single"/>
              </w:rPr>
            </w:pPr>
            <w:r>
              <w:rPr>
                <w:rFonts w:hint="eastAsia" w:ascii="宋体" w:hAnsi="宋体" w:cs="宋体"/>
                <w:u w:val="single"/>
              </w:rPr>
              <w:t>工程实施后印刷机在车间二次密闭，基布和涂膜布</w:t>
            </w:r>
            <w:r>
              <w:rPr>
                <w:rFonts w:hint="eastAsia"/>
                <w:u w:val="single"/>
              </w:rPr>
              <w:t>剪裁、印刷</w:t>
            </w:r>
            <w:r>
              <w:rPr>
                <w:u w:val="single"/>
              </w:rPr>
              <w:t>工序产生的有机废气，经集气设施收集后，经1套“</w:t>
            </w:r>
            <w:r>
              <w:rPr>
                <w:rFonts w:hint="eastAsia"/>
                <w:u w:val="single"/>
              </w:rPr>
              <w:t>UV光氧</w:t>
            </w:r>
            <w:r>
              <w:rPr>
                <w:u w:val="single"/>
              </w:rPr>
              <w:t>+活性炭吸附”装置进行处理，处理后的废气</w:t>
            </w:r>
            <w:r>
              <w:rPr>
                <w:rFonts w:hint="eastAsia"/>
                <w:u w:val="single"/>
              </w:rPr>
              <w:t>进入</w:t>
            </w:r>
            <w:r>
              <w:rPr>
                <w:u w:val="single"/>
              </w:rPr>
              <w:t>1根15m高排气筒排放。工程废气污染物排放情况统计见下</w:t>
            </w:r>
            <w:r>
              <w:rPr>
                <w:rFonts w:hint="eastAsia" w:ascii="宋体" w:hAnsi="宋体" w:cs="宋体"/>
                <w:u w:val="single"/>
              </w:rPr>
              <w:t>表。</w:t>
            </w:r>
          </w:p>
          <w:p>
            <w:pPr>
              <w:pStyle w:val="2"/>
              <w:spacing w:line="440" w:lineRule="exact"/>
              <w:ind w:firstLine="480"/>
              <w:jc w:val="center"/>
              <w:rPr>
                <w:rFonts w:eastAsia="黑体"/>
                <w:sz w:val="24"/>
                <w:szCs w:val="24"/>
                <w:u w:val="single"/>
              </w:rPr>
            </w:pPr>
            <w:r>
              <w:rPr>
                <w:rFonts w:eastAsia="黑体"/>
                <w:sz w:val="24"/>
                <w:szCs w:val="24"/>
                <w:u w:val="single"/>
              </w:rPr>
              <w:t>表4-1  项目主要大气污染物治理设施及产排情况汇总表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43"/>
              <w:gridCol w:w="779"/>
              <w:gridCol w:w="819"/>
              <w:gridCol w:w="864"/>
              <w:gridCol w:w="893"/>
              <w:gridCol w:w="713"/>
              <w:gridCol w:w="2551"/>
              <w:gridCol w:w="897"/>
              <w:gridCol w:w="1051"/>
              <w:gridCol w:w="1028"/>
              <w:gridCol w:w="99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753" w:type="dxa"/>
                  <w:vMerge w:val="restart"/>
                  <w:vAlign w:val="center"/>
                </w:tcPr>
                <w:p>
                  <w:pPr>
                    <w:spacing w:line="360" w:lineRule="exact"/>
                    <w:jc w:val="center"/>
                    <w:rPr>
                      <w:u w:val="single"/>
                      <w:lang w:val="zh-CN"/>
                    </w:rPr>
                  </w:pPr>
                  <w:r>
                    <w:rPr>
                      <w:u w:val="single"/>
                      <w:lang w:val="zh-CN"/>
                    </w:rPr>
                    <w:t>生产工序</w:t>
                  </w:r>
                </w:p>
              </w:tc>
              <w:tc>
                <w:tcPr>
                  <w:tcW w:w="943" w:type="dxa"/>
                  <w:vMerge w:val="restart"/>
                  <w:vAlign w:val="center"/>
                </w:tcPr>
                <w:p>
                  <w:pPr>
                    <w:spacing w:line="360" w:lineRule="exact"/>
                    <w:jc w:val="center"/>
                    <w:rPr>
                      <w:u w:val="single"/>
                      <w:lang w:val="zh-CN"/>
                    </w:rPr>
                  </w:pPr>
                  <w:r>
                    <w:rPr>
                      <w:u w:val="single"/>
                      <w:lang w:val="zh-CN"/>
                    </w:rPr>
                    <w:t>主要产污设施</w:t>
                  </w:r>
                </w:p>
              </w:tc>
              <w:tc>
                <w:tcPr>
                  <w:tcW w:w="779" w:type="dxa"/>
                  <w:vMerge w:val="restart"/>
                  <w:vAlign w:val="center"/>
                </w:tcPr>
                <w:p>
                  <w:pPr>
                    <w:spacing w:line="360" w:lineRule="exact"/>
                    <w:jc w:val="center"/>
                    <w:rPr>
                      <w:u w:val="single"/>
                      <w:lang w:val="zh-CN"/>
                    </w:rPr>
                  </w:pPr>
                  <w:r>
                    <w:rPr>
                      <w:u w:val="single"/>
                      <w:lang w:val="zh-CN"/>
                    </w:rPr>
                    <w:t>主要产污环节</w:t>
                  </w:r>
                </w:p>
              </w:tc>
              <w:tc>
                <w:tcPr>
                  <w:tcW w:w="819" w:type="dxa"/>
                  <w:vMerge w:val="restart"/>
                  <w:vAlign w:val="center"/>
                </w:tcPr>
                <w:p>
                  <w:pPr>
                    <w:adjustRightInd w:val="0"/>
                    <w:snapToGrid w:val="0"/>
                    <w:spacing w:line="360" w:lineRule="exact"/>
                    <w:ind w:left="-105" w:leftChars="-50" w:right="-105" w:rightChars="-50"/>
                    <w:jc w:val="center"/>
                    <w:rPr>
                      <w:u w:val="single"/>
                      <w:lang w:val="zh-CN"/>
                    </w:rPr>
                  </w:pPr>
                  <w:r>
                    <w:rPr>
                      <w:u w:val="single"/>
                      <w:lang w:val="zh-CN"/>
                    </w:rPr>
                    <w:t>主要污染物</w:t>
                  </w:r>
                </w:p>
              </w:tc>
              <w:tc>
                <w:tcPr>
                  <w:tcW w:w="864" w:type="dxa"/>
                  <w:vMerge w:val="restart"/>
                  <w:vAlign w:val="center"/>
                </w:tcPr>
                <w:p>
                  <w:pPr>
                    <w:spacing w:line="360" w:lineRule="exact"/>
                    <w:jc w:val="center"/>
                    <w:rPr>
                      <w:u w:val="single"/>
                      <w:lang w:val="zh-CN"/>
                    </w:rPr>
                  </w:pPr>
                  <w:r>
                    <w:rPr>
                      <w:u w:val="single"/>
                      <w:lang w:val="zh-CN"/>
                    </w:rPr>
                    <w:t>污染物产生量t/a</w:t>
                  </w:r>
                </w:p>
              </w:tc>
              <w:tc>
                <w:tcPr>
                  <w:tcW w:w="893" w:type="dxa"/>
                  <w:vMerge w:val="restart"/>
                  <w:vAlign w:val="center"/>
                </w:tcPr>
                <w:p>
                  <w:pPr>
                    <w:adjustRightInd w:val="0"/>
                    <w:snapToGrid w:val="0"/>
                    <w:spacing w:line="360" w:lineRule="exact"/>
                    <w:ind w:left="-105" w:leftChars="-50" w:right="-105" w:rightChars="-50"/>
                    <w:jc w:val="center"/>
                    <w:rPr>
                      <w:u w:val="single"/>
                      <w:lang w:val="zh-CN"/>
                    </w:rPr>
                  </w:pPr>
                  <w:r>
                    <w:rPr>
                      <w:u w:val="single"/>
                      <w:lang w:val="zh-CN"/>
                    </w:rPr>
                    <w:t>污染物产生浓度mg/m</w:t>
                  </w:r>
                  <w:r>
                    <w:rPr>
                      <w:u w:val="single"/>
                      <w:vertAlign w:val="superscript"/>
                      <w:lang w:val="zh-CN"/>
                    </w:rPr>
                    <w:t>3</w:t>
                  </w:r>
                </w:p>
              </w:tc>
              <w:tc>
                <w:tcPr>
                  <w:tcW w:w="713" w:type="dxa"/>
                  <w:vMerge w:val="restart"/>
                  <w:vAlign w:val="center"/>
                </w:tcPr>
                <w:p>
                  <w:pPr>
                    <w:spacing w:line="360" w:lineRule="exact"/>
                    <w:jc w:val="center"/>
                    <w:rPr>
                      <w:u w:val="single"/>
                      <w:lang w:val="zh-CN"/>
                    </w:rPr>
                  </w:pPr>
                  <w:r>
                    <w:rPr>
                      <w:u w:val="single"/>
                      <w:lang w:val="zh-CN"/>
                    </w:rPr>
                    <w:t>排放形式</w:t>
                  </w:r>
                </w:p>
              </w:tc>
              <w:tc>
                <w:tcPr>
                  <w:tcW w:w="3448" w:type="dxa"/>
                  <w:gridSpan w:val="2"/>
                  <w:vAlign w:val="center"/>
                </w:tcPr>
                <w:p>
                  <w:pPr>
                    <w:spacing w:line="360" w:lineRule="exact"/>
                    <w:jc w:val="center"/>
                    <w:rPr>
                      <w:u w:val="single"/>
                      <w:lang w:val="zh-CN"/>
                    </w:rPr>
                  </w:pPr>
                  <w:r>
                    <w:rPr>
                      <w:u w:val="single"/>
                      <w:lang w:val="zh-CN"/>
                    </w:rPr>
                    <w:t>治理设施</w:t>
                  </w:r>
                </w:p>
              </w:tc>
              <w:tc>
                <w:tcPr>
                  <w:tcW w:w="1051" w:type="dxa"/>
                  <w:vMerge w:val="restart"/>
                  <w:vAlign w:val="center"/>
                </w:tcPr>
                <w:p>
                  <w:pPr>
                    <w:spacing w:line="360" w:lineRule="exact"/>
                    <w:jc w:val="center"/>
                    <w:rPr>
                      <w:u w:val="single"/>
                      <w:lang w:val="zh-CN"/>
                    </w:rPr>
                  </w:pPr>
                  <w:r>
                    <w:rPr>
                      <w:u w:val="single"/>
                      <w:lang w:val="zh-CN"/>
                    </w:rPr>
                    <w:t>污染物排放浓度mg/m</w:t>
                  </w:r>
                  <w:r>
                    <w:rPr>
                      <w:u w:val="single"/>
                      <w:vertAlign w:val="superscript"/>
                      <w:lang w:val="zh-CN"/>
                    </w:rPr>
                    <w:t>3</w:t>
                  </w:r>
                </w:p>
              </w:tc>
              <w:tc>
                <w:tcPr>
                  <w:tcW w:w="1028" w:type="dxa"/>
                  <w:vMerge w:val="restart"/>
                  <w:vAlign w:val="center"/>
                </w:tcPr>
                <w:p>
                  <w:pPr>
                    <w:spacing w:line="360" w:lineRule="exact"/>
                    <w:jc w:val="center"/>
                    <w:rPr>
                      <w:u w:val="single"/>
                    </w:rPr>
                  </w:pPr>
                  <w:r>
                    <w:rPr>
                      <w:u w:val="single"/>
                      <w:lang w:val="zh-CN"/>
                    </w:rPr>
                    <w:t>污染物排放速率</w:t>
                  </w:r>
                  <w:r>
                    <w:rPr>
                      <w:u w:val="single"/>
                    </w:rPr>
                    <w:t>kg/h</w:t>
                  </w:r>
                </w:p>
              </w:tc>
              <w:tc>
                <w:tcPr>
                  <w:tcW w:w="993" w:type="dxa"/>
                  <w:vMerge w:val="restart"/>
                  <w:vAlign w:val="center"/>
                </w:tcPr>
                <w:p>
                  <w:pPr>
                    <w:spacing w:line="360" w:lineRule="exact"/>
                    <w:jc w:val="center"/>
                    <w:rPr>
                      <w:u w:val="single"/>
                      <w:lang w:val="zh-CN"/>
                    </w:rPr>
                  </w:pPr>
                  <w:r>
                    <w:rPr>
                      <w:u w:val="single"/>
                      <w:lang w:val="zh-CN"/>
                    </w:rPr>
                    <w:t>污染物排放量t/a</w:t>
                  </w:r>
                </w:p>
              </w:tc>
              <w:tc>
                <w:tcPr>
                  <w:tcW w:w="910" w:type="dxa"/>
                  <w:vMerge w:val="restart"/>
                  <w:vAlign w:val="center"/>
                </w:tcPr>
                <w:p>
                  <w:pPr>
                    <w:adjustRightInd w:val="0"/>
                    <w:snapToGrid w:val="0"/>
                    <w:spacing w:line="360" w:lineRule="exact"/>
                    <w:ind w:left="-105" w:leftChars="-50" w:right="-105" w:rightChars="-50"/>
                    <w:jc w:val="center"/>
                    <w:rPr>
                      <w:u w:val="single"/>
                      <w:lang w:val="zh-CN"/>
                    </w:rPr>
                  </w:pPr>
                  <w:r>
                    <w:rPr>
                      <w:u w:val="single"/>
                      <w:lang w:val="zh-CN"/>
                    </w:rPr>
                    <w:t>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53" w:type="dxa"/>
                  <w:vMerge w:val="continue"/>
                  <w:vAlign w:val="center"/>
                </w:tcPr>
                <w:p>
                  <w:pPr>
                    <w:spacing w:line="360" w:lineRule="exact"/>
                    <w:jc w:val="center"/>
                    <w:rPr>
                      <w:u w:val="single"/>
                    </w:rPr>
                  </w:pPr>
                </w:p>
              </w:tc>
              <w:tc>
                <w:tcPr>
                  <w:tcW w:w="943" w:type="dxa"/>
                  <w:vMerge w:val="continue"/>
                  <w:vAlign w:val="center"/>
                </w:tcPr>
                <w:p>
                  <w:pPr>
                    <w:spacing w:line="360" w:lineRule="exact"/>
                    <w:jc w:val="center"/>
                    <w:rPr>
                      <w:u w:val="single"/>
                    </w:rPr>
                  </w:pPr>
                </w:p>
              </w:tc>
              <w:tc>
                <w:tcPr>
                  <w:tcW w:w="779" w:type="dxa"/>
                  <w:vMerge w:val="continue"/>
                  <w:vAlign w:val="center"/>
                </w:tcPr>
                <w:p>
                  <w:pPr>
                    <w:spacing w:line="360" w:lineRule="exact"/>
                    <w:jc w:val="center"/>
                    <w:rPr>
                      <w:u w:val="single"/>
                    </w:rPr>
                  </w:pPr>
                </w:p>
              </w:tc>
              <w:tc>
                <w:tcPr>
                  <w:tcW w:w="819" w:type="dxa"/>
                  <w:vMerge w:val="continue"/>
                  <w:vAlign w:val="center"/>
                </w:tcPr>
                <w:p>
                  <w:pPr>
                    <w:spacing w:line="360" w:lineRule="exact"/>
                    <w:jc w:val="center"/>
                    <w:rPr>
                      <w:u w:val="single"/>
                    </w:rPr>
                  </w:pPr>
                </w:p>
              </w:tc>
              <w:tc>
                <w:tcPr>
                  <w:tcW w:w="864" w:type="dxa"/>
                  <w:vMerge w:val="continue"/>
                  <w:vAlign w:val="center"/>
                </w:tcPr>
                <w:p>
                  <w:pPr>
                    <w:spacing w:line="360" w:lineRule="exact"/>
                    <w:jc w:val="center"/>
                    <w:rPr>
                      <w:u w:val="single"/>
                    </w:rPr>
                  </w:pPr>
                </w:p>
              </w:tc>
              <w:tc>
                <w:tcPr>
                  <w:tcW w:w="893" w:type="dxa"/>
                  <w:vMerge w:val="continue"/>
                  <w:vAlign w:val="center"/>
                </w:tcPr>
                <w:p>
                  <w:pPr>
                    <w:spacing w:line="360" w:lineRule="exact"/>
                    <w:jc w:val="center"/>
                    <w:rPr>
                      <w:u w:val="single"/>
                    </w:rPr>
                  </w:pPr>
                </w:p>
              </w:tc>
              <w:tc>
                <w:tcPr>
                  <w:tcW w:w="713" w:type="dxa"/>
                  <w:vMerge w:val="continue"/>
                  <w:vAlign w:val="center"/>
                </w:tcPr>
                <w:p>
                  <w:pPr>
                    <w:spacing w:line="360" w:lineRule="exact"/>
                    <w:jc w:val="center"/>
                    <w:rPr>
                      <w:u w:val="single"/>
                    </w:rPr>
                  </w:pPr>
                </w:p>
              </w:tc>
              <w:tc>
                <w:tcPr>
                  <w:tcW w:w="2551" w:type="dxa"/>
                  <w:vAlign w:val="center"/>
                </w:tcPr>
                <w:p>
                  <w:pPr>
                    <w:spacing w:line="360" w:lineRule="exact"/>
                    <w:jc w:val="center"/>
                    <w:rPr>
                      <w:u w:val="single"/>
                      <w:lang w:val="zh-CN"/>
                    </w:rPr>
                  </w:pPr>
                  <w:r>
                    <w:rPr>
                      <w:u w:val="single"/>
                      <w:lang w:val="zh-CN"/>
                    </w:rPr>
                    <w:t>名称、处理能力、收集效率、去除率</w:t>
                  </w:r>
                </w:p>
              </w:tc>
              <w:tc>
                <w:tcPr>
                  <w:tcW w:w="897" w:type="dxa"/>
                  <w:vAlign w:val="center"/>
                </w:tcPr>
                <w:p>
                  <w:pPr>
                    <w:spacing w:line="360" w:lineRule="exact"/>
                    <w:jc w:val="center"/>
                    <w:rPr>
                      <w:u w:val="single"/>
                      <w:lang w:val="zh-CN"/>
                    </w:rPr>
                  </w:pPr>
                  <w:r>
                    <w:rPr>
                      <w:u w:val="single"/>
                      <w:lang w:val="zh-CN"/>
                    </w:rPr>
                    <w:t>是否技术可行</w:t>
                  </w:r>
                </w:p>
              </w:tc>
              <w:tc>
                <w:tcPr>
                  <w:tcW w:w="1051" w:type="dxa"/>
                  <w:vMerge w:val="continue"/>
                  <w:vAlign w:val="center"/>
                </w:tcPr>
                <w:p>
                  <w:pPr>
                    <w:spacing w:line="360" w:lineRule="exact"/>
                    <w:jc w:val="center"/>
                    <w:rPr>
                      <w:u w:val="single"/>
                      <w:lang w:val="zh-CN"/>
                    </w:rPr>
                  </w:pPr>
                </w:p>
              </w:tc>
              <w:tc>
                <w:tcPr>
                  <w:tcW w:w="1028" w:type="dxa"/>
                  <w:vMerge w:val="continue"/>
                  <w:vAlign w:val="center"/>
                </w:tcPr>
                <w:p>
                  <w:pPr>
                    <w:spacing w:line="360" w:lineRule="exact"/>
                    <w:jc w:val="center"/>
                    <w:rPr>
                      <w:u w:val="single"/>
                      <w:lang w:val="zh-CN"/>
                    </w:rPr>
                  </w:pPr>
                </w:p>
              </w:tc>
              <w:tc>
                <w:tcPr>
                  <w:tcW w:w="993" w:type="dxa"/>
                  <w:vMerge w:val="continue"/>
                  <w:vAlign w:val="center"/>
                </w:tcPr>
                <w:p>
                  <w:pPr>
                    <w:spacing w:line="360" w:lineRule="exact"/>
                    <w:jc w:val="center"/>
                    <w:rPr>
                      <w:u w:val="single"/>
                      <w:lang w:val="zh-CN"/>
                    </w:rPr>
                  </w:pPr>
                </w:p>
              </w:tc>
              <w:tc>
                <w:tcPr>
                  <w:tcW w:w="910" w:type="dxa"/>
                  <w:vMerge w:val="continue"/>
                  <w:vAlign w:val="center"/>
                </w:tcPr>
                <w:p>
                  <w:pPr>
                    <w:spacing w:line="360" w:lineRule="exact"/>
                    <w:jc w:val="center"/>
                    <w:rPr>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Merge w:val="restart"/>
                  <w:vAlign w:val="center"/>
                </w:tcPr>
                <w:p>
                  <w:pPr>
                    <w:spacing w:line="360" w:lineRule="exact"/>
                    <w:jc w:val="center"/>
                    <w:rPr>
                      <w:u w:val="single"/>
                      <w:lang w:val="zh-CN"/>
                    </w:rPr>
                  </w:pPr>
                  <w:r>
                    <w:rPr>
                      <w:rFonts w:hint="eastAsia"/>
                      <w:u w:val="single"/>
                      <w:lang w:val="zh-CN"/>
                    </w:rPr>
                    <w:t>剪裁、调墨、印刷工序</w:t>
                  </w:r>
                </w:p>
              </w:tc>
              <w:tc>
                <w:tcPr>
                  <w:tcW w:w="943" w:type="dxa"/>
                  <w:vAlign w:val="center"/>
                </w:tcPr>
                <w:p>
                  <w:pPr>
                    <w:spacing w:line="300" w:lineRule="exact"/>
                    <w:jc w:val="center"/>
                    <w:rPr>
                      <w:u w:val="single"/>
                      <w:lang w:val="zh-CN"/>
                    </w:rPr>
                  </w:pPr>
                  <w:r>
                    <w:rPr>
                      <w:rFonts w:hint="eastAsia"/>
                      <w:u w:val="single"/>
                      <w:lang w:val="zh-CN"/>
                    </w:rPr>
                    <w:t>裁布机、裁带机</w:t>
                  </w:r>
                </w:p>
              </w:tc>
              <w:tc>
                <w:tcPr>
                  <w:tcW w:w="779" w:type="dxa"/>
                  <w:vAlign w:val="center"/>
                </w:tcPr>
                <w:p>
                  <w:pPr>
                    <w:spacing w:line="300" w:lineRule="exact"/>
                    <w:jc w:val="center"/>
                    <w:rPr>
                      <w:u w:val="single"/>
                      <w:lang w:val="zh-CN"/>
                    </w:rPr>
                  </w:pPr>
                  <w:r>
                    <w:rPr>
                      <w:rFonts w:hint="eastAsia"/>
                      <w:u w:val="single"/>
                      <w:lang w:val="zh-CN"/>
                    </w:rPr>
                    <w:t>剪裁</w:t>
                  </w:r>
                </w:p>
              </w:tc>
              <w:tc>
                <w:tcPr>
                  <w:tcW w:w="819" w:type="dxa"/>
                  <w:vAlign w:val="center"/>
                </w:tcPr>
                <w:p>
                  <w:pPr>
                    <w:spacing w:line="360" w:lineRule="exact"/>
                    <w:ind w:left="-105" w:leftChars="-50" w:right="-105" w:rightChars="-50"/>
                    <w:jc w:val="center"/>
                    <w:rPr>
                      <w:u w:val="single"/>
                      <w:lang w:val="zh-CN"/>
                    </w:rPr>
                  </w:pPr>
                  <w:r>
                    <w:rPr>
                      <w:rFonts w:hint="eastAsia"/>
                      <w:u w:val="single"/>
                      <w:lang w:val="zh-CN"/>
                    </w:rPr>
                    <w:t>非甲烷总烃</w:t>
                  </w:r>
                </w:p>
              </w:tc>
              <w:tc>
                <w:tcPr>
                  <w:tcW w:w="864" w:type="dxa"/>
                  <w:vMerge w:val="restart"/>
                  <w:vAlign w:val="center"/>
                </w:tcPr>
                <w:p>
                  <w:pPr>
                    <w:spacing w:line="360" w:lineRule="exact"/>
                    <w:jc w:val="center"/>
                    <w:rPr>
                      <w:highlight w:val="yellow"/>
                      <w:u w:val="single"/>
                      <w:lang w:val="zh-CN"/>
                    </w:rPr>
                  </w:pPr>
                  <w:r>
                    <w:rPr>
                      <w:rFonts w:hint="eastAsia"/>
                      <w:u w:val="single"/>
                      <w:lang w:val="zh-CN"/>
                    </w:rPr>
                    <w:t>0.</w:t>
                  </w:r>
                  <w:r>
                    <w:rPr>
                      <w:rFonts w:hint="eastAsia"/>
                      <w:u w:val="single"/>
                    </w:rPr>
                    <w:t>3286</w:t>
                  </w:r>
                  <w:r>
                    <w:rPr>
                      <w:u w:val="single"/>
                      <w:lang w:val="zh-CN"/>
                    </w:rPr>
                    <w:t xml:space="preserve">   </w:t>
                  </w:r>
                </w:p>
              </w:tc>
              <w:tc>
                <w:tcPr>
                  <w:tcW w:w="893" w:type="dxa"/>
                  <w:vMerge w:val="restart"/>
                  <w:vAlign w:val="center"/>
                </w:tcPr>
                <w:p>
                  <w:pPr>
                    <w:spacing w:line="360" w:lineRule="exact"/>
                    <w:jc w:val="center"/>
                    <w:rPr>
                      <w:highlight w:val="yellow"/>
                      <w:u w:val="single"/>
                    </w:rPr>
                  </w:pPr>
                  <w:r>
                    <w:rPr>
                      <w:rFonts w:hint="eastAsia"/>
                      <w:u w:val="single"/>
                    </w:rPr>
                    <w:t>34.2</w:t>
                  </w:r>
                </w:p>
              </w:tc>
              <w:tc>
                <w:tcPr>
                  <w:tcW w:w="713" w:type="dxa"/>
                  <w:vMerge w:val="restart"/>
                  <w:vAlign w:val="center"/>
                </w:tcPr>
                <w:p>
                  <w:pPr>
                    <w:spacing w:line="360" w:lineRule="exact"/>
                    <w:jc w:val="center"/>
                    <w:rPr>
                      <w:u w:val="single"/>
                    </w:rPr>
                  </w:pPr>
                  <w:r>
                    <w:rPr>
                      <w:u w:val="single"/>
                    </w:rPr>
                    <w:t>有组织</w:t>
                  </w:r>
                </w:p>
              </w:tc>
              <w:tc>
                <w:tcPr>
                  <w:tcW w:w="2551" w:type="dxa"/>
                  <w:vMerge w:val="restart"/>
                  <w:vAlign w:val="center"/>
                </w:tcPr>
                <w:p>
                  <w:pPr>
                    <w:spacing w:line="360" w:lineRule="exact"/>
                    <w:jc w:val="center"/>
                    <w:rPr>
                      <w:u w:val="single"/>
                    </w:rPr>
                  </w:pPr>
                  <w:r>
                    <w:rPr>
                      <w:szCs w:val="21"/>
                      <w:u w:val="single"/>
                    </w:rPr>
                    <w:t>集气罩</w:t>
                  </w:r>
                  <w:r>
                    <w:rPr>
                      <w:rFonts w:hint="eastAsia"/>
                      <w:szCs w:val="21"/>
                      <w:u w:val="single"/>
                    </w:rPr>
                    <w:t>+</w:t>
                  </w:r>
                  <w:r>
                    <w:rPr>
                      <w:rFonts w:hint="eastAsia"/>
                      <w:u w:val="single"/>
                    </w:rPr>
                    <w:t>UV光氧</w:t>
                  </w:r>
                  <w:r>
                    <w:rPr>
                      <w:u w:val="single"/>
                    </w:rPr>
                    <w:t>+活性炭吸附装置</w:t>
                  </w:r>
                  <w:r>
                    <w:rPr>
                      <w:rFonts w:hint="eastAsia"/>
                      <w:u w:val="single"/>
                    </w:rPr>
                    <w:t>，</w:t>
                  </w:r>
                  <w:r>
                    <w:rPr>
                      <w:u w:val="single"/>
                      <w:lang w:val="zh-CN"/>
                    </w:rPr>
                    <w:t>处理风量</w:t>
                  </w:r>
                  <w:r>
                    <w:rPr>
                      <w:rFonts w:hint="eastAsia"/>
                      <w:u w:val="single"/>
                    </w:rPr>
                    <w:t>76</w:t>
                  </w:r>
                  <w:r>
                    <w:rPr>
                      <w:u w:val="single"/>
                    </w:rPr>
                    <w:t>00m</w:t>
                  </w:r>
                  <w:r>
                    <w:rPr>
                      <w:u w:val="single"/>
                      <w:vertAlign w:val="superscript"/>
                    </w:rPr>
                    <w:t>3</w:t>
                  </w:r>
                  <w:r>
                    <w:rPr>
                      <w:u w:val="single"/>
                    </w:rPr>
                    <w:t>/h</w:t>
                  </w:r>
                </w:p>
                <w:p>
                  <w:pPr>
                    <w:spacing w:line="360" w:lineRule="exact"/>
                    <w:jc w:val="center"/>
                    <w:rPr>
                      <w:u w:val="single"/>
                    </w:rPr>
                  </w:pPr>
                  <w:r>
                    <w:rPr>
                      <w:u w:val="single"/>
                      <w:lang w:val="zh-CN"/>
                    </w:rPr>
                    <w:t>收集效率</w:t>
                  </w:r>
                  <w:r>
                    <w:rPr>
                      <w:u w:val="single"/>
                    </w:rPr>
                    <w:t>90%</w:t>
                  </w:r>
                </w:p>
                <w:p>
                  <w:pPr>
                    <w:spacing w:line="360" w:lineRule="exact"/>
                    <w:jc w:val="center"/>
                    <w:rPr>
                      <w:u w:val="single"/>
                    </w:rPr>
                  </w:pPr>
                  <w:r>
                    <w:rPr>
                      <w:u w:val="single"/>
                      <w:lang w:val="zh-CN"/>
                    </w:rPr>
                    <w:t>非甲烷总烃去除率</w:t>
                  </w:r>
                  <w:r>
                    <w:rPr>
                      <w:u w:val="single"/>
                    </w:rPr>
                    <w:t>80%</w:t>
                  </w:r>
                </w:p>
              </w:tc>
              <w:tc>
                <w:tcPr>
                  <w:tcW w:w="897" w:type="dxa"/>
                  <w:vMerge w:val="restart"/>
                  <w:vAlign w:val="center"/>
                </w:tcPr>
                <w:p>
                  <w:pPr>
                    <w:spacing w:line="360" w:lineRule="exact"/>
                    <w:ind w:left="-105" w:leftChars="-50" w:right="-105" w:rightChars="-50"/>
                    <w:jc w:val="center"/>
                    <w:rPr>
                      <w:u w:val="single"/>
                      <w:lang w:val="zh-CN"/>
                    </w:rPr>
                  </w:pPr>
                  <w:r>
                    <w:rPr>
                      <w:u w:val="single"/>
                      <w:lang w:val="zh-CN"/>
                    </w:rPr>
                    <w:t>可行</w:t>
                  </w:r>
                </w:p>
              </w:tc>
              <w:tc>
                <w:tcPr>
                  <w:tcW w:w="1051" w:type="dxa"/>
                  <w:vMerge w:val="restart"/>
                  <w:vAlign w:val="center"/>
                </w:tcPr>
                <w:p>
                  <w:pPr>
                    <w:spacing w:line="360" w:lineRule="exact"/>
                    <w:jc w:val="center"/>
                    <w:rPr>
                      <w:highlight w:val="yellow"/>
                      <w:u w:val="single"/>
                    </w:rPr>
                  </w:pPr>
                  <w:r>
                    <w:rPr>
                      <w:rFonts w:hint="eastAsia"/>
                      <w:u w:val="single"/>
                    </w:rPr>
                    <w:t>6.85</w:t>
                  </w:r>
                </w:p>
              </w:tc>
              <w:tc>
                <w:tcPr>
                  <w:tcW w:w="1028" w:type="dxa"/>
                  <w:vMerge w:val="restart"/>
                  <w:vAlign w:val="center"/>
                </w:tcPr>
                <w:p>
                  <w:pPr>
                    <w:spacing w:line="360" w:lineRule="exact"/>
                    <w:jc w:val="center"/>
                    <w:rPr>
                      <w:highlight w:val="yellow"/>
                      <w:u w:val="single"/>
                    </w:rPr>
                  </w:pPr>
                  <w:r>
                    <w:rPr>
                      <w:rFonts w:hint="eastAsia"/>
                      <w:u w:val="single"/>
                    </w:rPr>
                    <w:t>0.0548</w:t>
                  </w:r>
                </w:p>
              </w:tc>
              <w:tc>
                <w:tcPr>
                  <w:tcW w:w="993" w:type="dxa"/>
                  <w:vMerge w:val="restart"/>
                  <w:vAlign w:val="center"/>
                </w:tcPr>
                <w:p>
                  <w:pPr>
                    <w:spacing w:line="360" w:lineRule="exact"/>
                    <w:jc w:val="center"/>
                    <w:rPr>
                      <w:highlight w:val="yellow"/>
                      <w:u w:val="single"/>
                    </w:rPr>
                  </w:pPr>
                  <w:r>
                    <w:rPr>
                      <w:rFonts w:hint="eastAsia"/>
                      <w:u w:val="single"/>
                    </w:rPr>
                    <w:t>0.0657</w:t>
                  </w:r>
                </w:p>
              </w:tc>
              <w:tc>
                <w:tcPr>
                  <w:tcW w:w="910" w:type="dxa"/>
                  <w:vMerge w:val="restart"/>
                  <w:vAlign w:val="center"/>
                </w:tcPr>
                <w:p>
                  <w:pPr>
                    <w:pStyle w:val="6"/>
                    <w:spacing w:after="0" w:line="360" w:lineRule="exact"/>
                    <w:ind w:left="0" w:leftChars="0"/>
                    <w:rPr>
                      <w:color w:val="FF0000"/>
                      <w:kern w:val="2"/>
                      <w:sz w:val="21"/>
                      <w:szCs w:val="24"/>
                      <w:u w:val="single"/>
                    </w:rPr>
                  </w:pPr>
                  <w:r>
                    <w:rPr>
                      <w:rFonts w:hint="eastAsia"/>
                      <w:kern w:val="2"/>
                      <w:sz w:val="21"/>
                      <w:szCs w:val="24"/>
                      <w:u w:val="single"/>
                    </w:rPr>
                    <w:t>《</w:t>
                  </w:r>
                  <w:r>
                    <w:rPr>
                      <w:rFonts w:hint="eastAsia"/>
                      <w:sz w:val="21"/>
                      <w:szCs w:val="21"/>
                      <w:u w:val="single"/>
                    </w:rPr>
                    <w:t>印刷工业挥发性有机物排放标准</w:t>
                  </w:r>
                  <w:r>
                    <w:rPr>
                      <w:rFonts w:hint="eastAsia"/>
                      <w:kern w:val="2"/>
                      <w:sz w:val="21"/>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53" w:type="dxa"/>
                  <w:vMerge w:val="continue"/>
                  <w:vAlign w:val="center"/>
                </w:tcPr>
                <w:p>
                  <w:pPr>
                    <w:spacing w:line="360" w:lineRule="exact"/>
                    <w:jc w:val="center"/>
                    <w:rPr>
                      <w:u w:val="single"/>
                      <w:lang w:val="zh-CN"/>
                    </w:rPr>
                  </w:pPr>
                </w:p>
              </w:tc>
              <w:tc>
                <w:tcPr>
                  <w:tcW w:w="943" w:type="dxa"/>
                  <w:vAlign w:val="center"/>
                </w:tcPr>
                <w:p>
                  <w:pPr>
                    <w:spacing w:line="300" w:lineRule="exact"/>
                    <w:jc w:val="center"/>
                    <w:rPr>
                      <w:u w:val="single"/>
                      <w:lang w:val="zh-CN"/>
                    </w:rPr>
                  </w:pPr>
                  <w:r>
                    <w:rPr>
                      <w:rFonts w:hint="eastAsia"/>
                      <w:u w:val="single"/>
                      <w:lang w:val="zh-CN"/>
                    </w:rPr>
                    <w:t>印刷机</w:t>
                  </w:r>
                </w:p>
              </w:tc>
              <w:tc>
                <w:tcPr>
                  <w:tcW w:w="779" w:type="dxa"/>
                  <w:vAlign w:val="center"/>
                </w:tcPr>
                <w:p>
                  <w:pPr>
                    <w:spacing w:line="300" w:lineRule="exact"/>
                    <w:jc w:val="center"/>
                    <w:rPr>
                      <w:u w:val="single"/>
                      <w:lang w:val="zh-CN"/>
                    </w:rPr>
                  </w:pPr>
                  <w:r>
                    <w:rPr>
                      <w:rFonts w:hint="eastAsia"/>
                      <w:u w:val="single"/>
                      <w:lang w:val="zh-CN"/>
                    </w:rPr>
                    <w:t>调墨、印刷</w:t>
                  </w:r>
                </w:p>
              </w:tc>
              <w:tc>
                <w:tcPr>
                  <w:tcW w:w="819" w:type="dxa"/>
                  <w:vAlign w:val="center"/>
                </w:tcPr>
                <w:p>
                  <w:pPr>
                    <w:spacing w:line="360" w:lineRule="exact"/>
                    <w:ind w:left="-105" w:leftChars="-50" w:right="-105" w:rightChars="-50"/>
                    <w:jc w:val="center"/>
                    <w:rPr>
                      <w:u w:val="single"/>
                      <w:lang w:val="zh-CN"/>
                    </w:rPr>
                  </w:pPr>
                  <w:r>
                    <w:rPr>
                      <w:rFonts w:hint="eastAsia"/>
                      <w:u w:val="single"/>
                      <w:lang w:val="zh-CN"/>
                    </w:rPr>
                    <w:t>非甲烷总烃</w:t>
                  </w:r>
                </w:p>
              </w:tc>
              <w:tc>
                <w:tcPr>
                  <w:tcW w:w="864" w:type="dxa"/>
                  <w:vMerge w:val="continue"/>
                  <w:vAlign w:val="center"/>
                </w:tcPr>
                <w:p>
                  <w:pPr>
                    <w:spacing w:line="360" w:lineRule="exact"/>
                    <w:jc w:val="center"/>
                    <w:rPr>
                      <w:color w:val="FF0000"/>
                      <w:highlight w:val="yellow"/>
                      <w:u w:val="single"/>
                      <w:lang w:val="zh-CN"/>
                    </w:rPr>
                  </w:pPr>
                </w:p>
              </w:tc>
              <w:tc>
                <w:tcPr>
                  <w:tcW w:w="893" w:type="dxa"/>
                  <w:vMerge w:val="continue"/>
                  <w:vAlign w:val="center"/>
                </w:tcPr>
                <w:p>
                  <w:pPr>
                    <w:spacing w:line="360" w:lineRule="exact"/>
                    <w:jc w:val="center"/>
                    <w:rPr>
                      <w:highlight w:val="yellow"/>
                      <w:u w:val="single"/>
                      <w:lang w:val="zh-CN"/>
                    </w:rPr>
                  </w:pPr>
                </w:p>
              </w:tc>
              <w:tc>
                <w:tcPr>
                  <w:tcW w:w="713" w:type="dxa"/>
                  <w:vMerge w:val="continue"/>
                  <w:vAlign w:val="center"/>
                </w:tcPr>
                <w:p>
                  <w:pPr>
                    <w:spacing w:line="360" w:lineRule="exact"/>
                    <w:jc w:val="center"/>
                    <w:rPr>
                      <w:u w:val="single"/>
                    </w:rPr>
                  </w:pPr>
                </w:p>
              </w:tc>
              <w:tc>
                <w:tcPr>
                  <w:tcW w:w="2551" w:type="dxa"/>
                  <w:vMerge w:val="continue"/>
                  <w:vAlign w:val="center"/>
                </w:tcPr>
                <w:p>
                  <w:pPr>
                    <w:spacing w:line="360" w:lineRule="exact"/>
                    <w:ind w:left="-105" w:leftChars="-50" w:right="-105" w:rightChars="-50"/>
                    <w:jc w:val="center"/>
                    <w:rPr>
                      <w:u w:val="single"/>
                    </w:rPr>
                  </w:pPr>
                </w:p>
              </w:tc>
              <w:tc>
                <w:tcPr>
                  <w:tcW w:w="897" w:type="dxa"/>
                  <w:vMerge w:val="continue"/>
                  <w:vAlign w:val="center"/>
                </w:tcPr>
                <w:p>
                  <w:pPr>
                    <w:spacing w:line="360" w:lineRule="exact"/>
                    <w:ind w:left="-105" w:leftChars="-50" w:right="-105" w:rightChars="-50"/>
                    <w:jc w:val="center"/>
                    <w:rPr>
                      <w:u w:val="single"/>
                      <w:lang w:val="zh-CN"/>
                    </w:rPr>
                  </w:pPr>
                </w:p>
              </w:tc>
              <w:tc>
                <w:tcPr>
                  <w:tcW w:w="1051" w:type="dxa"/>
                  <w:vMerge w:val="continue"/>
                  <w:vAlign w:val="center"/>
                </w:tcPr>
                <w:p>
                  <w:pPr>
                    <w:spacing w:line="360" w:lineRule="exact"/>
                    <w:jc w:val="center"/>
                    <w:rPr>
                      <w:highlight w:val="yellow"/>
                      <w:u w:val="single"/>
                      <w:lang w:val="zh-CN"/>
                    </w:rPr>
                  </w:pPr>
                </w:p>
              </w:tc>
              <w:tc>
                <w:tcPr>
                  <w:tcW w:w="1028" w:type="dxa"/>
                  <w:vMerge w:val="continue"/>
                  <w:vAlign w:val="center"/>
                </w:tcPr>
                <w:p>
                  <w:pPr>
                    <w:spacing w:line="360" w:lineRule="exact"/>
                    <w:jc w:val="center"/>
                    <w:rPr>
                      <w:highlight w:val="yellow"/>
                      <w:u w:val="single"/>
                    </w:rPr>
                  </w:pPr>
                </w:p>
              </w:tc>
              <w:tc>
                <w:tcPr>
                  <w:tcW w:w="993" w:type="dxa"/>
                  <w:vMerge w:val="continue"/>
                  <w:vAlign w:val="center"/>
                </w:tcPr>
                <w:p>
                  <w:pPr>
                    <w:spacing w:line="360" w:lineRule="exact"/>
                    <w:jc w:val="center"/>
                    <w:rPr>
                      <w:highlight w:val="yellow"/>
                      <w:u w:val="single"/>
                    </w:rPr>
                  </w:pPr>
                </w:p>
              </w:tc>
              <w:tc>
                <w:tcPr>
                  <w:tcW w:w="910" w:type="dxa"/>
                  <w:vMerge w:val="continue"/>
                  <w:vAlign w:val="center"/>
                </w:tcPr>
                <w:p>
                  <w:pPr>
                    <w:spacing w:line="360" w:lineRule="exact"/>
                    <w:jc w:val="center"/>
                    <w:rPr>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53" w:type="dxa"/>
                  <w:vMerge w:val="continue"/>
                  <w:vAlign w:val="center"/>
                </w:tcPr>
                <w:p>
                  <w:pPr>
                    <w:spacing w:line="360" w:lineRule="exact"/>
                    <w:jc w:val="center"/>
                    <w:rPr>
                      <w:u w:val="single"/>
                      <w:lang w:val="zh-CN"/>
                    </w:rPr>
                  </w:pPr>
                </w:p>
              </w:tc>
              <w:tc>
                <w:tcPr>
                  <w:tcW w:w="1722" w:type="dxa"/>
                  <w:gridSpan w:val="2"/>
                  <w:vAlign w:val="center"/>
                </w:tcPr>
                <w:p>
                  <w:pPr>
                    <w:spacing w:line="300" w:lineRule="exact"/>
                    <w:jc w:val="center"/>
                    <w:rPr>
                      <w:u w:val="single"/>
                      <w:lang w:val="zh-CN"/>
                    </w:rPr>
                  </w:pPr>
                  <w:r>
                    <w:rPr>
                      <w:rFonts w:hint="eastAsia"/>
                      <w:u w:val="single"/>
                      <w:lang w:val="zh-CN"/>
                    </w:rPr>
                    <w:t>剪裁、调墨、印刷工序</w:t>
                  </w:r>
                </w:p>
              </w:tc>
              <w:tc>
                <w:tcPr>
                  <w:tcW w:w="819" w:type="dxa"/>
                  <w:vAlign w:val="center"/>
                </w:tcPr>
                <w:p>
                  <w:pPr>
                    <w:spacing w:line="360" w:lineRule="exact"/>
                    <w:ind w:left="-105" w:leftChars="-50" w:right="-105" w:rightChars="-50"/>
                    <w:jc w:val="center"/>
                    <w:rPr>
                      <w:u w:val="single"/>
                      <w:lang w:val="zh-CN"/>
                    </w:rPr>
                  </w:pPr>
                  <w:r>
                    <w:rPr>
                      <w:rFonts w:hint="eastAsia"/>
                      <w:u w:val="single"/>
                      <w:lang w:val="zh-CN"/>
                    </w:rPr>
                    <w:t>非甲烷总烃</w:t>
                  </w:r>
                </w:p>
              </w:tc>
              <w:tc>
                <w:tcPr>
                  <w:tcW w:w="864" w:type="dxa"/>
                  <w:vAlign w:val="center"/>
                </w:tcPr>
                <w:p>
                  <w:pPr>
                    <w:spacing w:line="360" w:lineRule="exact"/>
                    <w:jc w:val="center"/>
                    <w:rPr>
                      <w:highlight w:val="yellow"/>
                      <w:u w:val="single"/>
                    </w:rPr>
                  </w:pPr>
                  <w:r>
                    <w:rPr>
                      <w:rFonts w:hint="eastAsia"/>
                      <w:u w:val="single"/>
                      <w:lang w:val="zh-CN"/>
                    </w:rPr>
                    <w:t>0.0</w:t>
                  </w:r>
                  <w:r>
                    <w:rPr>
                      <w:rFonts w:hint="eastAsia"/>
                      <w:u w:val="single"/>
                    </w:rPr>
                    <w:t>365</w:t>
                  </w:r>
                </w:p>
              </w:tc>
              <w:tc>
                <w:tcPr>
                  <w:tcW w:w="893" w:type="dxa"/>
                  <w:vAlign w:val="center"/>
                </w:tcPr>
                <w:p>
                  <w:pPr>
                    <w:spacing w:line="360" w:lineRule="exact"/>
                    <w:jc w:val="center"/>
                    <w:rPr>
                      <w:highlight w:val="yellow"/>
                      <w:u w:val="single"/>
                      <w:lang w:val="zh-CN"/>
                    </w:rPr>
                  </w:pPr>
                  <w:r>
                    <w:rPr>
                      <w:u w:val="single"/>
                      <w:lang w:val="zh-CN"/>
                    </w:rPr>
                    <w:t>/</w:t>
                  </w:r>
                </w:p>
              </w:tc>
              <w:tc>
                <w:tcPr>
                  <w:tcW w:w="713" w:type="dxa"/>
                  <w:vAlign w:val="center"/>
                </w:tcPr>
                <w:p>
                  <w:pPr>
                    <w:spacing w:line="360" w:lineRule="exact"/>
                    <w:jc w:val="center"/>
                    <w:rPr>
                      <w:u w:val="single"/>
                    </w:rPr>
                  </w:pPr>
                  <w:r>
                    <w:rPr>
                      <w:u w:val="single"/>
                    </w:rPr>
                    <w:t>无组织</w:t>
                  </w:r>
                </w:p>
              </w:tc>
              <w:tc>
                <w:tcPr>
                  <w:tcW w:w="2551" w:type="dxa"/>
                  <w:vAlign w:val="center"/>
                </w:tcPr>
                <w:p>
                  <w:pPr>
                    <w:spacing w:line="360" w:lineRule="exact"/>
                    <w:ind w:left="-105" w:leftChars="-50" w:right="-105" w:rightChars="-50"/>
                    <w:jc w:val="center"/>
                    <w:rPr>
                      <w:u w:val="single"/>
                    </w:rPr>
                  </w:pPr>
                  <w:r>
                    <w:rPr>
                      <w:u w:val="single"/>
                    </w:rPr>
                    <w:t>车间密闭</w:t>
                  </w:r>
                </w:p>
              </w:tc>
              <w:tc>
                <w:tcPr>
                  <w:tcW w:w="897" w:type="dxa"/>
                  <w:vAlign w:val="center"/>
                </w:tcPr>
                <w:p>
                  <w:pPr>
                    <w:spacing w:line="360" w:lineRule="exact"/>
                    <w:ind w:left="-105" w:leftChars="-50" w:right="-105" w:rightChars="-50"/>
                    <w:jc w:val="center"/>
                    <w:rPr>
                      <w:u w:val="single"/>
                      <w:lang w:val="zh-CN"/>
                    </w:rPr>
                  </w:pPr>
                  <w:r>
                    <w:rPr>
                      <w:rFonts w:hint="eastAsia"/>
                      <w:u w:val="single"/>
                      <w:lang w:val="zh-CN"/>
                    </w:rPr>
                    <w:t>/</w:t>
                  </w:r>
                </w:p>
              </w:tc>
              <w:tc>
                <w:tcPr>
                  <w:tcW w:w="1051" w:type="dxa"/>
                  <w:vAlign w:val="center"/>
                </w:tcPr>
                <w:p>
                  <w:pPr>
                    <w:spacing w:line="360" w:lineRule="exact"/>
                    <w:jc w:val="center"/>
                    <w:rPr>
                      <w:highlight w:val="yellow"/>
                      <w:u w:val="single"/>
                      <w:lang w:val="zh-CN"/>
                    </w:rPr>
                  </w:pPr>
                  <w:r>
                    <w:rPr>
                      <w:rFonts w:hint="eastAsia"/>
                      <w:u w:val="single"/>
                      <w:lang w:val="zh-CN"/>
                    </w:rPr>
                    <w:t>/</w:t>
                  </w:r>
                </w:p>
              </w:tc>
              <w:tc>
                <w:tcPr>
                  <w:tcW w:w="1028" w:type="dxa"/>
                  <w:vAlign w:val="center"/>
                </w:tcPr>
                <w:p>
                  <w:pPr>
                    <w:spacing w:line="360" w:lineRule="exact"/>
                    <w:jc w:val="center"/>
                    <w:rPr>
                      <w:highlight w:val="yellow"/>
                      <w:u w:val="single"/>
                    </w:rPr>
                  </w:pPr>
                  <w:r>
                    <w:rPr>
                      <w:rFonts w:hint="eastAsia"/>
                      <w:u w:val="single"/>
                    </w:rPr>
                    <w:t>0.0304</w:t>
                  </w:r>
                </w:p>
              </w:tc>
              <w:tc>
                <w:tcPr>
                  <w:tcW w:w="993" w:type="dxa"/>
                  <w:vAlign w:val="center"/>
                </w:tcPr>
                <w:p>
                  <w:pPr>
                    <w:spacing w:line="360" w:lineRule="exact"/>
                    <w:jc w:val="center"/>
                    <w:rPr>
                      <w:highlight w:val="yellow"/>
                      <w:u w:val="single"/>
                    </w:rPr>
                  </w:pPr>
                  <w:r>
                    <w:rPr>
                      <w:rFonts w:hint="eastAsia"/>
                      <w:u w:val="single"/>
                    </w:rPr>
                    <w:t>0.0365</w:t>
                  </w:r>
                </w:p>
              </w:tc>
              <w:tc>
                <w:tcPr>
                  <w:tcW w:w="910" w:type="dxa"/>
                  <w:vMerge w:val="continue"/>
                  <w:vAlign w:val="center"/>
                </w:tcPr>
                <w:p>
                  <w:pPr>
                    <w:spacing w:line="360" w:lineRule="exact"/>
                    <w:jc w:val="center"/>
                    <w:rPr>
                      <w:color w:val="FF0000"/>
                      <w:u w:val="single"/>
                    </w:rPr>
                  </w:pPr>
                </w:p>
              </w:tc>
            </w:tr>
          </w:tbl>
          <w:p>
            <w:pPr>
              <w:pStyle w:val="70"/>
              <w:spacing w:line="460" w:lineRule="exact"/>
              <w:ind w:firstLine="420"/>
              <w:rPr>
                <w:sz w:val="21"/>
                <w:szCs w:val="21"/>
              </w:rPr>
            </w:pPr>
            <w:r>
              <w:rPr>
                <w:sz w:val="21"/>
                <w:szCs w:val="21"/>
                <w:u w:val="single"/>
              </w:rPr>
              <w:t>注：</w:t>
            </w:r>
            <w:r>
              <w:rPr>
                <w:rFonts w:hint="eastAsia"/>
                <w:sz w:val="21"/>
                <w:szCs w:val="21"/>
                <w:u w:val="single"/>
              </w:rPr>
              <w:t>印刷机在车间内二次密闭，</w:t>
            </w:r>
            <w:r>
              <w:rPr>
                <w:rFonts w:hint="eastAsia"/>
                <w:sz w:val="21"/>
                <w:szCs w:val="21"/>
                <w:u w:val="single"/>
                <w:lang w:val="zh-CN"/>
              </w:rPr>
              <w:t>剪裁、调墨、印刷</w:t>
            </w:r>
            <w:r>
              <w:rPr>
                <w:rFonts w:hint="eastAsia"/>
                <w:sz w:val="21"/>
                <w:szCs w:val="21"/>
                <w:u w:val="single"/>
              </w:rPr>
              <w:t>工序产生的</w:t>
            </w:r>
            <w:r>
              <w:rPr>
                <w:sz w:val="21"/>
                <w:szCs w:val="21"/>
                <w:u w:val="single"/>
              </w:rPr>
              <w:t>有机废气（非甲烷总烃）经集气设施收集后，进入“</w:t>
            </w:r>
            <w:r>
              <w:rPr>
                <w:rFonts w:hint="eastAsia"/>
                <w:sz w:val="21"/>
                <w:szCs w:val="21"/>
                <w:u w:val="single"/>
              </w:rPr>
              <w:t>UV光氧</w:t>
            </w:r>
            <w:r>
              <w:rPr>
                <w:sz w:val="21"/>
                <w:szCs w:val="21"/>
                <w:u w:val="single"/>
              </w:rPr>
              <w:t>+活性炭吸附”装置进行处理，处理后的非甲烷总烃排放浓度执行</w:t>
            </w:r>
            <w:r>
              <w:rPr>
                <w:rFonts w:hint="eastAsia"/>
                <w:sz w:val="21"/>
                <w:szCs w:val="21"/>
                <w:u w:val="single"/>
              </w:rPr>
              <w:t>《印刷工业挥发性有机物排放标准</w:t>
            </w:r>
            <w:r>
              <w:rPr>
                <w:sz w:val="21"/>
                <w:szCs w:val="21"/>
                <w:u w:val="single"/>
              </w:rPr>
              <w:t>》（</w:t>
            </w:r>
            <w:r>
              <w:rPr>
                <w:rFonts w:hint="eastAsia"/>
                <w:sz w:val="21"/>
                <w:szCs w:val="21"/>
                <w:u w:val="single"/>
              </w:rPr>
              <w:t>D</w:t>
            </w:r>
            <w:r>
              <w:rPr>
                <w:sz w:val="21"/>
                <w:szCs w:val="21"/>
                <w:u w:val="single"/>
              </w:rPr>
              <w:t>B</w:t>
            </w:r>
            <w:r>
              <w:rPr>
                <w:rFonts w:hint="eastAsia"/>
                <w:sz w:val="21"/>
                <w:szCs w:val="21"/>
                <w:u w:val="single"/>
              </w:rPr>
              <w:t>41/1956</w:t>
            </w:r>
            <w:r>
              <w:rPr>
                <w:sz w:val="21"/>
                <w:szCs w:val="21"/>
                <w:u w:val="single"/>
              </w:rPr>
              <w:t>-20</w:t>
            </w:r>
            <w:r>
              <w:rPr>
                <w:rFonts w:hint="eastAsia"/>
                <w:sz w:val="21"/>
                <w:szCs w:val="21"/>
                <w:u w:val="single"/>
              </w:rPr>
              <w:t>20</w:t>
            </w:r>
            <w:r>
              <w:rPr>
                <w:sz w:val="21"/>
                <w:szCs w:val="21"/>
                <w:u w:val="single"/>
              </w:rPr>
              <w:t>）</w:t>
            </w:r>
            <w:r>
              <w:rPr>
                <w:rFonts w:hint="eastAsia"/>
                <w:sz w:val="21"/>
                <w:szCs w:val="21"/>
                <w:u w:val="single"/>
              </w:rPr>
              <w:t>中</w:t>
            </w:r>
            <w:r>
              <w:rPr>
                <w:sz w:val="21"/>
                <w:szCs w:val="21"/>
                <w:u w:val="single"/>
              </w:rPr>
              <w:t>排放限值要求</w:t>
            </w:r>
            <w:r>
              <w:rPr>
                <w:rFonts w:hint="eastAsia"/>
                <w:sz w:val="21"/>
                <w:szCs w:val="21"/>
                <w:u w:val="single"/>
              </w:rPr>
              <w:t>，</w:t>
            </w:r>
            <w:r>
              <w:rPr>
                <w:sz w:val="21"/>
                <w:szCs w:val="21"/>
                <w:u w:val="single"/>
              </w:rPr>
              <w:t>也满足</w:t>
            </w:r>
            <w:r>
              <w:rPr>
                <w:rFonts w:hint="eastAsia"/>
                <w:sz w:val="21"/>
                <w:szCs w:val="21"/>
                <w:u w:val="single"/>
              </w:rPr>
              <w:t>《关于全省开展工业企业挥发性有机物专项治理工作中排放建议值的通知》（豫环攻坚办〔2017〕162号）中</w:t>
            </w:r>
            <w:r>
              <w:rPr>
                <w:rFonts w:hint="eastAsia"/>
                <w:u w:val="single"/>
              </w:rPr>
              <w:t>印刷工业</w:t>
            </w:r>
            <w:r>
              <w:rPr>
                <w:rFonts w:hint="eastAsia"/>
                <w:sz w:val="21"/>
                <w:szCs w:val="21"/>
                <w:u w:val="single"/>
              </w:rPr>
              <w:t>中</w:t>
            </w:r>
            <w:r>
              <w:rPr>
                <w:sz w:val="21"/>
                <w:szCs w:val="21"/>
                <w:u w:val="single"/>
              </w:rPr>
              <w:t>排放限值要求。</w:t>
            </w:r>
            <w:r>
              <w:rPr>
                <w:rFonts w:hint="eastAsia"/>
                <w:sz w:val="21"/>
                <w:szCs w:val="21"/>
                <w:u w:val="single"/>
              </w:rPr>
              <w:t>经对照</w:t>
            </w:r>
            <w:r>
              <w:rPr>
                <w:sz w:val="21"/>
                <w:szCs w:val="21"/>
                <w:u w:val="single"/>
              </w:rPr>
              <w:t xml:space="preserve">《排污许可证申请与核发技术规范 </w:t>
            </w:r>
            <w:r>
              <w:rPr>
                <w:rFonts w:hint="eastAsia"/>
                <w:sz w:val="21"/>
                <w:szCs w:val="21"/>
                <w:u w:val="single"/>
              </w:rPr>
              <w:t>印刷行业</w:t>
            </w:r>
            <w:r>
              <w:rPr>
                <w:sz w:val="21"/>
                <w:szCs w:val="21"/>
                <w:u w:val="single"/>
              </w:rPr>
              <w:t xml:space="preserve">》（HJ </w:t>
            </w:r>
            <w:r>
              <w:rPr>
                <w:rFonts w:hint="eastAsia"/>
                <w:sz w:val="21"/>
                <w:szCs w:val="21"/>
                <w:u w:val="single"/>
              </w:rPr>
              <w:t>1246</w:t>
            </w:r>
            <w:r>
              <w:rPr>
                <w:sz w:val="21"/>
                <w:szCs w:val="21"/>
                <w:u w:val="single"/>
              </w:rPr>
              <w:t>-202</w:t>
            </w:r>
            <w:r>
              <w:rPr>
                <w:rFonts w:hint="eastAsia"/>
                <w:sz w:val="21"/>
                <w:szCs w:val="21"/>
                <w:u w:val="single"/>
              </w:rPr>
              <w:t>2</w:t>
            </w:r>
            <w:r>
              <w:rPr>
                <w:sz w:val="21"/>
                <w:szCs w:val="21"/>
                <w:u w:val="single"/>
              </w:rPr>
              <w:t>）</w:t>
            </w:r>
            <w:r>
              <w:rPr>
                <w:rFonts w:hint="eastAsia"/>
                <w:sz w:val="21"/>
                <w:szCs w:val="21"/>
                <w:u w:val="single"/>
              </w:rPr>
              <w:t>，</w:t>
            </w:r>
            <w:r>
              <w:rPr>
                <w:sz w:val="21"/>
                <w:szCs w:val="21"/>
                <w:u w:val="single"/>
              </w:rPr>
              <w:t>本</w:t>
            </w:r>
            <w:r>
              <w:rPr>
                <w:rFonts w:hint="eastAsia"/>
                <w:sz w:val="21"/>
                <w:szCs w:val="21"/>
                <w:u w:val="single"/>
              </w:rPr>
              <w:t>项目</w:t>
            </w:r>
            <w:r>
              <w:rPr>
                <w:sz w:val="21"/>
                <w:szCs w:val="21"/>
                <w:u w:val="single"/>
              </w:rPr>
              <w:t>有机废气治理措施</w:t>
            </w:r>
            <w:r>
              <w:rPr>
                <w:rFonts w:hint="eastAsia"/>
                <w:sz w:val="21"/>
                <w:szCs w:val="21"/>
                <w:u w:val="single"/>
              </w:rPr>
              <w:t>为</w:t>
            </w:r>
            <w:r>
              <w:rPr>
                <w:sz w:val="21"/>
                <w:szCs w:val="21"/>
                <w:u w:val="single"/>
              </w:rPr>
              <w:t>可行技术。</w:t>
            </w:r>
          </w:p>
          <w:p>
            <w:pPr>
              <w:pStyle w:val="70"/>
              <w:spacing w:line="460" w:lineRule="exact"/>
              <w:ind w:firstLine="420"/>
              <w:rPr>
                <w:sz w:val="21"/>
                <w:szCs w:val="21"/>
              </w:rPr>
            </w:pPr>
          </w:p>
          <w:p>
            <w:pPr>
              <w:pStyle w:val="70"/>
              <w:spacing w:line="460" w:lineRule="exact"/>
              <w:ind w:firstLine="420"/>
              <w:rPr>
                <w:sz w:val="21"/>
                <w:szCs w:val="21"/>
              </w:rPr>
            </w:pPr>
          </w:p>
        </w:tc>
      </w:tr>
    </w:tbl>
    <w:p>
      <w:pPr>
        <w:adjustRightInd w:val="0"/>
        <w:snapToGrid w:val="0"/>
        <w:spacing w:line="440" w:lineRule="exact"/>
        <w:ind w:firstLine="420" w:firstLineChars="200"/>
        <w:sectPr>
          <w:pgSz w:w="16840" w:h="11907" w:orient="landscape"/>
          <w:pgMar w:top="1531" w:right="1531" w:bottom="1531" w:left="1559" w:header="851" w:footer="964" w:gutter="0"/>
          <w:cols w:space="720" w:num="1"/>
          <w:docGrid w:linePitch="312" w:charSpace="0"/>
        </w:sect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10" w:hRule="atLeast"/>
          <w:jc w:val="center"/>
        </w:trPr>
        <w:tc>
          <w:tcPr>
            <w:tcW w:w="746" w:type="dxa"/>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adjustRightInd w:val="0"/>
              <w:snapToGrid w:val="0"/>
              <w:spacing w:line="360" w:lineRule="auto"/>
              <w:jc w:val="center"/>
              <w:rPr>
                <w:bCs/>
                <w:sz w:val="24"/>
              </w:rPr>
            </w:pPr>
            <w:r>
              <w:rPr>
                <w:bCs/>
                <w:sz w:val="24"/>
              </w:rPr>
              <w:t>措施</w:t>
            </w:r>
          </w:p>
        </w:tc>
        <w:tc>
          <w:tcPr>
            <w:tcW w:w="8162" w:type="dxa"/>
            <w:vAlign w:val="center"/>
          </w:tcPr>
          <w:p>
            <w:pPr>
              <w:pStyle w:val="9"/>
              <w:numPr>
                <w:ilvl w:val="0"/>
                <w:numId w:val="0"/>
              </w:numPr>
              <w:spacing w:line="360" w:lineRule="auto"/>
              <w:rPr>
                <w:rFonts w:ascii="黑体" w:hAnsi="黑体" w:eastAsia="黑体" w:cs="黑体"/>
                <w:sz w:val="24"/>
              </w:rPr>
            </w:pPr>
            <w:r>
              <w:rPr>
                <w:rFonts w:hint="eastAsia" w:ascii="黑体" w:hAnsi="黑体" w:eastAsia="黑体" w:cs="黑体"/>
                <w:sz w:val="24"/>
              </w:rPr>
              <w:t>1.1 废气源强分析</w:t>
            </w:r>
          </w:p>
          <w:p>
            <w:pPr>
              <w:autoSpaceDE w:val="0"/>
              <w:autoSpaceDN w:val="0"/>
              <w:spacing w:line="520" w:lineRule="exact"/>
              <w:ind w:firstLine="480" w:firstLineChars="200"/>
              <w:rPr>
                <w:rFonts w:ascii="宋体" w:hAnsi="宋体" w:cs="宋体"/>
                <w:sz w:val="24"/>
                <w:u w:val="single"/>
              </w:rPr>
            </w:pPr>
            <w:r>
              <w:rPr>
                <w:rFonts w:hint="eastAsia" w:ascii="宋体" w:hAnsi="宋体" w:cs="宋体"/>
                <w:sz w:val="24"/>
                <w:u w:val="single"/>
              </w:rPr>
              <w:t>（1）剪裁废气</w:t>
            </w:r>
          </w:p>
          <w:p>
            <w:pPr>
              <w:autoSpaceDE w:val="0"/>
              <w:autoSpaceDN w:val="0"/>
              <w:spacing w:line="520" w:lineRule="exact"/>
              <w:ind w:firstLine="480" w:firstLineChars="200"/>
              <w:rPr>
                <w:sz w:val="24"/>
                <w:szCs w:val="28"/>
              </w:rPr>
            </w:pPr>
            <w:r>
              <w:rPr>
                <w:rFonts w:hint="eastAsia"/>
                <w:sz w:val="24"/>
                <w:u w:val="single"/>
              </w:rPr>
              <w:t>项目剪裁工序会产生挥发性有机物，参考《空气污染物排放和控制手册》（美国国家环保局）中推荐的塑料加工废气排放系数，非甲烷总烃的排放系数为</w:t>
            </w:r>
            <w:r>
              <w:rPr>
                <w:sz w:val="24"/>
                <w:u w:val="single"/>
              </w:rPr>
              <w:t>0.35kg/t</w:t>
            </w:r>
            <w:r>
              <w:rPr>
                <w:rFonts w:hint="eastAsia" w:ascii="宋体" w:hAnsi="宋体" w:cs="宋体"/>
                <w:bCs/>
                <w:sz w:val="24"/>
                <w:u w:val="single"/>
              </w:rPr>
              <w:t>。</w:t>
            </w:r>
            <w:r>
              <w:rPr>
                <w:sz w:val="24"/>
                <w:u w:val="single"/>
              </w:rPr>
              <w:t>本项目</w:t>
            </w:r>
            <w:r>
              <w:rPr>
                <w:rFonts w:hint="eastAsia"/>
                <w:sz w:val="24"/>
                <w:u w:val="single"/>
              </w:rPr>
              <w:t>原料</w:t>
            </w:r>
            <w:r>
              <w:rPr>
                <w:sz w:val="24"/>
                <w:u w:val="single"/>
              </w:rPr>
              <w:t>量约为</w:t>
            </w:r>
            <w:r>
              <w:rPr>
                <w:rFonts w:hint="eastAsia"/>
                <w:sz w:val="24"/>
                <w:u w:val="single"/>
              </w:rPr>
              <w:t>1035</w:t>
            </w:r>
            <w:r>
              <w:rPr>
                <w:sz w:val="24"/>
                <w:u w:val="single"/>
              </w:rPr>
              <w:t>t/a，</w:t>
            </w:r>
            <w:r>
              <w:rPr>
                <w:rFonts w:hint="eastAsia"/>
                <w:sz w:val="24"/>
                <w:u w:val="single"/>
              </w:rPr>
              <w:t>则</w:t>
            </w:r>
            <w:r>
              <w:rPr>
                <w:sz w:val="24"/>
                <w:u w:val="single"/>
              </w:rPr>
              <w:t>非甲烷总烃产生量为0.</w:t>
            </w:r>
            <w:r>
              <w:rPr>
                <w:rFonts w:hint="eastAsia"/>
                <w:sz w:val="24"/>
                <w:u w:val="single"/>
              </w:rPr>
              <w:t>3623</w:t>
            </w:r>
            <w:r>
              <w:rPr>
                <w:sz w:val="24"/>
                <w:u w:val="single"/>
              </w:rPr>
              <w:t>t/a。</w:t>
            </w:r>
          </w:p>
          <w:p>
            <w:pPr>
              <w:tabs>
                <w:tab w:val="left" w:pos="12609"/>
              </w:tabs>
              <w:spacing w:line="360" w:lineRule="auto"/>
              <w:ind w:firstLine="480" w:firstLineChars="200"/>
              <w:rPr>
                <w:rFonts w:hAnsi="宋体"/>
                <w:sz w:val="24"/>
                <w:u w:val="single"/>
              </w:rPr>
            </w:pPr>
            <w:r>
              <w:rPr>
                <w:rFonts w:hint="eastAsia" w:hAnsi="宋体"/>
                <w:sz w:val="24"/>
                <w:u w:val="single"/>
              </w:rPr>
              <w:t>(2)调墨、印刷废气</w:t>
            </w:r>
          </w:p>
          <w:p>
            <w:pPr>
              <w:tabs>
                <w:tab w:val="left" w:pos="12609"/>
              </w:tabs>
              <w:spacing w:line="360" w:lineRule="auto"/>
              <w:ind w:firstLine="480" w:firstLineChars="200"/>
              <w:rPr>
                <w:rFonts w:hAnsi="宋体"/>
                <w:sz w:val="24"/>
              </w:rPr>
            </w:pPr>
            <w:r>
              <w:rPr>
                <w:rFonts w:hint="eastAsia" w:hAnsi="宋体"/>
                <w:sz w:val="24"/>
                <w:u w:val="single"/>
              </w:rPr>
              <w:t>本项目印刷工序采用的是柔性版常温印刷，自然干燥，无需烘干，项目使用柔性版专用的水性油墨，具有不含苯及苯类溶剂、无毒、无刺激性气味、无腐蚀性、不易燃易爆使用安全性好等特点。项目调墨在印刷机封闭区域内进行，采用水性油墨，调墨仅产生极少量的有机废气，计入印刷废气产生量。调墨、印刷过程中水性油墨用量为0.25t/a，由于印刷机发热(温度一般为40~50℃)会使水性油墨中的有机废气挥发到大气中，按水性油墨中的挥发性有机物(1.1%)全部挥发计，则印刷过程中有机废气(非甲烷总烃)产生量为0.0028t/a。</w:t>
            </w:r>
          </w:p>
          <w:p>
            <w:pPr>
              <w:tabs>
                <w:tab w:val="left" w:pos="12609"/>
              </w:tabs>
              <w:spacing w:line="360" w:lineRule="auto"/>
              <w:ind w:firstLine="480" w:firstLineChars="200"/>
              <w:rPr>
                <w:rFonts w:hAnsi="宋体"/>
                <w:sz w:val="24"/>
                <w:u w:val="single"/>
              </w:rPr>
            </w:pPr>
            <w:r>
              <w:rPr>
                <w:rFonts w:hint="eastAsia" w:hAnsi="宋体"/>
                <w:sz w:val="24"/>
                <w:u w:val="single"/>
              </w:rPr>
              <w:t>本项目废气经“UV光氧+活性炭吸附”装置处理，处理后的尾气进入15m高排气筒排放。根据《工业源产排污核算方法和系数手册--292塑料制品业系数手册》可知，“过滤棉+</w:t>
            </w:r>
            <w:r>
              <w:rPr>
                <w:rFonts w:hint="eastAsia"/>
                <w:kern w:val="44"/>
                <w:sz w:val="24"/>
                <w:u w:val="single"/>
              </w:rPr>
              <w:t>UV</w:t>
            </w:r>
            <w:r>
              <w:rPr>
                <w:rFonts w:hint="eastAsia"/>
                <w:sz w:val="24"/>
                <w:szCs w:val="28"/>
                <w:u w:val="single"/>
              </w:rPr>
              <w:t>光氧催化+活性炭吸附装置”处理效率为80%，设计风机风量为8000m</w:t>
            </w:r>
            <w:r>
              <w:rPr>
                <w:rFonts w:hint="eastAsia"/>
                <w:sz w:val="24"/>
                <w:szCs w:val="28"/>
                <w:u w:val="single"/>
                <w:vertAlign w:val="superscript"/>
              </w:rPr>
              <w:t>3</w:t>
            </w:r>
            <w:r>
              <w:rPr>
                <w:rFonts w:hint="eastAsia"/>
                <w:sz w:val="24"/>
                <w:szCs w:val="28"/>
                <w:u w:val="single"/>
              </w:rPr>
              <w:t>/h，剪裁、调墨印刷工序年工作1200小时，收集效率按90%计，则项目非甲烷总烃有组织产生量为0.3286t/a、产生速率为0.2738kg/h，经“</w:t>
            </w:r>
            <w:r>
              <w:rPr>
                <w:rFonts w:hint="eastAsia"/>
                <w:kern w:val="44"/>
                <w:sz w:val="24"/>
                <w:u w:val="single"/>
              </w:rPr>
              <w:t>UV</w:t>
            </w:r>
            <w:r>
              <w:rPr>
                <w:rFonts w:hint="eastAsia"/>
                <w:sz w:val="24"/>
                <w:szCs w:val="28"/>
                <w:u w:val="single"/>
              </w:rPr>
              <w:t>光氧催化+活性炭吸附装置”处理后，非甲烷总烃有组织排放量为0.0657t</w:t>
            </w:r>
            <w:r>
              <w:rPr>
                <w:rFonts w:hint="eastAsia" w:hAnsi="宋体"/>
                <w:sz w:val="24"/>
                <w:u w:val="single"/>
              </w:rPr>
              <w:t>/a、排放速率为0.0548kg/h、排放浓度为6.85mg/m</w:t>
            </w:r>
            <w:r>
              <w:rPr>
                <w:rFonts w:hint="eastAsia" w:hAnsi="宋体"/>
                <w:sz w:val="24"/>
                <w:u w:val="single"/>
                <w:vertAlign w:val="superscript"/>
              </w:rPr>
              <w:t>3</w:t>
            </w:r>
            <w:r>
              <w:rPr>
                <w:rFonts w:hint="eastAsia" w:hAnsi="宋体"/>
                <w:sz w:val="24"/>
                <w:u w:val="single"/>
              </w:rPr>
              <w:t>。</w:t>
            </w:r>
          </w:p>
          <w:p>
            <w:pPr>
              <w:tabs>
                <w:tab w:val="left" w:pos="12609"/>
              </w:tabs>
              <w:spacing w:line="360" w:lineRule="auto"/>
              <w:ind w:firstLine="480" w:firstLineChars="200"/>
              <w:rPr>
                <w:sz w:val="24"/>
                <w:szCs w:val="28"/>
                <w:u w:val="single"/>
              </w:rPr>
            </w:pPr>
            <w:r>
              <w:rPr>
                <w:rFonts w:hint="eastAsia" w:hAnsi="宋体"/>
                <w:sz w:val="24"/>
                <w:u w:val="single"/>
              </w:rPr>
              <w:t>经处理后的非甲烷总烃排放浓度满足《印刷工业挥发性有机物排放标</w:t>
            </w:r>
            <w:r>
              <w:rPr>
                <w:rFonts w:hint="eastAsia"/>
                <w:sz w:val="24"/>
                <w:u w:val="single"/>
              </w:rPr>
              <w:t>准</w:t>
            </w:r>
            <w:r>
              <w:rPr>
                <w:sz w:val="24"/>
                <w:u w:val="single"/>
              </w:rPr>
              <w:t>》（</w:t>
            </w:r>
            <w:r>
              <w:rPr>
                <w:rFonts w:hint="eastAsia"/>
                <w:sz w:val="24"/>
                <w:u w:val="single"/>
              </w:rPr>
              <w:t>D</w:t>
            </w:r>
            <w:r>
              <w:rPr>
                <w:sz w:val="24"/>
                <w:u w:val="single"/>
              </w:rPr>
              <w:t>B</w:t>
            </w:r>
            <w:r>
              <w:rPr>
                <w:rFonts w:hint="eastAsia"/>
                <w:sz w:val="24"/>
                <w:u w:val="single"/>
              </w:rPr>
              <w:t>41/1956</w:t>
            </w:r>
            <w:r>
              <w:rPr>
                <w:sz w:val="24"/>
                <w:u w:val="single"/>
              </w:rPr>
              <w:t>-20</w:t>
            </w:r>
            <w:r>
              <w:rPr>
                <w:rFonts w:hint="eastAsia"/>
                <w:sz w:val="24"/>
                <w:u w:val="single"/>
              </w:rPr>
              <w:t>20</w:t>
            </w:r>
            <w:r>
              <w:rPr>
                <w:sz w:val="24"/>
                <w:u w:val="single"/>
              </w:rPr>
              <w:t>）</w:t>
            </w:r>
            <w:r>
              <w:rPr>
                <w:rFonts w:hint="eastAsia"/>
                <w:sz w:val="24"/>
                <w:u w:val="single"/>
              </w:rPr>
              <w:t>中</w:t>
            </w:r>
            <w:r>
              <w:rPr>
                <w:sz w:val="24"/>
                <w:u w:val="single"/>
              </w:rPr>
              <w:t>非甲烷总烃</w:t>
            </w:r>
            <w:r>
              <w:rPr>
                <w:rFonts w:hint="eastAsia"/>
                <w:sz w:val="24"/>
                <w:u w:val="single"/>
              </w:rPr>
              <w:t>最高允许排放限值</w:t>
            </w:r>
            <w:r>
              <w:rPr>
                <w:sz w:val="24"/>
                <w:u w:val="single"/>
              </w:rPr>
              <w:t>60mg/m</w:t>
            </w:r>
            <w:r>
              <w:rPr>
                <w:sz w:val="24"/>
                <w:u w:val="single"/>
                <w:vertAlign w:val="superscript"/>
              </w:rPr>
              <w:t>3</w:t>
            </w:r>
            <w:r>
              <w:rPr>
                <w:rFonts w:hint="eastAsia"/>
                <w:sz w:val="24"/>
                <w:u w:val="single"/>
              </w:rPr>
              <w:t>要求，</w:t>
            </w:r>
            <w:r>
              <w:rPr>
                <w:rFonts w:hint="eastAsia"/>
                <w:sz w:val="24"/>
                <w:szCs w:val="28"/>
                <w:u w:val="single"/>
              </w:rPr>
              <w:t>同时满足《河南省环境污染防治攻坚战领导小组办公室文件&lt;关于全省开展工业企业挥发性有机物专项治理工作中排放建议值的通知&gt;》豫环攻坚办[2017]162号文附件1有机废气排放口非甲烷总烃建议排放浓度</w:t>
            </w:r>
            <w:r>
              <w:rPr>
                <w:sz w:val="24"/>
                <w:szCs w:val="28"/>
                <w:u w:val="single"/>
              </w:rPr>
              <w:t>5</w:t>
            </w:r>
            <w:r>
              <w:rPr>
                <w:rFonts w:hint="eastAsia"/>
                <w:sz w:val="24"/>
                <w:szCs w:val="28"/>
                <w:u w:val="single"/>
              </w:rPr>
              <w:t>0mg/m</w:t>
            </w:r>
            <w:r>
              <w:rPr>
                <w:rFonts w:hint="eastAsia"/>
                <w:sz w:val="24"/>
                <w:szCs w:val="28"/>
                <w:u w:val="single"/>
                <w:vertAlign w:val="superscript"/>
              </w:rPr>
              <w:t>3</w:t>
            </w:r>
            <w:r>
              <w:rPr>
                <w:rFonts w:hint="eastAsia"/>
                <w:sz w:val="24"/>
                <w:szCs w:val="28"/>
                <w:u w:val="single"/>
              </w:rPr>
              <w:t>和建议去除效率70%的要求。</w:t>
            </w:r>
          </w:p>
          <w:p>
            <w:pPr>
              <w:autoSpaceDE w:val="0"/>
              <w:autoSpaceDN w:val="0"/>
              <w:spacing w:line="360" w:lineRule="auto"/>
              <w:ind w:firstLine="480" w:firstLineChars="200"/>
              <w:rPr>
                <w:sz w:val="24"/>
                <w:u w:val="single"/>
              </w:rPr>
            </w:pPr>
            <w:r>
              <w:rPr>
                <w:rFonts w:hint="eastAsia"/>
                <w:sz w:val="24"/>
                <w:u w:val="single"/>
              </w:rPr>
              <w:t>未被收集的有机废气量约为0.0365t/a。车间通风无组织排放。</w:t>
            </w:r>
          </w:p>
          <w:p>
            <w:pPr>
              <w:pStyle w:val="9"/>
              <w:numPr>
                <w:ilvl w:val="0"/>
                <w:numId w:val="0"/>
              </w:numPr>
              <w:spacing w:line="360" w:lineRule="auto"/>
              <w:rPr>
                <w:rFonts w:ascii="黑体" w:hAnsi="黑体" w:eastAsia="黑体" w:cs="黑体"/>
                <w:sz w:val="24"/>
                <w:u w:val="single"/>
              </w:rPr>
            </w:pPr>
            <w:r>
              <w:rPr>
                <w:rFonts w:hint="eastAsia" w:ascii="黑体" w:hAnsi="黑体" w:eastAsia="黑体" w:cs="黑体"/>
                <w:sz w:val="24"/>
                <w:u w:val="single"/>
              </w:rPr>
              <w:t>1.2污染物防治设施可行性分析</w:t>
            </w:r>
          </w:p>
          <w:p>
            <w:pPr>
              <w:autoSpaceDE w:val="0"/>
              <w:autoSpaceDN w:val="0"/>
              <w:spacing w:line="360" w:lineRule="auto"/>
              <w:ind w:firstLine="480" w:firstLineChars="200"/>
              <w:rPr>
                <w:sz w:val="24"/>
                <w:szCs w:val="28"/>
                <w:u w:val="single"/>
              </w:rPr>
            </w:pPr>
            <w:r>
              <w:rPr>
                <w:rFonts w:hint="eastAsia"/>
                <w:sz w:val="24"/>
                <w:szCs w:val="28"/>
                <w:u w:val="single"/>
              </w:rPr>
              <w:t>UV光氧催化+活性炭吸附装置</w:t>
            </w:r>
          </w:p>
          <w:p>
            <w:pPr>
              <w:autoSpaceDE w:val="0"/>
              <w:autoSpaceDN w:val="0"/>
              <w:spacing w:line="360" w:lineRule="auto"/>
              <w:ind w:firstLine="480" w:firstLineChars="200"/>
              <w:rPr>
                <w:sz w:val="24"/>
                <w:u w:val="single"/>
              </w:rPr>
            </w:pPr>
            <w:r>
              <w:rPr>
                <w:rFonts w:hint="eastAsia"/>
                <w:sz w:val="24"/>
                <w:u w:val="single"/>
              </w:rPr>
              <w:t>本项目在车间东北角设置密闭区域，放置2台印刷机，密闭尺寸为5m×5m×2.5m。房间换气6次/h。</w:t>
            </w:r>
          </w:p>
          <w:p>
            <w:pPr>
              <w:autoSpaceDE w:val="0"/>
              <w:autoSpaceDN w:val="0"/>
              <w:spacing w:line="360" w:lineRule="auto"/>
              <w:ind w:firstLine="480" w:firstLineChars="200"/>
              <w:rPr>
                <w:sz w:val="24"/>
                <w:u w:val="single"/>
              </w:rPr>
            </w:pPr>
            <w:r>
              <w:rPr>
                <w:rFonts w:hint="eastAsia"/>
                <w:sz w:val="24"/>
                <w:u w:val="single"/>
              </w:rPr>
              <w:t>本项目裁布机、裁带机、印刷机上方设集气罩，集气罩四周加皮帘密闭，裁布机集气罩口面积0.2m×2.0m，裁带机集气罩口面积0.2m×1.0m，印刷机集气罩口面积1.0m×2.4m。</w:t>
            </w:r>
          </w:p>
          <w:p>
            <w:pPr>
              <w:autoSpaceDE w:val="0"/>
              <w:autoSpaceDN w:val="0"/>
              <w:spacing w:line="360" w:lineRule="auto"/>
              <w:ind w:firstLine="480" w:firstLineChars="200"/>
              <w:rPr>
                <w:sz w:val="24"/>
                <w:u w:val="single"/>
              </w:rPr>
            </w:pPr>
            <w:r>
              <w:rPr>
                <w:rFonts w:hint="eastAsia"/>
                <w:sz w:val="24"/>
                <w:u w:val="single"/>
              </w:rPr>
              <w:t>根据《大气污染控制工程》中集气罩风量计算公式，计算工序所需风量：</w:t>
            </w:r>
          </w:p>
          <w:p>
            <w:pPr>
              <w:autoSpaceDE w:val="0"/>
              <w:autoSpaceDN w:val="0"/>
              <w:spacing w:line="360" w:lineRule="auto"/>
              <w:ind w:firstLine="480" w:firstLineChars="200"/>
              <w:jc w:val="center"/>
              <w:rPr>
                <w:sz w:val="24"/>
                <w:u w:val="single"/>
              </w:rPr>
            </w:pPr>
            <w:r>
              <w:rPr>
                <w:rFonts w:hint="eastAsia"/>
                <w:sz w:val="24"/>
                <w:u w:val="single"/>
              </w:rPr>
              <w:t>Q=1.4×（a+b）×h×V</w:t>
            </w:r>
            <w:r>
              <w:rPr>
                <w:rFonts w:hint="eastAsia"/>
                <w:sz w:val="24"/>
                <w:u w:val="single"/>
                <w:vertAlign w:val="subscript"/>
              </w:rPr>
              <w:t>0</w:t>
            </w:r>
            <w:r>
              <w:rPr>
                <w:rFonts w:hint="eastAsia"/>
                <w:sz w:val="24"/>
                <w:u w:val="single"/>
              </w:rPr>
              <w:t>×3600</w:t>
            </w:r>
          </w:p>
          <w:p>
            <w:pPr>
              <w:autoSpaceDE w:val="0"/>
              <w:autoSpaceDN w:val="0"/>
              <w:spacing w:line="360" w:lineRule="auto"/>
              <w:ind w:firstLine="480" w:firstLineChars="200"/>
              <w:rPr>
                <w:sz w:val="24"/>
                <w:u w:val="single"/>
              </w:rPr>
            </w:pPr>
            <w:r>
              <w:rPr>
                <w:rFonts w:hint="eastAsia"/>
                <w:sz w:val="24"/>
                <w:u w:val="single"/>
              </w:rPr>
              <w:t>式中：Q—集气罩排风量，单位：m</w:t>
            </w:r>
            <w:r>
              <w:rPr>
                <w:rFonts w:hint="eastAsia"/>
                <w:sz w:val="24"/>
                <w:u w:val="single"/>
                <w:vertAlign w:val="superscript"/>
              </w:rPr>
              <w:t>3</w:t>
            </w:r>
            <w:r>
              <w:rPr>
                <w:rFonts w:hint="eastAsia"/>
                <w:sz w:val="24"/>
                <w:u w:val="single"/>
              </w:rPr>
              <w:t>/h;</w:t>
            </w:r>
          </w:p>
          <w:p>
            <w:pPr>
              <w:autoSpaceDE w:val="0"/>
              <w:autoSpaceDN w:val="0"/>
              <w:spacing w:line="360" w:lineRule="auto"/>
              <w:ind w:firstLine="1200" w:firstLineChars="500"/>
              <w:rPr>
                <w:sz w:val="24"/>
                <w:u w:val="single"/>
              </w:rPr>
            </w:pPr>
            <w:r>
              <w:rPr>
                <w:rFonts w:hint="eastAsia"/>
                <w:sz w:val="24"/>
                <w:u w:val="single"/>
              </w:rPr>
              <w:t>(a+b)—集气罩周长，单位：m，本项目为15.8m</w:t>
            </w:r>
          </w:p>
          <w:p>
            <w:pPr>
              <w:autoSpaceDE w:val="0"/>
              <w:autoSpaceDN w:val="0"/>
              <w:spacing w:line="360" w:lineRule="auto"/>
              <w:ind w:firstLine="1200" w:firstLineChars="500"/>
              <w:rPr>
                <w:sz w:val="24"/>
                <w:u w:val="single"/>
              </w:rPr>
            </w:pPr>
            <w:r>
              <w:rPr>
                <w:rFonts w:hint="eastAsia"/>
                <w:sz w:val="24"/>
                <w:u w:val="single"/>
              </w:rPr>
              <w:t>h一罩口至污染源的距离，单位：m，本项目取0.2m。</w:t>
            </w:r>
          </w:p>
          <w:p>
            <w:pPr>
              <w:autoSpaceDE w:val="0"/>
              <w:autoSpaceDN w:val="0"/>
              <w:spacing w:line="360" w:lineRule="auto"/>
              <w:ind w:firstLine="1200" w:firstLineChars="500"/>
              <w:rPr>
                <w:rFonts w:hAnsi="宋体"/>
                <w:sz w:val="24"/>
                <w:u w:val="single"/>
              </w:rPr>
            </w:pPr>
            <w:r>
              <w:rPr>
                <w:rFonts w:hint="eastAsia"/>
                <w:sz w:val="24"/>
                <w:u w:val="single"/>
              </w:rPr>
              <w:t>V—污染源气体流速，</w:t>
            </w:r>
            <w:r>
              <w:rPr>
                <w:rFonts w:hint="eastAsia" w:hAnsi="宋体"/>
                <w:sz w:val="24"/>
                <w:u w:val="single"/>
              </w:rPr>
              <w:t>单位：m/s，一般取0.25-0.5m/s，本项目取0.5m/s。</w:t>
            </w:r>
          </w:p>
          <w:p>
            <w:pPr>
              <w:autoSpaceDE w:val="0"/>
              <w:autoSpaceDN w:val="0"/>
              <w:spacing w:line="360" w:lineRule="auto"/>
              <w:ind w:firstLine="480" w:firstLineChars="200"/>
              <w:rPr>
                <w:sz w:val="24"/>
                <w:u w:val="single"/>
              </w:rPr>
            </w:pPr>
            <w:r>
              <w:rPr>
                <w:rFonts w:hint="eastAsia" w:hAnsi="宋体"/>
                <w:sz w:val="24"/>
                <w:u w:val="single"/>
              </w:rPr>
              <w:t>由上述</w:t>
            </w:r>
            <w:r>
              <w:rPr>
                <w:rFonts w:hint="eastAsia"/>
                <w:sz w:val="24"/>
                <w:u w:val="single"/>
              </w:rPr>
              <w:t>公式计算得出风量为7600.32m</w:t>
            </w:r>
            <w:r>
              <w:rPr>
                <w:rFonts w:hint="eastAsia"/>
                <w:sz w:val="24"/>
                <w:u w:val="single"/>
                <w:vertAlign w:val="superscript"/>
              </w:rPr>
              <w:t>3</w:t>
            </w:r>
            <w:r>
              <w:rPr>
                <w:rFonts w:hint="eastAsia"/>
                <w:sz w:val="24"/>
                <w:u w:val="single"/>
              </w:rPr>
              <w:t>/h，本项目2台印刷机在厂房内二次密闭，设备密闭面积约为25m</w:t>
            </w:r>
            <w:r>
              <w:rPr>
                <w:rFonts w:hint="eastAsia"/>
                <w:sz w:val="24"/>
                <w:u w:val="single"/>
                <w:vertAlign w:val="superscript"/>
              </w:rPr>
              <w:t>2</w:t>
            </w:r>
            <w:r>
              <w:rPr>
                <w:rFonts w:hint="eastAsia"/>
                <w:sz w:val="24"/>
                <w:u w:val="single"/>
              </w:rPr>
              <w:t>，密闭间高2.5m，房间换气次数取一小时6次，则印刷机密闭间所需风量为375m</w:t>
            </w:r>
            <w:r>
              <w:rPr>
                <w:rFonts w:hint="eastAsia"/>
                <w:sz w:val="24"/>
                <w:u w:val="single"/>
                <w:vertAlign w:val="superscript"/>
              </w:rPr>
              <w:t>3</w:t>
            </w:r>
            <w:r>
              <w:rPr>
                <w:rFonts w:hint="eastAsia"/>
                <w:sz w:val="24"/>
                <w:u w:val="single"/>
              </w:rPr>
              <w:t>/h，因此本项目总风量以8000m</w:t>
            </w:r>
            <w:r>
              <w:rPr>
                <w:rFonts w:hint="eastAsia"/>
                <w:sz w:val="24"/>
                <w:u w:val="single"/>
                <w:vertAlign w:val="superscript"/>
              </w:rPr>
              <w:t>3</w:t>
            </w:r>
            <w:r>
              <w:rPr>
                <w:rFonts w:hint="eastAsia"/>
                <w:sz w:val="24"/>
                <w:u w:val="single"/>
              </w:rPr>
              <w:t>/h计</w:t>
            </w:r>
          </w:p>
          <w:p>
            <w:pPr>
              <w:autoSpaceDE w:val="0"/>
              <w:autoSpaceDN w:val="0"/>
              <w:spacing w:line="360" w:lineRule="auto"/>
              <w:ind w:firstLine="480" w:firstLineChars="200"/>
              <w:rPr>
                <w:sz w:val="24"/>
                <w:u w:val="single"/>
                <w:lang w:val="zh-TW"/>
              </w:rPr>
            </w:pPr>
            <w:r>
              <w:rPr>
                <w:rFonts w:hint="eastAsia"/>
                <w:sz w:val="24"/>
                <w:u w:val="single"/>
                <w:lang w:val="zh-TW"/>
              </w:rPr>
              <w:t>本项目废气处理措施属于</w:t>
            </w:r>
            <w:r>
              <w:rPr>
                <w:rFonts w:hint="eastAsia"/>
                <w:sz w:val="24"/>
                <w:u w:val="single"/>
              </w:rPr>
              <w:t>《排污许可证申请与核发技术规范 橡胶和塑料制品工业》（HJ1122-2020）</w:t>
            </w:r>
            <w:r>
              <w:rPr>
                <w:rFonts w:hint="eastAsia"/>
                <w:sz w:val="24"/>
                <w:u w:val="single"/>
                <w:lang w:val="zh-TW"/>
              </w:rPr>
              <w:t>中列明的废气污染防治可行技术，故项目所采用的废气污染治理设施可行。</w:t>
            </w:r>
          </w:p>
          <w:p>
            <w:pPr>
              <w:pStyle w:val="9"/>
              <w:numPr>
                <w:ilvl w:val="0"/>
                <w:numId w:val="0"/>
              </w:numPr>
              <w:spacing w:line="360" w:lineRule="auto"/>
              <w:rPr>
                <w:rFonts w:ascii="黑体" w:hAnsi="黑体" w:eastAsia="黑体" w:cs="黑体"/>
                <w:sz w:val="24"/>
              </w:rPr>
            </w:pPr>
            <w:r>
              <w:rPr>
                <w:rFonts w:hint="eastAsia" w:ascii="黑体" w:hAnsi="黑体" w:eastAsia="黑体" w:cs="黑体"/>
                <w:sz w:val="24"/>
              </w:rPr>
              <w:t>1.3 排放口基本情况</w:t>
            </w:r>
          </w:p>
          <w:p>
            <w:pPr>
              <w:pStyle w:val="9"/>
              <w:numPr>
                <w:ilvl w:val="0"/>
                <w:numId w:val="0"/>
              </w:numPr>
              <w:spacing w:line="360" w:lineRule="auto"/>
              <w:ind w:firstLine="480" w:firstLineChars="200"/>
              <w:rPr>
                <w:rFonts w:ascii="宋体" w:hAnsi="宋体" w:cs="宋体"/>
                <w:kern w:val="0"/>
                <w:sz w:val="24"/>
                <w:szCs w:val="20"/>
                <w:lang w:bidi="ar"/>
              </w:rPr>
            </w:pPr>
            <w:r>
              <w:rPr>
                <w:rFonts w:hint="eastAsia" w:ascii="宋体" w:hAnsi="宋体" w:cs="宋体"/>
                <w:kern w:val="0"/>
                <w:sz w:val="24"/>
                <w:szCs w:val="20"/>
                <w:lang w:bidi="ar"/>
              </w:rPr>
              <w:t>剪裁、调墨、印刷产生的有机废气，经集气设施收集，引入“UV光氧+活性炭吸附”装置进行处理。</w:t>
            </w:r>
          </w:p>
          <w:p>
            <w:pPr>
              <w:pStyle w:val="9"/>
              <w:numPr>
                <w:ilvl w:val="0"/>
                <w:numId w:val="0"/>
              </w:numPr>
              <w:spacing w:line="360" w:lineRule="auto"/>
              <w:ind w:firstLine="480" w:firstLineChars="200"/>
              <w:rPr>
                <w:rFonts w:ascii="宋体" w:hAnsi="宋体" w:cs="宋体"/>
                <w:kern w:val="0"/>
                <w:sz w:val="24"/>
                <w:szCs w:val="20"/>
                <w:lang w:bidi="ar"/>
              </w:rPr>
            </w:pPr>
            <w:r>
              <w:rPr>
                <w:rFonts w:hint="eastAsia" w:ascii="宋体" w:hAnsi="宋体" w:cs="宋体"/>
                <w:kern w:val="0"/>
                <w:sz w:val="24"/>
                <w:szCs w:val="20"/>
                <w:lang w:bidi="ar"/>
              </w:rPr>
              <w:t>排放口基本情况见下表。</w:t>
            </w:r>
          </w:p>
          <w:p>
            <w:pPr>
              <w:pStyle w:val="2"/>
              <w:spacing w:line="440" w:lineRule="exact"/>
              <w:ind w:firstLine="480"/>
              <w:jc w:val="center"/>
              <w:rPr>
                <w:rFonts w:eastAsia="黑体"/>
                <w:sz w:val="24"/>
                <w:szCs w:val="24"/>
              </w:rPr>
            </w:pPr>
            <w:r>
              <w:rPr>
                <w:rFonts w:eastAsia="黑体"/>
                <w:sz w:val="24"/>
                <w:szCs w:val="24"/>
              </w:rPr>
              <w:t>表4-</w:t>
            </w:r>
            <w:r>
              <w:rPr>
                <w:rFonts w:hint="eastAsia" w:eastAsia="黑体"/>
                <w:sz w:val="24"/>
                <w:szCs w:val="24"/>
              </w:rPr>
              <w:t>2</w:t>
            </w:r>
            <w:r>
              <w:rPr>
                <w:rFonts w:eastAsia="黑体"/>
                <w:sz w:val="24"/>
                <w:szCs w:val="24"/>
              </w:rPr>
              <w:t xml:space="preserve">  项目排放口情况一览表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520"/>
              <w:gridCol w:w="980"/>
              <w:gridCol w:w="1258"/>
              <w:gridCol w:w="109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18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排放口编号及名称</w:t>
                  </w:r>
                </w:p>
              </w:tc>
              <w:tc>
                <w:tcPr>
                  <w:tcW w:w="1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地理坐标</w:t>
                  </w:r>
                </w:p>
              </w:tc>
              <w:tc>
                <w:tcPr>
                  <w:tcW w:w="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排气筒高度/m</w:t>
                  </w: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排气筒出口内径/m</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烟气温度/</w:t>
                  </w:r>
                  <w:r>
                    <w:rPr>
                      <w:rFonts w:hint="eastAsia" w:ascii="宋体" w:hAnsi="宋体" w:cs="宋体"/>
                      <w:kern w:val="0"/>
                      <w:szCs w:val="21"/>
                      <w:lang w:bidi="ar"/>
                    </w:rPr>
                    <w:t>℃</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vAlign w:val="center"/>
                </w:tcPr>
                <w:p>
                  <w:pPr>
                    <w:pStyle w:val="6"/>
                    <w:spacing w:after="0" w:line="400" w:lineRule="exact"/>
                    <w:ind w:left="0" w:leftChars="0"/>
                    <w:jc w:val="center"/>
                    <w:rPr>
                      <w:sz w:val="21"/>
                      <w:szCs w:val="21"/>
                      <w:lang w:bidi="ar"/>
                    </w:rPr>
                  </w:pPr>
                  <w:r>
                    <w:rPr>
                      <w:rFonts w:hint="eastAsia"/>
                      <w:sz w:val="21"/>
                      <w:szCs w:val="21"/>
                    </w:rPr>
                    <w:t>UV光氧</w:t>
                  </w:r>
                  <w:r>
                    <w:rPr>
                      <w:sz w:val="21"/>
                      <w:szCs w:val="21"/>
                    </w:rPr>
                    <w:t>+活性炭吸附装置出口</w:t>
                  </w:r>
                </w:p>
              </w:tc>
              <w:tc>
                <w:tcPr>
                  <w:tcW w:w="1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112°</w:t>
                  </w:r>
                  <w:r>
                    <w:rPr>
                      <w:rFonts w:hint="eastAsia"/>
                    </w:rPr>
                    <w:t>44</w:t>
                  </w:r>
                  <w:r>
                    <w:t>'</w:t>
                  </w:r>
                  <w:r>
                    <w:rPr>
                      <w:rFonts w:hint="eastAsia"/>
                    </w:rPr>
                    <w:t>24.49</w:t>
                  </w:r>
                  <w:r>
                    <w:t>"</w:t>
                  </w:r>
                </w:p>
                <w:p>
                  <w:pPr>
                    <w:spacing w:line="400" w:lineRule="exact"/>
                    <w:jc w:val="center"/>
                    <w:rPr>
                      <w:color w:val="000000"/>
                      <w:kern w:val="0"/>
                      <w:szCs w:val="21"/>
                      <w:lang w:bidi="ar"/>
                    </w:rPr>
                  </w:pPr>
                  <w:r>
                    <w:rPr>
                      <w:kern w:val="0"/>
                      <w:szCs w:val="21"/>
                      <w:lang w:bidi="ar"/>
                    </w:rPr>
                    <w:t>34°4</w:t>
                  </w:r>
                  <w:r>
                    <w:rPr>
                      <w:rFonts w:hint="eastAsia"/>
                      <w:kern w:val="0"/>
                      <w:szCs w:val="21"/>
                      <w:lang w:bidi="ar"/>
                    </w:rPr>
                    <w:t>0</w:t>
                  </w:r>
                  <w:r>
                    <w:rPr>
                      <w:kern w:val="0"/>
                      <w:szCs w:val="21"/>
                      <w:lang w:bidi="ar"/>
                    </w:rPr>
                    <w:t>'</w:t>
                  </w:r>
                  <w:r>
                    <w:rPr>
                      <w:rFonts w:hint="eastAsia"/>
                      <w:kern w:val="0"/>
                      <w:szCs w:val="21"/>
                      <w:lang w:bidi="ar"/>
                    </w:rPr>
                    <w:t>54.05</w:t>
                  </w:r>
                  <w:r>
                    <w:rPr>
                      <w:kern w:val="0"/>
                      <w:szCs w:val="21"/>
                      <w:lang w:bidi="ar"/>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Cs w:val="21"/>
                      <w:lang w:bidi="ar"/>
                    </w:rPr>
                  </w:pPr>
                  <w:r>
                    <w:rPr>
                      <w:kern w:val="0"/>
                      <w:szCs w:val="21"/>
                      <w:lang w:bidi="ar"/>
                    </w:rPr>
                    <w:t>15</w:t>
                  </w:r>
                </w:p>
              </w:tc>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0.5</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kern w:val="0"/>
                      <w:szCs w:val="21"/>
                      <w:lang w:bidi="ar"/>
                    </w:rPr>
                    <w:t>常温</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kern w:val="0"/>
                      <w:szCs w:val="21"/>
                      <w:lang w:bidi="ar"/>
                    </w:rPr>
                    <w:t>一般排放口</w:t>
                  </w:r>
                </w:p>
              </w:tc>
            </w:tr>
          </w:tbl>
          <w:p>
            <w:pPr>
              <w:pStyle w:val="70"/>
              <w:spacing w:line="480" w:lineRule="exact"/>
              <w:ind w:firstLine="0" w:firstLineChars="0"/>
              <w:rPr>
                <w:rFonts w:ascii="黑体" w:hAnsi="黑体" w:eastAsia="黑体" w:cs="黑体"/>
                <w:kern w:val="2"/>
              </w:rPr>
            </w:pPr>
            <w:r>
              <w:rPr>
                <w:rFonts w:hint="eastAsia" w:ascii="黑体" w:hAnsi="黑体" w:eastAsia="黑体" w:cs="黑体"/>
                <w:kern w:val="2"/>
              </w:rPr>
              <w:t>1.4 监测计划</w:t>
            </w:r>
          </w:p>
          <w:p>
            <w:pPr>
              <w:spacing w:before="120" w:beforeLines="50" w:line="360" w:lineRule="auto"/>
              <w:ind w:firstLine="482"/>
              <w:rPr>
                <w:rFonts w:ascii="宋体" w:hAnsi="宋体" w:cs="宋体"/>
                <w:sz w:val="24"/>
              </w:rPr>
            </w:pPr>
            <w:r>
              <w:rPr>
                <w:rFonts w:hint="eastAsia" w:ascii="宋体" w:hAnsi="宋体" w:cs="宋体"/>
                <w:sz w:val="24"/>
              </w:rPr>
              <w:t>本项目生产工艺含印刷工序，因此</w:t>
            </w:r>
            <w:r>
              <w:rPr>
                <w:sz w:val="24"/>
              </w:rPr>
              <w:t xml:space="preserve">参考《排污许可证申请与核发技术规范 </w:t>
            </w:r>
            <w:r>
              <w:rPr>
                <w:rFonts w:hint="eastAsia"/>
                <w:sz w:val="24"/>
              </w:rPr>
              <w:t>印刷行业</w:t>
            </w:r>
            <w:r>
              <w:rPr>
                <w:sz w:val="24"/>
              </w:rPr>
              <w:t xml:space="preserve">》（HJ </w:t>
            </w:r>
            <w:r>
              <w:rPr>
                <w:rFonts w:hint="eastAsia"/>
                <w:sz w:val="24"/>
              </w:rPr>
              <w:t>1246</w:t>
            </w:r>
            <w:r>
              <w:rPr>
                <w:sz w:val="24"/>
              </w:rPr>
              <w:t>-202</w:t>
            </w:r>
            <w:r>
              <w:rPr>
                <w:rFonts w:hint="eastAsia"/>
                <w:sz w:val="24"/>
              </w:rPr>
              <w:t>2</w:t>
            </w:r>
            <w:r>
              <w:rPr>
                <w:sz w:val="24"/>
              </w:rPr>
              <w:t>）中</w:t>
            </w:r>
            <w:r>
              <w:rPr>
                <w:rFonts w:hint="eastAsia" w:ascii="宋体" w:hAnsi="宋体" w:cs="宋体"/>
                <w:sz w:val="24"/>
              </w:rPr>
              <w:t>相关内容，项目监测计划见下表。</w:t>
            </w:r>
          </w:p>
          <w:p>
            <w:pPr>
              <w:spacing w:line="440" w:lineRule="exact"/>
              <w:ind w:firstLine="420"/>
              <w:jc w:val="center"/>
              <w:rPr>
                <w:rFonts w:eastAsia="黑体"/>
                <w:sz w:val="24"/>
              </w:rPr>
            </w:pPr>
          </w:p>
          <w:p>
            <w:pPr>
              <w:spacing w:line="440" w:lineRule="exact"/>
              <w:ind w:firstLine="420"/>
              <w:jc w:val="center"/>
              <w:rPr>
                <w:rFonts w:eastAsia="黑体"/>
                <w:sz w:val="24"/>
              </w:rPr>
            </w:pPr>
            <w:r>
              <w:rPr>
                <w:rFonts w:eastAsia="黑体"/>
                <w:sz w:val="24"/>
              </w:rPr>
              <w:t>表4-</w:t>
            </w:r>
            <w:r>
              <w:rPr>
                <w:rFonts w:hint="eastAsia" w:eastAsia="黑体"/>
                <w:sz w:val="24"/>
              </w:rPr>
              <w:t>3</w:t>
            </w:r>
            <w:r>
              <w:rPr>
                <w:rFonts w:eastAsia="黑体"/>
                <w:sz w:val="24"/>
              </w:rPr>
              <w:t xml:space="preserve">  污染源监测计划表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294"/>
              <w:gridCol w:w="1134"/>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监测点位</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监测指标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监测频次</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07" w:type="dxa"/>
                  <w:tcBorders>
                    <w:left w:val="single" w:color="auto" w:sz="4" w:space="0"/>
                    <w:right w:val="single" w:color="auto" w:sz="4" w:space="0"/>
                  </w:tcBorders>
                  <w:vAlign w:val="center"/>
                </w:tcPr>
                <w:p>
                  <w:pPr>
                    <w:pStyle w:val="6"/>
                    <w:spacing w:after="0" w:line="400" w:lineRule="exact"/>
                    <w:ind w:left="0" w:leftChars="0"/>
                    <w:jc w:val="center"/>
                    <w:rPr>
                      <w:sz w:val="21"/>
                      <w:szCs w:val="21"/>
                      <w:lang w:bidi="ar"/>
                    </w:rPr>
                  </w:pPr>
                  <w:r>
                    <w:rPr>
                      <w:rFonts w:hint="eastAsia"/>
                      <w:sz w:val="21"/>
                      <w:szCs w:val="21"/>
                    </w:rPr>
                    <w:t>UV光氧</w:t>
                  </w:r>
                  <w:r>
                    <w:rPr>
                      <w:sz w:val="21"/>
                      <w:szCs w:val="21"/>
                    </w:rPr>
                    <w:t>+活性炭吸附装置出口</w:t>
                  </w:r>
                </w:p>
              </w:tc>
              <w:tc>
                <w:tcPr>
                  <w:tcW w:w="1294" w:type="dxa"/>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非甲烷总烃</w:t>
                  </w:r>
                </w:p>
              </w:tc>
              <w:tc>
                <w:tcPr>
                  <w:tcW w:w="1134" w:type="dxa"/>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1次</w:t>
                  </w:r>
                  <w:r>
                    <w:rPr>
                      <w:rFonts w:hint="eastAsia"/>
                      <w:szCs w:val="21"/>
                    </w:rPr>
                    <w:t>/半</w:t>
                  </w:r>
                  <w:r>
                    <w:rPr>
                      <w:szCs w:val="21"/>
                    </w:rPr>
                    <w:t>年</w:t>
                  </w:r>
                </w:p>
              </w:tc>
              <w:tc>
                <w:tcPr>
                  <w:tcW w:w="3801" w:type="dxa"/>
                  <w:tcBorders>
                    <w:top w:val="single" w:color="auto" w:sz="4" w:space="0"/>
                    <w:left w:val="single" w:color="auto" w:sz="4" w:space="0"/>
                    <w:right w:val="single" w:color="auto" w:sz="4" w:space="0"/>
                  </w:tcBorders>
                  <w:vAlign w:val="center"/>
                </w:tcPr>
                <w:p>
                  <w:pPr>
                    <w:spacing w:line="400" w:lineRule="exact"/>
                  </w:pPr>
                  <w:r>
                    <w:t>《河南省工业企业挥发性有机物排放建议值》（豫环攻坚办[2017]162号）排放限值要求；</w:t>
                  </w:r>
                </w:p>
                <w:p>
                  <w:pPr>
                    <w:spacing w:line="400" w:lineRule="exact"/>
                  </w:pPr>
                  <w:r>
                    <w:rPr>
                      <w:rFonts w:hint="eastAsia"/>
                    </w:rPr>
                    <w:t>《印刷工业挥发性有机物排放标准</w:t>
                  </w:r>
                  <w:r>
                    <w:t>》（</w:t>
                  </w:r>
                  <w:r>
                    <w:rPr>
                      <w:rFonts w:hint="eastAsia"/>
                    </w:rPr>
                    <w:t>D</w:t>
                  </w:r>
                  <w:r>
                    <w:t>B</w:t>
                  </w:r>
                  <w:r>
                    <w:rPr>
                      <w:rFonts w:hint="eastAsia"/>
                    </w:rPr>
                    <w:t>41/1956</w:t>
                  </w:r>
                  <w:r>
                    <w:t>-20</w:t>
                  </w:r>
                  <w:r>
                    <w:rPr>
                      <w:rFonts w:hint="eastAsia"/>
                    </w:rPr>
                    <w:t>20</w:t>
                  </w:r>
                  <w:r>
                    <w:t>）</w:t>
                  </w:r>
                  <w:r>
                    <w:rPr>
                      <w:rFonts w:hint="eastAsia"/>
                    </w:rPr>
                    <w:t>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7"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上风向1个监测点、下风向3个监测点</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非甲烷总烃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1次/年</w:t>
                  </w:r>
                </w:p>
              </w:tc>
              <w:tc>
                <w:tcPr>
                  <w:tcW w:w="3801" w:type="dxa"/>
                  <w:tcBorders>
                    <w:top w:val="single" w:color="auto" w:sz="4" w:space="0"/>
                    <w:left w:val="single" w:color="auto" w:sz="4" w:space="0"/>
                    <w:bottom w:val="single" w:color="auto" w:sz="4" w:space="0"/>
                    <w:right w:val="single" w:color="auto" w:sz="4" w:space="0"/>
                  </w:tcBorders>
                  <w:vAlign w:val="center"/>
                </w:tcPr>
                <w:p>
                  <w:pPr>
                    <w:pStyle w:val="2"/>
                  </w:pPr>
                  <w:r>
                    <w:t>《挥发性有机物无组织排放控制标准》表A.1标准要求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7" w:type="dxa"/>
                  <w:tcBorders>
                    <w:left w:val="single" w:color="auto" w:sz="4" w:space="0"/>
                    <w:bottom w:val="single" w:color="auto" w:sz="4" w:space="0"/>
                    <w:right w:val="single" w:color="auto" w:sz="4" w:space="0"/>
                  </w:tcBorders>
                  <w:vAlign w:val="center"/>
                </w:tcPr>
                <w:p>
                  <w:pPr>
                    <w:pStyle w:val="4"/>
                    <w:autoSpaceDE w:val="0"/>
                    <w:jc w:val="center"/>
                    <w:rPr>
                      <w:sz w:val="21"/>
                      <w:szCs w:val="21"/>
                    </w:rPr>
                  </w:pPr>
                  <w:r>
                    <w:rPr>
                      <w:sz w:val="21"/>
                      <w:szCs w:val="21"/>
                    </w:rPr>
                    <w:t>车间外监控点</w:t>
                  </w:r>
                </w:p>
              </w:tc>
              <w:tc>
                <w:tcPr>
                  <w:tcW w:w="1294" w:type="dxa"/>
                  <w:tcBorders>
                    <w:top w:val="single" w:color="auto" w:sz="4" w:space="0"/>
                    <w:left w:val="single" w:color="auto" w:sz="4" w:space="0"/>
                    <w:bottom w:val="single" w:color="auto" w:sz="4" w:space="0"/>
                    <w:right w:val="single" w:color="auto" w:sz="4" w:space="0"/>
                  </w:tcBorders>
                  <w:vAlign w:val="center"/>
                </w:tcPr>
                <w:p>
                  <w:pPr>
                    <w:pStyle w:val="4"/>
                    <w:autoSpaceDE w:val="0"/>
                    <w:jc w:val="center"/>
                    <w:rPr>
                      <w:sz w:val="21"/>
                      <w:szCs w:val="21"/>
                    </w:rPr>
                  </w:pPr>
                  <w:r>
                    <w:rPr>
                      <w:sz w:val="21"/>
                      <w:szCs w:val="21"/>
                    </w:rPr>
                    <w:t>非甲烷总烃</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autoSpaceDE w:val="0"/>
                    <w:jc w:val="center"/>
                    <w:rPr>
                      <w:sz w:val="21"/>
                      <w:szCs w:val="21"/>
                    </w:rPr>
                  </w:pPr>
                  <w:r>
                    <w:rPr>
                      <w:sz w:val="21"/>
                      <w:szCs w:val="21"/>
                    </w:rPr>
                    <w:t>1次/年</w:t>
                  </w:r>
                </w:p>
              </w:tc>
              <w:tc>
                <w:tcPr>
                  <w:tcW w:w="3801" w:type="dxa"/>
                  <w:tcBorders>
                    <w:left w:val="single" w:color="auto" w:sz="4" w:space="0"/>
                    <w:bottom w:val="single" w:color="auto" w:sz="4" w:space="0"/>
                    <w:right w:val="single" w:color="auto" w:sz="4" w:space="0"/>
                  </w:tcBorders>
                  <w:vAlign w:val="center"/>
                </w:tcPr>
                <w:p>
                  <w:pPr>
                    <w:pStyle w:val="4"/>
                    <w:autoSpaceDE w:val="0"/>
                    <w:jc w:val="center"/>
                    <w:rPr>
                      <w:sz w:val="21"/>
                      <w:szCs w:val="21"/>
                    </w:rPr>
                  </w:pPr>
                  <w:r>
                    <w:rPr>
                      <w:sz w:val="21"/>
                      <w:szCs w:val="21"/>
                    </w:rPr>
                    <w:t>《挥发性有机物无组织排放控制标准》表A.1标准要求</w:t>
                  </w:r>
                </w:p>
              </w:tc>
            </w:tr>
          </w:tbl>
          <w:p>
            <w:pPr>
              <w:pStyle w:val="9"/>
              <w:numPr>
                <w:ilvl w:val="0"/>
                <w:numId w:val="0"/>
              </w:numPr>
              <w:spacing w:before="120" w:beforeLines="50" w:line="360" w:lineRule="auto"/>
              <w:rPr>
                <w:rFonts w:ascii="黑体" w:hAnsi="黑体" w:eastAsia="黑体" w:cs="黑体"/>
                <w:kern w:val="0"/>
                <w:sz w:val="24"/>
                <w:szCs w:val="20"/>
                <w:lang w:bidi="ar"/>
              </w:rPr>
            </w:pPr>
            <w:r>
              <w:rPr>
                <w:rFonts w:hint="eastAsia" w:ascii="黑体" w:hAnsi="黑体" w:eastAsia="黑体" w:cs="黑体"/>
                <w:kern w:val="0"/>
                <w:sz w:val="24"/>
                <w:szCs w:val="20"/>
                <w:lang w:bidi="ar"/>
              </w:rPr>
              <w:t xml:space="preserve">1.5 </w:t>
            </w:r>
            <w:r>
              <w:rPr>
                <w:rFonts w:hint="eastAsia" w:ascii="黑体" w:hAnsi="黑体" w:eastAsia="黑体" w:cs="黑体"/>
                <w:sz w:val="24"/>
              </w:rPr>
              <w:t>环境影响分析</w:t>
            </w:r>
          </w:p>
          <w:p>
            <w:pPr>
              <w:pStyle w:val="5"/>
              <w:widowControl w:val="0"/>
              <w:adjustRightInd w:val="0"/>
              <w:spacing w:before="0" w:after="0" w:line="360" w:lineRule="auto"/>
              <w:ind w:firstLine="480" w:firstLineChars="200"/>
              <w:jc w:val="left"/>
              <w:rPr>
                <w:sz w:val="24"/>
                <w:szCs w:val="24"/>
              </w:rPr>
            </w:pPr>
            <w:r>
              <w:rPr>
                <w:rFonts w:hint="eastAsia" w:ascii="宋体" w:hAnsi="宋体" w:cs="宋体"/>
                <w:sz w:val="24"/>
                <w:szCs w:val="24"/>
              </w:rPr>
              <w:t>建设项目位于偃师区岳滩工业区，根据空气现状监测结果，</w:t>
            </w:r>
            <w:r>
              <w:rPr>
                <w:sz w:val="24"/>
                <w:szCs w:val="24"/>
              </w:rPr>
              <w:t>PM</w:t>
            </w:r>
            <w:r>
              <w:rPr>
                <w:sz w:val="24"/>
                <w:szCs w:val="24"/>
                <w:vertAlign w:val="subscript"/>
              </w:rPr>
              <w:t>10</w:t>
            </w:r>
            <w:r>
              <w:rPr>
                <w:sz w:val="24"/>
                <w:szCs w:val="24"/>
              </w:rPr>
              <w:t>、PM</w:t>
            </w:r>
            <w:r>
              <w:rPr>
                <w:sz w:val="24"/>
                <w:szCs w:val="24"/>
                <w:vertAlign w:val="subscript"/>
              </w:rPr>
              <w:t>2.5</w:t>
            </w:r>
            <w:r>
              <w:rPr>
                <w:sz w:val="24"/>
                <w:szCs w:val="24"/>
              </w:rPr>
              <w:t>、O</w:t>
            </w:r>
            <w:r>
              <w:rPr>
                <w:sz w:val="24"/>
                <w:szCs w:val="24"/>
                <w:vertAlign w:val="subscript"/>
              </w:rPr>
              <w:t>3</w:t>
            </w:r>
            <w:r>
              <w:rPr>
                <w:sz w:val="24"/>
                <w:szCs w:val="24"/>
              </w:rPr>
              <w:t>相应浓度不满足《环境空气质量标准》（GB3095-2012）二级标准，针对区域大气</w:t>
            </w:r>
            <w:r>
              <w:rPr>
                <w:rFonts w:hint="eastAsia" w:ascii="宋体" w:hAnsi="宋体" w:cs="宋体"/>
                <w:sz w:val="24"/>
                <w:szCs w:val="24"/>
              </w:rPr>
              <w:t>环境质量现状超标的情况，偃师区出台了</w:t>
            </w:r>
            <w:r>
              <w:rPr>
                <w:rFonts w:hint="eastAsia" w:ascii="宋体" w:hAnsi="宋体" w:cs="宋体"/>
                <w:kern w:val="2"/>
                <w:sz w:val="24"/>
                <w:szCs w:val="24"/>
              </w:rPr>
              <w:t>《偃师区2022年大气、水、土</w:t>
            </w:r>
            <w:r>
              <w:rPr>
                <w:kern w:val="2"/>
                <w:sz w:val="24"/>
                <w:szCs w:val="24"/>
              </w:rPr>
              <w:t>壤污染防治攻坚战及农业农村污染治理攻坚战实施方案的通知》（偃环攻坚办[2022]8号）</w:t>
            </w:r>
            <w:r>
              <w:rPr>
                <w:sz w:val="24"/>
                <w:szCs w:val="24"/>
              </w:rPr>
              <w:t>等相关大气治理文件，通过治理区域环境质量状况正在逐步好转。</w:t>
            </w:r>
          </w:p>
          <w:p>
            <w:pPr>
              <w:pStyle w:val="5"/>
              <w:widowControl w:val="0"/>
              <w:adjustRightInd w:val="0"/>
              <w:spacing w:before="0" w:after="0" w:line="360" w:lineRule="auto"/>
              <w:ind w:firstLine="480" w:firstLineChars="200"/>
              <w:rPr>
                <w:sz w:val="24"/>
                <w:szCs w:val="24"/>
              </w:rPr>
            </w:pPr>
            <w:r>
              <w:rPr>
                <w:sz w:val="24"/>
                <w:szCs w:val="24"/>
              </w:rPr>
              <w:t>本项目营运期针对废气采取的措施为：剪裁、印刷工序产生的有机废气，经集气罩收集，进入“UV光氧+活性炭吸附”装置处理后经1根15m高排气筒排放；非甲烷总烃的排放浓度满足《河南省工业企业挥发性有机物排放建议值》（豫环攻坚办[2017]162号）排放限值要求及《印刷工业挥发性有机物排放标准》（DB41/1956-2020）排放限值要求。故本项目废气</w:t>
            </w:r>
            <w:r>
              <w:rPr>
                <w:kern w:val="2"/>
                <w:sz w:val="24"/>
                <w:szCs w:val="24"/>
              </w:rPr>
              <w:t>排放对区域环境影响较小，在可接受范围内。</w:t>
            </w:r>
          </w:p>
          <w:p>
            <w:pPr>
              <w:pStyle w:val="9"/>
              <w:numPr>
                <w:ilvl w:val="0"/>
                <w:numId w:val="0"/>
              </w:numPr>
              <w:tabs>
                <w:tab w:val="left" w:pos="6348"/>
              </w:tabs>
              <w:spacing w:line="360" w:lineRule="auto"/>
              <w:rPr>
                <w:rFonts w:ascii="宋体" w:hAnsi="宋体" w:cs="宋体"/>
                <w:b/>
                <w:spacing w:val="-10"/>
                <w:sz w:val="24"/>
              </w:rPr>
            </w:pPr>
            <w:r>
              <w:rPr>
                <w:rFonts w:hint="eastAsia" w:ascii="宋体" w:hAnsi="宋体" w:cs="宋体"/>
                <w:b/>
                <w:spacing w:val="-10"/>
                <w:sz w:val="24"/>
              </w:rPr>
              <w:t>2. 废水</w:t>
            </w:r>
          </w:p>
          <w:p>
            <w:pPr>
              <w:pStyle w:val="14"/>
              <w:spacing w:line="360" w:lineRule="auto"/>
              <w:ind w:firstLine="480" w:firstLineChars="200"/>
              <w:rPr>
                <w:rFonts w:ascii="宋体" w:hAnsi="宋体" w:cs="宋体"/>
              </w:rPr>
            </w:pPr>
            <w:r>
              <w:rPr>
                <w:rFonts w:hint="eastAsia" w:ascii="宋体" w:hAnsi="宋体" w:cs="宋体"/>
              </w:rPr>
              <w:t>本项目废水来源</w:t>
            </w:r>
            <w:r>
              <w:rPr>
                <w:rFonts w:ascii="宋体" w:hAnsi="宋体" w:cs="宋体"/>
              </w:rPr>
              <w:t>为</w:t>
            </w:r>
            <w:r>
              <w:rPr>
                <w:rFonts w:hint="eastAsia" w:ascii="宋体" w:hAnsi="宋体" w:cs="宋体"/>
              </w:rPr>
              <w:t>生活污水，无生产废水产生。</w:t>
            </w:r>
          </w:p>
          <w:p>
            <w:pPr>
              <w:spacing w:line="360" w:lineRule="auto"/>
              <w:ind w:firstLine="486"/>
              <w:rPr>
                <w:sz w:val="24"/>
              </w:rPr>
            </w:pPr>
            <w:r>
              <w:rPr>
                <w:rFonts w:hint="eastAsia"/>
                <w:sz w:val="24"/>
              </w:rPr>
              <w:t>（1）本项目劳动定员50人，年工作300天，单班工作制，不在厂区食宿。依据河南省《工业与城镇生活用水定额》（DB41/T385-2020）人均用水量按40L/d计，则用水量为2m</w:t>
            </w:r>
            <w:r>
              <w:rPr>
                <w:rFonts w:hint="eastAsia"/>
                <w:sz w:val="24"/>
                <w:vertAlign w:val="superscript"/>
              </w:rPr>
              <w:t>3</w:t>
            </w:r>
            <w:r>
              <w:rPr>
                <w:rFonts w:hint="eastAsia"/>
                <w:sz w:val="24"/>
              </w:rPr>
              <w:t>/d，即600m</w:t>
            </w:r>
            <w:r>
              <w:rPr>
                <w:rFonts w:hint="eastAsia"/>
                <w:sz w:val="24"/>
                <w:vertAlign w:val="superscript"/>
              </w:rPr>
              <w:t>3</w:t>
            </w:r>
            <w:r>
              <w:rPr>
                <w:rFonts w:hint="eastAsia"/>
                <w:sz w:val="24"/>
              </w:rPr>
              <w:t>/a；污水排放系数为0.8，则污水排放量为1.6m</w:t>
            </w:r>
            <w:r>
              <w:rPr>
                <w:rFonts w:hint="eastAsia"/>
                <w:sz w:val="24"/>
                <w:vertAlign w:val="superscript"/>
              </w:rPr>
              <w:t>3</w:t>
            </w:r>
            <w:r>
              <w:rPr>
                <w:rFonts w:hint="eastAsia"/>
                <w:sz w:val="24"/>
              </w:rPr>
              <w:t>/d，即480m</w:t>
            </w:r>
            <w:r>
              <w:rPr>
                <w:rFonts w:hint="eastAsia"/>
                <w:sz w:val="24"/>
                <w:vertAlign w:val="superscript"/>
              </w:rPr>
              <w:t>3</w:t>
            </w:r>
            <w:r>
              <w:rPr>
                <w:rFonts w:hint="eastAsia"/>
                <w:sz w:val="24"/>
              </w:rPr>
              <w:t>/a。职工生活污水主要污染物及浓度为COD</w:t>
            </w:r>
            <w:r>
              <w:rPr>
                <w:sz w:val="24"/>
              </w:rPr>
              <w:t xml:space="preserve"> </w:t>
            </w:r>
            <w:r>
              <w:rPr>
                <w:rFonts w:hint="eastAsia"/>
                <w:sz w:val="24"/>
              </w:rPr>
              <w:t>350mg/L、SS</w:t>
            </w:r>
            <w:r>
              <w:rPr>
                <w:sz w:val="24"/>
              </w:rPr>
              <w:t xml:space="preserve"> </w:t>
            </w:r>
            <w:r>
              <w:rPr>
                <w:rFonts w:hint="eastAsia"/>
                <w:sz w:val="24"/>
              </w:rPr>
              <w:t>200mg/L、氨氮30mg/L。</w:t>
            </w:r>
          </w:p>
          <w:p>
            <w:pPr>
              <w:widowControl/>
              <w:spacing w:line="360" w:lineRule="auto"/>
              <w:ind w:firstLine="480" w:firstLineChars="200"/>
              <w:rPr>
                <w:sz w:val="24"/>
              </w:rPr>
            </w:pPr>
            <w:r>
              <w:rPr>
                <w:rFonts w:hint="eastAsia"/>
                <w:sz w:val="24"/>
              </w:rPr>
              <w:t>生活污水进入厂区化粪池降解处理，化粪池处理效率COD20%，SS50%，氨氮3%，生活污水经化粪池降解处理后，污染物排放浓度为COD</w:t>
            </w:r>
            <w:r>
              <w:rPr>
                <w:sz w:val="24"/>
              </w:rPr>
              <w:t xml:space="preserve"> </w:t>
            </w:r>
            <w:r>
              <w:rPr>
                <w:rFonts w:hint="eastAsia"/>
                <w:sz w:val="24"/>
              </w:rPr>
              <w:t>280mg/L、SS</w:t>
            </w:r>
            <w:r>
              <w:rPr>
                <w:sz w:val="24"/>
              </w:rPr>
              <w:t xml:space="preserve"> </w:t>
            </w:r>
            <w:r>
              <w:rPr>
                <w:rFonts w:hint="eastAsia"/>
                <w:sz w:val="24"/>
              </w:rPr>
              <w:t>100mg/L、氨氮29.1mg/L，排放量为COD</w:t>
            </w:r>
            <w:r>
              <w:rPr>
                <w:sz w:val="24"/>
              </w:rPr>
              <w:t xml:space="preserve"> </w:t>
            </w:r>
            <w:r>
              <w:rPr>
                <w:rFonts w:hint="eastAsia"/>
                <w:sz w:val="24"/>
              </w:rPr>
              <w:t>0.134t/a、SS</w:t>
            </w:r>
            <w:r>
              <w:rPr>
                <w:sz w:val="24"/>
              </w:rPr>
              <w:t xml:space="preserve"> </w:t>
            </w:r>
            <w:r>
              <w:rPr>
                <w:rFonts w:hint="eastAsia"/>
                <w:sz w:val="24"/>
              </w:rPr>
              <w:t>0.048t/a、氨氮0.014t/a。</w:t>
            </w:r>
          </w:p>
          <w:p>
            <w:pPr>
              <w:spacing w:line="360" w:lineRule="auto"/>
              <w:ind w:firstLine="486"/>
              <w:rPr>
                <w:sz w:val="24"/>
              </w:rPr>
            </w:pPr>
            <w:r>
              <w:rPr>
                <w:rFonts w:hint="eastAsia"/>
                <w:sz w:val="24"/>
              </w:rPr>
              <w:t>化粪池依托的可行性：</w:t>
            </w:r>
          </w:p>
          <w:p>
            <w:pPr>
              <w:spacing w:line="360" w:lineRule="auto"/>
              <w:ind w:firstLine="486"/>
              <w:rPr>
                <w:kern w:val="0"/>
                <w:sz w:val="24"/>
              </w:rPr>
            </w:pPr>
            <w:r>
              <w:rPr>
                <w:rFonts w:hint="eastAsia"/>
                <w:kern w:val="0"/>
                <w:sz w:val="24"/>
              </w:rPr>
              <w:t>经了解</w:t>
            </w:r>
            <w:r>
              <w:rPr>
                <w:kern w:val="0"/>
                <w:sz w:val="24"/>
              </w:rPr>
              <w:t>，该化粪池为</w:t>
            </w:r>
            <w:r>
              <w:rPr>
                <w:sz w:val="24"/>
              </w:rPr>
              <w:t>偃师市耀洋摩托车配件厂</w:t>
            </w:r>
            <w:r>
              <w:rPr>
                <w:rFonts w:hint="eastAsia"/>
                <w:kern w:val="0"/>
                <w:sz w:val="24"/>
              </w:rPr>
              <w:t>和</w:t>
            </w:r>
            <w:r>
              <w:rPr>
                <w:kern w:val="0"/>
                <w:sz w:val="24"/>
              </w:rPr>
              <w:t>本项目共用，</w:t>
            </w:r>
            <w:r>
              <w:rPr>
                <w:rFonts w:hint="eastAsia"/>
                <w:kern w:val="0"/>
                <w:sz w:val="24"/>
              </w:rPr>
              <w:t>根据</w:t>
            </w:r>
            <w:r>
              <w:rPr>
                <w:kern w:val="0"/>
                <w:sz w:val="24"/>
              </w:rPr>
              <w:t>调查</w:t>
            </w:r>
            <w:r>
              <w:rPr>
                <w:sz w:val="24"/>
              </w:rPr>
              <w:t>偃师市耀洋摩托车配件厂</w:t>
            </w:r>
            <w:r>
              <w:rPr>
                <w:rFonts w:hint="eastAsia"/>
                <w:kern w:val="0"/>
                <w:sz w:val="24"/>
              </w:rPr>
              <w:t>现有</w:t>
            </w:r>
            <w:r>
              <w:rPr>
                <w:kern w:val="0"/>
                <w:sz w:val="24"/>
              </w:rPr>
              <w:t>职工</w:t>
            </w:r>
            <w:r>
              <w:rPr>
                <w:rFonts w:hint="eastAsia"/>
                <w:kern w:val="0"/>
                <w:sz w:val="24"/>
              </w:rPr>
              <w:t>10人，生活污水</w:t>
            </w:r>
            <w:r>
              <w:rPr>
                <w:kern w:val="0"/>
                <w:sz w:val="24"/>
              </w:rPr>
              <w:t>排放量为</w:t>
            </w:r>
            <w:r>
              <w:rPr>
                <w:rFonts w:hint="eastAsia"/>
                <w:kern w:val="0"/>
                <w:sz w:val="24"/>
              </w:rPr>
              <w:t>0.24</w:t>
            </w:r>
            <w:r>
              <w:rPr>
                <w:kern w:val="0"/>
                <w:sz w:val="24"/>
              </w:rPr>
              <w:t>m</w:t>
            </w:r>
            <w:r>
              <w:rPr>
                <w:kern w:val="0"/>
                <w:sz w:val="24"/>
                <w:vertAlign w:val="superscript"/>
              </w:rPr>
              <w:t>3</w:t>
            </w:r>
            <w:r>
              <w:rPr>
                <w:kern w:val="0"/>
                <w:sz w:val="24"/>
              </w:rPr>
              <w:t>/d</w:t>
            </w:r>
            <w:r>
              <w:rPr>
                <w:rFonts w:hint="eastAsia"/>
                <w:kern w:val="0"/>
                <w:sz w:val="24"/>
              </w:rPr>
              <w:t>，本项目</w:t>
            </w:r>
            <w:r>
              <w:rPr>
                <w:kern w:val="0"/>
                <w:sz w:val="24"/>
              </w:rPr>
              <w:t>污水排放量</w:t>
            </w:r>
            <w:r>
              <w:rPr>
                <w:rFonts w:hint="eastAsia"/>
                <w:kern w:val="0"/>
                <w:sz w:val="24"/>
              </w:rPr>
              <w:t>为1.6</w:t>
            </w:r>
            <w:r>
              <w:rPr>
                <w:kern w:val="0"/>
                <w:sz w:val="24"/>
              </w:rPr>
              <w:t>m</w:t>
            </w:r>
            <w:r>
              <w:rPr>
                <w:kern w:val="0"/>
                <w:sz w:val="24"/>
                <w:vertAlign w:val="superscript"/>
              </w:rPr>
              <w:t>3</w:t>
            </w:r>
            <w:r>
              <w:rPr>
                <w:kern w:val="0"/>
                <w:sz w:val="24"/>
              </w:rPr>
              <w:t>/d</w:t>
            </w:r>
            <w:r>
              <w:rPr>
                <w:rFonts w:hint="eastAsia"/>
                <w:kern w:val="0"/>
                <w:sz w:val="24"/>
              </w:rPr>
              <w:t>，</w:t>
            </w:r>
            <w:r>
              <w:rPr>
                <w:kern w:val="0"/>
                <w:sz w:val="24"/>
              </w:rPr>
              <w:t>合计</w:t>
            </w:r>
            <w:r>
              <w:rPr>
                <w:rFonts w:hint="eastAsia"/>
                <w:kern w:val="0"/>
                <w:sz w:val="24"/>
              </w:rPr>
              <w:t>1.84</w:t>
            </w:r>
            <w:r>
              <w:rPr>
                <w:kern w:val="0"/>
                <w:sz w:val="24"/>
              </w:rPr>
              <w:t>m</w:t>
            </w:r>
            <w:r>
              <w:rPr>
                <w:kern w:val="0"/>
                <w:sz w:val="24"/>
                <w:vertAlign w:val="superscript"/>
              </w:rPr>
              <w:t>3</w:t>
            </w:r>
            <w:r>
              <w:rPr>
                <w:kern w:val="0"/>
                <w:sz w:val="24"/>
              </w:rPr>
              <w:t>/d</w:t>
            </w:r>
            <w:r>
              <w:rPr>
                <w:rFonts w:hint="eastAsia"/>
                <w:kern w:val="0"/>
                <w:sz w:val="24"/>
              </w:rPr>
              <w:t>，</w:t>
            </w:r>
            <w:r>
              <w:rPr>
                <w:kern w:val="0"/>
                <w:sz w:val="24"/>
              </w:rPr>
              <w:t>本项目共用化粪池的容积为</w:t>
            </w:r>
            <w:r>
              <w:rPr>
                <w:sz w:val="24"/>
              </w:rPr>
              <w:t>10m</w:t>
            </w:r>
            <w:r>
              <w:rPr>
                <w:sz w:val="24"/>
                <w:vertAlign w:val="superscript"/>
              </w:rPr>
              <w:t>3</w:t>
            </w:r>
            <w:r>
              <w:rPr>
                <w:rFonts w:hint="eastAsia"/>
                <w:sz w:val="24"/>
              </w:rPr>
              <w:t>，</w:t>
            </w:r>
            <w:r>
              <w:rPr>
                <w:kern w:val="0"/>
                <w:sz w:val="24"/>
              </w:rPr>
              <w:t>生活污水在化粪池内的水力停留时间取24h，化粪池容积为10m</w:t>
            </w:r>
            <w:r>
              <w:rPr>
                <w:kern w:val="0"/>
                <w:sz w:val="24"/>
                <w:vertAlign w:val="superscript"/>
              </w:rPr>
              <w:t>3</w:t>
            </w:r>
            <w:r>
              <w:rPr>
                <w:kern w:val="0"/>
                <w:sz w:val="24"/>
              </w:rPr>
              <w:t>，可以满足水力停留时间要求；</w:t>
            </w:r>
            <w:r>
              <w:rPr>
                <w:rFonts w:hint="eastAsia"/>
                <w:kern w:val="0"/>
                <w:sz w:val="24"/>
              </w:rPr>
              <w:t>本项目</w:t>
            </w:r>
            <w:r>
              <w:rPr>
                <w:kern w:val="0"/>
                <w:sz w:val="24"/>
              </w:rPr>
              <w:t>化粪池依托可行。</w:t>
            </w:r>
          </w:p>
          <w:p>
            <w:pPr>
              <w:spacing w:line="360" w:lineRule="auto"/>
              <w:ind w:firstLine="486"/>
              <w:rPr>
                <w:kern w:val="0"/>
                <w:sz w:val="24"/>
                <w:u w:val="single"/>
              </w:rPr>
            </w:pPr>
            <w:r>
              <w:rPr>
                <w:rFonts w:hint="eastAsia"/>
                <w:kern w:val="0"/>
                <w:sz w:val="24"/>
                <w:u w:val="single"/>
              </w:rPr>
              <w:t>本项目生活污水经化粪池降解处理后，通过市政污水管网进入偃师区第三污水处理厂深度处理，经处理后达标排入伊河。</w:t>
            </w:r>
          </w:p>
          <w:p>
            <w:pPr>
              <w:spacing w:line="360" w:lineRule="auto"/>
              <w:ind w:firstLine="486"/>
              <w:rPr>
                <w:kern w:val="0"/>
                <w:sz w:val="24"/>
                <w:u w:val="single"/>
              </w:rPr>
            </w:pPr>
            <w:r>
              <w:rPr>
                <w:kern w:val="0"/>
                <w:sz w:val="24"/>
                <w:u w:val="single"/>
              </w:rPr>
              <w:t>偃师</w:t>
            </w:r>
            <w:r>
              <w:rPr>
                <w:rFonts w:hint="eastAsia"/>
                <w:kern w:val="0"/>
                <w:sz w:val="24"/>
                <w:u w:val="single"/>
              </w:rPr>
              <w:t>区</w:t>
            </w:r>
            <w:r>
              <w:rPr>
                <w:kern w:val="0"/>
                <w:sz w:val="24"/>
                <w:u w:val="single"/>
              </w:rPr>
              <w:t>第三污水处理厂位于310国道伊河大桥东侧，伊河北岸，设计收水范围为偃师市产业集聚区生产、生活污水和偃师市岳滩镇镇区生活污水；设计处理规模</w:t>
            </w:r>
            <w:r>
              <w:rPr>
                <w:rFonts w:hint="eastAsia"/>
                <w:kern w:val="0"/>
                <w:sz w:val="24"/>
                <w:u w:val="single"/>
              </w:rPr>
              <w:t>10000</w:t>
            </w:r>
            <w:r>
              <w:rPr>
                <w:kern w:val="0"/>
                <w:sz w:val="24"/>
                <w:u w:val="single"/>
              </w:rPr>
              <w:t>m</w:t>
            </w:r>
            <w:r>
              <w:rPr>
                <w:kern w:val="0"/>
                <w:sz w:val="24"/>
                <w:u w:val="single"/>
                <w:vertAlign w:val="superscript"/>
              </w:rPr>
              <w:t>3</w:t>
            </w:r>
            <w:r>
              <w:rPr>
                <w:kern w:val="0"/>
                <w:sz w:val="24"/>
                <w:u w:val="single"/>
              </w:rPr>
              <w:t>/d，采用奥贝尔氧化沟工艺，设计进水水质为CODcr≤400mg/L、SS≤230mg/L、NH</w:t>
            </w:r>
            <w:r>
              <w:rPr>
                <w:kern w:val="0"/>
                <w:sz w:val="24"/>
                <w:u w:val="single"/>
                <w:vertAlign w:val="subscript"/>
              </w:rPr>
              <w:t>3</w:t>
            </w:r>
            <w:r>
              <w:rPr>
                <w:kern w:val="0"/>
                <w:sz w:val="24"/>
                <w:u w:val="single"/>
              </w:rPr>
              <w:t>-N≤30mg/L、BOD</w:t>
            </w:r>
            <w:r>
              <w:rPr>
                <w:kern w:val="0"/>
                <w:sz w:val="24"/>
                <w:u w:val="single"/>
                <w:vertAlign w:val="subscript"/>
              </w:rPr>
              <w:t>5</w:t>
            </w:r>
            <w:r>
              <w:rPr>
                <w:kern w:val="0"/>
                <w:sz w:val="24"/>
                <w:u w:val="single"/>
              </w:rPr>
              <w:t xml:space="preserve"> ≤180mg/L、总磷≤4mg/L。出水水质满足《城镇污水处理厂污染物排放标准》</w:t>
            </w:r>
            <w:r>
              <w:rPr>
                <w:rFonts w:hint="eastAsia"/>
                <w:kern w:val="0"/>
                <w:sz w:val="24"/>
                <w:u w:val="single"/>
              </w:rPr>
              <w:t>（</w:t>
            </w:r>
            <w:r>
              <w:rPr>
                <w:kern w:val="0"/>
                <w:sz w:val="24"/>
                <w:u w:val="single"/>
              </w:rPr>
              <w:t>GB18918-2002</w:t>
            </w:r>
            <w:r>
              <w:rPr>
                <w:rFonts w:hint="eastAsia"/>
                <w:kern w:val="0"/>
                <w:sz w:val="24"/>
                <w:u w:val="single"/>
              </w:rPr>
              <w:t>）</w:t>
            </w:r>
            <w:r>
              <w:rPr>
                <w:kern w:val="0"/>
                <w:sz w:val="24"/>
                <w:u w:val="single"/>
              </w:rPr>
              <w:t>表1一级</w:t>
            </w:r>
            <w:r>
              <w:rPr>
                <w:rFonts w:hint="eastAsia"/>
                <w:kern w:val="0"/>
                <w:sz w:val="24"/>
                <w:u w:val="single"/>
              </w:rPr>
              <w:t>A</w:t>
            </w:r>
            <w:r>
              <w:rPr>
                <w:kern w:val="0"/>
                <w:sz w:val="24"/>
                <w:u w:val="single"/>
              </w:rPr>
              <w:t>标准要求和《河南省黄河流域水污染物排放标准》（GB/T 1.1—2020）表1-公共污水处理系统水污染物基本控制项目排放限值-二级标准。</w:t>
            </w:r>
          </w:p>
          <w:p>
            <w:pPr>
              <w:spacing w:line="360" w:lineRule="auto"/>
              <w:ind w:firstLine="486"/>
              <w:rPr>
                <w:kern w:val="0"/>
                <w:sz w:val="24"/>
              </w:rPr>
            </w:pPr>
            <w:r>
              <w:rPr>
                <w:rFonts w:hint="eastAsia"/>
                <w:kern w:val="0"/>
                <w:sz w:val="24"/>
                <w:u w:val="single"/>
              </w:rPr>
              <w:t>本项目位于洛阳市偃师区岳滩镇赵庄街村，区域市政污水管网完善，且位于偃师区第三污水处理厂的收水范围内，项目生活污水能够通过市政污水管网进入偃师市第三污水处理厂进行处理；项目生活污水及生产废水经处理后</w:t>
            </w:r>
            <w:r>
              <w:rPr>
                <w:kern w:val="0"/>
                <w:sz w:val="24"/>
                <w:u w:val="single"/>
              </w:rPr>
              <w:t>污染物浓度</w:t>
            </w:r>
            <w:r>
              <w:rPr>
                <w:rFonts w:hint="eastAsia"/>
                <w:kern w:val="0"/>
                <w:sz w:val="24"/>
                <w:u w:val="single"/>
              </w:rPr>
              <w:t>均能够满足</w:t>
            </w:r>
            <w:r>
              <w:rPr>
                <w:kern w:val="0"/>
                <w:sz w:val="24"/>
                <w:u w:val="single"/>
              </w:rPr>
              <w:t>《污水综合排放标准》（GB8978-1996）</w:t>
            </w:r>
            <w:r>
              <w:rPr>
                <w:rFonts w:hint="eastAsia"/>
                <w:kern w:val="0"/>
                <w:sz w:val="24"/>
                <w:u w:val="single"/>
              </w:rPr>
              <w:t>一</w:t>
            </w:r>
            <w:r>
              <w:rPr>
                <w:kern w:val="0"/>
                <w:sz w:val="24"/>
                <w:u w:val="single"/>
              </w:rPr>
              <w:t>级</w:t>
            </w:r>
            <w:r>
              <w:rPr>
                <w:rFonts w:hint="eastAsia"/>
                <w:kern w:val="0"/>
                <w:sz w:val="24"/>
                <w:u w:val="single"/>
              </w:rPr>
              <w:t>标准要求，亦能够满足偃师市第三污水处理厂水质要求。因此项目废水经污水管网排至偃师区第三污水处理厂处理措施可行。</w:t>
            </w:r>
          </w:p>
          <w:p>
            <w:pPr>
              <w:spacing w:line="360" w:lineRule="auto"/>
              <w:ind w:firstLine="486"/>
              <w:rPr>
                <w:rFonts w:hint="eastAsia"/>
                <w:kern w:val="0"/>
                <w:sz w:val="24"/>
                <w:u w:val="none"/>
              </w:rPr>
            </w:pPr>
            <w:r>
              <w:rPr>
                <w:rFonts w:hint="eastAsia"/>
                <w:kern w:val="0"/>
                <w:sz w:val="24"/>
              </w:rPr>
              <w:t>因此，项目营运期产生的</w:t>
            </w:r>
            <w:r>
              <w:rPr>
                <w:rFonts w:hint="eastAsia"/>
                <w:kern w:val="0"/>
                <w:sz w:val="24"/>
                <w:u w:val="none"/>
              </w:rPr>
              <w:t>废水对周围地表水环境影响较小。</w:t>
            </w:r>
          </w:p>
          <w:p>
            <w:pPr>
              <w:spacing w:line="360" w:lineRule="auto"/>
              <w:ind w:firstLine="480"/>
              <w:rPr>
                <w:rFonts w:ascii="宋体" w:hAnsi="宋体" w:cs="宋体"/>
                <w:color w:val="000000"/>
                <w:kern w:val="0"/>
                <w:sz w:val="24"/>
              </w:rPr>
            </w:pPr>
            <w:r>
              <w:rPr>
                <w:rFonts w:hint="eastAsia"/>
                <w:kern w:val="0"/>
                <w:sz w:val="24"/>
                <w:u w:val="none"/>
              </w:rPr>
              <w:t>依据《排污单位自行监测技术指南总则》（HJ819-2017），项目噪声监测计划见下表。</w:t>
            </w:r>
          </w:p>
          <w:p>
            <w:pPr>
              <w:ind w:firstLine="420"/>
              <w:jc w:val="center"/>
              <w:rPr>
                <w:rFonts w:eastAsia="黑体"/>
                <w:sz w:val="24"/>
              </w:rPr>
            </w:pPr>
            <w:r>
              <w:rPr>
                <w:rFonts w:eastAsia="黑体"/>
                <w:sz w:val="24"/>
              </w:rPr>
              <w:t>表4-</w:t>
            </w:r>
            <w:r>
              <w:rPr>
                <w:rFonts w:hint="eastAsia" w:eastAsia="黑体"/>
                <w:sz w:val="24"/>
                <w:lang w:val="en-US" w:eastAsia="zh-CN"/>
              </w:rPr>
              <w:t>4</w:t>
            </w:r>
            <w:r>
              <w:rPr>
                <w:rFonts w:eastAsia="黑体"/>
                <w:sz w:val="24"/>
              </w:rPr>
              <w:t xml:space="preserve">   监测计划表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472"/>
              <w:gridCol w:w="1527"/>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监测点位</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监测指标</w:t>
                  </w: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监测频次</w:t>
                  </w:r>
                </w:p>
              </w:tc>
              <w:tc>
                <w:tcPr>
                  <w:tcW w:w="31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761" w:type="dxa"/>
                  <w:tcBorders>
                    <w:top w:val="single" w:color="auto" w:sz="4" w:space="0"/>
                    <w:left w:val="single" w:color="auto" w:sz="4" w:space="0"/>
                    <w:right w:val="single" w:color="auto" w:sz="4" w:space="0"/>
                  </w:tcBorders>
                  <w:vAlign w:val="center"/>
                </w:tcPr>
                <w:p>
                  <w:pPr>
                    <w:spacing w:line="400" w:lineRule="exact"/>
                    <w:jc w:val="center"/>
                    <w:rPr>
                      <w:rFonts w:hint="eastAsia" w:eastAsia="宋体"/>
                      <w:szCs w:val="21"/>
                      <w:lang w:eastAsia="zh-CN"/>
                    </w:rPr>
                  </w:pPr>
                  <w:r>
                    <w:rPr>
                      <w:rFonts w:hint="eastAsia"/>
                      <w:szCs w:val="21"/>
                      <w:lang w:eastAsia="zh-CN"/>
                    </w:rPr>
                    <w:t>化粪池</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szCs w:val="21"/>
                      <w:lang w:val="en-US" w:eastAsia="zh-CN"/>
                    </w:rPr>
                  </w:pPr>
                  <w:r>
                    <w:rPr>
                      <w:rFonts w:hint="eastAsia"/>
                      <w:szCs w:val="21"/>
                      <w:lang w:val="en-US" w:eastAsia="zh-CN"/>
                    </w:rPr>
                    <w:t>COD、氨氮、pH、SS、总磷</w:t>
                  </w:r>
                </w:p>
              </w:tc>
              <w:tc>
                <w:tcPr>
                  <w:tcW w:w="1527" w:type="dxa"/>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1季度1次</w:t>
                  </w:r>
                </w:p>
              </w:tc>
              <w:tc>
                <w:tcPr>
                  <w:tcW w:w="3176" w:type="dxa"/>
                  <w:tcBorders>
                    <w:top w:val="single" w:color="auto" w:sz="4" w:space="0"/>
                    <w:left w:val="single" w:color="auto" w:sz="4" w:space="0"/>
                    <w:right w:val="single" w:color="auto" w:sz="4" w:space="0"/>
                  </w:tcBorders>
                  <w:vAlign w:val="center"/>
                </w:tcPr>
                <w:p>
                  <w:pPr>
                    <w:adjustRightInd w:val="0"/>
                    <w:snapToGrid w:val="0"/>
                    <w:spacing w:line="360" w:lineRule="auto"/>
                    <w:rPr>
                      <w:szCs w:val="21"/>
                    </w:rPr>
                  </w:pPr>
                  <w:r>
                    <w:rPr>
                      <w:szCs w:val="21"/>
                    </w:rPr>
                    <w:t>《污水综合排放标准》（GB8978-1996）表4三级</w:t>
                  </w:r>
                </w:p>
              </w:tc>
            </w:tr>
          </w:tbl>
          <w:p>
            <w:pPr>
              <w:spacing w:line="360" w:lineRule="auto"/>
              <w:ind w:firstLine="486"/>
              <w:rPr>
                <w:rFonts w:hint="eastAsia"/>
                <w:kern w:val="0"/>
                <w:sz w:val="24"/>
                <w:u w:val="none"/>
                <w:lang w:eastAsia="zh-CN"/>
              </w:rPr>
            </w:pPr>
          </w:p>
          <w:p>
            <w:pPr>
              <w:pStyle w:val="9"/>
              <w:numPr>
                <w:ilvl w:val="0"/>
                <w:numId w:val="0"/>
              </w:numPr>
              <w:spacing w:line="360" w:lineRule="auto"/>
              <w:rPr>
                <w:rFonts w:ascii="宋体" w:hAnsi="宋体" w:cs="宋体"/>
                <w:b/>
                <w:spacing w:val="-10"/>
                <w:sz w:val="24"/>
              </w:rPr>
            </w:pPr>
            <w:r>
              <w:rPr>
                <w:rFonts w:hint="eastAsia" w:ascii="宋体" w:hAnsi="宋体" w:cs="宋体"/>
                <w:b/>
                <w:spacing w:val="-10"/>
                <w:sz w:val="24"/>
              </w:rPr>
              <w:t>3. 噪声</w:t>
            </w:r>
          </w:p>
          <w:p>
            <w:pPr>
              <w:spacing w:line="360" w:lineRule="auto"/>
              <w:rPr>
                <w:rFonts w:ascii="黑体" w:hAnsi="黑体" w:eastAsia="黑体" w:cs="黑体"/>
                <w:bCs/>
                <w:color w:val="000000"/>
                <w:sz w:val="24"/>
              </w:rPr>
            </w:pPr>
            <w:r>
              <w:rPr>
                <w:rFonts w:hint="eastAsia" w:ascii="黑体" w:hAnsi="黑体" w:eastAsia="黑体" w:cs="黑体"/>
                <w:bCs/>
                <w:color w:val="000000"/>
                <w:sz w:val="24"/>
              </w:rPr>
              <w:t>3.1噪声源强及污染防治措施</w:t>
            </w:r>
          </w:p>
          <w:p>
            <w:pPr>
              <w:spacing w:line="360" w:lineRule="auto"/>
              <w:ind w:firstLine="480" w:firstLineChars="200"/>
              <w:rPr>
                <w:color w:val="000000"/>
                <w:sz w:val="24"/>
              </w:rPr>
            </w:pPr>
            <w:r>
              <w:rPr>
                <w:color w:val="000000"/>
                <w:sz w:val="24"/>
              </w:rPr>
              <w:t>项目营运期噪声主要来</w:t>
            </w:r>
            <w:r>
              <w:rPr>
                <w:sz w:val="24"/>
              </w:rPr>
              <w:t>自</w:t>
            </w:r>
            <w:r>
              <w:rPr>
                <w:rFonts w:hint="eastAsia"/>
                <w:kern w:val="0"/>
                <w:sz w:val="24"/>
              </w:rPr>
              <w:t>裁带机、缝纫机、风机</w:t>
            </w:r>
            <w:r>
              <w:rPr>
                <w:sz w:val="24"/>
              </w:rPr>
              <w:t>等高噪声设备运行产生的噪声，企业选用低噪声设备，在设备安装及设备连接处采用减震垫或柔性接头措施，</w:t>
            </w:r>
            <w:r>
              <w:rPr>
                <w:color w:val="000000"/>
                <w:sz w:val="24"/>
              </w:rPr>
              <w:t>噪声设</w:t>
            </w:r>
            <w:r>
              <w:rPr>
                <w:sz w:val="24"/>
              </w:rPr>
              <w:t>备均设置在车间内。</w:t>
            </w:r>
            <w:r>
              <w:rPr>
                <w:color w:val="000000"/>
                <w:sz w:val="24"/>
              </w:rPr>
              <w:t>类比同类设备噪声源强见下表。</w:t>
            </w:r>
          </w:p>
          <w:p>
            <w:pPr>
              <w:adjustRightInd w:val="0"/>
              <w:snapToGrid w:val="0"/>
              <w:jc w:val="center"/>
              <w:rPr>
                <w:rFonts w:eastAsia="黑体"/>
                <w:sz w:val="24"/>
                <w:u w:val="single"/>
              </w:rPr>
            </w:pPr>
            <w:r>
              <w:rPr>
                <w:rFonts w:eastAsia="黑体"/>
                <w:sz w:val="24"/>
                <w:u w:val="single"/>
              </w:rPr>
              <w:t>表4-</w:t>
            </w:r>
            <w:r>
              <w:rPr>
                <w:rFonts w:hint="eastAsia" w:eastAsia="黑体"/>
                <w:sz w:val="24"/>
                <w:u w:val="single"/>
                <w:lang w:val="en-US" w:eastAsia="zh-CN"/>
              </w:rPr>
              <w:t>5</w:t>
            </w:r>
            <w:r>
              <w:rPr>
                <w:rFonts w:eastAsia="黑体"/>
                <w:sz w:val="24"/>
                <w:u w:val="single"/>
              </w:rPr>
              <w:t xml:space="preserve">  噪声源强及污染防治措施一览表</w:t>
            </w:r>
            <w:r>
              <w:rPr>
                <w:rFonts w:hint="eastAsia" w:eastAsia="黑体"/>
                <w:sz w:val="24"/>
                <w:u w:val="single"/>
              </w:rPr>
              <w:t>（室内声源）</w:t>
            </w:r>
            <w:r>
              <w:rPr>
                <w:rFonts w:eastAsia="黑体"/>
                <w:sz w:val="24"/>
                <w:u w:val="single"/>
              </w:rPr>
              <w:t xml:space="preserve">  单位：dB(A)</w:t>
            </w:r>
          </w:p>
          <w:tbl>
            <w:tblPr>
              <w:tblStyle w:val="18"/>
              <w:tblW w:w="0" w:type="auto"/>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9"/>
              <w:gridCol w:w="523"/>
              <w:gridCol w:w="799"/>
              <w:gridCol w:w="841"/>
              <w:gridCol w:w="878"/>
              <w:gridCol w:w="314"/>
              <w:gridCol w:w="427"/>
              <w:gridCol w:w="398"/>
              <w:gridCol w:w="786"/>
              <w:gridCol w:w="689"/>
              <w:gridCol w:w="353"/>
              <w:gridCol w:w="70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86" w:hRule="atLeast"/>
              </w:trPr>
              <w:tc>
                <w:tcPr>
                  <w:tcW w:w="349" w:type="dxa"/>
                  <w:vMerge w:val="restart"/>
                  <w:tcMar>
                    <w:left w:w="11" w:type="dxa"/>
                    <w:right w:w="11" w:type="dxa"/>
                  </w:tcMar>
                  <w:vAlign w:val="center"/>
                </w:tcPr>
                <w:p>
                  <w:pPr>
                    <w:pStyle w:val="38"/>
                    <w:spacing w:line="240" w:lineRule="auto"/>
                    <w:rPr>
                      <w:szCs w:val="21"/>
                      <w:u w:val="single"/>
                    </w:rPr>
                  </w:pPr>
                  <w:r>
                    <w:rPr>
                      <w:szCs w:val="21"/>
                      <w:u w:val="single"/>
                    </w:rPr>
                    <w:t>序号</w:t>
                  </w:r>
                </w:p>
              </w:tc>
              <w:tc>
                <w:tcPr>
                  <w:tcW w:w="523" w:type="dxa"/>
                  <w:vMerge w:val="restart"/>
                  <w:tcMar>
                    <w:left w:w="11" w:type="dxa"/>
                    <w:right w:w="11" w:type="dxa"/>
                  </w:tcMar>
                  <w:vAlign w:val="center"/>
                </w:tcPr>
                <w:p>
                  <w:pPr>
                    <w:pStyle w:val="38"/>
                    <w:spacing w:line="240" w:lineRule="auto"/>
                    <w:rPr>
                      <w:szCs w:val="21"/>
                      <w:u w:val="single"/>
                    </w:rPr>
                  </w:pPr>
                  <w:r>
                    <w:rPr>
                      <w:szCs w:val="21"/>
                      <w:u w:val="single"/>
                    </w:rPr>
                    <w:t>建筑物名称</w:t>
                  </w:r>
                </w:p>
              </w:tc>
              <w:tc>
                <w:tcPr>
                  <w:tcW w:w="799" w:type="dxa"/>
                  <w:vMerge w:val="restart"/>
                  <w:tcMar>
                    <w:left w:w="11" w:type="dxa"/>
                    <w:right w:w="11" w:type="dxa"/>
                  </w:tcMar>
                  <w:vAlign w:val="center"/>
                </w:tcPr>
                <w:p>
                  <w:pPr>
                    <w:pStyle w:val="38"/>
                    <w:spacing w:line="240" w:lineRule="auto"/>
                    <w:rPr>
                      <w:szCs w:val="21"/>
                      <w:u w:val="single"/>
                    </w:rPr>
                  </w:pPr>
                  <w:r>
                    <w:rPr>
                      <w:szCs w:val="21"/>
                      <w:u w:val="single"/>
                    </w:rPr>
                    <w:t>声源名称</w:t>
                  </w:r>
                </w:p>
              </w:tc>
              <w:tc>
                <w:tcPr>
                  <w:tcW w:w="841" w:type="dxa"/>
                  <w:vMerge w:val="restart"/>
                  <w:tcMar>
                    <w:left w:w="11" w:type="dxa"/>
                    <w:right w:w="11" w:type="dxa"/>
                  </w:tcMar>
                  <w:vAlign w:val="center"/>
                </w:tcPr>
                <w:p>
                  <w:pPr>
                    <w:pStyle w:val="38"/>
                    <w:spacing w:line="240" w:lineRule="auto"/>
                    <w:rPr>
                      <w:szCs w:val="21"/>
                      <w:u w:val="single"/>
                    </w:rPr>
                  </w:pPr>
                  <w:r>
                    <w:rPr>
                      <w:rFonts w:hint="eastAsia"/>
                      <w:szCs w:val="21"/>
                      <w:u w:val="single"/>
                    </w:rPr>
                    <w:t>声功率级</w:t>
                  </w:r>
                </w:p>
                <w:p>
                  <w:pPr>
                    <w:pStyle w:val="38"/>
                    <w:spacing w:line="240" w:lineRule="auto"/>
                    <w:rPr>
                      <w:szCs w:val="21"/>
                      <w:u w:val="single"/>
                    </w:rPr>
                  </w:pPr>
                  <w:r>
                    <w:rPr>
                      <w:rFonts w:hint="eastAsia"/>
                      <w:szCs w:val="21"/>
                      <w:u w:val="single"/>
                    </w:rPr>
                    <w:t>dB（A）</w:t>
                  </w:r>
                </w:p>
              </w:tc>
              <w:tc>
                <w:tcPr>
                  <w:tcW w:w="878" w:type="dxa"/>
                  <w:vMerge w:val="restart"/>
                  <w:vAlign w:val="center"/>
                </w:tcPr>
                <w:p>
                  <w:pPr>
                    <w:pStyle w:val="38"/>
                    <w:spacing w:line="240" w:lineRule="auto"/>
                    <w:rPr>
                      <w:szCs w:val="21"/>
                      <w:u w:val="single"/>
                    </w:rPr>
                  </w:pPr>
                  <w:r>
                    <w:rPr>
                      <w:szCs w:val="21"/>
                      <w:u w:val="single"/>
                    </w:rPr>
                    <w:t>声源控制措施</w:t>
                  </w:r>
                </w:p>
              </w:tc>
              <w:tc>
                <w:tcPr>
                  <w:tcW w:w="1139" w:type="dxa"/>
                  <w:gridSpan w:val="3"/>
                  <w:tcBorders>
                    <w:bottom w:val="single" w:color="auto" w:sz="4" w:space="0"/>
                  </w:tcBorders>
                  <w:tcMar>
                    <w:left w:w="11" w:type="dxa"/>
                    <w:right w:w="11" w:type="dxa"/>
                  </w:tcMar>
                  <w:vAlign w:val="center"/>
                </w:tcPr>
                <w:p>
                  <w:pPr>
                    <w:pStyle w:val="38"/>
                    <w:spacing w:line="240" w:lineRule="auto"/>
                    <w:rPr>
                      <w:szCs w:val="21"/>
                      <w:u w:val="single"/>
                    </w:rPr>
                  </w:pPr>
                  <w:r>
                    <w:rPr>
                      <w:rFonts w:hint="eastAsia"/>
                      <w:szCs w:val="21"/>
                      <w:u w:val="single"/>
                    </w:rPr>
                    <w:t>空间</w:t>
                  </w:r>
                  <w:r>
                    <w:rPr>
                      <w:szCs w:val="21"/>
                      <w:u w:val="single"/>
                    </w:rPr>
                    <w:t>相对位置</w:t>
                  </w:r>
                </w:p>
              </w:tc>
              <w:tc>
                <w:tcPr>
                  <w:tcW w:w="786" w:type="dxa"/>
                  <w:vMerge w:val="restart"/>
                  <w:tcMar>
                    <w:left w:w="11" w:type="dxa"/>
                    <w:right w:w="11" w:type="dxa"/>
                  </w:tcMar>
                  <w:vAlign w:val="center"/>
                </w:tcPr>
                <w:p>
                  <w:pPr>
                    <w:pStyle w:val="38"/>
                    <w:spacing w:line="240" w:lineRule="auto"/>
                    <w:rPr>
                      <w:szCs w:val="21"/>
                      <w:u w:val="single"/>
                    </w:rPr>
                  </w:pPr>
                  <w:r>
                    <w:rPr>
                      <w:rFonts w:hint="eastAsia"/>
                      <w:szCs w:val="21"/>
                      <w:u w:val="single"/>
                    </w:rPr>
                    <w:t>距室内边界距离m</w:t>
                  </w:r>
                </w:p>
              </w:tc>
              <w:tc>
                <w:tcPr>
                  <w:tcW w:w="689" w:type="dxa"/>
                  <w:vMerge w:val="restart"/>
                  <w:tcMar>
                    <w:left w:w="11" w:type="dxa"/>
                    <w:right w:w="11" w:type="dxa"/>
                  </w:tcMar>
                  <w:vAlign w:val="center"/>
                </w:tcPr>
                <w:p>
                  <w:pPr>
                    <w:pStyle w:val="38"/>
                    <w:spacing w:line="240" w:lineRule="auto"/>
                    <w:rPr>
                      <w:szCs w:val="21"/>
                      <w:u w:val="single"/>
                    </w:rPr>
                  </w:pPr>
                  <w:r>
                    <w:rPr>
                      <w:rFonts w:hint="eastAsia"/>
                      <w:szCs w:val="21"/>
                      <w:u w:val="single"/>
                    </w:rPr>
                    <w:t>室内边界声级</w:t>
                  </w:r>
                </w:p>
                <w:p>
                  <w:pPr>
                    <w:pStyle w:val="38"/>
                    <w:spacing w:line="240" w:lineRule="auto"/>
                    <w:rPr>
                      <w:szCs w:val="21"/>
                      <w:u w:val="single"/>
                    </w:rPr>
                  </w:pPr>
                  <w:r>
                    <w:rPr>
                      <w:rFonts w:hint="eastAsia"/>
                      <w:szCs w:val="21"/>
                      <w:u w:val="single"/>
                    </w:rPr>
                    <w:t>dB（A）</w:t>
                  </w:r>
                </w:p>
              </w:tc>
              <w:tc>
                <w:tcPr>
                  <w:tcW w:w="353" w:type="dxa"/>
                  <w:vMerge w:val="restart"/>
                  <w:vAlign w:val="center"/>
                </w:tcPr>
                <w:p>
                  <w:pPr>
                    <w:pStyle w:val="38"/>
                    <w:spacing w:line="240" w:lineRule="auto"/>
                    <w:rPr>
                      <w:szCs w:val="21"/>
                      <w:u w:val="single"/>
                    </w:rPr>
                  </w:pPr>
                  <w:r>
                    <w:rPr>
                      <w:rFonts w:hint="eastAsia"/>
                      <w:szCs w:val="21"/>
                      <w:u w:val="single"/>
                    </w:rPr>
                    <w:t>运行时段</w:t>
                  </w:r>
                </w:p>
              </w:tc>
              <w:tc>
                <w:tcPr>
                  <w:tcW w:w="708" w:type="dxa"/>
                  <w:vMerge w:val="restart"/>
                  <w:vAlign w:val="center"/>
                </w:tcPr>
                <w:p>
                  <w:pPr>
                    <w:pStyle w:val="38"/>
                    <w:spacing w:line="240" w:lineRule="auto"/>
                    <w:rPr>
                      <w:szCs w:val="21"/>
                      <w:u w:val="single"/>
                    </w:rPr>
                  </w:pPr>
                  <w:r>
                    <w:rPr>
                      <w:rFonts w:hint="eastAsia"/>
                      <w:szCs w:val="21"/>
                      <w:u w:val="single"/>
                    </w:rPr>
                    <w:t>建筑物插入损失</w:t>
                  </w:r>
                </w:p>
                <w:p>
                  <w:pPr>
                    <w:pStyle w:val="38"/>
                    <w:spacing w:line="240" w:lineRule="auto"/>
                    <w:rPr>
                      <w:szCs w:val="21"/>
                      <w:u w:val="single"/>
                    </w:rPr>
                  </w:pPr>
                  <w:r>
                    <w:rPr>
                      <w:rFonts w:hint="eastAsia"/>
                      <w:szCs w:val="21"/>
                      <w:u w:val="single"/>
                    </w:rPr>
                    <w:t>dB（A）</w:t>
                  </w:r>
                </w:p>
              </w:tc>
              <w:tc>
                <w:tcPr>
                  <w:tcW w:w="708" w:type="dxa"/>
                  <w:vMerge w:val="restart"/>
                  <w:vAlign w:val="center"/>
                </w:tcPr>
                <w:p>
                  <w:pPr>
                    <w:pStyle w:val="38"/>
                    <w:spacing w:line="240" w:lineRule="auto"/>
                    <w:rPr>
                      <w:szCs w:val="21"/>
                      <w:u w:val="single"/>
                    </w:rPr>
                  </w:pPr>
                  <w:r>
                    <w:rPr>
                      <w:rFonts w:hint="eastAsia"/>
                      <w:szCs w:val="21"/>
                      <w:u w:val="single"/>
                    </w:rPr>
                    <w:t>建筑物外声压级</w:t>
                  </w:r>
                </w:p>
                <w:p>
                  <w:pPr>
                    <w:pStyle w:val="38"/>
                    <w:spacing w:line="240" w:lineRule="auto"/>
                    <w:rPr>
                      <w:szCs w:val="21"/>
                      <w:u w:val="single"/>
                    </w:rPr>
                  </w:pPr>
                  <w:r>
                    <w:rPr>
                      <w:rFonts w:hint="eastAsia"/>
                      <w:szCs w:val="21"/>
                      <w:u w:val="single"/>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349" w:type="dxa"/>
                  <w:vMerge w:val="continue"/>
                  <w:tcMar>
                    <w:left w:w="11" w:type="dxa"/>
                    <w:right w:w="11" w:type="dxa"/>
                  </w:tcMar>
                  <w:vAlign w:val="center"/>
                </w:tcPr>
                <w:p>
                  <w:pPr>
                    <w:pStyle w:val="38"/>
                    <w:spacing w:line="240" w:lineRule="auto"/>
                    <w:rPr>
                      <w:szCs w:val="21"/>
                      <w:u w:val="single"/>
                    </w:rPr>
                  </w:pPr>
                </w:p>
              </w:tc>
              <w:tc>
                <w:tcPr>
                  <w:tcW w:w="523" w:type="dxa"/>
                  <w:vMerge w:val="continue"/>
                  <w:tcMar>
                    <w:left w:w="11" w:type="dxa"/>
                    <w:right w:w="11" w:type="dxa"/>
                  </w:tcMar>
                  <w:vAlign w:val="center"/>
                </w:tcPr>
                <w:p>
                  <w:pPr>
                    <w:pStyle w:val="38"/>
                    <w:spacing w:line="240" w:lineRule="auto"/>
                    <w:rPr>
                      <w:szCs w:val="21"/>
                      <w:u w:val="single"/>
                    </w:rPr>
                  </w:pPr>
                </w:p>
              </w:tc>
              <w:tc>
                <w:tcPr>
                  <w:tcW w:w="799" w:type="dxa"/>
                  <w:vMerge w:val="continue"/>
                  <w:tcMar>
                    <w:left w:w="11" w:type="dxa"/>
                    <w:right w:w="11" w:type="dxa"/>
                  </w:tcMar>
                  <w:vAlign w:val="center"/>
                </w:tcPr>
                <w:p>
                  <w:pPr>
                    <w:pStyle w:val="38"/>
                    <w:spacing w:line="240" w:lineRule="auto"/>
                    <w:rPr>
                      <w:szCs w:val="21"/>
                      <w:u w:val="single"/>
                    </w:rPr>
                  </w:pPr>
                </w:p>
              </w:tc>
              <w:tc>
                <w:tcPr>
                  <w:tcW w:w="841" w:type="dxa"/>
                  <w:vMerge w:val="continue"/>
                  <w:tcMar>
                    <w:left w:w="11" w:type="dxa"/>
                    <w:right w:w="11" w:type="dxa"/>
                  </w:tcMar>
                  <w:vAlign w:val="center"/>
                </w:tcPr>
                <w:p>
                  <w:pPr>
                    <w:pStyle w:val="38"/>
                    <w:spacing w:line="240" w:lineRule="auto"/>
                    <w:rPr>
                      <w:szCs w:val="21"/>
                      <w:u w:val="single"/>
                    </w:rPr>
                  </w:pPr>
                </w:p>
              </w:tc>
              <w:tc>
                <w:tcPr>
                  <w:tcW w:w="878" w:type="dxa"/>
                  <w:vMerge w:val="continue"/>
                  <w:vAlign w:val="center"/>
                </w:tcPr>
                <w:p>
                  <w:pPr>
                    <w:pStyle w:val="38"/>
                    <w:spacing w:line="240" w:lineRule="auto"/>
                    <w:rPr>
                      <w:szCs w:val="21"/>
                      <w:u w:val="single"/>
                    </w:rPr>
                  </w:pPr>
                </w:p>
              </w:tc>
              <w:tc>
                <w:tcPr>
                  <w:tcW w:w="314" w:type="dxa"/>
                  <w:tcBorders>
                    <w:top w:val="single" w:color="auto" w:sz="4" w:space="0"/>
                    <w:right w:val="single" w:color="auto" w:sz="4" w:space="0"/>
                  </w:tcBorders>
                  <w:tcMar>
                    <w:left w:w="11" w:type="dxa"/>
                    <w:right w:w="11" w:type="dxa"/>
                  </w:tcMar>
                  <w:vAlign w:val="center"/>
                </w:tcPr>
                <w:p>
                  <w:pPr>
                    <w:pStyle w:val="38"/>
                    <w:spacing w:line="240" w:lineRule="auto"/>
                    <w:rPr>
                      <w:szCs w:val="21"/>
                      <w:u w:val="single"/>
                    </w:rPr>
                  </w:pPr>
                  <w:r>
                    <w:rPr>
                      <w:rFonts w:hint="eastAsia"/>
                      <w:szCs w:val="21"/>
                      <w:u w:val="single"/>
                    </w:rPr>
                    <w:t>X</w:t>
                  </w:r>
                </w:p>
              </w:tc>
              <w:tc>
                <w:tcPr>
                  <w:tcW w:w="427" w:type="dxa"/>
                  <w:tcBorders>
                    <w:top w:val="single" w:color="auto" w:sz="4" w:space="0"/>
                    <w:left w:val="single" w:color="auto" w:sz="4" w:space="0"/>
                    <w:right w:val="single" w:color="auto" w:sz="4" w:space="0"/>
                  </w:tcBorders>
                  <w:vAlign w:val="center"/>
                </w:tcPr>
                <w:p>
                  <w:pPr>
                    <w:pStyle w:val="38"/>
                    <w:spacing w:line="240" w:lineRule="auto"/>
                    <w:rPr>
                      <w:szCs w:val="21"/>
                      <w:u w:val="single"/>
                    </w:rPr>
                  </w:pPr>
                  <w:r>
                    <w:rPr>
                      <w:rFonts w:hint="eastAsia"/>
                      <w:szCs w:val="21"/>
                      <w:u w:val="single"/>
                    </w:rPr>
                    <w:t>Y</w:t>
                  </w:r>
                </w:p>
              </w:tc>
              <w:tc>
                <w:tcPr>
                  <w:tcW w:w="398" w:type="dxa"/>
                  <w:tcBorders>
                    <w:top w:val="single" w:color="auto" w:sz="4" w:space="0"/>
                    <w:left w:val="single" w:color="auto" w:sz="4" w:space="0"/>
                  </w:tcBorders>
                  <w:vAlign w:val="center"/>
                </w:tcPr>
                <w:p>
                  <w:pPr>
                    <w:pStyle w:val="38"/>
                    <w:spacing w:line="240" w:lineRule="auto"/>
                    <w:rPr>
                      <w:szCs w:val="21"/>
                      <w:u w:val="single"/>
                    </w:rPr>
                  </w:pPr>
                  <w:r>
                    <w:rPr>
                      <w:rFonts w:hint="eastAsia"/>
                      <w:szCs w:val="21"/>
                      <w:u w:val="single"/>
                    </w:rPr>
                    <w:t>Z</w:t>
                  </w:r>
                </w:p>
              </w:tc>
              <w:tc>
                <w:tcPr>
                  <w:tcW w:w="786" w:type="dxa"/>
                  <w:vMerge w:val="continue"/>
                  <w:tcMar>
                    <w:left w:w="11" w:type="dxa"/>
                    <w:right w:w="11" w:type="dxa"/>
                  </w:tcMar>
                  <w:vAlign w:val="center"/>
                </w:tcPr>
                <w:p>
                  <w:pPr>
                    <w:pStyle w:val="38"/>
                    <w:spacing w:line="240" w:lineRule="auto"/>
                    <w:rPr>
                      <w:szCs w:val="21"/>
                      <w:u w:val="single"/>
                    </w:rPr>
                  </w:pPr>
                </w:p>
              </w:tc>
              <w:tc>
                <w:tcPr>
                  <w:tcW w:w="689" w:type="dxa"/>
                  <w:vMerge w:val="continue"/>
                  <w:tcMar>
                    <w:left w:w="11" w:type="dxa"/>
                    <w:right w:w="11" w:type="dxa"/>
                  </w:tcMar>
                  <w:vAlign w:val="center"/>
                </w:tcPr>
                <w:p>
                  <w:pPr>
                    <w:pStyle w:val="38"/>
                    <w:spacing w:line="240" w:lineRule="auto"/>
                    <w:rPr>
                      <w:szCs w:val="21"/>
                      <w:u w:val="single"/>
                    </w:rPr>
                  </w:pPr>
                </w:p>
              </w:tc>
              <w:tc>
                <w:tcPr>
                  <w:tcW w:w="353" w:type="dxa"/>
                  <w:vMerge w:val="continue"/>
                  <w:vAlign w:val="center"/>
                </w:tcPr>
                <w:p>
                  <w:pPr>
                    <w:pStyle w:val="38"/>
                    <w:spacing w:line="240" w:lineRule="auto"/>
                    <w:rPr>
                      <w:szCs w:val="21"/>
                      <w:u w:val="single"/>
                    </w:rPr>
                  </w:pPr>
                </w:p>
              </w:tc>
              <w:tc>
                <w:tcPr>
                  <w:tcW w:w="708" w:type="dxa"/>
                  <w:vMerge w:val="continue"/>
                  <w:vAlign w:val="center"/>
                </w:tcPr>
                <w:p>
                  <w:pPr>
                    <w:pStyle w:val="38"/>
                    <w:spacing w:line="240" w:lineRule="auto"/>
                    <w:rPr>
                      <w:szCs w:val="21"/>
                      <w:u w:val="single"/>
                    </w:rPr>
                  </w:pPr>
                </w:p>
              </w:tc>
              <w:tc>
                <w:tcPr>
                  <w:tcW w:w="708" w:type="dxa"/>
                  <w:vMerge w:val="continue"/>
                  <w:vAlign w:val="center"/>
                </w:tcPr>
                <w:p>
                  <w:pPr>
                    <w:pStyle w:val="38"/>
                    <w:spacing w:line="240" w:lineRule="auto"/>
                    <w:rPr>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1" w:hRule="atLeast"/>
              </w:trPr>
              <w:tc>
                <w:tcPr>
                  <w:tcW w:w="349" w:type="dxa"/>
                  <w:tcMar>
                    <w:left w:w="11" w:type="dxa"/>
                    <w:right w:w="11" w:type="dxa"/>
                  </w:tcMar>
                  <w:vAlign w:val="center"/>
                </w:tcPr>
                <w:p>
                  <w:pPr>
                    <w:pStyle w:val="38"/>
                    <w:spacing w:line="240" w:lineRule="auto"/>
                    <w:rPr>
                      <w:szCs w:val="21"/>
                      <w:u w:val="single"/>
                    </w:rPr>
                  </w:pPr>
                  <w:r>
                    <w:rPr>
                      <w:rFonts w:hint="eastAsia"/>
                      <w:szCs w:val="21"/>
                      <w:u w:val="single"/>
                    </w:rPr>
                    <w:t>1</w:t>
                  </w:r>
                </w:p>
              </w:tc>
              <w:tc>
                <w:tcPr>
                  <w:tcW w:w="523" w:type="dxa"/>
                  <w:vMerge w:val="restart"/>
                  <w:tcMar>
                    <w:left w:w="11" w:type="dxa"/>
                    <w:right w:w="11" w:type="dxa"/>
                  </w:tcMar>
                  <w:vAlign w:val="center"/>
                </w:tcPr>
                <w:p>
                  <w:pPr>
                    <w:pStyle w:val="38"/>
                    <w:spacing w:line="240" w:lineRule="auto"/>
                    <w:rPr>
                      <w:szCs w:val="21"/>
                      <w:u w:val="single"/>
                    </w:rPr>
                  </w:pPr>
                  <w:r>
                    <w:rPr>
                      <w:rFonts w:hint="eastAsia"/>
                      <w:szCs w:val="21"/>
                      <w:u w:val="single"/>
                    </w:rPr>
                    <w:t>生产车间</w:t>
                  </w:r>
                </w:p>
              </w:tc>
              <w:tc>
                <w:tcPr>
                  <w:tcW w:w="799" w:type="dxa"/>
                  <w:tcMar>
                    <w:left w:w="11" w:type="dxa"/>
                    <w:right w:w="11" w:type="dxa"/>
                  </w:tcMar>
                  <w:vAlign w:val="center"/>
                </w:tcPr>
                <w:p>
                  <w:pPr>
                    <w:jc w:val="center"/>
                    <w:rPr>
                      <w:u w:val="single"/>
                    </w:rPr>
                  </w:pPr>
                  <w:r>
                    <w:rPr>
                      <w:rFonts w:hint="eastAsia"/>
                      <w:u w:val="single"/>
                    </w:rPr>
                    <w:t>裁带机</w:t>
                  </w:r>
                </w:p>
              </w:tc>
              <w:tc>
                <w:tcPr>
                  <w:tcW w:w="841" w:type="dxa"/>
                  <w:tcMar>
                    <w:left w:w="11" w:type="dxa"/>
                    <w:right w:w="11" w:type="dxa"/>
                  </w:tcMar>
                  <w:vAlign w:val="center"/>
                </w:tcPr>
                <w:p>
                  <w:pPr>
                    <w:jc w:val="center"/>
                    <w:rPr>
                      <w:u w:val="single"/>
                    </w:rPr>
                  </w:pPr>
                  <w:r>
                    <w:rPr>
                      <w:rFonts w:hint="eastAsia"/>
                      <w:u w:val="single"/>
                    </w:rPr>
                    <w:t>75</w:t>
                  </w:r>
                </w:p>
              </w:tc>
              <w:tc>
                <w:tcPr>
                  <w:tcW w:w="878" w:type="dxa"/>
                  <w:vAlign w:val="center"/>
                </w:tcPr>
                <w:p>
                  <w:pPr>
                    <w:pStyle w:val="38"/>
                    <w:spacing w:line="240" w:lineRule="auto"/>
                    <w:rPr>
                      <w:szCs w:val="21"/>
                      <w:u w:val="single"/>
                    </w:rPr>
                  </w:pPr>
                  <w:r>
                    <w:rPr>
                      <w:rFonts w:hint="eastAsia"/>
                      <w:szCs w:val="21"/>
                      <w:u w:val="single"/>
                    </w:rPr>
                    <w:t>基础</w:t>
                  </w:r>
                  <w:r>
                    <w:rPr>
                      <w:szCs w:val="21"/>
                      <w:u w:val="single"/>
                    </w:rPr>
                    <w:t>减震、</w:t>
                  </w:r>
                  <w:r>
                    <w:rPr>
                      <w:rFonts w:hint="eastAsia"/>
                      <w:szCs w:val="21"/>
                      <w:u w:val="single"/>
                    </w:rPr>
                    <w:t>厂房隔声</w:t>
                  </w:r>
                </w:p>
              </w:tc>
              <w:tc>
                <w:tcPr>
                  <w:tcW w:w="314" w:type="dxa"/>
                  <w:tcBorders>
                    <w:right w:val="single" w:color="auto" w:sz="4" w:space="0"/>
                  </w:tcBorders>
                  <w:tcMar>
                    <w:left w:w="11" w:type="dxa"/>
                    <w:right w:w="11" w:type="dxa"/>
                  </w:tcMar>
                  <w:vAlign w:val="center"/>
                </w:tcPr>
                <w:p>
                  <w:pPr>
                    <w:pStyle w:val="38"/>
                    <w:spacing w:line="240" w:lineRule="auto"/>
                    <w:rPr>
                      <w:szCs w:val="21"/>
                      <w:u w:val="single"/>
                    </w:rPr>
                  </w:pPr>
                  <w:r>
                    <w:rPr>
                      <w:rFonts w:hint="eastAsia"/>
                      <w:szCs w:val="21"/>
                      <w:u w:val="single"/>
                    </w:rPr>
                    <w:t>3</w:t>
                  </w:r>
                </w:p>
              </w:tc>
              <w:tc>
                <w:tcPr>
                  <w:tcW w:w="427" w:type="dxa"/>
                  <w:tcBorders>
                    <w:left w:val="single" w:color="auto" w:sz="4" w:space="0"/>
                    <w:right w:val="single" w:color="auto" w:sz="4" w:space="0"/>
                  </w:tcBorders>
                  <w:vAlign w:val="center"/>
                </w:tcPr>
                <w:p>
                  <w:pPr>
                    <w:pStyle w:val="38"/>
                    <w:spacing w:line="240" w:lineRule="auto"/>
                    <w:rPr>
                      <w:szCs w:val="21"/>
                      <w:u w:val="single"/>
                    </w:rPr>
                  </w:pPr>
                  <w:r>
                    <w:rPr>
                      <w:rFonts w:hint="eastAsia"/>
                      <w:szCs w:val="21"/>
                      <w:u w:val="single"/>
                    </w:rPr>
                    <w:t>4</w:t>
                  </w:r>
                </w:p>
              </w:tc>
              <w:tc>
                <w:tcPr>
                  <w:tcW w:w="398" w:type="dxa"/>
                  <w:tcBorders>
                    <w:left w:val="single" w:color="auto" w:sz="4" w:space="0"/>
                  </w:tcBorders>
                  <w:vAlign w:val="center"/>
                </w:tcPr>
                <w:p>
                  <w:pPr>
                    <w:pStyle w:val="38"/>
                    <w:spacing w:line="240" w:lineRule="auto"/>
                    <w:rPr>
                      <w:szCs w:val="21"/>
                      <w:u w:val="single"/>
                    </w:rPr>
                  </w:pPr>
                  <w:r>
                    <w:rPr>
                      <w:rFonts w:hint="eastAsia"/>
                      <w:szCs w:val="21"/>
                      <w:u w:val="single"/>
                    </w:rPr>
                    <w:t>1</w:t>
                  </w:r>
                </w:p>
              </w:tc>
              <w:tc>
                <w:tcPr>
                  <w:tcW w:w="786" w:type="dxa"/>
                  <w:tcMar>
                    <w:left w:w="11" w:type="dxa"/>
                    <w:right w:w="11" w:type="dxa"/>
                  </w:tcMar>
                  <w:vAlign w:val="center"/>
                </w:tcPr>
                <w:p>
                  <w:pPr>
                    <w:pStyle w:val="38"/>
                    <w:spacing w:line="240" w:lineRule="auto"/>
                    <w:rPr>
                      <w:sz w:val="18"/>
                      <w:szCs w:val="18"/>
                      <w:u w:val="single"/>
                    </w:rPr>
                  </w:pPr>
                  <w:r>
                    <w:rPr>
                      <w:rFonts w:hint="eastAsia"/>
                      <w:sz w:val="18"/>
                      <w:szCs w:val="18"/>
                      <w:u w:val="single"/>
                    </w:rPr>
                    <w:t>N4</w:t>
                  </w:r>
                  <w:r>
                    <w:rPr>
                      <w:sz w:val="18"/>
                      <w:szCs w:val="18"/>
                      <w:u w:val="single"/>
                    </w:rPr>
                    <w:t>,E</w:t>
                  </w:r>
                  <w:r>
                    <w:rPr>
                      <w:rFonts w:hint="eastAsia"/>
                      <w:sz w:val="18"/>
                      <w:szCs w:val="18"/>
                      <w:u w:val="single"/>
                    </w:rPr>
                    <w:t>2</w:t>
                  </w:r>
                  <w:r>
                    <w:rPr>
                      <w:sz w:val="18"/>
                      <w:szCs w:val="18"/>
                      <w:u w:val="single"/>
                    </w:rPr>
                    <w:t>7,</w:t>
                  </w:r>
                </w:p>
                <w:p>
                  <w:pPr>
                    <w:pStyle w:val="38"/>
                    <w:spacing w:line="240" w:lineRule="auto"/>
                    <w:rPr>
                      <w:color w:val="FFC000"/>
                      <w:szCs w:val="21"/>
                      <w:u w:val="single"/>
                    </w:rPr>
                  </w:pPr>
                  <w:r>
                    <w:rPr>
                      <w:sz w:val="18"/>
                      <w:szCs w:val="18"/>
                      <w:u w:val="single"/>
                    </w:rPr>
                    <w:t>S</w:t>
                  </w:r>
                  <w:r>
                    <w:rPr>
                      <w:rFonts w:hint="eastAsia"/>
                      <w:sz w:val="18"/>
                      <w:szCs w:val="18"/>
                      <w:u w:val="single"/>
                    </w:rPr>
                    <w:t>76</w:t>
                  </w:r>
                  <w:r>
                    <w:rPr>
                      <w:sz w:val="18"/>
                      <w:szCs w:val="18"/>
                      <w:u w:val="single"/>
                    </w:rPr>
                    <w:t>,W</w:t>
                  </w:r>
                  <w:r>
                    <w:rPr>
                      <w:rFonts w:hint="eastAsia"/>
                      <w:sz w:val="18"/>
                      <w:szCs w:val="18"/>
                      <w:u w:val="single"/>
                    </w:rPr>
                    <w:t>3</w:t>
                  </w:r>
                </w:p>
              </w:tc>
              <w:tc>
                <w:tcPr>
                  <w:tcW w:w="689" w:type="dxa"/>
                  <w:tcMar>
                    <w:left w:w="11" w:type="dxa"/>
                    <w:right w:w="11" w:type="dxa"/>
                  </w:tcMar>
                  <w:vAlign w:val="center"/>
                </w:tcPr>
                <w:p>
                  <w:pPr>
                    <w:pStyle w:val="38"/>
                    <w:spacing w:line="240" w:lineRule="auto"/>
                    <w:rPr>
                      <w:sz w:val="18"/>
                      <w:szCs w:val="18"/>
                      <w:u w:val="single"/>
                    </w:rPr>
                  </w:pPr>
                  <w:r>
                    <w:rPr>
                      <w:rFonts w:hint="eastAsia"/>
                      <w:sz w:val="18"/>
                      <w:szCs w:val="18"/>
                      <w:u w:val="single"/>
                    </w:rPr>
                    <w:t>N66</w:t>
                  </w:r>
                </w:p>
                <w:p>
                  <w:pPr>
                    <w:pStyle w:val="38"/>
                    <w:spacing w:line="240" w:lineRule="auto"/>
                    <w:rPr>
                      <w:sz w:val="18"/>
                      <w:szCs w:val="18"/>
                      <w:u w:val="single"/>
                    </w:rPr>
                  </w:pPr>
                  <w:r>
                    <w:rPr>
                      <w:sz w:val="18"/>
                      <w:szCs w:val="18"/>
                      <w:u w:val="single"/>
                    </w:rPr>
                    <w:t>E</w:t>
                  </w:r>
                  <w:r>
                    <w:rPr>
                      <w:rFonts w:hint="eastAsia"/>
                      <w:sz w:val="18"/>
                      <w:szCs w:val="18"/>
                      <w:u w:val="single"/>
                    </w:rPr>
                    <w:t>49.4</w:t>
                  </w:r>
                </w:p>
                <w:p>
                  <w:pPr>
                    <w:pStyle w:val="38"/>
                    <w:spacing w:line="240" w:lineRule="auto"/>
                    <w:rPr>
                      <w:sz w:val="18"/>
                      <w:szCs w:val="18"/>
                      <w:u w:val="single"/>
                    </w:rPr>
                  </w:pPr>
                  <w:r>
                    <w:rPr>
                      <w:sz w:val="18"/>
                      <w:szCs w:val="18"/>
                      <w:u w:val="single"/>
                    </w:rPr>
                    <w:t>S</w:t>
                  </w:r>
                  <w:r>
                    <w:rPr>
                      <w:rFonts w:hint="eastAsia"/>
                      <w:sz w:val="18"/>
                      <w:szCs w:val="18"/>
                      <w:u w:val="single"/>
                    </w:rPr>
                    <w:t>40.4</w:t>
                  </w:r>
                </w:p>
                <w:p>
                  <w:pPr>
                    <w:pStyle w:val="38"/>
                    <w:spacing w:line="240" w:lineRule="auto"/>
                    <w:rPr>
                      <w:szCs w:val="21"/>
                      <w:u w:val="single"/>
                    </w:rPr>
                  </w:pPr>
                  <w:r>
                    <w:rPr>
                      <w:sz w:val="18"/>
                      <w:szCs w:val="18"/>
                      <w:u w:val="single"/>
                    </w:rPr>
                    <w:t>W</w:t>
                  </w:r>
                  <w:r>
                    <w:rPr>
                      <w:rFonts w:hint="eastAsia"/>
                      <w:sz w:val="18"/>
                      <w:szCs w:val="18"/>
                      <w:u w:val="single"/>
                    </w:rPr>
                    <w:t>68.5</w:t>
                  </w:r>
                </w:p>
              </w:tc>
              <w:tc>
                <w:tcPr>
                  <w:tcW w:w="353" w:type="dxa"/>
                  <w:vAlign w:val="center"/>
                </w:tcPr>
                <w:p>
                  <w:pPr>
                    <w:jc w:val="center"/>
                    <w:rPr>
                      <w:szCs w:val="21"/>
                      <w:u w:val="single"/>
                    </w:rPr>
                  </w:pPr>
                  <w:r>
                    <w:rPr>
                      <w:rFonts w:hint="eastAsia"/>
                      <w:szCs w:val="21"/>
                      <w:u w:val="single"/>
                    </w:rPr>
                    <w:t>昼间</w:t>
                  </w:r>
                </w:p>
              </w:tc>
              <w:tc>
                <w:tcPr>
                  <w:tcW w:w="708" w:type="dxa"/>
                  <w:vAlign w:val="center"/>
                </w:tcPr>
                <w:p>
                  <w:pPr>
                    <w:pStyle w:val="38"/>
                    <w:spacing w:line="240" w:lineRule="auto"/>
                    <w:rPr>
                      <w:szCs w:val="21"/>
                      <w:u w:val="single"/>
                    </w:rPr>
                  </w:pPr>
                  <w:r>
                    <w:rPr>
                      <w:rFonts w:hint="eastAsia"/>
                      <w:szCs w:val="21"/>
                      <w:u w:val="single"/>
                    </w:rPr>
                    <w:t>20</w:t>
                  </w:r>
                </w:p>
              </w:tc>
              <w:tc>
                <w:tcPr>
                  <w:tcW w:w="708" w:type="dxa"/>
                  <w:vAlign w:val="center"/>
                </w:tcPr>
                <w:p>
                  <w:pPr>
                    <w:pStyle w:val="38"/>
                    <w:spacing w:line="240" w:lineRule="auto"/>
                    <w:rPr>
                      <w:sz w:val="18"/>
                      <w:szCs w:val="18"/>
                      <w:u w:val="single"/>
                    </w:rPr>
                  </w:pPr>
                  <w:r>
                    <w:rPr>
                      <w:rFonts w:hint="eastAsia"/>
                      <w:sz w:val="18"/>
                      <w:szCs w:val="18"/>
                      <w:u w:val="single"/>
                    </w:rPr>
                    <w:t>N46</w:t>
                  </w:r>
                </w:p>
                <w:p>
                  <w:pPr>
                    <w:pStyle w:val="38"/>
                    <w:spacing w:line="240" w:lineRule="auto"/>
                    <w:rPr>
                      <w:sz w:val="18"/>
                      <w:szCs w:val="18"/>
                      <w:u w:val="single"/>
                    </w:rPr>
                  </w:pPr>
                  <w:r>
                    <w:rPr>
                      <w:sz w:val="18"/>
                      <w:szCs w:val="18"/>
                      <w:u w:val="single"/>
                    </w:rPr>
                    <w:t>E</w:t>
                  </w:r>
                  <w:r>
                    <w:rPr>
                      <w:rFonts w:hint="eastAsia"/>
                      <w:sz w:val="18"/>
                      <w:szCs w:val="18"/>
                      <w:u w:val="single"/>
                    </w:rPr>
                    <w:t>29.4</w:t>
                  </w:r>
                </w:p>
                <w:p>
                  <w:pPr>
                    <w:pStyle w:val="38"/>
                    <w:spacing w:line="240" w:lineRule="auto"/>
                    <w:rPr>
                      <w:sz w:val="18"/>
                      <w:szCs w:val="18"/>
                      <w:u w:val="single"/>
                    </w:rPr>
                  </w:pPr>
                  <w:r>
                    <w:rPr>
                      <w:sz w:val="18"/>
                      <w:szCs w:val="18"/>
                      <w:u w:val="single"/>
                    </w:rPr>
                    <w:t>S</w:t>
                  </w:r>
                  <w:r>
                    <w:rPr>
                      <w:rFonts w:hint="eastAsia"/>
                      <w:sz w:val="18"/>
                      <w:szCs w:val="18"/>
                      <w:u w:val="single"/>
                    </w:rPr>
                    <w:t>20.4</w:t>
                  </w:r>
                </w:p>
                <w:p>
                  <w:pPr>
                    <w:pStyle w:val="38"/>
                    <w:spacing w:line="240" w:lineRule="auto"/>
                    <w:rPr>
                      <w:color w:val="FFC000"/>
                      <w:szCs w:val="21"/>
                      <w:u w:val="single"/>
                    </w:rPr>
                  </w:pPr>
                  <w:r>
                    <w:rPr>
                      <w:sz w:val="18"/>
                      <w:szCs w:val="18"/>
                      <w:u w:val="single"/>
                    </w:rPr>
                    <w:t>W</w:t>
                  </w:r>
                  <w:r>
                    <w:rPr>
                      <w:rFonts w:hint="eastAsia"/>
                      <w:sz w:val="18"/>
                      <w:szCs w:val="18"/>
                      <w:u w:val="single"/>
                    </w:rP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1" w:hRule="atLeast"/>
              </w:trPr>
              <w:tc>
                <w:tcPr>
                  <w:tcW w:w="349" w:type="dxa"/>
                  <w:tcMar>
                    <w:left w:w="11" w:type="dxa"/>
                    <w:right w:w="11" w:type="dxa"/>
                  </w:tcMar>
                  <w:vAlign w:val="center"/>
                </w:tcPr>
                <w:p>
                  <w:pPr>
                    <w:pStyle w:val="38"/>
                    <w:spacing w:line="240" w:lineRule="auto"/>
                    <w:rPr>
                      <w:szCs w:val="21"/>
                      <w:u w:val="single"/>
                    </w:rPr>
                  </w:pPr>
                  <w:r>
                    <w:rPr>
                      <w:rFonts w:hint="eastAsia"/>
                      <w:szCs w:val="21"/>
                      <w:u w:val="single"/>
                    </w:rPr>
                    <w:t>2</w:t>
                  </w:r>
                </w:p>
              </w:tc>
              <w:tc>
                <w:tcPr>
                  <w:tcW w:w="523" w:type="dxa"/>
                  <w:vMerge w:val="continue"/>
                  <w:tcMar>
                    <w:left w:w="11" w:type="dxa"/>
                    <w:right w:w="11" w:type="dxa"/>
                  </w:tcMar>
                  <w:vAlign w:val="center"/>
                </w:tcPr>
                <w:p>
                  <w:pPr>
                    <w:pStyle w:val="38"/>
                    <w:spacing w:line="240" w:lineRule="auto"/>
                    <w:rPr>
                      <w:szCs w:val="21"/>
                      <w:u w:val="single"/>
                    </w:rPr>
                  </w:pPr>
                </w:p>
              </w:tc>
              <w:tc>
                <w:tcPr>
                  <w:tcW w:w="799" w:type="dxa"/>
                  <w:tcMar>
                    <w:left w:w="11" w:type="dxa"/>
                    <w:right w:w="11" w:type="dxa"/>
                  </w:tcMar>
                  <w:vAlign w:val="center"/>
                </w:tcPr>
                <w:p>
                  <w:pPr>
                    <w:jc w:val="center"/>
                    <w:rPr>
                      <w:u w:val="single"/>
                    </w:rPr>
                  </w:pPr>
                  <w:r>
                    <w:rPr>
                      <w:rFonts w:hint="eastAsia"/>
                      <w:u w:val="single"/>
                    </w:rPr>
                    <w:t>缝纫机</w:t>
                  </w:r>
                </w:p>
              </w:tc>
              <w:tc>
                <w:tcPr>
                  <w:tcW w:w="841" w:type="dxa"/>
                  <w:tcMar>
                    <w:left w:w="11" w:type="dxa"/>
                    <w:right w:w="11" w:type="dxa"/>
                  </w:tcMar>
                  <w:vAlign w:val="center"/>
                </w:tcPr>
                <w:p>
                  <w:pPr>
                    <w:jc w:val="center"/>
                    <w:rPr>
                      <w:szCs w:val="21"/>
                      <w:u w:val="single"/>
                    </w:rPr>
                  </w:pPr>
                  <w:r>
                    <w:rPr>
                      <w:rFonts w:hint="eastAsia"/>
                      <w:u w:val="single"/>
                    </w:rPr>
                    <w:t>80</w:t>
                  </w:r>
                </w:p>
              </w:tc>
              <w:tc>
                <w:tcPr>
                  <w:tcW w:w="878" w:type="dxa"/>
                  <w:vAlign w:val="center"/>
                </w:tcPr>
                <w:p>
                  <w:pPr>
                    <w:pStyle w:val="38"/>
                    <w:spacing w:line="240" w:lineRule="auto"/>
                    <w:rPr>
                      <w:szCs w:val="21"/>
                      <w:u w:val="single"/>
                    </w:rPr>
                  </w:pPr>
                  <w:r>
                    <w:rPr>
                      <w:rFonts w:hint="eastAsia"/>
                      <w:szCs w:val="21"/>
                      <w:u w:val="single"/>
                    </w:rPr>
                    <w:t>基础</w:t>
                  </w:r>
                  <w:r>
                    <w:rPr>
                      <w:szCs w:val="21"/>
                      <w:u w:val="single"/>
                    </w:rPr>
                    <w:t>减震、</w:t>
                  </w:r>
                  <w:r>
                    <w:rPr>
                      <w:rFonts w:hint="eastAsia"/>
                      <w:szCs w:val="21"/>
                      <w:u w:val="single"/>
                    </w:rPr>
                    <w:t>厂房隔声</w:t>
                  </w:r>
                </w:p>
              </w:tc>
              <w:tc>
                <w:tcPr>
                  <w:tcW w:w="314" w:type="dxa"/>
                  <w:tcBorders>
                    <w:right w:val="single" w:color="auto" w:sz="4" w:space="0"/>
                  </w:tcBorders>
                  <w:tcMar>
                    <w:left w:w="11" w:type="dxa"/>
                    <w:right w:w="11" w:type="dxa"/>
                  </w:tcMar>
                  <w:vAlign w:val="center"/>
                </w:tcPr>
                <w:p>
                  <w:pPr>
                    <w:pStyle w:val="38"/>
                    <w:spacing w:line="240" w:lineRule="auto"/>
                    <w:rPr>
                      <w:szCs w:val="21"/>
                      <w:u w:val="single"/>
                    </w:rPr>
                  </w:pPr>
                  <w:r>
                    <w:rPr>
                      <w:rFonts w:hint="eastAsia"/>
                      <w:szCs w:val="21"/>
                      <w:u w:val="single"/>
                    </w:rPr>
                    <w:t>22</w:t>
                  </w:r>
                </w:p>
              </w:tc>
              <w:tc>
                <w:tcPr>
                  <w:tcW w:w="427" w:type="dxa"/>
                  <w:tcBorders>
                    <w:left w:val="single" w:color="auto" w:sz="4" w:space="0"/>
                    <w:right w:val="single" w:color="auto" w:sz="4" w:space="0"/>
                  </w:tcBorders>
                  <w:vAlign w:val="center"/>
                </w:tcPr>
                <w:p>
                  <w:pPr>
                    <w:pStyle w:val="38"/>
                    <w:spacing w:line="240" w:lineRule="auto"/>
                    <w:rPr>
                      <w:szCs w:val="21"/>
                      <w:u w:val="single"/>
                    </w:rPr>
                  </w:pPr>
                  <w:r>
                    <w:rPr>
                      <w:rFonts w:hint="eastAsia"/>
                      <w:szCs w:val="21"/>
                      <w:u w:val="single"/>
                    </w:rPr>
                    <w:t>15</w:t>
                  </w:r>
                </w:p>
              </w:tc>
              <w:tc>
                <w:tcPr>
                  <w:tcW w:w="398" w:type="dxa"/>
                  <w:tcBorders>
                    <w:left w:val="single" w:color="auto" w:sz="4" w:space="0"/>
                  </w:tcBorders>
                  <w:vAlign w:val="center"/>
                </w:tcPr>
                <w:p>
                  <w:pPr>
                    <w:pStyle w:val="38"/>
                    <w:spacing w:line="240" w:lineRule="auto"/>
                    <w:rPr>
                      <w:szCs w:val="21"/>
                      <w:u w:val="single"/>
                    </w:rPr>
                  </w:pPr>
                  <w:r>
                    <w:rPr>
                      <w:szCs w:val="21"/>
                      <w:u w:val="single"/>
                    </w:rPr>
                    <w:t>1</w:t>
                  </w:r>
                </w:p>
              </w:tc>
              <w:tc>
                <w:tcPr>
                  <w:tcW w:w="786" w:type="dxa"/>
                  <w:tcMar>
                    <w:left w:w="11" w:type="dxa"/>
                    <w:right w:w="11" w:type="dxa"/>
                  </w:tcMar>
                  <w:vAlign w:val="center"/>
                </w:tcPr>
                <w:p>
                  <w:pPr>
                    <w:pStyle w:val="38"/>
                    <w:spacing w:line="240" w:lineRule="auto"/>
                    <w:rPr>
                      <w:sz w:val="18"/>
                      <w:szCs w:val="18"/>
                      <w:u w:val="single"/>
                    </w:rPr>
                  </w:pPr>
                  <w:r>
                    <w:rPr>
                      <w:rFonts w:hint="eastAsia"/>
                      <w:sz w:val="18"/>
                      <w:szCs w:val="18"/>
                      <w:u w:val="single"/>
                    </w:rPr>
                    <w:t>N15</w:t>
                  </w:r>
                  <w:r>
                    <w:rPr>
                      <w:sz w:val="18"/>
                      <w:szCs w:val="18"/>
                      <w:u w:val="single"/>
                    </w:rPr>
                    <w:t>,E</w:t>
                  </w:r>
                  <w:r>
                    <w:rPr>
                      <w:rFonts w:hint="eastAsia"/>
                      <w:sz w:val="18"/>
                      <w:szCs w:val="18"/>
                      <w:u w:val="single"/>
                    </w:rPr>
                    <w:t>8</w:t>
                  </w:r>
                  <w:r>
                    <w:rPr>
                      <w:sz w:val="18"/>
                      <w:szCs w:val="18"/>
                      <w:u w:val="single"/>
                    </w:rPr>
                    <w:t>,</w:t>
                  </w:r>
                </w:p>
                <w:p>
                  <w:pPr>
                    <w:pStyle w:val="38"/>
                    <w:spacing w:line="240" w:lineRule="auto"/>
                    <w:rPr>
                      <w:color w:val="FFC000"/>
                      <w:szCs w:val="21"/>
                      <w:u w:val="single"/>
                    </w:rPr>
                  </w:pPr>
                  <w:r>
                    <w:rPr>
                      <w:sz w:val="18"/>
                      <w:szCs w:val="18"/>
                      <w:u w:val="single"/>
                    </w:rPr>
                    <w:t>S</w:t>
                  </w:r>
                  <w:r>
                    <w:rPr>
                      <w:rFonts w:hint="eastAsia"/>
                      <w:sz w:val="18"/>
                      <w:szCs w:val="18"/>
                      <w:u w:val="single"/>
                    </w:rPr>
                    <w:t>65</w:t>
                  </w:r>
                  <w:r>
                    <w:rPr>
                      <w:sz w:val="18"/>
                      <w:szCs w:val="18"/>
                      <w:u w:val="single"/>
                    </w:rPr>
                    <w:t>,W</w:t>
                  </w:r>
                  <w:r>
                    <w:rPr>
                      <w:rFonts w:hint="eastAsia"/>
                      <w:sz w:val="18"/>
                      <w:szCs w:val="18"/>
                      <w:u w:val="single"/>
                    </w:rPr>
                    <w:t>22</w:t>
                  </w:r>
                </w:p>
              </w:tc>
              <w:tc>
                <w:tcPr>
                  <w:tcW w:w="689" w:type="dxa"/>
                  <w:tcMar>
                    <w:left w:w="11" w:type="dxa"/>
                    <w:right w:w="11" w:type="dxa"/>
                  </w:tcMar>
                  <w:vAlign w:val="center"/>
                </w:tcPr>
                <w:p>
                  <w:pPr>
                    <w:pStyle w:val="38"/>
                    <w:spacing w:line="240" w:lineRule="auto"/>
                    <w:rPr>
                      <w:sz w:val="18"/>
                      <w:szCs w:val="18"/>
                      <w:u w:val="single"/>
                    </w:rPr>
                  </w:pPr>
                  <w:r>
                    <w:rPr>
                      <w:rFonts w:hint="eastAsia"/>
                      <w:sz w:val="18"/>
                      <w:szCs w:val="18"/>
                      <w:u w:val="single"/>
                    </w:rPr>
                    <w:t>N59.5</w:t>
                  </w:r>
                </w:p>
                <w:p>
                  <w:pPr>
                    <w:pStyle w:val="38"/>
                    <w:spacing w:line="240" w:lineRule="auto"/>
                    <w:rPr>
                      <w:sz w:val="18"/>
                      <w:szCs w:val="18"/>
                      <w:u w:val="single"/>
                    </w:rPr>
                  </w:pPr>
                  <w:r>
                    <w:rPr>
                      <w:sz w:val="18"/>
                      <w:szCs w:val="18"/>
                      <w:u w:val="single"/>
                    </w:rPr>
                    <w:t>E</w:t>
                  </w:r>
                  <w:r>
                    <w:rPr>
                      <w:rFonts w:hint="eastAsia"/>
                      <w:sz w:val="18"/>
                      <w:szCs w:val="18"/>
                      <w:u w:val="single"/>
                    </w:rPr>
                    <w:t>64.9</w:t>
                  </w:r>
                </w:p>
                <w:p>
                  <w:pPr>
                    <w:pStyle w:val="38"/>
                    <w:spacing w:line="240" w:lineRule="auto"/>
                    <w:rPr>
                      <w:sz w:val="18"/>
                      <w:szCs w:val="18"/>
                      <w:u w:val="single"/>
                    </w:rPr>
                  </w:pPr>
                  <w:r>
                    <w:rPr>
                      <w:sz w:val="18"/>
                      <w:szCs w:val="18"/>
                      <w:u w:val="single"/>
                    </w:rPr>
                    <w:t>S</w:t>
                  </w:r>
                  <w:r>
                    <w:rPr>
                      <w:rFonts w:hint="eastAsia"/>
                      <w:sz w:val="18"/>
                      <w:szCs w:val="18"/>
                      <w:u w:val="single"/>
                    </w:rPr>
                    <w:t>46.7</w:t>
                  </w:r>
                </w:p>
                <w:p>
                  <w:pPr>
                    <w:pStyle w:val="38"/>
                    <w:spacing w:line="240" w:lineRule="auto"/>
                    <w:rPr>
                      <w:szCs w:val="21"/>
                      <w:u w:val="single"/>
                    </w:rPr>
                  </w:pPr>
                  <w:r>
                    <w:rPr>
                      <w:sz w:val="18"/>
                      <w:szCs w:val="18"/>
                      <w:u w:val="single"/>
                    </w:rPr>
                    <w:t>W</w:t>
                  </w:r>
                  <w:r>
                    <w:rPr>
                      <w:rFonts w:hint="eastAsia"/>
                      <w:sz w:val="18"/>
                      <w:szCs w:val="18"/>
                      <w:u w:val="single"/>
                    </w:rPr>
                    <w:t>56.2</w:t>
                  </w:r>
                </w:p>
              </w:tc>
              <w:tc>
                <w:tcPr>
                  <w:tcW w:w="353" w:type="dxa"/>
                  <w:vAlign w:val="center"/>
                </w:tcPr>
                <w:p>
                  <w:pPr>
                    <w:jc w:val="center"/>
                    <w:rPr>
                      <w:szCs w:val="21"/>
                      <w:u w:val="single"/>
                    </w:rPr>
                  </w:pPr>
                  <w:r>
                    <w:rPr>
                      <w:rFonts w:hint="eastAsia"/>
                      <w:szCs w:val="21"/>
                      <w:u w:val="single"/>
                    </w:rPr>
                    <w:t>昼间</w:t>
                  </w:r>
                </w:p>
              </w:tc>
              <w:tc>
                <w:tcPr>
                  <w:tcW w:w="708" w:type="dxa"/>
                  <w:vAlign w:val="center"/>
                </w:tcPr>
                <w:p>
                  <w:pPr>
                    <w:pStyle w:val="38"/>
                    <w:spacing w:line="240" w:lineRule="auto"/>
                    <w:rPr>
                      <w:szCs w:val="21"/>
                      <w:u w:val="single"/>
                    </w:rPr>
                  </w:pPr>
                  <w:r>
                    <w:rPr>
                      <w:rFonts w:hint="eastAsia"/>
                      <w:szCs w:val="21"/>
                      <w:u w:val="single"/>
                    </w:rPr>
                    <w:t>20</w:t>
                  </w:r>
                </w:p>
              </w:tc>
              <w:tc>
                <w:tcPr>
                  <w:tcW w:w="708" w:type="dxa"/>
                  <w:vAlign w:val="center"/>
                </w:tcPr>
                <w:p>
                  <w:pPr>
                    <w:pStyle w:val="38"/>
                    <w:spacing w:line="240" w:lineRule="auto"/>
                    <w:rPr>
                      <w:sz w:val="18"/>
                      <w:szCs w:val="18"/>
                      <w:u w:val="single"/>
                    </w:rPr>
                  </w:pPr>
                  <w:r>
                    <w:rPr>
                      <w:rFonts w:hint="eastAsia"/>
                      <w:sz w:val="18"/>
                      <w:szCs w:val="18"/>
                      <w:u w:val="single"/>
                    </w:rPr>
                    <w:t>N39.5</w:t>
                  </w:r>
                </w:p>
                <w:p>
                  <w:pPr>
                    <w:pStyle w:val="38"/>
                    <w:spacing w:line="240" w:lineRule="auto"/>
                    <w:rPr>
                      <w:sz w:val="18"/>
                      <w:szCs w:val="18"/>
                      <w:u w:val="single"/>
                    </w:rPr>
                  </w:pPr>
                  <w:r>
                    <w:rPr>
                      <w:sz w:val="18"/>
                      <w:szCs w:val="18"/>
                      <w:u w:val="single"/>
                    </w:rPr>
                    <w:t>E</w:t>
                  </w:r>
                  <w:r>
                    <w:rPr>
                      <w:rFonts w:hint="eastAsia"/>
                      <w:sz w:val="18"/>
                      <w:szCs w:val="18"/>
                      <w:u w:val="single"/>
                    </w:rPr>
                    <w:t>44.9</w:t>
                  </w:r>
                </w:p>
                <w:p>
                  <w:pPr>
                    <w:pStyle w:val="38"/>
                    <w:spacing w:line="240" w:lineRule="auto"/>
                    <w:rPr>
                      <w:sz w:val="18"/>
                      <w:szCs w:val="18"/>
                      <w:u w:val="single"/>
                    </w:rPr>
                  </w:pPr>
                  <w:r>
                    <w:rPr>
                      <w:sz w:val="18"/>
                      <w:szCs w:val="18"/>
                      <w:u w:val="single"/>
                    </w:rPr>
                    <w:t>S</w:t>
                  </w:r>
                  <w:r>
                    <w:rPr>
                      <w:rFonts w:hint="eastAsia"/>
                      <w:sz w:val="18"/>
                      <w:szCs w:val="18"/>
                      <w:u w:val="single"/>
                    </w:rPr>
                    <w:t>26.7</w:t>
                  </w:r>
                </w:p>
                <w:p>
                  <w:pPr>
                    <w:pStyle w:val="38"/>
                    <w:spacing w:line="240" w:lineRule="auto"/>
                    <w:rPr>
                      <w:color w:val="FFC000"/>
                      <w:szCs w:val="21"/>
                      <w:u w:val="single"/>
                    </w:rPr>
                  </w:pPr>
                  <w:r>
                    <w:rPr>
                      <w:sz w:val="18"/>
                      <w:szCs w:val="18"/>
                      <w:u w:val="single"/>
                    </w:rPr>
                    <w:t>W</w:t>
                  </w:r>
                  <w:r>
                    <w:rPr>
                      <w:rFonts w:hint="eastAsia"/>
                      <w:sz w:val="18"/>
                      <w:szCs w:val="18"/>
                      <w:u w:val="single"/>
                    </w:rPr>
                    <w:t>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1" w:hRule="atLeast"/>
              </w:trPr>
              <w:tc>
                <w:tcPr>
                  <w:tcW w:w="349" w:type="dxa"/>
                  <w:tcMar>
                    <w:left w:w="11" w:type="dxa"/>
                    <w:right w:w="11" w:type="dxa"/>
                  </w:tcMar>
                  <w:vAlign w:val="center"/>
                </w:tcPr>
                <w:p>
                  <w:pPr>
                    <w:pStyle w:val="38"/>
                    <w:spacing w:line="240" w:lineRule="auto"/>
                    <w:rPr>
                      <w:szCs w:val="21"/>
                      <w:u w:val="single"/>
                    </w:rPr>
                  </w:pPr>
                  <w:r>
                    <w:rPr>
                      <w:rFonts w:hint="eastAsia"/>
                      <w:szCs w:val="21"/>
                      <w:u w:val="single"/>
                    </w:rPr>
                    <w:t>3</w:t>
                  </w:r>
                </w:p>
              </w:tc>
              <w:tc>
                <w:tcPr>
                  <w:tcW w:w="523" w:type="dxa"/>
                  <w:vMerge w:val="continue"/>
                  <w:tcMar>
                    <w:left w:w="11" w:type="dxa"/>
                    <w:right w:w="11" w:type="dxa"/>
                  </w:tcMar>
                  <w:vAlign w:val="center"/>
                </w:tcPr>
                <w:p>
                  <w:pPr>
                    <w:pStyle w:val="38"/>
                    <w:spacing w:line="240" w:lineRule="auto"/>
                    <w:rPr>
                      <w:szCs w:val="21"/>
                      <w:u w:val="single"/>
                    </w:rPr>
                  </w:pPr>
                </w:p>
              </w:tc>
              <w:tc>
                <w:tcPr>
                  <w:tcW w:w="799" w:type="dxa"/>
                  <w:tcMar>
                    <w:left w:w="11" w:type="dxa"/>
                    <w:right w:w="11" w:type="dxa"/>
                  </w:tcMar>
                  <w:vAlign w:val="center"/>
                </w:tcPr>
                <w:p>
                  <w:pPr>
                    <w:jc w:val="center"/>
                    <w:rPr>
                      <w:u w:val="single"/>
                    </w:rPr>
                  </w:pPr>
                  <w:r>
                    <w:rPr>
                      <w:rFonts w:hint="eastAsia"/>
                      <w:u w:val="single"/>
                    </w:rPr>
                    <w:t>风机</w:t>
                  </w:r>
                </w:p>
              </w:tc>
              <w:tc>
                <w:tcPr>
                  <w:tcW w:w="841" w:type="dxa"/>
                  <w:tcMar>
                    <w:left w:w="11" w:type="dxa"/>
                    <w:right w:w="11" w:type="dxa"/>
                  </w:tcMar>
                  <w:vAlign w:val="center"/>
                </w:tcPr>
                <w:p>
                  <w:pPr>
                    <w:jc w:val="center"/>
                    <w:rPr>
                      <w:u w:val="single"/>
                    </w:rPr>
                  </w:pPr>
                  <w:r>
                    <w:rPr>
                      <w:rFonts w:hint="eastAsia"/>
                      <w:u w:val="single"/>
                    </w:rPr>
                    <w:t>80</w:t>
                  </w:r>
                </w:p>
              </w:tc>
              <w:tc>
                <w:tcPr>
                  <w:tcW w:w="878" w:type="dxa"/>
                  <w:vAlign w:val="center"/>
                </w:tcPr>
                <w:p>
                  <w:pPr>
                    <w:pStyle w:val="38"/>
                    <w:spacing w:line="240" w:lineRule="auto"/>
                    <w:rPr>
                      <w:szCs w:val="21"/>
                      <w:u w:val="single"/>
                    </w:rPr>
                  </w:pPr>
                  <w:r>
                    <w:rPr>
                      <w:rFonts w:hint="eastAsia"/>
                      <w:szCs w:val="21"/>
                      <w:u w:val="single"/>
                    </w:rPr>
                    <w:t>基础</w:t>
                  </w:r>
                  <w:r>
                    <w:rPr>
                      <w:szCs w:val="21"/>
                      <w:u w:val="single"/>
                    </w:rPr>
                    <w:t>减震、</w:t>
                  </w:r>
                  <w:r>
                    <w:rPr>
                      <w:rFonts w:hint="eastAsia"/>
                      <w:szCs w:val="21"/>
                      <w:u w:val="single"/>
                    </w:rPr>
                    <w:t>厂房隔声</w:t>
                  </w:r>
                </w:p>
              </w:tc>
              <w:tc>
                <w:tcPr>
                  <w:tcW w:w="314" w:type="dxa"/>
                  <w:tcBorders>
                    <w:right w:val="single" w:color="auto" w:sz="4" w:space="0"/>
                  </w:tcBorders>
                  <w:tcMar>
                    <w:left w:w="11" w:type="dxa"/>
                    <w:right w:w="11" w:type="dxa"/>
                  </w:tcMar>
                  <w:vAlign w:val="center"/>
                </w:tcPr>
                <w:p>
                  <w:pPr>
                    <w:pStyle w:val="38"/>
                    <w:spacing w:line="240" w:lineRule="auto"/>
                    <w:rPr>
                      <w:szCs w:val="21"/>
                      <w:u w:val="single"/>
                    </w:rPr>
                  </w:pPr>
                  <w:r>
                    <w:rPr>
                      <w:rFonts w:hint="eastAsia"/>
                      <w:szCs w:val="21"/>
                      <w:u w:val="single"/>
                    </w:rPr>
                    <w:t>26</w:t>
                  </w:r>
                </w:p>
              </w:tc>
              <w:tc>
                <w:tcPr>
                  <w:tcW w:w="427" w:type="dxa"/>
                  <w:tcBorders>
                    <w:left w:val="single" w:color="auto" w:sz="4" w:space="0"/>
                    <w:right w:val="single" w:color="auto" w:sz="4" w:space="0"/>
                  </w:tcBorders>
                  <w:vAlign w:val="center"/>
                </w:tcPr>
                <w:p>
                  <w:pPr>
                    <w:pStyle w:val="38"/>
                    <w:spacing w:line="240" w:lineRule="auto"/>
                    <w:rPr>
                      <w:szCs w:val="21"/>
                      <w:u w:val="single"/>
                    </w:rPr>
                  </w:pPr>
                  <w:r>
                    <w:rPr>
                      <w:rFonts w:hint="eastAsia"/>
                      <w:szCs w:val="21"/>
                      <w:u w:val="single"/>
                    </w:rPr>
                    <w:t>3</w:t>
                  </w:r>
                </w:p>
              </w:tc>
              <w:tc>
                <w:tcPr>
                  <w:tcW w:w="398" w:type="dxa"/>
                  <w:tcBorders>
                    <w:left w:val="single" w:color="auto" w:sz="4" w:space="0"/>
                  </w:tcBorders>
                  <w:vAlign w:val="center"/>
                </w:tcPr>
                <w:p>
                  <w:pPr>
                    <w:pStyle w:val="38"/>
                    <w:spacing w:line="240" w:lineRule="auto"/>
                    <w:rPr>
                      <w:szCs w:val="21"/>
                      <w:u w:val="single"/>
                    </w:rPr>
                  </w:pPr>
                  <w:r>
                    <w:rPr>
                      <w:rFonts w:hint="eastAsia"/>
                      <w:szCs w:val="21"/>
                      <w:u w:val="single"/>
                    </w:rPr>
                    <w:t>1</w:t>
                  </w:r>
                </w:p>
              </w:tc>
              <w:tc>
                <w:tcPr>
                  <w:tcW w:w="786" w:type="dxa"/>
                  <w:tcMar>
                    <w:left w:w="11" w:type="dxa"/>
                    <w:right w:w="11" w:type="dxa"/>
                  </w:tcMar>
                  <w:vAlign w:val="center"/>
                </w:tcPr>
                <w:p>
                  <w:pPr>
                    <w:pStyle w:val="38"/>
                    <w:spacing w:line="240" w:lineRule="auto"/>
                    <w:rPr>
                      <w:sz w:val="18"/>
                      <w:szCs w:val="18"/>
                      <w:u w:val="single"/>
                    </w:rPr>
                  </w:pPr>
                  <w:r>
                    <w:rPr>
                      <w:rFonts w:hint="eastAsia"/>
                      <w:sz w:val="18"/>
                      <w:szCs w:val="18"/>
                      <w:u w:val="single"/>
                    </w:rPr>
                    <w:t>N3</w:t>
                  </w:r>
                  <w:r>
                    <w:rPr>
                      <w:sz w:val="18"/>
                      <w:szCs w:val="18"/>
                      <w:u w:val="single"/>
                    </w:rPr>
                    <w:t>,E</w:t>
                  </w:r>
                  <w:r>
                    <w:rPr>
                      <w:rFonts w:hint="eastAsia"/>
                      <w:sz w:val="18"/>
                      <w:szCs w:val="18"/>
                      <w:u w:val="single"/>
                    </w:rPr>
                    <w:t>4</w:t>
                  </w:r>
                  <w:r>
                    <w:rPr>
                      <w:sz w:val="18"/>
                      <w:szCs w:val="18"/>
                      <w:u w:val="single"/>
                    </w:rPr>
                    <w:t>,</w:t>
                  </w:r>
                </w:p>
                <w:p>
                  <w:pPr>
                    <w:pStyle w:val="38"/>
                    <w:spacing w:line="240" w:lineRule="auto"/>
                    <w:rPr>
                      <w:szCs w:val="21"/>
                      <w:u w:val="single"/>
                    </w:rPr>
                  </w:pPr>
                  <w:r>
                    <w:rPr>
                      <w:sz w:val="18"/>
                      <w:szCs w:val="18"/>
                      <w:u w:val="single"/>
                    </w:rPr>
                    <w:t>S</w:t>
                  </w:r>
                  <w:r>
                    <w:rPr>
                      <w:rFonts w:hint="eastAsia"/>
                      <w:sz w:val="18"/>
                      <w:szCs w:val="18"/>
                      <w:u w:val="single"/>
                    </w:rPr>
                    <w:t>77</w:t>
                  </w:r>
                  <w:r>
                    <w:rPr>
                      <w:sz w:val="18"/>
                      <w:szCs w:val="18"/>
                      <w:u w:val="single"/>
                    </w:rPr>
                    <w:t>,W</w:t>
                  </w:r>
                  <w:r>
                    <w:rPr>
                      <w:rFonts w:hint="eastAsia"/>
                      <w:sz w:val="18"/>
                      <w:szCs w:val="18"/>
                      <w:u w:val="single"/>
                    </w:rPr>
                    <w:t>26</w:t>
                  </w:r>
                </w:p>
              </w:tc>
              <w:tc>
                <w:tcPr>
                  <w:tcW w:w="689" w:type="dxa"/>
                  <w:tcMar>
                    <w:left w:w="11" w:type="dxa"/>
                    <w:right w:w="11" w:type="dxa"/>
                  </w:tcMar>
                  <w:vAlign w:val="center"/>
                </w:tcPr>
                <w:p>
                  <w:pPr>
                    <w:pStyle w:val="38"/>
                    <w:spacing w:line="240" w:lineRule="auto"/>
                    <w:rPr>
                      <w:sz w:val="18"/>
                      <w:szCs w:val="18"/>
                      <w:u w:val="single"/>
                    </w:rPr>
                  </w:pPr>
                  <w:r>
                    <w:rPr>
                      <w:rFonts w:hint="eastAsia"/>
                      <w:sz w:val="18"/>
                      <w:szCs w:val="18"/>
                      <w:u w:val="single"/>
                    </w:rPr>
                    <w:t>N70.5</w:t>
                  </w:r>
                </w:p>
                <w:p>
                  <w:pPr>
                    <w:pStyle w:val="38"/>
                    <w:spacing w:line="240" w:lineRule="auto"/>
                    <w:rPr>
                      <w:sz w:val="18"/>
                      <w:szCs w:val="18"/>
                      <w:u w:val="single"/>
                    </w:rPr>
                  </w:pPr>
                  <w:r>
                    <w:rPr>
                      <w:sz w:val="18"/>
                      <w:szCs w:val="18"/>
                      <w:u w:val="single"/>
                    </w:rPr>
                    <w:t>E</w:t>
                  </w:r>
                  <w:r>
                    <w:rPr>
                      <w:rFonts w:hint="eastAsia"/>
                      <w:sz w:val="18"/>
                      <w:szCs w:val="18"/>
                      <w:u w:val="single"/>
                    </w:rPr>
                    <w:t>68</w:t>
                  </w:r>
                </w:p>
                <w:p>
                  <w:pPr>
                    <w:pStyle w:val="38"/>
                    <w:spacing w:line="240" w:lineRule="auto"/>
                    <w:rPr>
                      <w:sz w:val="18"/>
                      <w:szCs w:val="18"/>
                      <w:u w:val="single"/>
                    </w:rPr>
                  </w:pPr>
                  <w:r>
                    <w:rPr>
                      <w:sz w:val="18"/>
                      <w:szCs w:val="18"/>
                      <w:u w:val="single"/>
                    </w:rPr>
                    <w:t>S</w:t>
                  </w:r>
                  <w:r>
                    <w:rPr>
                      <w:rFonts w:hint="eastAsia"/>
                      <w:sz w:val="18"/>
                      <w:szCs w:val="18"/>
                      <w:u w:val="single"/>
                    </w:rPr>
                    <w:t>42.3</w:t>
                  </w:r>
                </w:p>
                <w:p>
                  <w:pPr>
                    <w:pStyle w:val="38"/>
                    <w:spacing w:line="240" w:lineRule="auto"/>
                    <w:rPr>
                      <w:szCs w:val="21"/>
                      <w:u w:val="single"/>
                    </w:rPr>
                  </w:pPr>
                  <w:r>
                    <w:rPr>
                      <w:sz w:val="18"/>
                      <w:szCs w:val="18"/>
                      <w:u w:val="single"/>
                    </w:rPr>
                    <w:t>W</w:t>
                  </w:r>
                  <w:r>
                    <w:rPr>
                      <w:rFonts w:hint="eastAsia"/>
                      <w:sz w:val="18"/>
                      <w:szCs w:val="18"/>
                      <w:u w:val="single"/>
                    </w:rPr>
                    <w:t>51.7</w:t>
                  </w:r>
                </w:p>
              </w:tc>
              <w:tc>
                <w:tcPr>
                  <w:tcW w:w="353" w:type="dxa"/>
                  <w:vAlign w:val="center"/>
                </w:tcPr>
                <w:p>
                  <w:pPr>
                    <w:jc w:val="center"/>
                    <w:rPr>
                      <w:szCs w:val="21"/>
                      <w:u w:val="single"/>
                    </w:rPr>
                  </w:pPr>
                  <w:r>
                    <w:rPr>
                      <w:rFonts w:hint="eastAsia"/>
                      <w:szCs w:val="21"/>
                      <w:u w:val="single"/>
                    </w:rPr>
                    <w:t>昼间</w:t>
                  </w:r>
                </w:p>
              </w:tc>
              <w:tc>
                <w:tcPr>
                  <w:tcW w:w="708" w:type="dxa"/>
                  <w:vAlign w:val="center"/>
                </w:tcPr>
                <w:p>
                  <w:pPr>
                    <w:pStyle w:val="38"/>
                    <w:spacing w:line="240" w:lineRule="auto"/>
                    <w:rPr>
                      <w:szCs w:val="21"/>
                      <w:u w:val="single"/>
                    </w:rPr>
                  </w:pPr>
                  <w:r>
                    <w:rPr>
                      <w:rFonts w:hint="eastAsia"/>
                      <w:szCs w:val="21"/>
                      <w:u w:val="single"/>
                    </w:rPr>
                    <w:t>20</w:t>
                  </w:r>
                </w:p>
              </w:tc>
              <w:tc>
                <w:tcPr>
                  <w:tcW w:w="708" w:type="dxa"/>
                  <w:vAlign w:val="center"/>
                </w:tcPr>
                <w:p>
                  <w:pPr>
                    <w:pStyle w:val="38"/>
                    <w:spacing w:line="240" w:lineRule="auto"/>
                    <w:rPr>
                      <w:sz w:val="18"/>
                      <w:szCs w:val="18"/>
                      <w:u w:val="single"/>
                    </w:rPr>
                  </w:pPr>
                  <w:r>
                    <w:rPr>
                      <w:rFonts w:hint="eastAsia"/>
                      <w:sz w:val="18"/>
                      <w:szCs w:val="18"/>
                      <w:u w:val="single"/>
                    </w:rPr>
                    <w:t>N50.5</w:t>
                  </w:r>
                </w:p>
                <w:p>
                  <w:pPr>
                    <w:pStyle w:val="38"/>
                    <w:spacing w:line="240" w:lineRule="auto"/>
                    <w:rPr>
                      <w:sz w:val="18"/>
                      <w:szCs w:val="18"/>
                      <w:u w:val="single"/>
                    </w:rPr>
                  </w:pPr>
                  <w:r>
                    <w:rPr>
                      <w:sz w:val="18"/>
                      <w:szCs w:val="18"/>
                      <w:u w:val="single"/>
                    </w:rPr>
                    <w:t>E</w:t>
                  </w:r>
                  <w:r>
                    <w:rPr>
                      <w:rFonts w:hint="eastAsia"/>
                      <w:sz w:val="18"/>
                      <w:szCs w:val="18"/>
                      <w:u w:val="single"/>
                    </w:rPr>
                    <w:t>48</w:t>
                  </w:r>
                </w:p>
                <w:p>
                  <w:pPr>
                    <w:pStyle w:val="38"/>
                    <w:spacing w:line="240" w:lineRule="auto"/>
                    <w:rPr>
                      <w:sz w:val="18"/>
                      <w:szCs w:val="18"/>
                      <w:u w:val="single"/>
                    </w:rPr>
                  </w:pPr>
                  <w:r>
                    <w:rPr>
                      <w:sz w:val="18"/>
                      <w:szCs w:val="18"/>
                      <w:u w:val="single"/>
                    </w:rPr>
                    <w:t>S</w:t>
                  </w:r>
                  <w:r>
                    <w:rPr>
                      <w:rFonts w:hint="eastAsia"/>
                      <w:sz w:val="18"/>
                      <w:szCs w:val="18"/>
                      <w:u w:val="single"/>
                    </w:rPr>
                    <w:t>22.3</w:t>
                  </w:r>
                </w:p>
                <w:p>
                  <w:pPr>
                    <w:pStyle w:val="38"/>
                    <w:spacing w:line="240" w:lineRule="auto"/>
                    <w:rPr>
                      <w:color w:val="FFC000"/>
                      <w:szCs w:val="21"/>
                      <w:u w:val="single"/>
                    </w:rPr>
                  </w:pPr>
                  <w:r>
                    <w:rPr>
                      <w:sz w:val="18"/>
                      <w:szCs w:val="18"/>
                      <w:u w:val="single"/>
                    </w:rPr>
                    <w:t>W</w:t>
                  </w:r>
                  <w:r>
                    <w:rPr>
                      <w:rFonts w:hint="eastAsia"/>
                      <w:sz w:val="18"/>
                      <w:szCs w:val="18"/>
                      <w:u w:val="single"/>
                    </w:rPr>
                    <w:t>31.7</w:t>
                  </w:r>
                </w:p>
              </w:tc>
            </w:tr>
          </w:tbl>
          <w:p>
            <w:pPr>
              <w:adjustRightInd w:val="0"/>
              <w:snapToGrid w:val="0"/>
              <w:spacing w:before="120" w:beforeLines="50" w:line="360" w:lineRule="auto"/>
              <w:jc w:val="left"/>
              <w:rPr>
                <w:bCs/>
                <w:color w:val="000000"/>
                <w:sz w:val="18"/>
                <w:szCs w:val="18"/>
              </w:rPr>
            </w:pPr>
            <w:r>
              <w:rPr>
                <w:rFonts w:hint="eastAsia"/>
                <w:bCs/>
                <w:color w:val="000000"/>
                <w:sz w:val="18"/>
                <w:szCs w:val="18"/>
              </w:rPr>
              <w:t>注</w:t>
            </w:r>
            <w:r>
              <w:rPr>
                <w:bCs/>
                <w:color w:val="000000"/>
                <w:sz w:val="18"/>
                <w:szCs w:val="18"/>
              </w:rPr>
              <w:t>：本项目</w:t>
            </w:r>
            <w:r>
              <w:rPr>
                <w:rFonts w:hint="eastAsia"/>
                <w:bCs/>
                <w:color w:val="000000"/>
                <w:sz w:val="18"/>
                <w:szCs w:val="18"/>
              </w:rPr>
              <w:t>相同</w:t>
            </w:r>
            <w:r>
              <w:rPr>
                <w:bCs/>
                <w:color w:val="000000"/>
                <w:sz w:val="18"/>
                <w:szCs w:val="18"/>
              </w:rPr>
              <w:t>设备较多，</w:t>
            </w:r>
            <w:r>
              <w:rPr>
                <w:rFonts w:hint="eastAsia"/>
                <w:bCs/>
                <w:color w:val="000000"/>
                <w:sz w:val="18"/>
                <w:szCs w:val="18"/>
              </w:rPr>
              <w:t>本表格</w:t>
            </w:r>
            <w:r>
              <w:rPr>
                <w:bCs/>
                <w:color w:val="000000"/>
                <w:sz w:val="18"/>
                <w:szCs w:val="18"/>
              </w:rPr>
              <w:t>按照合并</w:t>
            </w:r>
            <w:r>
              <w:rPr>
                <w:rFonts w:hint="eastAsia"/>
                <w:bCs/>
                <w:color w:val="000000"/>
                <w:sz w:val="18"/>
                <w:szCs w:val="18"/>
              </w:rPr>
              <w:t>后声源位置</w:t>
            </w:r>
            <w:r>
              <w:rPr>
                <w:bCs/>
                <w:color w:val="000000"/>
                <w:sz w:val="18"/>
                <w:szCs w:val="18"/>
              </w:rPr>
              <w:t>进行</w:t>
            </w:r>
            <w:r>
              <w:rPr>
                <w:rFonts w:hint="eastAsia"/>
                <w:bCs/>
                <w:color w:val="000000"/>
                <w:sz w:val="18"/>
                <w:szCs w:val="18"/>
              </w:rPr>
              <w:t>统计</w:t>
            </w:r>
            <w:r>
              <w:rPr>
                <w:bCs/>
                <w:color w:val="000000"/>
                <w:sz w:val="18"/>
                <w:szCs w:val="18"/>
              </w:rPr>
              <w:t>。</w:t>
            </w:r>
          </w:p>
          <w:p>
            <w:pPr>
              <w:adjustRightInd w:val="0"/>
              <w:snapToGrid w:val="0"/>
              <w:spacing w:before="120" w:beforeLines="50" w:line="360" w:lineRule="auto"/>
              <w:jc w:val="left"/>
              <w:rPr>
                <w:b/>
                <w:bCs/>
                <w:color w:val="000000"/>
                <w:sz w:val="24"/>
              </w:rPr>
            </w:pPr>
            <w:r>
              <w:rPr>
                <w:b/>
                <w:bCs/>
                <w:color w:val="000000"/>
                <w:sz w:val="24"/>
              </w:rPr>
              <w:t>3.2预测模式</w:t>
            </w:r>
          </w:p>
          <w:p>
            <w:pPr>
              <w:spacing w:line="360" w:lineRule="auto"/>
              <w:ind w:firstLine="480" w:firstLineChars="200"/>
              <w:textAlignment w:val="baseline"/>
              <w:rPr>
                <w:color w:val="000000"/>
                <w:sz w:val="24"/>
              </w:rPr>
            </w:pPr>
            <w:r>
              <w:rPr>
                <w:color w:val="000000"/>
                <w:sz w:val="24"/>
              </w:rPr>
              <w:t>本次声环境影响评价选用如下预测模式：</w:t>
            </w:r>
          </w:p>
          <w:p>
            <w:pPr>
              <w:spacing w:line="360" w:lineRule="auto"/>
              <w:ind w:firstLine="480" w:firstLineChars="200"/>
              <w:textAlignment w:val="baseline"/>
              <w:rPr>
                <w:color w:val="000000"/>
                <w:sz w:val="24"/>
              </w:rPr>
            </w:pPr>
            <w:r>
              <w:rPr>
                <w:color w:val="000000"/>
                <w:sz w:val="24"/>
              </w:rPr>
              <w:t>当预测点受多声源叠加影响时，噪声源叠加公式：</w:t>
            </w:r>
          </w:p>
          <w:p>
            <w:pPr>
              <w:spacing w:line="360" w:lineRule="auto"/>
              <w:ind w:firstLine="420" w:firstLineChars="200"/>
              <w:rPr>
                <w:color w:val="000000"/>
                <w:sz w:val="24"/>
              </w:rPr>
            </w:pPr>
            <w:r>
              <w:t xml:space="preserve">                   </w:t>
            </w:r>
            <w:r>
              <w:rPr>
                <w:position w:val="-28"/>
              </w:rPr>
              <w:object>
                <v:shape id="_x0000_i1025" o:spt="75" type="#_x0000_t75" style="height:37.5pt;width:112.5pt;" o:ole="t" filled="f" coordsize="21600,21600">
                  <v:path/>
                  <v:fill on="f" focussize="0,0"/>
                  <v:stroke/>
                  <v:imagedata r:id="rId7" o:title=""/>
                  <o:lock v:ext="edit" aspectratio="t"/>
                  <w10:wrap type="none"/>
                  <w10:anchorlock/>
                </v:shape>
                <o:OLEObject Type="Embed" ProgID="Equation.3" ShapeID="_x0000_i1025" DrawAspect="Content" ObjectID="_1468075725" r:id="rId6">
                  <o:LockedField>false</o:LockedField>
                </o:OLEObject>
              </w:object>
            </w:r>
          </w:p>
          <w:p>
            <w:pPr>
              <w:spacing w:line="360" w:lineRule="auto"/>
              <w:ind w:firstLine="480" w:firstLineChars="200"/>
              <w:textAlignment w:val="baseline"/>
              <w:rPr>
                <w:color w:val="000000"/>
                <w:sz w:val="24"/>
              </w:rPr>
            </w:pPr>
            <w:r>
              <w:rPr>
                <w:color w:val="000000"/>
                <w:sz w:val="24"/>
              </w:rPr>
              <w:t>式中：L—总声压级，dB(A)；</w:t>
            </w:r>
          </w:p>
          <w:p>
            <w:pPr>
              <w:spacing w:line="360" w:lineRule="auto"/>
              <w:ind w:firstLine="480" w:firstLineChars="200"/>
              <w:textAlignment w:val="baseline"/>
              <w:rPr>
                <w:color w:val="000000"/>
                <w:sz w:val="24"/>
              </w:rPr>
            </w:pPr>
            <w:r>
              <w:rPr>
                <w:color w:val="000000"/>
                <w:sz w:val="24"/>
              </w:rPr>
              <w:t>Li—第i个声源的声压级，dB(A)；</w:t>
            </w:r>
          </w:p>
          <w:p>
            <w:pPr>
              <w:spacing w:line="360" w:lineRule="auto"/>
              <w:ind w:firstLine="480" w:firstLineChars="200"/>
              <w:textAlignment w:val="baseline"/>
              <w:rPr>
                <w:color w:val="000000"/>
                <w:sz w:val="24"/>
              </w:rPr>
            </w:pPr>
            <w:r>
              <w:rPr>
                <w:color w:val="000000"/>
                <w:sz w:val="24"/>
              </w:rPr>
              <w:t>n—声源数量。</w:t>
            </w:r>
          </w:p>
          <w:p>
            <w:pPr>
              <w:spacing w:line="360" w:lineRule="auto"/>
              <w:ind w:firstLine="480" w:firstLineChars="200"/>
              <w:textAlignment w:val="baseline"/>
              <w:rPr>
                <w:color w:val="000000"/>
                <w:sz w:val="24"/>
              </w:rPr>
            </w:pPr>
            <w:r>
              <w:rPr>
                <w:color w:val="000000"/>
                <w:sz w:val="24"/>
              </w:rPr>
              <w:t>根据《环境影响评价技术导则 声环境》(HJ 2.4-2009)，本项目车间可视为面源。设距离为r，厂房高度为a，宽度为b，面声源影响预测模式如下：</w:t>
            </w:r>
          </w:p>
          <w:p>
            <w:pPr>
              <w:spacing w:line="360" w:lineRule="auto"/>
              <w:ind w:firstLine="480" w:firstLineChars="200"/>
              <w:textAlignment w:val="baseline"/>
              <w:rPr>
                <w:color w:val="000000"/>
                <w:sz w:val="24"/>
              </w:rPr>
            </w:pPr>
            <w:r>
              <w:rPr>
                <w:color w:val="000000"/>
                <w:sz w:val="24"/>
              </w:rPr>
              <w:t>L(r)=L（r</w:t>
            </w:r>
            <w:r>
              <w:rPr>
                <w:color w:val="000000"/>
                <w:sz w:val="24"/>
                <w:vertAlign w:val="subscript"/>
              </w:rPr>
              <w:t>0</w:t>
            </w:r>
            <w:r>
              <w:rPr>
                <w:color w:val="000000"/>
                <w:sz w:val="24"/>
              </w:rPr>
              <w:t>）—Adiv</w:t>
            </w:r>
          </w:p>
          <w:p>
            <w:pPr>
              <w:spacing w:line="360" w:lineRule="auto"/>
              <w:ind w:firstLine="480" w:firstLineChars="200"/>
              <w:textAlignment w:val="baseline"/>
              <w:rPr>
                <w:color w:val="000000"/>
                <w:sz w:val="24"/>
              </w:rPr>
            </w:pPr>
            <w:r>
              <w:rPr>
                <w:color w:val="000000"/>
                <w:sz w:val="24"/>
              </w:rPr>
              <w:t>当r&lt;a/π时，几乎不衰减（Adiv≈0）；</w:t>
            </w:r>
          </w:p>
          <w:p>
            <w:pPr>
              <w:spacing w:line="360" w:lineRule="auto"/>
              <w:ind w:firstLine="480" w:firstLineChars="200"/>
              <w:textAlignment w:val="baseline"/>
              <w:rPr>
                <w:color w:val="000000"/>
                <w:sz w:val="24"/>
              </w:rPr>
            </w:pPr>
            <w:r>
              <w:rPr>
                <w:color w:val="000000"/>
                <w:sz w:val="24"/>
              </w:rPr>
              <w:t>当a/π&lt;r&lt;b/π时，距离加倍衰减3dB左右，类似线声源衰减特性（Adiv≈10lg（r/r0））；</w:t>
            </w:r>
          </w:p>
          <w:p>
            <w:pPr>
              <w:spacing w:line="360" w:lineRule="auto"/>
              <w:ind w:firstLine="480" w:firstLineChars="200"/>
              <w:textAlignment w:val="baseline"/>
              <w:rPr>
                <w:color w:val="000000"/>
                <w:sz w:val="24"/>
              </w:rPr>
            </w:pPr>
            <w:r>
              <w:rPr>
                <w:color w:val="000000"/>
                <w:sz w:val="24"/>
              </w:rPr>
              <w:t>当r&gt;b/π时，距离加倍衰减趋近于6dB，类似为点声源衰减特性Adiv≈20lg（r/r0））；</w:t>
            </w:r>
          </w:p>
          <w:p>
            <w:pPr>
              <w:spacing w:line="360" w:lineRule="auto"/>
              <w:ind w:firstLine="480" w:firstLineChars="200"/>
              <w:textAlignment w:val="baseline"/>
              <w:rPr>
                <w:color w:val="000000"/>
                <w:sz w:val="24"/>
              </w:rPr>
            </w:pPr>
            <w:r>
              <w:rPr>
                <w:color w:val="000000"/>
                <w:sz w:val="24"/>
              </w:rPr>
              <w:t>上述式中：L(r0)—参考位置r0处的A声级，dB(A)；</w:t>
            </w:r>
          </w:p>
          <w:p>
            <w:pPr>
              <w:spacing w:line="360" w:lineRule="auto"/>
              <w:ind w:firstLine="480" w:firstLineChars="200"/>
              <w:textAlignment w:val="baseline"/>
              <w:rPr>
                <w:color w:val="000000"/>
                <w:sz w:val="24"/>
              </w:rPr>
            </w:pPr>
            <w:r>
              <w:rPr>
                <w:color w:val="000000"/>
                <w:sz w:val="24"/>
              </w:rPr>
              <w:t>r—预测点距离声源的距离，m；</w:t>
            </w:r>
          </w:p>
          <w:p>
            <w:pPr>
              <w:spacing w:line="360" w:lineRule="auto"/>
              <w:ind w:firstLine="480" w:firstLineChars="200"/>
              <w:textAlignment w:val="baseline"/>
              <w:rPr>
                <w:color w:val="000000"/>
                <w:sz w:val="24"/>
              </w:rPr>
            </w:pPr>
            <w:r>
              <w:rPr>
                <w:color w:val="000000"/>
                <w:sz w:val="24"/>
              </w:rPr>
              <w:t>r</w:t>
            </w:r>
            <w:r>
              <w:rPr>
                <w:color w:val="000000"/>
                <w:sz w:val="24"/>
                <w:vertAlign w:val="subscript"/>
              </w:rPr>
              <w:t>0</w:t>
            </w:r>
            <w:r>
              <w:rPr>
                <w:color w:val="000000"/>
                <w:sz w:val="24"/>
              </w:rPr>
              <w:t>—参考位置距离声源的距离，m；</w:t>
            </w:r>
          </w:p>
          <w:p>
            <w:pPr>
              <w:spacing w:line="360" w:lineRule="auto"/>
              <w:ind w:firstLine="480" w:firstLineChars="200"/>
              <w:rPr>
                <w:b/>
                <w:color w:val="000000"/>
                <w:sz w:val="24"/>
              </w:rPr>
            </w:pPr>
            <w:r>
              <w:rPr>
                <w:color w:val="000000"/>
                <w:sz w:val="24"/>
              </w:rPr>
              <w:t>Adiv—声波几何发散引起的倍频带衰减，dB。</w:t>
            </w:r>
          </w:p>
          <w:p>
            <w:pPr>
              <w:spacing w:line="360" w:lineRule="auto"/>
              <w:rPr>
                <w:rFonts w:ascii="黑体" w:hAnsi="黑体" w:eastAsia="黑体" w:cs="黑体"/>
                <w:bCs/>
                <w:color w:val="000000"/>
                <w:sz w:val="24"/>
              </w:rPr>
            </w:pPr>
            <w:r>
              <w:rPr>
                <w:rFonts w:hint="eastAsia" w:ascii="黑体" w:hAnsi="黑体" w:eastAsia="黑体" w:cs="黑体"/>
                <w:bCs/>
                <w:color w:val="000000"/>
                <w:sz w:val="24"/>
              </w:rPr>
              <w:t>3.</w:t>
            </w:r>
            <w:r>
              <w:rPr>
                <w:rFonts w:ascii="黑体" w:hAnsi="黑体" w:eastAsia="黑体" w:cs="黑体"/>
                <w:bCs/>
                <w:color w:val="000000"/>
                <w:sz w:val="24"/>
              </w:rPr>
              <w:t>3</w:t>
            </w:r>
            <w:r>
              <w:rPr>
                <w:rFonts w:hint="eastAsia" w:ascii="黑体" w:hAnsi="黑体" w:eastAsia="黑体" w:cs="黑体"/>
                <w:bCs/>
                <w:color w:val="000000"/>
                <w:sz w:val="24"/>
              </w:rPr>
              <w:t>噪声影响分析</w:t>
            </w:r>
          </w:p>
          <w:p>
            <w:pPr>
              <w:spacing w:line="360" w:lineRule="auto"/>
              <w:ind w:firstLine="480" w:firstLineChars="200"/>
              <w:textAlignment w:val="baseline"/>
              <w:rPr>
                <w:color w:val="000000"/>
                <w:sz w:val="24"/>
              </w:rPr>
            </w:pPr>
            <w:r>
              <w:rPr>
                <w:color w:val="000000"/>
                <w:sz w:val="24"/>
              </w:rPr>
              <w:t>经调查，</w:t>
            </w:r>
            <w:r>
              <w:rPr>
                <w:rFonts w:hint="eastAsia"/>
                <w:color w:val="000000"/>
                <w:sz w:val="24"/>
              </w:rPr>
              <w:t>本项目夜间不生产</w:t>
            </w:r>
            <w:r>
              <w:rPr>
                <w:color w:val="000000"/>
                <w:sz w:val="24"/>
              </w:rPr>
              <w:t>，因此本评价预测昼间项目噪声源对厂址厂界噪声贡献情况。噪声预测结果见</w:t>
            </w:r>
            <w:r>
              <w:rPr>
                <w:rFonts w:hint="eastAsia"/>
                <w:color w:val="000000"/>
                <w:sz w:val="24"/>
              </w:rPr>
              <w:t>下表。</w:t>
            </w:r>
          </w:p>
          <w:p>
            <w:pPr>
              <w:ind w:firstLine="488"/>
              <w:jc w:val="center"/>
              <w:rPr>
                <w:b/>
                <w:bCs/>
                <w:kern w:val="0"/>
                <w:sz w:val="24"/>
              </w:rPr>
            </w:pPr>
            <w:r>
              <w:rPr>
                <w:kern w:val="0"/>
                <w:sz w:val="24"/>
              </w:rPr>
              <w:t xml:space="preserve">        </w:t>
            </w:r>
            <w:r>
              <w:rPr>
                <w:rFonts w:eastAsia="黑体"/>
                <w:kern w:val="0"/>
                <w:sz w:val="24"/>
              </w:rPr>
              <w:t>表4-</w:t>
            </w:r>
            <w:r>
              <w:rPr>
                <w:rFonts w:hint="eastAsia" w:eastAsia="黑体"/>
                <w:kern w:val="0"/>
                <w:sz w:val="24"/>
                <w:lang w:val="en-US" w:eastAsia="zh-CN"/>
              </w:rPr>
              <w:t>6</w:t>
            </w:r>
            <w:r>
              <w:rPr>
                <w:kern w:val="0"/>
                <w:sz w:val="24"/>
              </w:rPr>
              <w:t xml:space="preserve">    </w:t>
            </w:r>
            <w:r>
              <w:rPr>
                <w:rFonts w:eastAsia="黑体"/>
                <w:kern w:val="0"/>
                <w:sz w:val="24"/>
              </w:rPr>
              <w:t>建成后项目厂界噪声结果         单位：</w:t>
            </w:r>
            <w:r>
              <w:rPr>
                <w:b/>
                <w:bCs/>
                <w:kern w:val="0"/>
                <w:sz w:val="24"/>
              </w:rPr>
              <w:t>dB(A)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5"/>
              <w:gridCol w:w="244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Merge w:val="restart"/>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厂界</w:t>
                  </w:r>
                </w:p>
              </w:tc>
              <w:tc>
                <w:tcPr>
                  <w:tcW w:w="4946" w:type="dxa"/>
                  <w:gridSpan w:val="2"/>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昼间</w:t>
                  </w:r>
                </w:p>
              </w:tc>
              <w:tc>
                <w:tcPr>
                  <w:tcW w:w="1161" w:type="dxa"/>
                  <w:vMerge w:val="restart"/>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Merge w:val="continue"/>
                  <w:vAlign w:val="center"/>
                </w:tcPr>
                <w:p>
                  <w:pPr>
                    <w:pStyle w:val="3"/>
                    <w:spacing w:before="0" w:after="0" w:line="400" w:lineRule="exact"/>
                    <w:jc w:val="center"/>
                    <w:rPr>
                      <w:rFonts w:eastAsia="宋体"/>
                      <w:b w:val="0"/>
                      <w:bCs w:val="0"/>
                      <w:color w:val="auto"/>
                      <w:sz w:val="21"/>
                      <w:szCs w:val="21"/>
                    </w:rPr>
                  </w:pPr>
                </w:p>
              </w:tc>
              <w:tc>
                <w:tcPr>
                  <w:tcW w:w="2505"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贡献值</w:t>
                  </w:r>
                </w:p>
              </w:tc>
              <w:tc>
                <w:tcPr>
                  <w:tcW w:w="2441"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标准值</w:t>
                  </w:r>
                </w:p>
              </w:tc>
              <w:tc>
                <w:tcPr>
                  <w:tcW w:w="1161" w:type="dxa"/>
                  <w:vMerge w:val="continue"/>
                  <w:vAlign w:val="center"/>
                </w:tcPr>
                <w:p>
                  <w:pPr>
                    <w:pStyle w:val="3"/>
                    <w:spacing w:before="0" w:after="0" w:line="400" w:lineRule="exact"/>
                    <w:jc w:val="center"/>
                    <w:rPr>
                      <w:rFonts w:eastAsia="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东</w:t>
                  </w:r>
                  <w:r>
                    <w:rPr>
                      <w:rFonts w:eastAsia="宋体"/>
                      <w:b w:val="0"/>
                      <w:bCs w:val="0"/>
                      <w:color w:val="auto"/>
                      <w:sz w:val="21"/>
                      <w:szCs w:val="21"/>
                    </w:rPr>
                    <w:t>厂界</w:t>
                  </w:r>
                </w:p>
              </w:tc>
              <w:tc>
                <w:tcPr>
                  <w:tcW w:w="2505" w:type="dxa"/>
                  <w:vAlign w:val="center"/>
                </w:tcPr>
                <w:p>
                  <w:pPr>
                    <w:pStyle w:val="6"/>
                    <w:spacing w:after="0" w:line="280" w:lineRule="exact"/>
                    <w:ind w:left="0" w:leftChars="0"/>
                    <w:jc w:val="center"/>
                    <w:rPr>
                      <w:bCs/>
                      <w:sz w:val="21"/>
                      <w:szCs w:val="21"/>
                      <w:highlight w:val="yellow"/>
                    </w:rPr>
                  </w:pPr>
                  <w:r>
                    <w:rPr>
                      <w:rFonts w:hint="eastAsia"/>
                      <w:bCs/>
                      <w:sz w:val="21"/>
                      <w:szCs w:val="21"/>
                    </w:rPr>
                    <w:t>49.8</w:t>
                  </w:r>
                </w:p>
              </w:tc>
              <w:tc>
                <w:tcPr>
                  <w:tcW w:w="2441"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60</w:t>
                  </w:r>
                </w:p>
              </w:tc>
              <w:tc>
                <w:tcPr>
                  <w:tcW w:w="1161"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西</w:t>
                  </w:r>
                  <w:r>
                    <w:rPr>
                      <w:rFonts w:eastAsia="宋体"/>
                      <w:b w:val="0"/>
                      <w:bCs w:val="0"/>
                      <w:color w:val="auto"/>
                      <w:sz w:val="21"/>
                      <w:szCs w:val="21"/>
                    </w:rPr>
                    <w:t>厂界</w:t>
                  </w:r>
                </w:p>
              </w:tc>
              <w:tc>
                <w:tcPr>
                  <w:tcW w:w="2505" w:type="dxa"/>
                  <w:vAlign w:val="center"/>
                </w:tcPr>
                <w:p>
                  <w:pPr>
                    <w:pStyle w:val="6"/>
                    <w:spacing w:after="0" w:line="280" w:lineRule="exact"/>
                    <w:ind w:left="0" w:leftChars="0"/>
                    <w:jc w:val="center"/>
                    <w:rPr>
                      <w:bCs/>
                      <w:sz w:val="21"/>
                      <w:szCs w:val="21"/>
                      <w:highlight w:val="yellow"/>
                    </w:rPr>
                  </w:pPr>
                  <w:r>
                    <w:rPr>
                      <w:rFonts w:hint="eastAsia"/>
                      <w:bCs/>
                      <w:sz w:val="21"/>
                      <w:szCs w:val="21"/>
                    </w:rPr>
                    <w:t>48.8</w:t>
                  </w:r>
                </w:p>
              </w:tc>
              <w:tc>
                <w:tcPr>
                  <w:tcW w:w="2441"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60</w:t>
                  </w:r>
                </w:p>
              </w:tc>
              <w:tc>
                <w:tcPr>
                  <w:tcW w:w="1161"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南厂界</w:t>
                  </w:r>
                </w:p>
              </w:tc>
              <w:tc>
                <w:tcPr>
                  <w:tcW w:w="2505" w:type="dxa"/>
                  <w:vAlign w:val="center"/>
                </w:tcPr>
                <w:p>
                  <w:pPr>
                    <w:pStyle w:val="6"/>
                    <w:spacing w:after="0" w:line="280" w:lineRule="exact"/>
                    <w:ind w:left="0" w:leftChars="0"/>
                    <w:jc w:val="center"/>
                    <w:rPr>
                      <w:bCs/>
                      <w:sz w:val="21"/>
                      <w:szCs w:val="21"/>
                      <w:highlight w:val="yellow"/>
                    </w:rPr>
                  </w:pPr>
                  <w:r>
                    <w:rPr>
                      <w:rFonts w:hint="eastAsia"/>
                      <w:bCs/>
                      <w:sz w:val="21"/>
                      <w:szCs w:val="21"/>
                    </w:rPr>
                    <w:t>27.6</w:t>
                  </w:r>
                </w:p>
              </w:tc>
              <w:tc>
                <w:tcPr>
                  <w:tcW w:w="2441"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60</w:t>
                  </w:r>
                </w:p>
              </w:tc>
              <w:tc>
                <w:tcPr>
                  <w:tcW w:w="1161"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北厂界</w:t>
                  </w:r>
                </w:p>
              </w:tc>
              <w:tc>
                <w:tcPr>
                  <w:tcW w:w="2505" w:type="dxa"/>
                  <w:vAlign w:val="center"/>
                </w:tcPr>
                <w:p>
                  <w:pPr>
                    <w:pStyle w:val="6"/>
                    <w:spacing w:after="0" w:line="280" w:lineRule="exact"/>
                    <w:ind w:left="0" w:leftChars="0"/>
                    <w:jc w:val="center"/>
                    <w:rPr>
                      <w:bCs/>
                      <w:sz w:val="21"/>
                      <w:szCs w:val="21"/>
                      <w:highlight w:val="yellow"/>
                    </w:rPr>
                  </w:pPr>
                  <w:r>
                    <w:rPr>
                      <w:bCs/>
                      <w:sz w:val="21"/>
                      <w:szCs w:val="21"/>
                    </w:rPr>
                    <w:t>5</w:t>
                  </w:r>
                  <w:r>
                    <w:rPr>
                      <w:rFonts w:hint="eastAsia"/>
                      <w:bCs/>
                      <w:sz w:val="21"/>
                      <w:szCs w:val="21"/>
                    </w:rPr>
                    <w:t>2.1</w:t>
                  </w:r>
                </w:p>
              </w:tc>
              <w:tc>
                <w:tcPr>
                  <w:tcW w:w="2441" w:type="dxa"/>
                  <w:vAlign w:val="center"/>
                </w:tcPr>
                <w:p>
                  <w:pPr>
                    <w:pStyle w:val="3"/>
                    <w:spacing w:before="0" w:after="0" w:line="400" w:lineRule="exact"/>
                    <w:jc w:val="center"/>
                    <w:rPr>
                      <w:rFonts w:eastAsia="宋体"/>
                      <w:b w:val="0"/>
                      <w:bCs w:val="0"/>
                      <w:color w:val="auto"/>
                      <w:sz w:val="21"/>
                      <w:szCs w:val="21"/>
                    </w:rPr>
                  </w:pPr>
                  <w:r>
                    <w:rPr>
                      <w:rFonts w:hint="eastAsia" w:eastAsia="宋体"/>
                      <w:b w:val="0"/>
                      <w:bCs w:val="0"/>
                      <w:color w:val="auto"/>
                      <w:sz w:val="21"/>
                      <w:szCs w:val="21"/>
                    </w:rPr>
                    <w:t>60</w:t>
                  </w:r>
                </w:p>
              </w:tc>
              <w:tc>
                <w:tcPr>
                  <w:tcW w:w="1161" w:type="dxa"/>
                  <w:vAlign w:val="center"/>
                </w:tcPr>
                <w:p>
                  <w:pPr>
                    <w:pStyle w:val="3"/>
                    <w:spacing w:before="0" w:after="0" w:line="400" w:lineRule="exact"/>
                    <w:jc w:val="center"/>
                    <w:rPr>
                      <w:rFonts w:eastAsia="宋体"/>
                      <w:b w:val="0"/>
                      <w:bCs w:val="0"/>
                      <w:color w:val="auto"/>
                      <w:sz w:val="21"/>
                      <w:szCs w:val="21"/>
                    </w:rPr>
                  </w:pPr>
                  <w:r>
                    <w:rPr>
                      <w:rFonts w:eastAsia="宋体"/>
                      <w:b w:val="0"/>
                      <w:bCs w:val="0"/>
                      <w:color w:val="auto"/>
                      <w:sz w:val="21"/>
                      <w:szCs w:val="21"/>
                    </w:rPr>
                    <w:t>达标</w:t>
                  </w:r>
                </w:p>
              </w:tc>
            </w:tr>
          </w:tbl>
          <w:p>
            <w:pPr>
              <w:spacing w:before="120" w:beforeLines="50" w:line="360" w:lineRule="auto"/>
              <w:ind w:firstLine="480"/>
              <w:rPr>
                <w:rFonts w:ascii="宋体" w:hAnsi="宋体" w:cs="宋体"/>
                <w:kern w:val="0"/>
                <w:sz w:val="24"/>
              </w:rPr>
            </w:pPr>
            <w:r>
              <w:rPr>
                <w:rFonts w:hint="eastAsia" w:ascii="宋体" w:hAnsi="宋体" w:cs="宋体"/>
                <w:kern w:val="0"/>
                <w:sz w:val="24"/>
              </w:rPr>
              <w:t>由上表可知</w:t>
            </w:r>
            <w:r>
              <w:rPr>
                <w:kern w:val="0"/>
                <w:sz w:val="24"/>
              </w:rPr>
              <w:t>，该项目建成后，厂界噪声预测值均能满足《工业企业厂界环境噪声排放标准》（GB12348-2008）2类标准要求（昼间60dB(A)）。</w:t>
            </w:r>
          </w:p>
          <w:p>
            <w:pPr>
              <w:spacing w:line="360" w:lineRule="auto"/>
              <w:rPr>
                <w:rFonts w:ascii="黑体" w:hAnsi="黑体" w:eastAsia="黑体" w:cs="黑体"/>
                <w:bCs/>
                <w:color w:val="000000"/>
                <w:sz w:val="24"/>
              </w:rPr>
            </w:pPr>
            <w:r>
              <w:rPr>
                <w:rFonts w:hint="eastAsia" w:ascii="黑体" w:hAnsi="黑体" w:eastAsia="黑体" w:cs="黑体"/>
                <w:bCs/>
                <w:color w:val="000000"/>
                <w:sz w:val="24"/>
              </w:rPr>
              <w:t>3.</w:t>
            </w:r>
            <w:r>
              <w:rPr>
                <w:rFonts w:ascii="黑体" w:hAnsi="黑体" w:eastAsia="黑体" w:cs="黑体"/>
                <w:bCs/>
                <w:color w:val="000000"/>
                <w:sz w:val="24"/>
              </w:rPr>
              <w:t>4</w:t>
            </w:r>
            <w:r>
              <w:rPr>
                <w:rFonts w:hint="eastAsia" w:ascii="黑体" w:hAnsi="黑体" w:eastAsia="黑体" w:cs="黑体"/>
                <w:bCs/>
                <w:color w:val="000000"/>
                <w:sz w:val="24"/>
              </w:rPr>
              <w:t>噪声监测计划</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依据《</w:t>
            </w:r>
            <w:r>
              <w:rPr>
                <w:color w:val="000000"/>
                <w:kern w:val="0"/>
                <w:sz w:val="24"/>
              </w:rPr>
              <w:t>排污单位自行监测技术指南总则》（HJ819-2017）</w:t>
            </w:r>
            <w:r>
              <w:rPr>
                <w:rFonts w:hint="eastAsia" w:ascii="宋体" w:hAnsi="宋体" w:cs="宋体"/>
                <w:color w:val="000000"/>
                <w:kern w:val="0"/>
                <w:sz w:val="24"/>
              </w:rPr>
              <w:t>，项目噪声监测计划见下表。</w:t>
            </w:r>
          </w:p>
          <w:p>
            <w:pPr>
              <w:pStyle w:val="2"/>
            </w:pPr>
          </w:p>
          <w:p>
            <w:pPr>
              <w:ind w:firstLine="420"/>
              <w:jc w:val="center"/>
              <w:rPr>
                <w:rFonts w:eastAsia="黑体"/>
                <w:sz w:val="24"/>
              </w:rPr>
            </w:pPr>
            <w:r>
              <w:rPr>
                <w:rFonts w:eastAsia="黑体"/>
                <w:sz w:val="24"/>
              </w:rPr>
              <w:t>表4-</w:t>
            </w:r>
            <w:r>
              <w:rPr>
                <w:rFonts w:hint="eastAsia" w:eastAsia="黑体"/>
                <w:sz w:val="24"/>
                <w:lang w:val="en-US" w:eastAsia="zh-CN"/>
              </w:rPr>
              <w:t>7</w:t>
            </w:r>
            <w:r>
              <w:rPr>
                <w:rFonts w:eastAsia="黑体"/>
                <w:sz w:val="24"/>
              </w:rPr>
              <w:t xml:space="preserve">   监测计划表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472"/>
              <w:gridCol w:w="1527"/>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监测点位</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监测指标</w:t>
                  </w: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监测频次</w:t>
                  </w:r>
                </w:p>
              </w:tc>
              <w:tc>
                <w:tcPr>
                  <w:tcW w:w="31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东厂界</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噪声</w:t>
                  </w:r>
                </w:p>
              </w:tc>
              <w:tc>
                <w:tcPr>
                  <w:tcW w:w="1527" w:type="dxa"/>
                  <w:vMerge w:val="restart"/>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1季度1次</w:t>
                  </w:r>
                </w:p>
              </w:tc>
              <w:tc>
                <w:tcPr>
                  <w:tcW w:w="3176" w:type="dxa"/>
                  <w:vMerge w:val="restart"/>
                  <w:tcBorders>
                    <w:top w:val="single" w:color="auto" w:sz="4" w:space="0"/>
                    <w:left w:val="single" w:color="auto" w:sz="4" w:space="0"/>
                    <w:right w:val="single" w:color="auto" w:sz="4" w:space="0"/>
                  </w:tcBorders>
                  <w:vAlign w:val="center"/>
                </w:tcPr>
                <w:p>
                  <w:pPr>
                    <w:spacing w:line="400" w:lineRule="exact"/>
                    <w:jc w:val="center"/>
                    <w:rPr>
                      <w:szCs w:val="21"/>
                    </w:rPr>
                  </w:pPr>
                  <w:r>
                    <w:rPr>
                      <w:szCs w:val="21"/>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西厂界</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噪声</w:t>
                  </w:r>
                </w:p>
              </w:tc>
              <w:tc>
                <w:tcPr>
                  <w:tcW w:w="1527" w:type="dxa"/>
                  <w:vMerge w:val="continue"/>
                  <w:tcBorders>
                    <w:left w:val="single" w:color="auto" w:sz="4" w:space="0"/>
                    <w:right w:val="single" w:color="auto" w:sz="4" w:space="0"/>
                  </w:tcBorders>
                  <w:vAlign w:val="center"/>
                </w:tcPr>
                <w:p>
                  <w:pPr>
                    <w:spacing w:line="400" w:lineRule="exact"/>
                    <w:jc w:val="center"/>
                    <w:rPr>
                      <w:szCs w:val="21"/>
                    </w:rPr>
                  </w:pPr>
                </w:p>
              </w:tc>
              <w:tc>
                <w:tcPr>
                  <w:tcW w:w="3176" w:type="dxa"/>
                  <w:vMerge w:val="continue"/>
                  <w:tcBorders>
                    <w:left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南厂界</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噪声</w:t>
                  </w:r>
                </w:p>
              </w:tc>
              <w:tc>
                <w:tcPr>
                  <w:tcW w:w="1527" w:type="dxa"/>
                  <w:vMerge w:val="continue"/>
                  <w:tcBorders>
                    <w:left w:val="single" w:color="auto" w:sz="4" w:space="0"/>
                    <w:right w:val="single" w:color="auto" w:sz="4" w:space="0"/>
                  </w:tcBorders>
                  <w:vAlign w:val="center"/>
                </w:tcPr>
                <w:p>
                  <w:pPr>
                    <w:spacing w:line="400" w:lineRule="exact"/>
                    <w:jc w:val="center"/>
                    <w:rPr>
                      <w:szCs w:val="21"/>
                    </w:rPr>
                  </w:pPr>
                </w:p>
              </w:tc>
              <w:tc>
                <w:tcPr>
                  <w:tcW w:w="3176" w:type="dxa"/>
                  <w:vMerge w:val="continue"/>
                  <w:tcBorders>
                    <w:left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北厂界</w:t>
                  </w:r>
                </w:p>
              </w:tc>
              <w:tc>
                <w:tcPr>
                  <w:tcW w:w="1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噪声</w:t>
                  </w:r>
                </w:p>
              </w:tc>
              <w:tc>
                <w:tcPr>
                  <w:tcW w:w="1527" w:type="dxa"/>
                  <w:vMerge w:val="continue"/>
                  <w:tcBorders>
                    <w:left w:val="single" w:color="auto" w:sz="4" w:space="0"/>
                    <w:bottom w:val="single" w:color="auto" w:sz="4" w:space="0"/>
                    <w:right w:val="single" w:color="auto" w:sz="4" w:space="0"/>
                  </w:tcBorders>
                  <w:vAlign w:val="center"/>
                </w:tcPr>
                <w:p>
                  <w:pPr>
                    <w:spacing w:line="400" w:lineRule="exact"/>
                    <w:jc w:val="center"/>
                    <w:rPr>
                      <w:szCs w:val="21"/>
                    </w:rPr>
                  </w:pPr>
                </w:p>
              </w:tc>
              <w:tc>
                <w:tcPr>
                  <w:tcW w:w="3176" w:type="dxa"/>
                  <w:vMerge w:val="continue"/>
                  <w:tcBorders>
                    <w:left w:val="single" w:color="auto" w:sz="4" w:space="0"/>
                    <w:bottom w:val="single" w:color="auto" w:sz="4" w:space="0"/>
                    <w:right w:val="single" w:color="auto" w:sz="4" w:space="0"/>
                  </w:tcBorders>
                  <w:vAlign w:val="center"/>
                </w:tcPr>
                <w:p>
                  <w:pPr>
                    <w:spacing w:line="400" w:lineRule="exact"/>
                    <w:jc w:val="center"/>
                    <w:rPr>
                      <w:szCs w:val="21"/>
                    </w:rPr>
                  </w:pPr>
                </w:p>
              </w:tc>
            </w:tr>
          </w:tbl>
          <w:p>
            <w:pPr>
              <w:pStyle w:val="9"/>
              <w:numPr>
                <w:ilvl w:val="0"/>
                <w:numId w:val="0"/>
              </w:numPr>
              <w:spacing w:before="120" w:beforeLines="50" w:line="360" w:lineRule="auto"/>
              <w:rPr>
                <w:rFonts w:ascii="宋体" w:hAnsi="宋体" w:cs="宋体"/>
                <w:b/>
                <w:spacing w:val="-10"/>
                <w:sz w:val="24"/>
              </w:rPr>
            </w:pPr>
            <w:r>
              <w:rPr>
                <w:rFonts w:hint="eastAsia" w:ascii="宋体" w:hAnsi="宋体" w:cs="宋体"/>
                <w:b/>
                <w:spacing w:val="-10"/>
                <w:sz w:val="24"/>
              </w:rPr>
              <w:t>4. 固体废物</w:t>
            </w:r>
          </w:p>
          <w:p>
            <w:pPr>
              <w:spacing w:line="360" w:lineRule="auto"/>
              <w:ind w:firstLine="600" w:firstLineChars="250"/>
              <w:rPr>
                <w:rFonts w:ascii="宋体" w:hAnsi="宋体" w:cs="宋体"/>
                <w:bCs/>
                <w:sz w:val="24"/>
              </w:rPr>
            </w:pPr>
            <w:r>
              <w:rPr>
                <w:rFonts w:hint="eastAsia" w:ascii="宋体" w:hAnsi="宋体" w:cs="宋体"/>
                <w:bCs/>
                <w:sz w:val="24"/>
              </w:rPr>
              <w:t>本项目产生的一般固体废物主要为</w:t>
            </w:r>
            <w:r>
              <w:rPr>
                <w:rFonts w:hint="eastAsia"/>
                <w:sz w:val="24"/>
              </w:rPr>
              <w:t>职工生活垃圾、废边角料</w:t>
            </w:r>
            <w:r>
              <w:rPr>
                <w:sz w:val="24"/>
              </w:rPr>
              <w:t>、</w:t>
            </w:r>
            <w:r>
              <w:rPr>
                <w:rFonts w:hint="eastAsia"/>
                <w:sz w:val="24"/>
              </w:rPr>
              <w:t>有机废气处理装置产生的废活性炭、</w:t>
            </w:r>
            <w:r>
              <w:rPr>
                <w:sz w:val="24"/>
              </w:rPr>
              <w:t>废</w:t>
            </w:r>
            <w:r>
              <w:rPr>
                <w:rFonts w:hint="eastAsia"/>
                <w:sz w:val="24"/>
              </w:rPr>
              <w:t>UV灯管</w:t>
            </w:r>
            <w:r>
              <w:rPr>
                <w:rFonts w:hint="eastAsia" w:ascii="宋体" w:hAnsi="宋体" w:cs="宋体"/>
                <w:bCs/>
                <w:sz w:val="24"/>
              </w:rPr>
              <w:t>。</w:t>
            </w:r>
          </w:p>
          <w:p>
            <w:pPr>
              <w:spacing w:line="360" w:lineRule="auto"/>
              <w:rPr>
                <w:rFonts w:ascii="黑体" w:hAnsi="黑体" w:eastAsia="黑体" w:cs="黑体"/>
                <w:bCs/>
                <w:sz w:val="24"/>
              </w:rPr>
            </w:pPr>
            <w:r>
              <w:rPr>
                <w:rFonts w:hint="eastAsia" w:ascii="黑体" w:hAnsi="黑体" w:eastAsia="黑体" w:cs="黑体"/>
                <w:bCs/>
                <w:sz w:val="24"/>
              </w:rPr>
              <w:t>4.1一般固废</w:t>
            </w:r>
          </w:p>
          <w:p>
            <w:pPr>
              <w:spacing w:line="360" w:lineRule="auto"/>
              <w:ind w:firstLine="480" w:firstLineChars="200"/>
              <w:rPr>
                <w:kern w:val="0"/>
                <w:sz w:val="24"/>
              </w:rPr>
            </w:pPr>
            <w:r>
              <w:rPr>
                <w:rFonts w:hint="eastAsia" w:ascii="宋体" w:hAnsi="宋体" w:cs="宋体"/>
                <w:bCs/>
                <w:sz w:val="24"/>
              </w:rPr>
              <w:t>①</w:t>
            </w:r>
            <w:r>
              <w:rPr>
                <w:rFonts w:hint="eastAsia"/>
                <w:sz w:val="24"/>
              </w:rPr>
              <w:t>生</w:t>
            </w:r>
            <w:r>
              <w:rPr>
                <w:rFonts w:hint="eastAsia" w:ascii="宋体" w:hAnsi="宋体" w:cs="宋体"/>
                <w:kern w:val="0"/>
                <w:sz w:val="24"/>
              </w:rPr>
              <w:t>活垃</w:t>
            </w:r>
            <w:r>
              <w:rPr>
                <w:kern w:val="0"/>
                <w:sz w:val="24"/>
              </w:rPr>
              <w:t>圾：项目新增劳动定员50人，生活垃圾按每人0.5kg/d计算，则项目生活垃圾产生量为7.5t/a，集中收集后定期交由当地环卫部门统一处理。</w:t>
            </w:r>
          </w:p>
          <w:p>
            <w:pPr>
              <w:spacing w:line="360" w:lineRule="auto"/>
              <w:ind w:firstLine="480" w:firstLineChars="200"/>
              <w:rPr>
                <w:kern w:val="0"/>
                <w:sz w:val="24"/>
              </w:rPr>
            </w:pPr>
            <w:r>
              <w:rPr>
                <w:rFonts w:hint="eastAsia" w:ascii="宋体" w:hAnsi="宋体" w:cs="宋体"/>
                <w:bCs/>
                <w:sz w:val="24"/>
              </w:rPr>
              <w:t>②</w:t>
            </w:r>
            <w:r>
              <w:rPr>
                <w:rFonts w:hint="eastAsia" w:ascii="宋体" w:hAnsi="宋体" w:cs="宋体"/>
                <w:kern w:val="0"/>
                <w:sz w:val="24"/>
              </w:rPr>
              <w:t>废边角料：本项目剪裁工序产生</w:t>
            </w:r>
            <w:r>
              <w:rPr>
                <w:kern w:val="0"/>
                <w:sz w:val="24"/>
              </w:rPr>
              <w:t>的废边角料约为3.1t/a，</w:t>
            </w:r>
            <w:r>
              <w:rPr>
                <w:rFonts w:hint="eastAsia" w:ascii="宋体" w:hAnsi="宋体" w:cs="宋体"/>
                <w:kern w:val="0"/>
                <w:sz w:val="24"/>
              </w:rPr>
              <w:t>固废代码为</w:t>
            </w:r>
            <w:r>
              <w:rPr>
                <w:kern w:val="0"/>
                <w:sz w:val="24"/>
              </w:rPr>
              <w:t>292-001-06</w:t>
            </w:r>
            <w:r>
              <w:rPr>
                <w:rFonts w:hint="eastAsia" w:ascii="宋体" w:hAnsi="宋体" w:cs="宋体"/>
                <w:kern w:val="0"/>
                <w:sz w:val="24"/>
              </w:rPr>
              <w:t>，经</w:t>
            </w:r>
            <w:r>
              <w:rPr>
                <w:kern w:val="0"/>
                <w:sz w:val="24"/>
              </w:rPr>
              <w:t>收集后放至厂区一般固废暂存区，定期外售综合利用。</w:t>
            </w:r>
          </w:p>
          <w:p>
            <w:pPr>
              <w:spacing w:line="360" w:lineRule="auto"/>
              <w:rPr>
                <w:rFonts w:eastAsia="黑体"/>
                <w:sz w:val="24"/>
              </w:rPr>
            </w:pPr>
            <w:r>
              <w:rPr>
                <w:rFonts w:eastAsia="黑体"/>
                <w:sz w:val="24"/>
              </w:rPr>
              <w:t>4.2危险废物</w:t>
            </w:r>
          </w:p>
          <w:p>
            <w:pPr>
              <w:pStyle w:val="3"/>
              <w:spacing w:before="0" w:after="0" w:line="360" w:lineRule="auto"/>
              <w:ind w:left="0" w:firstLine="480" w:firstLineChars="200"/>
              <w:rPr>
                <w:rFonts w:eastAsia="宋体"/>
                <w:b w:val="0"/>
                <w:bCs w:val="0"/>
                <w:color w:val="auto"/>
                <w:kern w:val="0"/>
                <w:sz w:val="24"/>
                <w:szCs w:val="24"/>
                <w:u w:val="single"/>
              </w:rPr>
            </w:pPr>
            <w:r>
              <w:rPr>
                <w:rFonts w:hint="eastAsia" w:ascii="宋体" w:hAnsi="宋体" w:eastAsia="宋体" w:cs="宋体"/>
                <w:b w:val="0"/>
                <w:sz w:val="24"/>
                <w:u w:val="single"/>
              </w:rPr>
              <w:t>①</w:t>
            </w:r>
            <w:r>
              <w:rPr>
                <w:rFonts w:hint="eastAsia" w:ascii="宋体" w:hAnsi="宋体" w:eastAsia="宋体" w:cs="宋体"/>
                <w:b w:val="0"/>
                <w:bCs w:val="0"/>
                <w:color w:val="auto"/>
                <w:kern w:val="0"/>
                <w:sz w:val="24"/>
                <w:szCs w:val="24"/>
                <w:u w:val="single"/>
              </w:rPr>
              <w:t>废活性炭：本项目生产过程产生的有组织有机</w:t>
            </w:r>
            <w:r>
              <w:rPr>
                <w:rFonts w:eastAsia="宋体"/>
                <w:b w:val="0"/>
                <w:bCs w:val="0"/>
                <w:color w:val="auto"/>
                <w:kern w:val="0"/>
                <w:sz w:val="24"/>
                <w:szCs w:val="24"/>
                <w:u w:val="single"/>
              </w:rPr>
              <w:t>废气量约为0.1203t/a，通过“UV光氧+活性炭吸附装置”处理，其中UV光氧</w:t>
            </w:r>
            <w:r>
              <w:rPr>
                <w:rFonts w:hint="eastAsia" w:eastAsia="宋体"/>
                <w:b w:val="0"/>
                <w:bCs w:val="0"/>
                <w:color w:val="auto"/>
                <w:kern w:val="0"/>
                <w:sz w:val="24"/>
                <w:szCs w:val="24"/>
                <w:u w:val="single"/>
              </w:rPr>
              <w:t>处理的有机废气量按有机废气处理总量的40%计，</w:t>
            </w:r>
            <w:r>
              <w:rPr>
                <w:rFonts w:eastAsia="宋体"/>
                <w:b w:val="0"/>
                <w:bCs w:val="0"/>
                <w:color w:val="auto"/>
                <w:kern w:val="0"/>
                <w:sz w:val="24"/>
                <w:szCs w:val="24"/>
                <w:u w:val="single"/>
              </w:rPr>
              <w:t>活性炭吸附装置吸附到的有机废气量按</w:t>
            </w:r>
            <w:r>
              <w:rPr>
                <w:rFonts w:hint="eastAsia" w:eastAsia="宋体"/>
                <w:b w:val="0"/>
                <w:bCs w:val="0"/>
                <w:color w:val="auto"/>
                <w:kern w:val="0"/>
                <w:sz w:val="24"/>
                <w:szCs w:val="24"/>
                <w:u w:val="single"/>
              </w:rPr>
              <w:t>剩下的</w:t>
            </w:r>
            <w:r>
              <w:rPr>
                <w:rFonts w:eastAsia="宋体"/>
                <w:b w:val="0"/>
                <w:bCs w:val="0"/>
                <w:color w:val="auto"/>
                <w:kern w:val="0"/>
                <w:sz w:val="24"/>
                <w:szCs w:val="24"/>
                <w:u w:val="single"/>
              </w:rPr>
              <w:t>有机废气处理量的</w:t>
            </w:r>
            <w:r>
              <w:rPr>
                <w:rFonts w:hint="eastAsia" w:eastAsia="宋体"/>
                <w:b w:val="0"/>
                <w:bCs w:val="0"/>
                <w:color w:val="auto"/>
                <w:kern w:val="0"/>
                <w:sz w:val="24"/>
                <w:szCs w:val="24"/>
                <w:u w:val="single"/>
              </w:rPr>
              <w:t>7</w:t>
            </w:r>
            <w:r>
              <w:rPr>
                <w:rFonts w:eastAsia="宋体"/>
                <w:b w:val="0"/>
                <w:bCs w:val="0"/>
                <w:color w:val="auto"/>
                <w:kern w:val="0"/>
                <w:sz w:val="24"/>
                <w:szCs w:val="24"/>
                <w:u w:val="single"/>
              </w:rPr>
              <w:t>0%计，1t活性炭可吸附0.15t有机废气，则活性炭用量为0.</w:t>
            </w:r>
            <w:r>
              <w:rPr>
                <w:rFonts w:hint="eastAsia" w:eastAsia="宋体"/>
                <w:b w:val="0"/>
                <w:bCs w:val="0"/>
                <w:color w:val="auto"/>
                <w:kern w:val="0"/>
                <w:sz w:val="24"/>
                <w:szCs w:val="24"/>
                <w:u w:val="single"/>
              </w:rPr>
              <w:t>3367</w:t>
            </w:r>
            <w:r>
              <w:rPr>
                <w:rFonts w:eastAsia="宋体"/>
                <w:b w:val="0"/>
                <w:bCs w:val="0"/>
                <w:color w:val="auto"/>
                <w:kern w:val="0"/>
                <w:sz w:val="24"/>
                <w:szCs w:val="24"/>
                <w:u w:val="single"/>
              </w:rPr>
              <w:t>t/a，本项目废活性炭产生量约为0.</w:t>
            </w:r>
            <w:r>
              <w:rPr>
                <w:rFonts w:hint="eastAsia" w:eastAsia="宋体"/>
                <w:b w:val="0"/>
                <w:bCs w:val="0"/>
                <w:color w:val="auto"/>
                <w:kern w:val="0"/>
                <w:sz w:val="24"/>
                <w:szCs w:val="24"/>
                <w:u w:val="single"/>
              </w:rPr>
              <w:t>3872</w:t>
            </w:r>
            <w:r>
              <w:rPr>
                <w:rFonts w:eastAsia="宋体"/>
                <w:b w:val="0"/>
                <w:bCs w:val="0"/>
                <w:color w:val="auto"/>
                <w:kern w:val="0"/>
                <w:sz w:val="24"/>
                <w:szCs w:val="24"/>
                <w:u w:val="single"/>
              </w:rPr>
              <w:t>t/a（废活性炭产生量与有机废气吸附量合计）。活性炭装置按装载量400kg计算，项目活性炭装置需定期更换活性炭</w:t>
            </w:r>
            <w:r>
              <w:rPr>
                <w:rFonts w:hint="eastAsia" w:eastAsia="宋体"/>
                <w:b w:val="0"/>
                <w:bCs w:val="0"/>
                <w:color w:val="auto"/>
                <w:kern w:val="0"/>
                <w:sz w:val="24"/>
                <w:szCs w:val="24"/>
                <w:u w:val="single"/>
              </w:rPr>
              <w:t>1</w:t>
            </w:r>
            <w:r>
              <w:rPr>
                <w:rFonts w:eastAsia="宋体"/>
                <w:b w:val="0"/>
                <w:bCs w:val="0"/>
                <w:color w:val="auto"/>
                <w:kern w:val="0"/>
                <w:sz w:val="24"/>
                <w:szCs w:val="24"/>
                <w:u w:val="single"/>
              </w:rPr>
              <w:t>次/年，则废活性炭的产生量为0.</w:t>
            </w:r>
            <w:r>
              <w:rPr>
                <w:rFonts w:hint="eastAsia" w:eastAsia="宋体"/>
                <w:b w:val="0"/>
                <w:bCs w:val="0"/>
                <w:color w:val="auto"/>
                <w:kern w:val="0"/>
                <w:sz w:val="24"/>
                <w:szCs w:val="24"/>
                <w:u w:val="single"/>
              </w:rPr>
              <w:t>4</w:t>
            </w:r>
            <w:r>
              <w:rPr>
                <w:rFonts w:eastAsia="宋体"/>
                <w:b w:val="0"/>
                <w:bCs w:val="0"/>
                <w:color w:val="auto"/>
                <w:kern w:val="0"/>
                <w:sz w:val="24"/>
                <w:szCs w:val="24"/>
                <w:u w:val="single"/>
              </w:rPr>
              <w:t>t/a。</w:t>
            </w:r>
          </w:p>
          <w:p>
            <w:pPr>
              <w:spacing w:line="360" w:lineRule="auto"/>
              <w:ind w:firstLine="480" w:firstLineChars="200"/>
              <w:rPr>
                <w:kern w:val="0"/>
                <w:sz w:val="24"/>
                <w:u w:val="single"/>
              </w:rPr>
            </w:pPr>
            <w:r>
              <w:rPr>
                <w:rFonts w:hint="eastAsia" w:ascii="宋体" w:hAnsi="宋体" w:cs="宋体"/>
                <w:sz w:val="24"/>
                <w:szCs w:val="36"/>
                <w:u w:val="single"/>
              </w:rPr>
              <w:t>②</w:t>
            </w:r>
            <w:r>
              <w:rPr>
                <w:kern w:val="0"/>
                <w:sz w:val="24"/>
                <w:u w:val="single"/>
              </w:rPr>
              <w:t>废UV灯管：本项目1套UV光氧催化设备，安装灯管数量为24根，根据设备厂家提供资料，UV光氧催化设备配套灯管使用寿命为800~1000h，</w:t>
            </w:r>
            <w:r>
              <w:rPr>
                <w:rFonts w:hint="eastAsia"/>
                <w:kern w:val="0"/>
                <w:sz w:val="24"/>
                <w:u w:val="single"/>
              </w:rPr>
              <w:t>本次按最不利800h/根计</w:t>
            </w:r>
            <w:r>
              <w:rPr>
                <w:rFonts w:hint="eastAsia"/>
                <w:kern w:val="0"/>
                <w:sz w:val="24"/>
                <w:u w:val="single"/>
                <w:lang w:eastAsia="zh-CN"/>
              </w:rPr>
              <w:t>，</w:t>
            </w:r>
            <w:r>
              <w:rPr>
                <w:rFonts w:hint="eastAsia"/>
                <w:kern w:val="0"/>
                <w:sz w:val="24"/>
                <w:u w:val="single"/>
              </w:rPr>
              <w:t>装置年运行时间为</w:t>
            </w:r>
            <w:r>
              <w:rPr>
                <w:rFonts w:hint="eastAsia"/>
                <w:kern w:val="0"/>
                <w:sz w:val="24"/>
                <w:u w:val="single"/>
                <w:lang w:val="en-US" w:eastAsia="zh-CN"/>
              </w:rPr>
              <w:t>120</w:t>
            </w:r>
            <w:r>
              <w:rPr>
                <w:rFonts w:hint="eastAsia"/>
                <w:kern w:val="0"/>
                <w:sz w:val="24"/>
                <w:u w:val="single"/>
              </w:rPr>
              <w:t>0h/a，则报废更换的废</w:t>
            </w:r>
            <w:r>
              <w:rPr>
                <w:rFonts w:hint="eastAsia"/>
                <w:kern w:val="0"/>
                <w:sz w:val="24"/>
                <w:u w:val="single"/>
                <w:lang w:val="en-US" w:eastAsia="zh-CN"/>
              </w:rPr>
              <w:t>UV灯</w:t>
            </w:r>
            <w:r>
              <w:rPr>
                <w:rFonts w:hint="eastAsia"/>
                <w:kern w:val="0"/>
                <w:sz w:val="24"/>
                <w:u w:val="single"/>
              </w:rPr>
              <w:t>管产生量为</w:t>
            </w:r>
            <w:r>
              <w:rPr>
                <w:rFonts w:hint="eastAsia"/>
                <w:kern w:val="0"/>
                <w:sz w:val="24"/>
                <w:u w:val="single"/>
                <w:lang w:val="en-US" w:eastAsia="zh-CN"/>
              </w:rPr>
              <w:t>48</w:t>
            </w:r>
            <w:r>
              <w:rPr>
                <w:rFonts w:hint="eastAsia"/>
                <w:kern w:val="0"/>
                <w:sz w:val="24"/>
                <w:u w:val="single"/>
              </w:rPr>
              <w:t>根/a，更换频率为2次/年</w:t>
            </w:r>
            <w:r>
              <w:rPr>
                <w:kern w:val="0"/>
                <w:sz w:val="24"/>
                <w:u w:val="single"/>
              </w:rPr>
              <w:t>。经收集后暂存厂区危废暂存间，交由有资质的单位处理。</w:t>
            </w:r>
          </w:p>
          <w:p>
            <w:pPr>
              <w:spacing w:line="520" w:lineRule="exact"/>
              <w:rPr>
                <w:rFonts w:ascii="黑体" w:hAnsi="黑体" w:eastAsia="黑体" w:cs="黑体"/>
                <w:sz w:val="24"/>
              </w:rPr>
            </w:pPr>
            <w:r>
              <w:rPr>
                <w:rFonts w:hint="eastAsia" w:ascii="黑体" w:hAnsi="黑体" w:eastAsia="黑体" w:cs="黑体"/>
                <w:sz w:val="24"/>
              </w:rPr>
              <w:t>4.3本项目固废产生情况汇总</w:t>
            </w:r>
          </w:p>
          <w:p>
            <w:pPr>
              <w:pStyle w:val="2"/>
            </w:pPr>
          </w:p>
          <w:p>
            <w:pPr>
              <w:spacing w:before="120" w:beforeLines="50"/>
              <w:ind w:firstLine="480" w:firstLineChars="200"/>
              <w:jc w:val="center"/>
              <w:rPr>
                <w:rFonts w:eastAsia="黑体"/>
                <w:bCs/>
                <w:sz w:val="24"/>
              </w:rPr>
            </w:pPr>
            <w:r>
              <w:rPr>
                <w:rFonts w:eastAsia="黑体"/>
                <w:sz w:val="24"/>
                <w:szCs w:val="20"/>
              </w:rPr>
              <w:t>表4-</w:t>
            </w:r>
            <w:r>
              <w:rPr>
                <w:rFonts w:hint="eastAsia" w:eastAsia="黑体"/>
                <w:sz w:val="24"/>
                <w:szCs w:val="20"/>
                <w:lang w:val="en-US" w:eastAsia="zh-CN"/>
              </w:rPr>
              <w:t>8</w:t>
            </w:r>
            <w:r>
              <w:rPr>
                <w:rFonts w:eastAsia="黑体"/>
                <w:sz w:val="24"/>
                <w:szCs w:val="20"/>
              </w:rPr>
              <w:t xml:space="preserve">   </w:t>
            </w:r>
            <w:r>
              <w:rPr>
                <w:rFonts w:eastAsia="黑体"/>
                <w:bCs/>
                <w:sz w:val="24"/>
              </w:rPr>
              <w:t>本项目固废产排情况一览表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91"/>
              <w:gridCol w:w="1133"/>
              <w:gridCol w:w="709"/>
              <w:gridCol w:w="567"/>
              <w:gridCol w:w="647"/>
              <w:gridCol w:w="957"/>
              <w:gridCol w:w="575"/>
              <w:gridCol w:w="83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产生环节</w:t>
                  </w:r>
                </w:p>
              </w:tc>
              <w:tc>
                <w:tcPr>
                  <w:tcW w:w="99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名称</w:t>
                  </w:r>
                </w:p>
              </w:tc>
              <w:tc>
                <w:tcPr>
                  <w:tcW w:w="113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属性</w:t>
                  </w:r>
                </w:p>
              </w:tc>
              <w:tc>
                <w:tcPr>
                  <w:tcW w:w="709"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主要有毒有害物质名称</w:t>
                  </w:r>
                </w:p>
              </w:tc>
              <w:tc>
                <w:tcPr>
                  <w:tcW w:w="56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物理</w:t>
                  </w:r>
                </w:p>
                <w:p>
                  <w:pPr>
                    <w:ind w:left="-105" w:leftChars="-50" w:right="-105" w:rightChars="-50"/>
                    <w:jc w:val="center"/>
                    <w:rPr>
                      <w:color w:val="000000"/>
                      <w:szCs w:val="21"/>
                    </w:rPr>
                  </w:pPr>
                  <w:r>
                    <w:rPr>
                      <w:color w:val="000000"/>
                      <w:szCs w:val="21"/>
                    </w:rPr>
                    <w:t>性状</w:t>
                  </w:r>
                </w:p>
              </w:tc>
              <w:tc>
                <w:tcPr>
                  <w:tcW w:w="64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环境危险特征</w:t>
                  </w:r>
                </w:p>
              </w:tc>
              <w:tc>
                <w:tcPr>
                  <w:tcW w:w="95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年度</w:t>
                  </w:r>
                </w:p>
                <w:p>
                  <w:pPr>
                    <w:ind w:left="-105" w:leftChars="-50" w:right="-105" w:rightChars="-50"/>
                    <w:jc w:val="center"/>
                    <w:rPr>
                      <w:color w:val="000000"/>
                      <w:szCs w:val="21"/>
                    </w:rPr>
                  </w:pPr>
                  <w:r>
                    <w:rPr>
                      <w:color w:val="000000"/>
                      <w:szCs w:val="21"/>
                    </w:rPr>
                    <w:t>产生量</w:t>
                  </w:r>
                </w:p>
              </w:tc>
              <w:tc>
                <w:tcPr>
                  <w:tcW w:w="57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贮存方式</w:t>
                  </w:r>
                </w:p>
              </w:tc>
              <w:tc>
                <w:tcPr>
                  <w:tcW w:w="83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最终</w:t>
                  </w:r>
                </w:p>
                <w:p>
                  <w:pPr>
                    <w:ind w:left="-105" w:leftChars="-50" w:right="-105" w:rightChars="-50"/>
                    <w:jc w:val="center"/>
                    <w:rPr>
                      <w:color w:val="000000"/>
                      <w:szCs w:val="21"/>
                    </w:rPr>
                  </w:pPr>
                  <w:r>
                    <w:rPr>
                      <w:color w:val="000000"/>
                      <w:szCs w:val="21"/>
                    </w:rPr>
                    <w:t>去向</w:t>
                  </w:r>
                </w:p>
              </w:tc>
              <w:tc>
                <w:tcPr>
                  <w:tcW w:w="93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利用或处置量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szCs w:val="21"/>
                    </w:rPr>
                    <w:t>原辅材料</w:t>
                  </w:r>
                </w:p>
              </w:tc>
              <w:tc>
                <w:tcPr>
                  <w:tcW w:w="99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szCs w:val="21"/>
                    </w:rPr>
                    <w:t>废边角料</w:t>
                  </w:r>
                </w:p>
              </w:tc>
              <w:tc>
                <w:tcPr>
                  <w:tcW w:w="113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一般固废</w:t>
                  </w:r>
                </w:p>
              </w:tc>
              <w:tc>
                <w:tcPr>
                  <w:tcW w:w="709"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固态</w:t>
                  </w:r>
                </w:p>
              </w:tc>
              <w:tc>
                <w:tcPr>
                  <w:tcW w:w="64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w:t>
                  </w:r>
                </w:p>
              </w:tc>
              <w:tc>
                <w:tcPr>
                  <w:tcW w:w="95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szCs w:val="21"/>
                    </w:rPr>
                    <w:t>3.1t/a</w:t>
                  </w:r>
                </w:p>
              </w:tc>
              <w:tc>
                <w:tcPr>
                  <w:tcW w:w="575" w:type="dxa"/>
                  <w:tcBorders>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color w:val="000000"/>
                      <w:szCs w:val="21"/>
                    </w:rPr>
                    <w:t>一般固废暂存区</w:t>
                  </w:r>
                </w:p>
              </w:tc>
              <w:tc>
                <w:tcPr>
                  <w:tcW w:w="831" w:type="dxa"/>
                  <w:tcBorders>
                    <w:top w:val="single" w:color="auto" w:sz="4" w:space="0"/>
                    <w:left w:val="single" w:color="auto" w:sz="4" w:space="0"/>
                    <w:right w:val="single" w:color="auto" w:sz="4" w:space="0"/>
                  </w:tcBorders>
                  <w:vAlign w:val="center"/>
                </w:tcPr>
                <w:p>
                  <w:pPr>
                    <w:ind w:left="-105" w:leftChars="-50" w:right="-105" w:rightChars="-50"/>
                    <w:jc w:val="center"/>
                    <w:rPr>
                      <w:szCs w:val="21"/>
                    </w:rPr>
                  </w:pPr>
                  <w:r>
                    <w:rPr>
                      <w:rFonts w:hint="eastAsia"/>
                      <w:color w:val="000000"/>
                      <w:szCs w:val="21"/>
                    </w:rPr>
                    <w:t>外售综合利用</w:t>
                  </w:r>
                </w:p>
              </w:tc>
              <w:tc>
                <w:tcPr>
                  <w:tcW w:w="93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szCs w:val="21"/>
                    </w:rPr>
                    <w:t>3.1t/a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职工生活</w:t>
                  </w:r>
                </w:p>
              </w:tc>
              <w:tc>
                <w:tcPr>
                  <w:tcW w:w="99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生活垃圾</w:t>
                  </w:r>
                </w:p>
              </w:tc>
              <w:tc>
                <w:tcPr>
                  <w:tcW w:w="113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生活</w:t>
                  </w:r>
                </w:p>
                <w:p>
                  <w:pPr>
                    <w:ind w:left="-105" w:leftChars="-50" w:right="-105" w:rightChars="-50"/>
                    <w:jc w:val="center"/>
                    <w:rPr>
                      <w:szCs w:val="21"/>
                    </w:rPr>
                  </w:pPr>
                  <w:r>
                    <w:rPr>
                      <w:szCs w:val="21"/>
                    </w:rPr>
                    <w:t>垃圾</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固态</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7.5</w:t>
                  </w:r>
                  <w:r>
                    <w:rPr>
                      <w:szCs w:val="21"/>
                    </w:rPr>
                    <w:t>t/a</w:t>
                  </w:r>
                </w:p>
              </w:tc>
              <w:tc>
                <w:tcPr>
                  <w:tcW w:w="57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垃圾桶</w:t>
                  </w:r>
                </w:p>
              </w:tc>
              <w:tc>
                <w:tcPr>
                  <w:tcW w:w="83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环卫部门定期清运</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7.5</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9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环保设备</w:t>
                  </w:r>
                </w:p>
              </w:tc>
              <w:tc>
                <w:tcPr>
                  <w:tcW w:w="99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废活性炭</w:t>
                  </w:r>
                </w:p>
              </w:tc>
              <w:tc>
                <w:tcPr>
                  <w:tcW w:w="113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危险废物HW49</w:t>
                  </w:r>
                </w:p>
                <w:p>
                  <w:pPr>
                    <w:ind w:left="-105" w:leftChars="-50" w:right="-105" w:rightChars="-50"/>
                    <w:jc w:val="center"/>
                    <w:rPr>
                      <w:szCs w:val="21"/>
                    </w:rPr>
                  </w:pPr>
                  <w:r>
                    <w:rPr>
                      <w:szCs w:val="21"/>
                    </w:rPr>
                    <w:t>其他废物900-0</w:t>
                  </w:r>
                  <w:r>
                    <w:rPr>
                      <w:rFonts w:hint="eastAsia"/>
                      <w:szCs w:val="21"/>
                    </w:rPr>
                    <w:t>39</w:t>
                  </w:r>
                  <w:r>
                    <w:rPr>
                      <w:szCs w:val="21"/>
                    </w:rPr>
                    <w:t>-49</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废活性炭</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固态</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T</w:t>
                  </w:r>
                  <w:r>
                    <w:rPr>
                      <w:rFonts w:hint="eastAsia"/>
                      <w:szCs w:val="21"/>
                    </w:rPr>
                    <w:t xml:space="preserve"> </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w:t>
                  </w:r>
                  <w:r>
                    <w:rPr>
                      <w:szCs w:val="21"/>
                    </w:rPr>
                    <w:t>t/a</w:t>
                  </w:r>
                </w:p>
              </w:tc>
              <w:tc>
                <w:tcPr>
                  <w:tcW w:w="575" w:type="dxa"/>
                  <w:vMerge w:val="restart"/>
                  <w:tcBorders>
                    <w:left w:val="single" w:color="auto" w:sz="4" w:space="0"/>
                    <w:right w:val="single" w:color="auto" w:sz="4" w:space="0"/>
                  </w:tcBorders>
                  <w:vAlign w:val="center"/>
                </w:tcPr>
                <w:p>
                  <w:pPr>
                    <w:ind w:left="-105" w:leftChars="-50" w:right="-105" w:rightChars="-50"/>
                    <w:jc w:val="center"/>
                    <w:rPr>
                      <w:szCs w:val="21"/>
                    </w:rPr>
                  </w:pPr>
                  <w:r>
                    <w:rPr>
                      <w:rFonts w:hint="eastAsia"/>
                      <w:szCs w:val="21"/>
                    </w:rPr>
                    <w:t>危废暂存间</w:t>
                  </w:r>
                </w:p>
              </w:tc>
              <w:tc>
                <w:tcPr>
                  <w:tcW w:w="831" w:type="dxa"/>
                  <w:vMerge w:val="restart"/>
                  <w:tcBorders>
                    <w:left w:val="single" w:color="auto" w:sz="4" w:space="0"/>
                    <w:right w:val="single" w:color="auto" w:sz="4" w:space="0"/>
                  </w:tcBorders>
                  <w:vAlign w:val="center"/>
                </w:tcPr>
                <w:p>
                  <w:pPr>
                    <w:ind w:left="-105" w:leftChars="-50" w:right="-105" w:rightChars="-50"/>
                    <w:jc w:val="center"/>
                    <w:rPr>
                      <w:szCs w:val="21"/>
                    </w:rPr>
                  </w:pPr>
                  <w:r>
                    <w:rPr>
                      <w:rFonts w:hint="eastAsia"/>
                      <w:szCs w:val="21"/>
                    </w:rPr>
                    <w:t>交由有资质的单位处置</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szCs w:val="21"/>
                    </w:rPr>
                    <w:t>环保设备</w:t>
                  </w:r>
                </w:p>
              </w:tc>
              <w:tc>
                <w:tcPr>
                  <w:tcW w:w="99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Cs w:val="21"/>
                    </w:rPr>
                  </w:pPr>
                  <w:r>
                    <w:rPr>
                      <w:rFonts w:hint="eastAsia"/>
                      <w:szCs w:val="21"/>
                    </w:rPr>
                    <w:t>废UV灯管</w:t>
                  </w:r>
                </w:p>
              </w:tc>
              <w:tc>
                <w:tcPr>
                  <w:tcW w:w="113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color w:val="000000"/>
                      <w:szCs w:val="21"/>
                    </w:rPr>
                  </w:pPr>
                  <w:r>
                    <w:rPr>
                      <w:color w:val="000000"/>
                      <w:szCs w:val="21"/>
                    </w:rPr>
                    <w:t>危险废物HW29</w:t>
                  </w:r>
                </w:p>
                <w:p>
                  <w:pPr>
                    <w:ind w:left="-105" w:leftChars="-50" w:right="-105" w:rightChars="-50"/>
                    <w:jc w:val="center"/>
                    <w:rPr>
                      <w:color w:val="000000"/>
                      <w:szCs w:val="21"/>
                    </w:rPr>
                  </w:pPr>
                  <w:r>
                    <w:rPr>
                      <w:color w:val="000000"/>
                      <w:szCs w:val="21"/>
                    </w:rPr>
                    <w:t>含汞废物900-023-2</w:t>
                  </w:r>
                  <w:r>
                    <w:rPr>
                      <w:rFonts w:hint="eastAsia"/>
                      <w:color w:val="000000"/>
                      <w:szCs w:val="21"/>
                    </w:rPr>
                    <w:t>9</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含汞废物</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固态</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szCs w:val="21"/>
                    </w:rPr>
                    <w:t>T/In</w:t>
                  </w:r>
                </w:p>
                <w:p>
                  <w:pPr>
                    <w:jc w:val="center"/>
                    <w:rPr>
                      <w:color w:val="00000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48</w:t>
                  </w:r>
                  <w:r>
                    <w:rPr>
                      <w:rFonts w:hint="eastAsia"/>
                      <w:color w:val="000000"/>
                      <w:szCs w:val="21"/>
                    </w:rPr>
                    <w:t>根</w:t>
                  </w:r>
                  <w:r>
                    <w:rPr>
                      <w:color w:val="000000"/>
                      <w:szCs w:val="21"/>
                    </w:rPr>
                    <w:t>/a</w:t>
                  </w:r>
                </w:p>
              </w:tc>
              <w:tc>
                <w:tcPr>
                  <w:tcW w:w="575" w:type="dxa"/>
                  <w:vMerge w:val="continue"/>
                  <w:tcBorders>
                    <w:left w:val="single" w:color="auto" w:sz="4" w:space="0"/>
                    <w:right w:val="single" w:color="auto" w:sz="4" w:space="0"/>
                  </w:tcBorders>
                  <w:vAlign w:val="center"/>
                </w:tcPr>
                <w:p>
                  <w:pPr>
                    <w:ind w:left="-105" w:leftChars="-50" w:right="-105" w:rightChars="-50"/>
                    <w:jc w:val="center"/>
                    <w:rPr>
                      <w:color w:val="000000"/>
                      <w:szCs w:val="21"/>
                    </w:rPr>
                  </w:pPr>
                </w:p>
              </w:tc>
              <w:tc>
                <w:tcPr>
                  <w:tcW w:w="831" w:type="dxa"/>
                  <w:vMerge w:val="continue"/>
                  <w:tcBorders>
                    <w:left w:val="single" w:color="auto" w:sz="4" w:space="0"/>
                    <w:right w:val="single" w:color="auto" w:sz="4" w:space="0"/>
                  </w:tcBorders>
                  <w:vAlign w:val="center"/>
                </w:tcPr>
                <w:p>
                  <w:pPr>
                    <w:widowControl/>
                    <w:jc w:val="left"/>
                    <w:rPr>
                      <w:color w:val="00000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48</w:t>
                  </w:r>
                  <w:r>
                    <w:rPr>
                      <w:rFonts w:hint="eastAsia"/>
                      <w:color w:val="000000"/>
                      <w:szCs w:val="21"/>
                    </w:rPr>
                    <w:t>根</w:t>
                  </w:r>
                  <w:r>
                    <w:rPr>
                      <w:color w:val="000000"/>
                      <w:szCs w:val="21"/>
                    </w:rPr>
                    <w:t>/a</w:t>
                  </w:r>
                </w:p>
              </w:tc>
            </w:tr>
          </w:tbl>
          <w:p>
            <w:pPr>
              <w:pStyle w:val="9"/>
              <w:numPr>
                <w:ilvl w:val="0"/>
                <w:numId w:val="0"/>
              </w:numPr>
              <w:ind w:left="2040" w:hanging="360"/>
            </w:pPr>
          </w:p>
          <w:p>
            <w:pPr>
              <w:pStyle w:val="17"/>
              <w:spacing w:before="120" w:beforeLines="50" w:after="0" w:line="360" w:lineRule="auto"/>
              <w:ind w:firstLine="480"/>
              <w:rPr>
                <w:color w:val="auto"/>
                <w:sz w:val="24"/>
                <w:szCs w:val="24"/>
              </w:rPr>
            </w:pPr>
            <w:r>
              <w:rPr>
                <w:color w:val="auto"/>
                <w:sz w:val="24"/>
                <w:szCs w:val="24"/>
              </w:rPr>
              <w:t>项目危险废物贮存场所基本情况见下表。</w:t>
            </w:r>
          </w:p>
          <w:p>
            <w:pPr>
              <w:ind w:firstLine="480" w:firstLineChars="200"/>
              <w:jc w:val="center"/>
              <w:rPr>
                <w:rFonts w:eastAsia="黑体"/>
                <w:sz w:val="24"/>
                <w:u w:val="single"/>
              </w:rPr>
            </w:pPr>
            <w:r>
              <w:rPr>
                <w:rFonts w:eastAsia="黑体"/>
                <w:sz w:val="24"/>
                <w:u w:val="single"/>
              </w:rPr>
              <w:t>表4-</w:t>
            </w:r>
            <w:r>
              <w:rPr>
                <w:rFonts w:hint="eastAsia" w:eastAsia="黑体"/>
                <w:sz w:val="24"/>
                <w:u w:val="single"/>
                <w:lang w:val="en-US" w:eastAsia="zh-CN"/>
              </w:rPr>
              <w:t>9</w:t>
            </w:r>
            <w:r>
              <w:rPr>
                <w:rFonts w:eastAsia="黑体"/>
                <w:sz w:val="24"/>
                <w:u w:val="single"/>
              </w:rPr>
              <w:t xml:space="preserve">    项目危险废物贮存场所基本情况表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29"/>
              <w:gridCol w:w="785"/>
              <w:gridCol w:w="772"/>
              <w:gridCol w:w="857"/>
              <w:gridCol w:w="686"/>
              <w:gridCol w:w="871"/>
              <w:gridCol w:w="81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989" w:type="dxa"/>
                  <w:vAlign w:val="center"/>
                </w:tcPr>
                <w:p>
                  <w:pPr>
                    <w:jc w:val="left"/>
                    <w:rPr>
                      <w:szCs w:val="21"/>
                      <w:u w:val="single"/>
                    </w:rPr>
                  </w:pPr>
                  <w:r>
                    <w:rPr>
                      <w:szCs w:val="21"/>
                      <w:u w:val="single"/>
                    </w:rPr>
                    <w:t>贮存场所（设施）名称</w:t>
                  </w:r>
                </w:p>
              </w:tc>
              <w:tc>
                <w:tcPr>
                  <w:tcW w:w="729" w:type="dxa"/>
                  <w:vAlign w:val="center"/>
                </w:tcPr>
                <w:p>
                  <w:pPr>
                    <w:jc w:val="center"/>
                    <w:rPr>
                      <w:szCs w:val="21"/>
                      <w:u w:val="single"/>
                    </w:rPr>
                  </w:pPr>
                  <w:r>
                    <w:rPr>
                      <w:szCs w:val="21"/>
                      <w:u w:val="single"/>
                    </w:rPr>
                    <w:t>危险废物名称</w:t>
                  </w:r>
                </w:p>
              </w:tc>
              <w:tc>
                <w:tcPr>
                  <w:tcW w:w="785" w:type="dxa"/>
                  <w:vAlign w:val="center"/>
                </w:tcPr>
                <w:p>
                  <w:pPr>
                    <w:jc w:val="center"/>
                    <w:rPr>
                      <w:szCs w:val="21"/>
                      <w:u w:val="single"/>
                    </w:rPr>
                  </w:pPr>
                  <w:r>
                    <w:rPr>
                      <w:szCs w:val="21"/>
                      <w:u w:val="single"/>
                    </w:rPr>
                    <w:t>危险废物类别</w:t>
                  </w:r>
                </w:p>
              </w:tc>
              <w:tc>
                <w:tcPr>
                  <w:tcW w:w="772" w:type="dxa"/>
                  <w:vAlign w:val="center"/>
                </w:tcPr>
                <w:p>
                  <w:pPr>
                    <w:jc w:val="center"/>
                    <w:rPr>
                      <w:szCs w:val="21"/>
                      <w:u w:val="single"/>
                    </w:rPr>
                  </w:pPr>
                  <w:r>
                    <w:rPr>
                      <w:szCs w:val="21"/>
                      <w:u w:val="single"/>
                    </w:rPr>
                    <w:t>危险废物代码</w:t>
                  </w:r>
                </w:p>
              </w:tc>
              <w:tc>
                <w:tcPr>
                  <w:tcW w:w="857" w:type="dxa"/>
                  <w:vAlign w:val="center"/>
                </w:tcPr>
                <w:p>
                  <w:pPr>
                    <w:jc w:val="center"/>
                    <w:rPr>
                      <w:szCs w:val="21"/>
                      <w:u w:val="single"/>
                    </w:rPr>
                  </w:pPr>
                  <w:r>
                    <w:rPr>
                      <w:szCs w:val="21"/>
                      <w:u w:val="single"/>
                    </w:rPr>
                    <w:t>位置</w:t>
                  </w:r>
                </w:p>
              </w:tc>
              <w:tc>
                <w:tcPr>
                  <w:tcW w:w="686" w:type="dxa"/>
                  <w:vAlign w:val="center"/>
                </w:tcPr>
                <w:p>
                  <w:pPr>
                    <w:jc w:val="center"/>
                    <w:rPr>
                      <w:szCs w:val="21"/>
                      <w:u w:val="single"/>
                    </w:rPr>
                  </w:pPr>
                  <w:r>
                    <w:rPr>
                      <w:szCs w:val="21"/>
                      <w:u w:val="single"/>
                    </w:rPr>
                    <w:t>占地面积</w:t>
                  </w:r>
                </w:p>
              </w:tc>
              <w:tc>
                <w:tcPr>
                  <w:tcW w:w="871" w:type="dxa"/>
                  <w:vAlign w:val="center"/>
                </w:tcPr>
                <w:p>
                  <w:pPr>
                    <w:jc w:val="center"/>
                    <w:rPr>
                      <w:szCs w:val="21"/>
                      <w:u w:val="single"/>
                    </w:rPr>
                  </w:pPr>
                  <w:r>
                    <w:rPr>
                      <w:szCs w:val="21"/>
                      <w:u w:val="single"/>
                    </w:rPr>
                    <w:t>贮存方式</w:t>
                  </w:r>
                </w:p>
              </w:tc>
              <w:tc>
                <w:tcPr>
                  <w:tcW w:w="814" w:type="dxa"/>
                  <w:vAlign w:val="center"/>
                </w:tcPr>
                <w:p>
                  <w:pPr>
                    <w:jc w:val="center"/>
                    <w:rPr>
                      <w:szCs w:val="21"/>
                      <w:u w:val="single"/>
                    </w:rPr>
                  </w:pPr>
                  <w:r>
                    <w:rPr>
                      <w:szCs w:val="21"/>
                      <w:u w:val="single"/>
                    </w:rPr>
                    <w:t>贮存能力</w:t>
                  </w:r>
                </w:p>
              </w:tc>
              <w:tc>
                <w:tcPr>
                  <w:tcW w:w="1423" w:type="dxa"/>
                  <w:vAlign w:val="center"/>
                </w:tcPr>
                <w:p>
                  <w:pPr>
                    <w:jc w:val="center"/>
                    <w:rPr>
                      <w:szCs w:val="21"/>
                      <w:u w:val="single"/>
                    </w:rPr>
                  </w:pPr>
                  <w:r>
                    <w:rPr>
                      <w:szCs w:val="21"/>
                      <w:u w:val="single"/>
                    </w:rPr>
                    <w:t>贮存周期</w:t>
                  </w:r>
                  <w:r>
                    <w:rPr>
                      <w:rStyle w:val="22"/>
                      <w:rFonts w:hint="eastAsia"/>
                      <w:kern w:val="0"/>
                      <w:szCs w:val="20"/>
                      <w:u w:val="single"/>
                    </w:rPr>
                    <w:t>（周期内处理量）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 w:type="dxa"/>
                  <w:vAlign w:val="center"/>
                </w:tcPr>
                <w:p>
                  <w:pPr>
                    <w:jc w:val="center"/>
                    <w:rPr>
                      <w:szCs w:val="21"/>
                      <w:u w:val="single"/>
                    </w:rPr>
                  </w:pPr>
                  <w:r>
                    <w:rPr>
                      <w:rFonts w:hint="eastAsia"/>
                      <w:szCs w:val="21"/>
                      <w:u w:val="single"/>
                    </w:rPr>
                    <w:t>危废暂存间</w:t>
                  </w:r>
                </w:p>
              </w:tc>
              <w:tc>
                <w:tcPr>
                  <w:tcW w:w="729" w:type="dxa"/>
                  <w:vAlign w:val="center"/>
                </w:tcPr>
                <w:p>
                  <w:pPr>
                    <w:widowControl/>
                    <w:adjustRightInd w:val="0"/>
                    <w:snapToGrid w:val="0"/>
                    <w:jc w:val="center"/>
                    <w:textAlignment w:val="baseline"/>
                    <w:rPr>
                      <w:bCs/>
                      <w:kern w:val="28"/>
                      <w:szCs w:val="21"/>
                      <w:u w:val="single"/>
                    </w:rPr>
                  </w:pPr>
                  <w:r>
                    <w:rPr>
                      <w:rFonts w:hint="eastAsia"/>
                      <w:szCs w:val="21"/>
                      <w:u w:val="single"/>
                    </w:rPr>
                    <w:t>废活性炭</w:t>
                  </w:r>
                </w:p>
              </w:tc>
              <w:tc>
                <w:tcPr>
                  <w:tcW w:w="785" w:type="dxa"/>
                  <w:vAlign w:val="center"/>
                </w:tcPr>
                <w:p>
                  <w:pPr>
                    <w:jc w:val="center"/>
                    <w:rPr>
                      <w:szCs w:val="21"/>
                      <w:u w:val="single"/>
                    </w:rPr>
                  </w:pPr>
                  <w:r>
                    <w:rPr>
                      <w:szCs w:val="21"/>
                      <w:u w:val="single"/>
                    </w:rPr>
                    <w:t>HW49</w:t>
                  </w:r>
                </w:p>
              </w:tc>
              <w:tc>
                <w:tcPr>
                  <w:tcW w:w="772" w:type="dxa"/>
                  <w:vAlign w:val="center"/>
                </w:tcPr>
                <w:p>
                  <w:pPr>
                    <w:topLinePunct/>
                    <w:adjustRightInd w:val="0"/>
                    <w:snapToGrid w:val="0"/>
                    <w:jc w:val="center"/>
                    <w:rPr>
                      <w:bCs/>
                      <w:kern w:val="0"/>
                      <w:szCs w:val="21"/>
                      <w:u w:val="single"/>
                    </w:rPr>
                  </w:pPr>
                  <w:r>
                    <w:rPr>
                      <w:szCs w:val="21"/>
                      <w:u w:val="single"/>
                    </w:rPr>
                    <w:t>900-039-49</w:t>
                  </w:r>
                </w:p>
              </w:tc>
              <w:tc>
                <w:tcPr>
                  <w:tcW w:w="857" w:type="dxa"/>
                  <w:vAlign w:val="center"/>
                </w:tcPr>
                <w:p>
                  <w:pPr>
                    <w:jc w:val="center"/>
                    <w:rPr>
                      <w:szCs w:val="21"/>
                      <w:u w:val="single"/>
                    </w:rPr>
                  </w:pPr>
                  <w:r>
                    <w:rPr>
                      <w:rFonts w:hint="eastAsia"/>
                      <w:szCs w:val="21"/>
                      <w:u w:val="single"/>
                    </w:rPr>
                    <w:t>生产车间内</w:t>
                  </w:r>
                </w:p>
              </w:tc>
              <w:tc>
                <w:tcPr>
                  <w:tcW w:w="686" w:type="dxa"/>
                  <w:vAlign w:val="center"/>
                </w:tcPr>
                <w:p>
                  <w:pPr>
                    <w:jc w:val="center"/>
                    <w:rPr>
                      <w:szCs w:val="21"/>
                      <w:u w:val="single"/>
                    </w:rPr>
                  </w:pPr>
                  <w:r>
                    <w:rPr>
                      <w:szCs w:val="21"/>
                      <w:u w:val="single"/>
                    </w:rPr>
                    <w:t>1</w:t>
                  </w:r>
                  <w:r>
                    <w:rPr>
                      <w:rFonts w:hint="eastAsia"/>
                      <w:szCs w:val="21"/>
                      <w:u w:val="single"/>
                    </w:rPr>
                    <w:t>0m</w:t>
                  </w:r>
                  <w:r>
                    <w:rPr>
                      <w:rFonts w:hint="eastAsia"/>
                      <w:szCs w:val="21"/>
                      <w:u w:val="single"/>
                      <w:vertAlign w:val="superscript"/>
                    </w:rPr>
                    <w:t>2</w:t>
                  </w:r>
                </w:p>
              </w:tc>
              <w:tc>
                <w:tcPr>
                  <w:tcW w:w="871" w:type="dxa"/>
                  <w:vAlign w:val="center"/>
                </w:tcPr>
                <w:p>
                  <w:pPr>
                    <w:jc w:val="center"/>
                    <w:rPr>
                      <w:szCs w:val="21"/>
                      <w:u w:val="single"/>
                    </w:rPr>
                  </w:pPr>
                  <w:r>
                    <w:rPr>
                      <w:szCs w:val="21"/>
                      <w:u w:val="single"/>
                    </w:rPr>
                    <w:t>专用储存桶</w:t>
                  </w:r>
                </w:p>
              </w:tc>
              <w:tc>
                <w:tcPr>
                  <w:tcW w:w="814" w:type="dxa"/>
                  <w:vAlign w:val="center"/>
                </w:tcPr>
                <w:p>
                  <w:pPr>
                    <w:jc w:val="center"/>
                    <w:rPr>
                      <w:szCs w:val="21"/>
                      <w:u w:val="single"/>
                    </w:rPr>
                  </w:pPr>
                  <w:r>
                    <w:rPr>
                      <w:rFonts w:hint="eastAsia"/>
                      <w:szCs w:val="21"/>
                      <w:u w:val="single"/>
                    </w:rPr>
                    <w:t>0.</w:t>
                  </w:r>
                  <w:r>
                    <w:rPr>
                      <w:rFonts w:hint="eastAsia"/>
                      <w:szCs w:val="21"/>
                      <w:u w:val="single"/>
                      <w:lang w:val="en-US" w:eastAsia="zh-CN"/>
                    </w:rPr>
                    <w:t>5</w:t>
                  </w:r>
                  <w:r>
                    <w:rPr>
                      <w:bCs/>
                      <w:kern w:val="28"/>
                      <w:szCs w:val="21"/>
                      <w:u w:val="single"/>
                    </w:rPr>
                    <w:t>t/a</w:t>
                  </w:r>
                </w:p>
              </w:tc>
              <w:tc>
                <w:tcPr>
                  <w:tcW w:w="1423" w:type="dxa"/>
                  <w:vAlign w:val="center"/>
                </w:tcPr>
                <w:p>
                  <w:pPr>
                    <w:jc w:val="center"/>
                    <w:rPr>
                      <w:szCs w:val="21"/>
                      <w:u w:val="single"/>
                    </w:rPr>
                  </w:pPr>
                  <w:r>
                    <w:rPr>
                      <w:rFonts w:hint="eastAsia"/>
                      <w:szCs w:val="21"/>
                      <w:u w:val="single"/>
                    </w:rPr>
                    <w:t>12</w:t>
                  </w:r>
                  <w:r>
                    <w:rPr>
                      <w:szCs w:val="21"/>
                      <w:u w:val="single"/>
                    </w:rPr>
                    <w:t>个月</w:t>
                  </w:r>
                  <w:r>
                    <w:rPr>
                      <w:rFonts w:hint="eastAsia"/>
                      <w:szCs w:val="21"/>
                      <w:u w:val="single"/>
                    </w:rPr>
                    <w:t>（0.4</w:t>
                  </w:r>
                  <w:r>
                    <w:rPr>
                      <w:bCs/>
                      <w:kern w:val="28"/>
                      <w:szCs w:val="21"/>
                      <w:u w:val="single"/>
                    </w:rPr>
                    <w:t>t/a</w:t>
                  </w: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 w:type="dxa"/>
                  <w:vAlign w:val="center"/>
                </w:tcPr>
                <w:p>
                  <w:pPr>
                    <w:jc w:val="center"/>
                    <w:rPr>
                      <w:szCs w:val="21"/>
                      <w:u w:val="single"/>
                    </w:rPr>
                  </w:pPr>
                  <w:r>
                    <w:rPr>
                      <w:rFonts w:hint="eastAsia"/>
                      <w:szCs w:val="21"/>
                      <w:u w:val="single"/>
                    </w:rPr>
                    <w:t>危废暂存间</w:t>
                  </w:r>
                </w:p>
              </w:tc>
              <w:tc>
                <w:tcPr>
                  <w:tcW w:w="729" w:type="dxa"/>
                  <w:vAlign w:val="center"/>
                </w:tcPr>
                <w:p>
                  <w:pPr>
                    <w:widowControl/>
                    <w:adjustRightInd w:val="0"/>
                    <w:snapToGrid w:val="0"/>
                    <w:jc w:val="center"/>
                    <w:textAlignment w:val="baseline"/>
                    <w:rPr>
                      <w:bCs/>
                      <w:kern w:val="28"/>
                      <w:szCs w:val="21"/>
                      <w:u w:val="single"/>
                    </w:rPr>
                  </w:pPr>
                  <w:r>
                    <w:rPr>
                      <w:rFonts w:hint="eastAsia"/>
                      <w:szCs w:val="21"/>
                      <w:u w:val="single"/>
                    </w:rPr>
                    <w:t>废UV灯管</w:t>
                  </w:r>
                </w:p>
              </w:tc>
              <w:tc>
                <w:tcPr>
                  <w:tcW w:w="785" w:type="dxa"/>
                  <w:vAlign w:val="center"/>
                </w:tcPr>
                <w:p>
                  <w:pPr>
                    <w:jc w:val="center"/>
                    <w:rPr>
                      <w:szCs w:val="21"/>
                      <w:u w:val="single"/>
                    </w:rPr>
                  </w:pPr>
                  <w:r>
                    <w:rPr>
                      <w:szCs w:val="21"/>
                      <w:u w:val="single"/>
                    </w:rPr>
                    <w:t>HW</w:t>
                  </w:r>
                  <w:r>
                    <w:rPr>
                      <w:rFonts w:hint="eastAsia"/>
                      <w:szCs w:val="21"/>
                      <w:u w:val="single"/>
                    </w:rPr>
                    <w:t>2</w:t>
                  </w:r>
                  <w:r>
                    <w:rPr>
                      <w:szCs w:val="21"/>
                      <w:u w:val="single"/>
                    </w:rPr>
                    <w:t>9</w:t>
                  </w:r>
                </w:p>
              </w:tc>
              <w:tc>
                <w:tcPr>
                  <w:tcW w:w="772" w:type="dxa"/>
                  <w:vAlign w:val="center"/>
                </w:tcPr>
                <w:p>
                  <w:pPr>
                    <w:topLinePunct/>
                    <w:adjustRightInd w:val="0"/>
                    <w:snapToGrid w:val="0"/>
                    <w:jc w:val="center"/>
                    <w:rPr>
                      <w:bCs/>
                      <w:kern w:val="0"/>
                      <w:szCs w:val="21"/>
                      <w:u w:val="single"/>
                    </w:rPr>
                  </w:pPr>
                  <w:r>
                    <w:rPr>
                      <w:szCs w:val="21"/>
                      <w:u w:val="single"/>
                    </w:rPr>
                    <w:t>900-0</w:t>
                  </w:r>
                  <w:r>
                    <w:rPr>
                      <w:rFonts w:hint="eastAsia"/>
                      <w:szCs w:val="21"/>
                      <w:u w:val="single"/>
                    </w:rPr>
                    <w:t>23</w:t>
                  </w:r>
                  <w:r>
                    <w:rPr>
                      <w:szCs w:val="21"/>
                      <w:u w:val="single"/>
                    </w:rPr>
                    <w:t>-</w:t>
                  </w:r>
                  <w:r>
                    <w:rPr>
                      <w:rFonts w:hint="eastAsia"/>
                      <w:szCs w:val="21"/>
                      <w:u w:val="single"/>
                    </w:rPr>
                    <w:t>2</w:t>
                  </w:r>
                  <w:r>
                    <w:rPr>
                      <w:szCs w:val="21"/>
                      <w:u w:val="single"/>
                    </w:rPr>
                    <w:t>9</w:t>
                  </w:r>
                </w:p>
              </w:tc>
              <w:tc>
                <w:tcPr>
                  <w:tcW w:w="857" w:type="dxa"/>
                  <w:vAlign w:val="center"/>
                </w:tcPr>
                <w:p>
                  <w:pPr>
                    <w:jc w:val="center"/>
                    <w:rPr>
                      <w:szCs w:val="21"/>
                      <w:u w:val="single"/>
                    </w:rPr>
                  </w:pPr>
                  <w:r>
                    <w:rPr>
                      <w:rFonts w:hint="eastAsia"/>
                      <w:szCs w:val="21"/>
                      <w:u w:val="single"/>
                    </w:rPr>
                    <w:t>生产车间内</w:t>
                  </w:r>
                </w:p>
              </w:tc>
              <w:tc>
                <w:tcPr>
                  <w:tcW w:w="686" w:type="dxa"/>
                  <w:vAlign w:val="center"/>
                </w:tcPr>
                <w:p>
                  <w:pPr>
                    <w:jc w:val="center"/>
                    <w:rPr>
                      <w:szCs w:val="21"/>
                      <w:u w:val="single"/>
                    </w:rPr>
                  </w:pPr>
                  <w:r>
                    <w:rPr>
                      <w:szCs w:val="21"/>
                      <w:u w:val="single"/>
                    </w:rPr>
                    <w:t>1</w:t>
                  </w:r>
                  <w:r>
                    <w:rPr>
                      <w:rFonts w:hint="eastAsia"/>
                      <w:szCs w:val="21"/>
                      <w:u w:val="single"/>
                    </w:rPr>
                    <w:t>0m</w:t>
                  </w:r>
                  <w:r>
                    <w:rPr>
                      <w:rFonts w:hint="eastAsia"/>
                      <w:szCs w:val="21"/>
                      <w:u w:val="single"/>
                      <w:vertAlign w:val="superscript"/>
                    </w:rPr>
                    <w:t>2</w:t>
                  </w:r>
                </w:p>
              </w:tc>
              <w:tc>
                <w:tcPr>
                  <w:tcW w:w="871" w:type="dxa"/>
                  <w:vAlign w:val="center"/>
                </w:tcPr>
                <w:p>
                  <w:pPr>
                    <w:jc w:val="center"/>
                    <w:rPr>
                      <w:szCs w:val="21"/>
                      <w:u w:val="single"/>
                    </w:rPr>
                  </w:pPr>
                  <w:r>
                    <w:rPr>
                      <w:szCs w:val="21"/>
                      <w:u w:val="single"/>
                    </w:rPr>
                    <w:t>专用储存桶</w:t>
                  </w:r>
                </w:p>
              </w:tc>
              <w:tc>
                <w:tcPr>
                  <w:tcW w:w="814" w:type="dxa"/>
                  <w:vAlign w:val="center"/>
                </w:tcPr>
                <w:p>
                  <w:pPr>
                    <w:jc w:val="center"/>
                    <w:rPr>
                      <w:szCs w:val="21"/>
                      <w:u w:val="single"/>
                    </w:rPr>
                  </w:pPr>
                  <w:r>
                    <w:rPr>
                      <w:rFonts w:hint="eastAsia"/>
                      <w:szCs w:val="21"/>
                      <w:u w:val="single"/>
                      <w:lang w:val="en-US" w:eastAsia="zh-CN"/>
                    </w:rPr>
                    <w:t>50</w:t>
                  </w:r>
                  <w:r>
                    <w:rPr>
                      <w:rFonts w:hint="eastAsia"/>
                      <w:szCs w:val="21"/>
                      <w:u w:val="single"/>
                    </w:rPr>
                    <w:t>根</w:t>
                  </w:r>
                  <w:r>
                    <w:rPr>
                      <w:bCs/>
                      <w:kern w:val="28"/>
                      <w:szCs w:val="21"/>
                      <w:u w:val="single"/>
                    </w:rPr>
                    <w:t>/</w:t>
                  </w:r>
                  <w:r>
                    <w:rPr>
                      <w:rFonts w:hint="eastAsia"/>
                      <w:bCs/>
                      <w:kern w:val="28"/>
                      <w:szCs w:val="21"/>
                      <w:u w:val="single"/>
                    </w:rPr>
                    <w:t>a</w:t>
                  </w:r>
                </w:p>
              </w:tc>
              <w:tc>
                <w:tcPr>
                  <w:tcW w:w="1423" w:type="dxa"/>
                  <w:vAlign w:val="center"/>
                </w:tcPr>
                <w:p>
                  <w:pPr>
                    <w:jc w:val="center"/>
                    <w:rPr>
                      <w:szCs w:val="21"/>
                      <w:u w:val="single"/>
                    </w:rPr>
                  </w:pPr>
                  <w:r>
                    <w:rPr>
                      <w:rFonts w:hint="eastAsia"/>
                      <w:szCs w:val="21"/>
                      <w:u w:val="single"/>
                    </w:rPr>
                    <w:t>12</w:t>
                  </w:r>
                  <w:r>
                    <w:rPr>
                      <w:szCs w:val="21"/>
                      <w:u w:val="single"/>
                    </w:rPr>
                    <w:t>个月</w:t>
                  </w:r>
                  <w:r>
                    <w:rPr>
                      <w:rFonts w:hint="eastAsia"/>
                      <w:szCs w:val="21"/>
                      <w:u w:val="single"/>
                    </w:rPr>
                    <w:t>（</w:t>
                  </w:r>
                  <w:r>
                    <w:rPr>
                      <w:rFonts w:hint="eastAsia"/>
                      <w:szCs w:val="21"/>
                      <w:u w:val="single"/>
                      <w:lang w:val="en-US" w:eastAsia="zh-CN"/>
                    </w:rPr>
                    <w:t>48</w:t>
                  </w:r>
                  <w:r>
                    <w:rPr>
                      <w:rFonts w:hint="eastAsia"/>
                      <w:szCs w:val="21"/>
                      <w:u w:val="single"/>
                    </w:rPr>
                    <w:t>根</w:t>
                  </w:r>
                  <w:r>
                    <w:rPr>
                      <w:bCs/>
                      <w:kern w:val="28"/>
                      <w:szCs w:val="21"/>
                      <w:u w:val="single"/>
                    </w:rPr>
                    <w:t>/</w:t>
                  </w:r>
                  <w:r>
                    <w:rPr>
                      <w:rFonts w:hint="eastAsia"/>
                      <w:bCs/>
                      <w:kern w:val="28"/>
                      <w:szCs w:val="21"/>
                      <w:u w:val="single"/>
                    </w:rPr>
                    <w:t>a</w:t>
                  </w:r>
                  <w:r>
                    <w:rPr>
                      <w:rFonts w:hint="eastAsia"/>
                      <w:szCs w:val="21"/>
                      <w:u w:val="single"/>
                    </w:rPr>
                    <w:t>）</w:t>
                  </w:r>
                </w:p>
              </w:tc>
            </w:tr>
          </w:tbl>
          <w:p>
            <w:pPr>
              <w:pStyle w:val="17"/>
              <w:spacing w:before="0" w:after="0" w:line="360" w:lineRule="auto"/>
              <w:ind w:firstLine="480"/>
              <w:rPr>
                <w:color w:val="auto"/>
                <w:sz w:val="24"/>
                <w:szCs w:val="24"/>
              </w:rPr>
            </w:pPr>
            <w:r>
              <w:rPr>
                <w:color w:val="auto"/>
                <w:sz w:val="24"/>
                <w:szCs w:val="24"/>
              </w:rPr>
              <w:t>由上表可知，项目废活性炭、废</w:t>
            </w:r>
            <w:r>
              <w:rPr>
                <w:rFonts w:hint="eastAsia"/>
                <w:color w:val="auto"/>
                <w:sz w:val="24"/>
                <w:szCs w:val="24"/>
              </w:rPr>
              <w:t>UV灯管</w:t>
            </w:r>
            <w:r>
              <w:rPr>
                <w:color w:val="auto"/>
                <w:sz w:val="24"/>
                <w:szCs w:val="24"/>
              </w:rPr>
              <w:t>均贮存在一座1</w:t>
            </w:r>
            <w:r>
              <w:rPr>
                <w:rFonts w:hint="eastAsia"/>
                <w:color w:val="auto"/>
                <w:sz w:val="24"/>
                <w:szCs w:val="24"/>
              </w:rPr>
              <w:t>0</w:t>
            </w:r>
            <w:r>
              <w:rPr>
                <w:color w:val="auto"/>
                <w:sz w:val="24"/>
                <w:szCs w:val="24"/>
              </w:rPr>
              <w:t>m</w:t>
            </w:r>
            <w:r>
              <w:rPr>
                <w:color w:val="auto"/>
                <w:sz w:val="24"/>
                <w:szCs w:val="24"/>
                <w:vertAlign w:val="superscript"/>
              </w:rPr>
              <w:t>2</w:t>
            </w:r>
            <w:r>
              <w:rPr>
                <w:color w:val="auto"/>
                <w:sz w:val="24"/>
                <w:szCs w:val="24"/>
              </w:rPr>
              <w:t>的危废暂存间内，危险废物均使用容积约为1m</w:t>
            </w:r>
            <w:r>
              <w:rPr>
                <w:color w:val="auto"/>
                <w:sz w:val="24"/>
                <w:szCs w:val="24"/>
                <w:vertAlign w:val="superscript"/>
              </w:rPr>
              <w:t>3</w:t>
            </w:r>
            <w:r>
              <w:rPr>
                <w:color w:val="auto"/>
                <w:sz w:val="24"/>
                <w:szCs w:val="24"/>
              </w:rPr>
              <w:t>的容器密封储存。根据上表可知本项目危废暂存间满足贮存周期为一年的要求。因此，本项目危废暂存间可以满足危废的贮存需求。</w:t>
            </w:r>
          </w:p>
          <w:p>
            <w:pPr>
              <w:adjustRightInd w:val="0"/>
              <w:snapToGrid w:val="0"/>
              <w:spacing w:line="360" w:lineRule="auto"/>
              <w:rPr>
                <w:rFonts w:ascii="黑体" w:hAnsi="黑体" w:eastAsia="黑体" w:cs="黑体"/>
                <w:sz w:val="24"/>
              </w:rPr>
            </w:pPr>
            <w:r>
              <w:rPr>
                <w:rFonts w:hint="eastAsia" w:ascii="黑体" w:hAnsi="黑体" w:eastAsia="黑体" w:cs="黑体"/>
                <w:sz w:val="24"/>
              </w:rPr>
              <w:t>4.4 环境管理要求及依托可行性</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（1）一般固废暂存区</w:t>
            </w:r>
          </w:p>
          <w:p>
            <w:pPr>
              <w:keepNext/>
              <w:spacing w:line="360" w:lineRule="auto"/>
              <w:ind w:firstLine="480" w:firstLineChars="200"/>
              <w:jc w:val="left"/>
              <w:rPr>
                <w:sz w:val="24"/>
              </w:rPr>
            </w:pPr>
            <w:r>
              <w:rPr>
                <w:rFonts w:hint="eastAsia" w:ascii="宋体" w:hAnsi="宋体" w:cs="宋体"/>
                <w:sz w:val="24"/>
              </w:rPr>
              <w:t>建设单位拟在车间</w:t>
            </w:r>
            <w:r>
              <w:rPr>
                <w:sz w:val="24"/>
              </w:rPr>
              <w:t>内设置一个24m</w:t>
            </w:r>
            <w:r>
              <w:rPr>
                <w:sz w:val="24"/>
                <w:vertAlign w:val="superscript"/>
              </w:rPr>
              <w:t>2</w:t>
            </w:r>
            <w:r>
              <w:rPr>
                <w:sz w:val="24"/>
              </w:rPr>
              <w:t>的一般固废暂存区，设置分区，不同的固体废物分区放置，做好台账记录。</w:t>
            </w:r>
          </w:p>
          <w:p>
            <w:pPr>
              <w:widowControl/>
              <w:spacing w:line="360" w:lineRule="auto"/>
              <w:ind w:firstLine="480" w:firstLineChars="200"/>
              <w:rPr>
                <w:bCs/>
                <w:color w:val="FF0000"/>
                <w:sz w:val="24"/>
              </w:rPr>
            </w:pPr>
            <w:r>
              <w:rPr>
                <w:bCs/>
                <w:sz w:val="24"/>
              </w:rPr>
              <w:t>（2）</w:t>
            </w:r>
            <w:r>
              <w:rPr>
                <w:sz w:val="24"/>
              </w:rPr>
              <w:t>危险危废暂存间</w:t>
            </w:r>
          </w:p>
          <w:p>
            <w:pPr>
              <w:spacing w:line="360" w:lineRule="auto"/>
              <w:ind w:firstLine="480" w:firstLineChars="200"/>
              <w:contextualSpacing/>
              <w:rPr>
                <w:rFonts w:ascii="宋体" w:hAnsi="宋体" w:cs="宋体"/>
                <w:bCs/>
                <w:sz w:val="24"/>
              </w:rPr>
            </w:pPr>
            <w:r>
              <w:rPr>
                <w:bCs/>
                <w:sz w:val="24"/>
              </w:rPr>
              <w:t>建设单位</w:t>
            </w:r>
            <w:r>
              <w:rPr>
                <w:rFonts w:hint="eastAsia"/>
                <w:bCs/>
                <w:sz w:val="24"/>
              </w:rPr>
              <w:t>拟</w:t>
            </w:r>
            <w:r>
              <w:rPr>
                <w:bCs/>
                <w:sz w:val="24"/>
              </w:rPr>
              <w:t>设置一个1</w:t>
            </w:r>
            <w:r>
              <w:rPr>
                <w:rFonts w:hint="eastAsia"/>
                <w:bCs/>
                <w:sz w:val="24"/>
              </w:rPr>
              <w:t>0</w:t>
            </w:r>
            <w:r>
              <w:rPr>
                <w:bCs/>
                <w:sz w:val="24"/>
              </w:rPr>
              <w:t>m</w:t>
            </w:r>
            <w:r>
              <w:rPr>
                <w:bCs/>
                <w:sz w:val="24"/>
                <w:vertAlign w:val="superscript"/>
              </w:rPr>
              <w:t>2</w:t>
            </w:r>
            <w:r>
              <w:rPr>
                <w:bCs/>
                <w:sz w:val="24"/>
              </w:rPr>
              <w:t>危险暂存间，</w:t>
            </w:r>
            <w:r>
              <w:rPr>
                <w:sz w:val="24"/>
              </w:rPr>
              <w:t>危险废物分类收集，暂存于危废暂存间内，并定期由具有危险废物处理资质的单位进行处理，危险废物在厂区内暂存时间应不超过一年。建立严格管</w:t>
            </w:r>
            <w:r>
              <w:rPr>
                <w:rFonts w:hint="eastAsia" w:ascii="宋体" w:hAnsi="宋体" w:cs="宋体"/>
                <w:sz w:val="24"/>
              </w:rPr>
              <w:t>理制度，做好台账记录，定期对危废贮存容器及危废间进行检查；危险废物的转运严格按照有关规定，实现联单制度。</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bCs/>
                <w:color w:val="000000"/>
                <w:sz w:val="24"/>
              </w:rPr>
              <w:t>危险暂存间为封闭间，具备防风、防雨、防晒、防渗功能，且本次环评要求</w:t>
            </w:r>
            <w:r>
              <w:rPr>
                <w:rFonts w:hint="eastAsia" w:ascii="宋体" w:hAnsi="宋体" w:cs="宋体"/>
                <w:color w:val="000000"/>
                <w:sz w:val="24"/>
              </w:rPr>
              <w:t>危废贮存区严格按照《危险废物贮存污染控制标准》（GB18597-2001）及其修改单的要求进行建设，地面硬化防渗，四周设置围堰，装载危险废物的容器必须定期检查，确保完好无损，防止容器破损造成二次污染，并设置明显的警示标志。</w:t>
            </w:r>
          </w:p>
          <w:p>
            <w:pPr>
              <w:spacing w:line="360" w:lineRule="auto"/>
              <w:ind w:firstLine="480" w:firstLineChars="200"/>
              <w:rPr>
                <w:rFonts w:ascii="宋体" w:hAnsi="宋体" w:cs="宋体"/>
                <w:sz w:val="24"/>
              </w:rPr>
            </w:pPr>
            <w:r>
              <w:rPr>
                <w:rFonts w:hint="eastAsia" w:ascii="宋体" w:hAnsi="宋体" w:cs="宋体"/>
                <w:sz w:val="24"/>
              </w:rPr>
              <w:t>综上所述，本项目产生的固体废物均可得到合理处置或综合利用，对周围环境影响较小。</w:t>
            </w:r>
          </w:p>
          <w:p>
            <w:pPr>
              <w:pStyle w:val="9"/>
              <w:numPr>
                <w:ilvl w:val="0"/>
                <w:numId w:val="0"/>
              </w:numPr>
              <w:spacing w:line="360" w:lineRule="auto"/>
              <w:rPr>
                <w:rFonts w:ascii="宋体" w:hAnsi="宋体" w:cs="宋体"/>
                <w:b/>
                <w:spacing w:val="-10"/>
                <w:sz w:val="24"/>
                <w:u w:val="single"/>
              </w:rPr>
            </w:pPr>
            <w:r>
              <w:rPr>
                <w:rFonts w:hint="eastAsia" w:ascii="宋体" w:hAnsi="宋体" w:cs="宋体"/>
                <w:b/>
                <w:spacing w:val="-10"/>
                <w:sz w:val="24"/>
                <w:u w:val="single"/>
              </w:rPr>
              <w:t>5. 地下水、土壤</w:t>
            </w:r>
          </w:p>
          <w:p>
            <w:pPr>
              <w:adjustRightInd w:val="0"/>
              <w:snapToGrid w:val="0"/>
              <w:spacing w:line="360" w:lineRule="auto"/>
              <w:ind w:firstLine="480" w:firstLineChars="200"/>
              <w:rPr>
                <w:sz w:val="24"/>
                <w:u w:val="single"/>
              </w:rPr>
            </w:pPr>
            <w:r>
              <w:rPr>
                <w:rFonts w:hint="eastAsia"/>
                <w:sz w:val="24"/>
                <w:u w:val="single"/>
              </w:rPr>
              <w:t>本项目所在厂区西边界距离岳滩镇西水厂地下水井群一级保护区边界距离为43m，距离较近，若危废暂存间建设不规范、危废储存不当等可能会对地下水、土壤产生影响。</w:t>
            </w:r>
          </w:p>
          <w:p>
            <w:pPr>
              <w:adjustRightInd w:val="0"/>
              <w:snapToGrid w:val="0"/>
              <w:spacing w:line="360" w:lineRule="auto"/>
              <w:ind w:firstLine="480" w:firstLineChars="200"/>
              <w:rPr>
                <w:sz w:val="24"/>
                <w:u w:val="single"/>
              </w:rPr>
            </w:pPr>
            <w:r>
              <w:rPr>
                <w:rFonts w:hint="eastAsia"/>
                <w:sz w:val="24"/>
                <w:u w:val="single"/>
              </w:rPr>
              <w:t>本项目拟在车间东侧设置一个危废暂存间，危险固废收集后，按类别放入相应的容器内，再暂存于危废暂存间。评价要求危废暂存间地面做防渗处理，渗透系数达到1.0×10</w:t>
            </w:r>
            <w:r>
              <w:rPr>
                <w:rFonts w:hint="eastAsia"/>
                <w:sz w:val="24"/>
                <w:u w:val="single"/>
                <w:vertAlign w:val="superscript"/>
              </w:rPr>
              <w:t>-10</w:t>
            </w:r>
            <w:r>
              <w:rPr>
                <w:rFonts w:hint="eastAsia"/>
                <w:sz w:val="24"/>
                <w:u w:val="single"/>
              </w:rPr>
              <w:t>cm/s；危废暂存间设置明显标志，做好防风、防雨、防晒、防渗漏的“四防”措施，地面采取防渗处理；危险废物定期委托有资质的危险废物处置单位进行处理。</w:t>
            </w:r>
          </w:p>
          <w:p>
            <w:pPr>
              <w:adjustRightInd w:val="0"/>
              <w:snapToGrid w:val="0"/>
              <w:spacing w:line="360" w:lineRule="auto"/>
              <w:ind w:firstLine="480" w:firstLineChars="200"/>
              <w:rPr>
                <w:sz w:val="24"/>
                <w:u w:val="single"/>
              </w:rPr>
            </w:pPr>
            <w:r>
              <w:rPr>
                <w:rFonts w:hint="eastAsia"/>
                <w:sz w:val="24"/>
                <w:u w:val="single"/>
              </w:rPr>
              <w:t>综上所述，本项目在按照以上要求建设、管理危废暂存间的前提下，不存在地下水、土壤污染途径，不会对岳滩镇西水厂地下水井群饮用水源及土壤环境造成影响。</w:t>
            </w:r>
          </w:p>
          <w:p>
            <w:pPr>
              <w:spacing w:line="360" w:lineRule="auto"/>
              <w:rPr>
                <w:rFonts w:ascii="宋体" w:hAnsi="宋体" w:cs="宋体"/>
                <w:b/>
                <w:bCs/>
                <w:sz w:val="24"/>
              </w:rPr>
            </w:pPr>
            <w:r>
              <w:rPr>
                <w:rFonts w:hint="eastAsia" w:ascii="宋体" w:hAnsi="宋体" w:cs="宋体"/>
                <w:b/>
                <w:bCs/>
                <w:sz w:val="24"/>
              </w:rPr>
              <w:t>6.环境风险</w:t>
            </w:r>
          </w:p>
          <w:p>
            <w:pPr>
              <w:adjustRightInd w:val="0"/>
              <w:snapToGrid w:val="0"/>
              <w:spacing w:line="360" w:lineRule="auto"/>
              <w:ind w:firstLine="480" w:firstLineChars="200"/>
              <w:rPr>
                <w:sz w:val="24"/>
              </w:rPr>
            </w:pPr>
            <w:r>
              <w:rPr>
                <w:rFonts w:hint="eastAsia"/>
                <w:sz w:val="24"/>
              </w:rPr>
              <w:t>对照《建设项目环境风险评价技术导则》（HJ169-2018）本项目不涉及风险物质。</w:t>
            </w:r>
          </w:p>
          <w:p>
            <w:pPr>
              <w:spacing w:line="440" w:lineRule="exact"/>
              <w:rPr>
                <w:rFonts w:ascii="宋体" w:hAnsi="宋体" w:cs="宋体"/>
                <w:b/>
                <w:kern w:val="0"/>
                <w:sz w:val="24"/>
                <w:szCs w:val="20"/>
              </w:rPr>
            </w:pPr>
            <w:r>
              <w:rPr>
                <w:rFonts w:hint="eastAsia" w:ascii="宋体" w:hAnsi="宋体" w:cs="宋体"/>
                <w:b/>
                <w:kern w:val="0"/>
                <w:sz w:val="24"/>
                <w:szCs w:val="20"/>
              </w:rPr>
              <w:t>7.“三本账”清算</w:t>
            </w:r>
          </w:p>
          <w:p>
            <w:pPr>
              <w:spacing w:line="440" w:lineRule="exact"/>
              <w:ind w:firstLine="480" w:firstLineChars="200"/>
              <w:rPr>
                <w:sz w:val="24"/>
                <w:u w:val="single"/>
              </w:rPr>
            </w:pPr>
            <w:r>
              <w:rPr>
                <w:sz w:val="24"/>
              </w:rPr>
              <w:t>现有工程与本项目“三废”排放情况见下表。</w:t>
            </w:r>
          </w:p>
          <w:p>
            <w:pPr>
              <w:spacing w:line="440" w:lineRule="exact"/>
              <w:ind w:firstLine="480" w:firstLineChars="200"/>
              <w:rPr>
                <w:rFonts w:eastAsia="黑体"/>
                <w:sz w:val="24"/>
              </w:rPr>
            </w:pPr>
            <w:r>
              <w:rPr>
                <w:rFonts w:eastAsia="黑体"/>
                <w:sz w:val="24"/>
              </w:rPr>
              <w:t>表4-</w:t>
            </w:r>
            <w:r>
              <w:rPr>
                <w:rFonts w:hint="eastAsia" w:eastAsia="黑体"/>
                <w:sz w:val="24"/>
                <w:lang w:val="en-US" w:eastAsia="zh-CN"/>
              </w:rPr>
              <w:t>10</w:t>
            </w:r>
            <w:r>
              <w:rPr>
                <w:rFonts w:eastAsia="黑体"/>
                <w:sz w:val="24"/>
              </w:rPr>
              <w:t xml:space="preserve">          现有工程与本项目排放情况一览表      单位：t/a</w:t>
            </w:r>
          </w:p>
          <w:tbl>
            <w:tblPr>
              <w:tblStyle w:val="1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282"/>
              <w:gridCol w:w="1056"/>
              <w:gridCol w:w="934"/>
              <w:gridCol w:w="1319"/>
              <w:gridCol w:w="1544"/>
              <w:gridCol w:w="1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 w:hRule="atLeast"/>
                <w:jc w:val="center"/>
              </w:trPr>
              <w:tc>
                <w:tcPr>
                  <w:tcW w:w="460" w:type="pct"/>
                  <w:tcBorders>
                    <w:top w:val="single" w:color="auto" w:sz="6" w:space="0"/>
                    <w:left w:val="single" w:color="auto" w:sz="6" w:space="0"/>
                    <w:right w:val="single" w:color="auto" w:sz="6" w:space="0"/>
                  </w:tcBorders>
                  <w:vAlign w:val="center"/>
                </w:tcPr>
                <w:p>
                  <w:pPr>
                    <w:spacing w:line="320" w:lineRule="exact"/>
                    <w:jc w:val="center"/>
                    <w:rPr>
                      <w:szCs w:val="21"/>
                    </w:rPr>
                  </w:pPr>
                  <w:r>
                    <w:rPr>
                      <w:szCs w:val="21"/>
                    </w:rPr>
                    <w:t>类别</w:t>
                  </w:r>
                </w:p>
              </w:tc>
              <w:tc>
                <w:tcPr>
                  <w:tcW w:w="808" w:type="pct"/>
                  <w:tcBorders>
                    <w:top w:val="single" w:color="auto" w:sz="6" w:space="0"/>
                    <w:left w:val="single" w:color="auto" w:sz="6" w:space="0"/>
                    <w:right w:val="single" w:color="auto" w:sz="6" w:space="0"/>
                  </w:tcBorders>
                  <w:vAlign w:val="center"/>
                </w:tcPr>
                <w:p>
                  <w:pPr>
                    <w:spacing w:line="320" w:lineRule="exact"/>
                    <w:jc w:val="center"/>
                    <w:rPr>
                      <w:szCs w:val="21"/>
                    </w:rPr>
                  </w:pPr>
                  <w:r>
                    <w:rPr>
                      <w:szCs w:val="21"/>
                    </w:rPr>
                    <w:t>污染物</w:t>
                  </w:r>
                </w:p>
              </w:tc>
              <w:tc>
                <w:tcPr>
                  <w:tcW w:w="665" w:type="pct"/>
                  <w:tcBorders>
                    <w:top w:val="single" w:color="auto" w:sz="6" w:space="0"/>
                    <w:left w:val="single" w:color="auto" w:sz="6" w:space="0"/>
                    <w:right w:val="single" w:color="auto" w:sz="6" w:space="0"/>
                  </w:tcBorders>
                  <w:vAlign w:val="center"/>
                </w:tcPr>
                <w:p>
                  <w:pPr>
                    <w:spacing w:line="320" w:lineRule="exact"/>
                    <w:jc w:val="center"/>
                    <w:rPr>
                      <w:szCs w:val="21"/>
                    </w:rPr>
                  </w:pPr>
                  <w:r>
                    <w:rPr>
                      <w:rFonts w:hint="eastAsia"/>
                      <w:szCs w:val="21"/>
                    </w:rPr>
                    <w:t>现有工程排放量</w:t>
                  </w:r>
                </w:p>
              </w:tc>
              <w:tc>
                <w:tcPr>
                  <w:tcW w:w="589" w:type="pct"/>
                  <w:tcBorders>
                    <w:top w:val="single" w:color="auto" w:sz="6" w:space="0"/>
                    <w:left w:val="single" w:color="auto" w:sz="6" w:space="0"/>
                    <w:right w:val="single" w:color="auto" w:sz="6" w:space="0"/>
                  </w:tcBorders>
                  <w:vAlign w:val="center"/>
                </w:tcPr>
                <w:p>
                  <w:pPr>
                    <w:spacing w:line="320" w:lineRule="exact"/>
                    <w:jc w:val="center"/>
                    <w:rPr>
                      <w:szCs w:val="21"/>
                    </w:rPr>
                  </w:pPr>
                  <w:r>
                    <w:rPr>
                      <w:rFonts w:hint="eastAsia"/>
                      <w:szCs w:val="21"/>
                    </w:rPr>
                    <w:t>本项目</w:t>
                  </w:r>
                </w:p>
                <w:p>
                  <w:pPr>
                    <w:spacing w:line="320" w:lineRule="exact"/>
                    <w:jc w:val="center"/>
                    <w:rPr>
                      <w:szCs w:val="21"/>
                    </w:rPr>
                  </w:pPr>
                  <w:r>
                    <w:rPr>
                      <w:szCs w:val="21"/>
                    </w:rPr>
                    <w:t>排放量</w:t>
                  </w:r>
                </w:p>
              </w:tc>
              <w:tc>
                <w:tcPr>
                  <w:tcW w:w="831" w:type="pct"/>
                  <w:tcBorders>
                    <w:top w:val="single" w:color="auto" w:sz="6" w:space="0"/>
                    <w:left w:val="single" w:color="auto" w:sz="6" w:space="0"/>
                    <w:right w:val="single" w:color="auto" w:sz="6" w:space="0"/>
                  </w:tcBorders>
                  <w:vAlign w:val="center"/>
                </w:tcPr>
                <w:p>
                  <w:pPr>
                    <w:spacing w:line="320" w:lineRule="exact"/>
                    <w:jc w:val="center"/>
                    <w:rPr>
                      <w:szCs w:val="21"/>
                    </w:rPr>
                  </w:pPr>
                  <w:r>
                    <w:rPr>
                      <w:rFonts w:hint="eastAsia"/>
                      <w:szCs w:val="21"/>
                    </w:rPr>
                    <w:t>以新带老消减量</w:t>
                  </w:r>
                </w:p>
              </w:tc>
              <w:tc>
                <w:tcPr>
                  <w:tcW w:w="973" w:type="pct"/>
                  <w:tcBorders>
                    <w:top w:val="single" w:color="auto" w:sz="6" w:space="0"/>
                    <w:left w:val="single" w:color="auto" w:sz="6" w:space="0"/>
                    <w:right w:val="single" w:color="auto" w:sz="6" w:space="0"/>
                  </w:tcBorders>
                  <w:vAlign w:val="center"/>
                </w:tcPr>
                <w:p>
                  <w:pPr>
                    <w:spacing w:line="320" w:lineRule="exact"/>
                    <w:jc w:val="center"/>
                    <w:rPr>
                      <w:szCs w:val="21"/>
                    </w:rPr>
                  </w:pPr>
                  <w:r>
                    <w:rPr>
                      <w:rFonts w:hint="eastAsia"/>
                      <w:szCs w:val="21"/>
                    </w:rPr>
                    <w:t>本项目建</w:t>
                  </w:r>
                  <w:r>
                    <w:rPr>
                      <w:szCs w:val="21"/>
                    </w:rPr>
                    <w:t>成后</w:t>
                  </w:r>
                  <w:r>
                    <w:rPr>
                      <w:rFonts w:hint="eastAsia"/>
                      <w:szCs w:val="21"/>
                    </w:rPr>
                    <w:t>全厂</w:t>
                  </w:r>
                  <w:r>
                    <w:rPr>
                      <w:szCs w:val="21"/>
                    </w:rPr>
                    <w:t>排放量</w:t>
                  </w:r>
                </w:p>
              </w:tc>
              <w:tc>
                <w:tcPr>
                  <w:tcW w:w="670" w:type="pct"/>
                  <w:tcBorders>
                    <w:top w:val="single" w:color="auto" w:sz="6" w:space="0"/>
                    <w:left w:val="single" w:color="auto" w:sz="6" w:space="0"/>
                    <w:right w:val="single" w:color="auto" w:sz="6" w:space="0"/>
                  </w:tcBorders>
                  <w:vAlign w:val="center"/>
                </w:tcPr>
                <w:p>
                  <w:pPr>
                    <w:spacing w:line="320" w:lineRule="exact"/>
                    <w:jc w:val="center"/>
                    <w:rPr>
                      <w:szCs w:val="21"/>
                    </w:rPr>
                  </w:pPr>
                  <w:r>
                    <w:rPr>
                      <w:szCs w:val="21"/>
                    </w:rPr>
                    <w:t>增减量</w:t>
                  </w:r>
                </w:p>
                <w:p>
                  <w:pPr>
                    <w:spacing w:line="320" w:lineRule="exact"/>
                    <w:jc w:val="center"/>
                    <w:rPr>
                      <w:szCs w:val="21"/>
                    </w:rPr>
                  </w:pPr>
                  <w:r>
                    <w:rPr>
                      <w:szCs w:val="21"/>
                    </w:rPr>
                    <w:t>变化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460" w:type="pct"/>
                  <w:tcBorders>
                    <w:top w:val="single" w:color="auto" w:sz="6" w:space="0"/>
                    <w:left w:val="single" w:color="auto" w:sz="6" w:space="0"/>
                    <w:right w:val="single" w:color="auto" w:sz="6" w:space="0"/>
                  </w:tcBorders>
                  <w:vAlign w:val="center"/>
                </w:tcPr>
                <w:p>
                  <w:pPr>
                    <w:spacing w:line="320" w:lineRule="exact"/>
                    <w:jc w:val="center"/>
                    <w:rPr>
                      <w:szCs w:val="21"/>
                    </w:rPr>
                  </w:pPr>
                  <w:r>
                    <w:rPr>
                      <w:szCs w:val="21"/>
                    </w:rPr>
                    <w:t>废气</w:t>
                  </w:r>
                </w:p>
              </w:tc>
              <w:tc>
                <w:tcPr>
                  <w:tcW w:w="808"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非甲烷总烃</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0.1022</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0.1022</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9" w:hRule="atLeast"/>
                <w:jc w:val="center"/>
              </w:trPr>
              <w:tc>
                <w:tcPr>
                  <w:tcW w:w="460" w:type="pct"/>
                  <w:vMerge w:val="restart"/>
                  <w:tcBorders>
                    <w:top w:val="single" w:color="auto" w:sz="6" w:space="0"/>
                    <w:left w:val="single" w:color="auto" w:sz="6" w:space="0"/>
                    <w:right w:val="single" w:color="auto" w:sz="6" w:space="0"/>
                  </w:tcBorders>
                  <w:vAlign w:val="center"/>
                </w:tcPr>
                <w:p>
                  <w:pPr>
                    <w:widowControl/>
                    <w:spacing w:line="320" w:lineRule="exact"/>
                    <w:jc w:val="center"/>
                    <w:rPr>
                      <w:szCs w:val="21"/>
                    </w:rPr>
                  </w:pPr>
                  <w:r>
                    <w:rPr>
                      <w:szCs w:val="21"/>
                    </w:rPr>
                    <w:t>废水</w:t>
                  </w:r>
                </w:p>
              </w:tc>
              <w:tc>
                <w:tcPr>
                  <w:tcW w:w="808"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vertAlign w:val="subscript"/>
                    </w:rPr>
                  </w:pPr>
                  <w:r>
                    <w:rPr>
                      <w:szCs w:val="21"/>
                    </w:rPr>
                    <w:t>COD</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0.0054</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0.134</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0.0054</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0.134</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+0.1286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460" w:type="pct"/>
                  <w:vMerge w:val="continue"/>
                  <w:tcBorders>
                    <w:left w:val="single" w:color="auto" w:sz="6" w:space="0"/>
                    <w:right w:val="single" w:color="auto" w:sz="6" w:space="0"/>
                  </w:tcBorders>
                  <w:vAlign w:val="center"/>
                </w:tcPr>
                <w:p>
                  <w:pPr>
                    <w:widowControl/>
                    <w:spacing w:line="320" w:lineRule="exact"/>
                    <w:jc w:val="center"/>
                    <w:rPr>
                      <w:szCs w:val="21"/>
                    </w:rPr>
                  </w:pPr>
                </w:p>
              </w:tc>
              <w:tc>
                <w:tcPr>
                  <w:tcW w:w="808"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SS</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0.0012</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0.048</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0.0012</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0.048</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460" w:type="pct"/>
                  <w:vMerge w:val="continue"/>
                  <w:tcBorders>
                    <w:left w:val="single" w:color="auto" w:sz="6" w:space="0"/>
                    <w:right w:val="single" w:color="auto" w:sz="6" w:space="0"/>
                  </w:tcBorders>
                  <w:vAlign w:val="center"/>
                </w:tcPr>
                <w:p>
                  <w:pPr>
                    <w:widowControl/>
                    <w:spacing w:line="320" w:lineRule="exact"/>
                    <w:jc w:val="center"/>
                    <w:rPr>
                      <w:szCs w:val="21"/>
                    </w:rPr>
                  </w:pPr>
                </w:p>
              </w:tc>
              <w:tc>
                <w:tcPr>
                  <w:tcW w:w="808"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szCs w:val="21"/>
                    </w:rPr>
                    <w:t>氨氮</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0.00059</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0.014</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0.00059</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0.014</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+0.01341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460" w:type="pct"/>
                  <w:vMerge w:val="restart"/>
                  <w:tcBorders>
                    <w:left w:val="single" w:color="auto" w:sz="6" w:space="0"/>
                    <w:right w:val="single" w:color="auto" w:sz="6" w:space="0"/>
                  </w:tcBorders>
                  <w:vAlign w:val="center"/>
                </w:tcPr>
                <w:p>
                  <w:pPr>
                    <w:widowControl/>
                    <w:spacing w:line="320" w:lineRule="exact"/>
                    <w:jc w:val="center"/>
                    <w:rPr>
                      <w:sz w:val="13"/>
                      <w:szCs w:val="13"/>
                    </w:rPr>
                  </w:pPr>
                  <w:r>
                    <w:rPr>
                      <w:szCs w:val="21"/>
                    </w:rPr>
                    <w:t>固废</w:t>
                  </w:r>
                </w:p>
              </w:tc>
              <w:tc>
                <w:tcPr>
                  <w:tcW w:w="808" w:type="pct"/>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Cs w:val="21"/>
                    </w:rPr>
                  </w:pPr>
                  <w:r>
                    <w:rPr>
                      <w:szCs w:val="21"/>
                    </w:rPr>
                    <w:t>生活垃圾</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0.3</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7.5</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0.3</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7.5</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460" w:type="pct"/>
                  <w:vMerge w:val="continue"/>
                  <w:tcBorders>
                    <w:left w:val="single" w:color="auto" w:sz="6" w:space="0"/>
                    <w:right w:val="single" w:color="auto" w:sz="6" w:space="0"/>
                  </w:tcBorders>
                  <w:vAlign w:val="center"/>
                </w:tcPr>
                <w:p>
                  <w:pPr>
                    <w:widowControl/>
                    <w:spacing w:line="320" w:lineRule="exact"/>
                    <w:jc w:val="center"/>
                    <w:rPr>
                      <w:szCs w:val="21"/>
                    </w:rPr>
                  </w:pPr>
                </w:p>
              </w:tc>
              <w:tc>
                <w:tcPr>
                  <w:tcW w:w="808" w:type="pct"/>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Cs w:val="21"/>
                    </w:rPr>
                  </w:pPr>
                  <w:r>
                    <w:rPr>
                      <w:rFonts w:hint="eastAsia"/>
                      <w:szCs w:val="21"/>
                    </w:rPr>
                    <w:t>废边角料</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3.1</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3.1</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9" w:hRule="atLeast"/>
                <w:jc w:val="center"/>
              </w:trPr>
              <w:tc>
                <w:tcPr>
                  <w:tcW w:w="460" w:type="pct"/>
                  <w:vMerge w:val="continue"/>
                  <w:tcBorders>
                    <w:left w:val="single" w:color="auto" w:sz="6" w:space="0"/>
                    <w:right w:val="single" w:color="auto" w:sz="6" w:space="0"/>
                  </w:tcBorders>
                  <w:vAlign w:val="center"/>
                </w:tcPr>
                <w:p>
                  <w:pPr>
                    <w:widowControl/>
                    <w:spacing w:line="320" w:lineRule="exact"/>
                    <w:jc w:val="center"/>
                    <w:rPr>
                      <w:szCs w:val="21"/>
                    </w:rPr>
                  </w:pPr>
                </w:p>
              </w:tc>
              <w:tc>
                <w:tcPr>
                  <w:tcW w:w="808" w:type="pct"/>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Cs w:val="21"/>
                    </w:rPr>
                  </w:pPr>
                  <w:r>
                    <w:rPr>
                      <w:rFonts w:hint="eastAsia"/>
                      <w:szCs w:val="21"/>
                    </w:rPr>
                    <w:t>废活性炭</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0.4</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0.4</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9" w:hRule="atLeast"/>
                <w:jc w:val="center"/>
              </w:trPr>
              <w:tc>
                <w:tcPr>
                  <w:tcW w:w="460" w:type="pct"/>
                  <w:vMerge w:val="continue"/>
                  <w:tcBorders>
                    <w:left w:val="single" w:color="auto" w:sz="6" w:space="0"/>
                    <w:right w:val="single" w:color="auto" w:sz="6" w:space="0"/>
                  </w:tcBorders>
                  <w:vAlign w:val="center"/>
                </w:tcPr>
                <w:p>
                  <w:pPr>
                    <w:widowControl/>
                    <w:spacing w:line="320" w:lineRule="exact"/>
                    <w:jc w:val="center"/>
                    <w:rPr>
                      <w:szCs w:val="21"/>
                    </w:rPr>
                  </w:pPr>
                </w:p>
              </w:tc>
              <w:tc>
                <w:tcPr>
                  <w:tcW w:w="808" w:type="pct"/>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Cs w:val="21"/>
                    </w:rPr>
                  </w:pPr>
                  <w:r>
                    <w:rPr>
                      <w:rFonts w:hint="eastAsia"/>
                      <w:szCs w:val="21"/>
                    </w:rPr>
                    <w:t>废UV灯管</w:t>
                  </w:r>
                </w:p>
              </w:tc>
              <w:tc>
                <w:tcPr>
                  <w:tcW w:w="665"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589"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lang w:val="en-US" w:eastAsia="zh-CN"/>
                    </w:rPr>
                    <w:t>48</w:t>
                  </w:r>
                  <w:r>
                    <w:rPr>
                      <w:rFonts w:hint="eastAsia"/>
                      <w:szCs w:val="21"/>
                    </w:rPr>
                    <w:t>根/a</w:t>
                  </w:r>
                </w:p>
              </w:tc>
              <w:tc>
                <w:tcPr>
                  <w:tcW w:w="831"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kern w:val="0"/>
                      <w:szCs w:val="21"/>
                    </w:rPr>
                  </w:pPr>
                  <w:r>
                    <w:rPr>
                      <w:rFonts w:hint="eastAsia"/>
                      <w:kern w:val="0"/>
                      <w:szCs w:val="21"/>
                    </w:rPr>
                    <w:t>0</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lang w:val="en-US" w:eastAsia="zh-CN"/>
                    </w:rPr>
                    <w:t>48</w:t>
                  </w:r>
                  <w:r>
                    <w:rPr>
                      <w:rFonts w:hint="eastAsia"/>
                      <w:szCs w:val="21"/>
                    </w:rPr>
                    <w:t>根/a</w:t>
                  </w:r>
                </w:p>
              </w:tc>
              <w:tc>
                <w:tcPr>
                  <w:tcW w:w="670" w:type="pct"/>
                  <w:tcBorders>
                    <w:top w:val="single" w:color="auto" w:sz="6" w:space="0"/>
                    <w:left w:val="single" w:color="auto" w:sz="6" w:space="0"/>
                    <w:bottom w:val="single" w:color="auto" w:sz="6" w:space="0"/>
                    <w:right w:val="single" w:color="auto" w:sz="6" w:space="0"/>
                  </w:tcBorders>
                  <w:vAlign w:val="center"/>
                </w:tcPr>
                <w:p>
                  <w:pPr>
                    <w:spacing w:line="320" w:lineRule="exact"/>
                    <w:jc w:val="center"/>
                    <w:rPr>
                      <w:szCs w:val="21"/>
                    </w:rPr>
                  </w:pPr>
                  <w:r>
                    <w:rPr>
                      <w:rFonts w:hint="eastAsia"/>
                      <w:szCs w:val="21"/>
                    </w:rPr>
                    <w:t>+</w:t>
                  </w:r>
                  <w:r>
                    <w:rPr>
                      <w:rFonts w:hint="eastAsia"/>
                      <w:szCs w:val="21"/>
                      <w:lang w:val="en-US" w:eastAsia="zh-CN"/>
                    </w:rPr>
                    <w:t>48</w:t>
                  </w:r>
                  <w:r>
                    <w:rPr>
                      <w:rFonts w:hint="eastAsia"/>
                      <w:szCs w:val="21"/>
                    </w:rPr>
                    <w:t>根/a</w:t>
                  </w:r>
                </w:p>
              </w:tc>
            </w:tr>
          </w:tbl>
          <w:p>
            <w:pPr>
              <w:spacing w:line="360" w:lineRule="auto"/>
              <w:rPr>
                <w:rFonts w:ascii="宋体" w:hAnsi="宋体" w:cs="宋体"/>
                <w:sz w:val="24"/>
              </w:rPr>
            </w:pPr>
          </w:p>
          <w:p>
            <w:pPr>
              <w:pStyle w:val="6"/>
              <w:adjustRightInd w:val="0"/>
              <w:snapToGrid w:val="0"/>
              <w:spacing w:after="0" w:line="360" w:lineRule="auto"/>
              <w:ind w:left="0" w:leftChars="0"/>
              <w:rPr>
                <w:rFonts w:ascii="宋体" w:hAnsi="宋体" w:cs="宋体"/>
                <w:b/>
              </w:rPr>
            </w:pPr>
            <w:r>
              <w:rPr>
                <w:rFonts w:hint="eastAsia" w:ascii="宋体" w:hAnsi="宋体" w:cs="宋体"/>
                <w:b/>
              </w:rPr>
              <w:t>8.环保措施及投资估算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本项目总投资为</w:t>
            </w:r>
            <w:r>
              <w:rPr>
                <w:rFonts w:ascii="宋体" w:hAnsi="宋体" w:cs="宋体"/>
                <w:sz w:val="24"/>
              </w:rPr>
              <w:t>100</w:t>
            </w:r>
            <w:r>
              <w:rPr>
                <w:rFonts w:hint="eastAsia" w:ascii="宋体" w:hAnsi="宋体" w:cs="宋体"/>
                <w:sz w:val="24"/>
              </w:rPr>
              <w:t>万元，其中环保投资为6万元，占总投资的6%，具体环保投资估算见下表。</w:t>
            </w:r>
          </w:p>
          <w:p>
            <w:pPr>
              <w:jc w:val="center"/>
              <w:rPr>
                <w:rFonts w:eastAsia="黑体"/>
                <w:sz w:val="24"/>
              </w:rPr>
            </w:pPr>
            <w:r>
              <w:rPr>
                <w:rFonts w:eastAsia="黑体"/>
                <w:sz w:val="24"/>
              </w:rPr>
              <w:t>表4-</w:t>
            </w:r>
            <w:r>
              <w:rPr>
                <w:rFonts w:hint="eastAsia" w:eastAsia="黑体"/>
                <w:sz w:val="24"/>
              </w:rPr>
              <w:t>1</w:t>
            </w:r>
            <w:r>
              <w:rPr>
                <w:rFonts w:hint="eastAsia" w:eastAsia="黑体"/>
                <w:sz w:val="24"/>
                <w:lang w:val="en-US" w:eastAsia="zh-CN"/>
              </w:rPr>
              <w:t>1</w:t>
            </w:r>
            <w:r>
              <w:rPr>
                <w:rFonts w:eastAsia="黑体"/>
                <w:sz w:val="24"/>
              </w:rPr>
              <w:t xml:space="preserve">  环保措施与投资一览表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75"/>
              <w:gridCol w:w="388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01" w:type="dxa"/>
                  <w:gridSpan w:val="2"/>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产污工序</w:t>
                  </w:r>
                </w:p>
              </w:tc>
              <w:tc>
                <w:tcPr>
                  <w:tcW w:w="388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环保设施名称</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投资额</w:t>
                  </w:r>
                </w:p>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kern w:val="28"/>
                      <w:szCs w:val="21"/>
                    </w:rPr>
                  </w:pPr>
                  <w:r>
                    <w:rPr>
                      <w:rFonts w:hint="eastAsia"/>
                      <w:color w:val="000000"/>
                      <w:kern w:val="28"/>
                      <w:szCs w:val="21"/>
                    </w:rPr>
                    <w:t>废气</w:t>
                  </w:r>
                </w:p>
              </w:tc>
              <w:tc>
                <w:tcPr>
                  <w:tcW w:w="1875"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剪裁、调墨、印刷工序</w:t>
                  </w:r>
                </w:p>
              </w:tc>
              <w:tc>
                <w:tcPr>
                  <w:tcW w:w="388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left"/>
                    <w:rPr>
                      <w:rFonts w:ascii="Times New Roman" w:hAnsi="Times New Roman"/>
                      <w:sz w:val="21"/>
                      <w:szCs w:val="21"/>
                    </w:rPr>
                  </w:pPr>
                  <w:r>
                    <w:rPr>
                      <w:rFonts w:hint="eastAsia" w:ascii="Times New Roman" w:hAnsi="Times New Roman"/>
                      <w:sz w:val="21"/>
                      <w:szCs w:val="21"/>
                    </w:rPr>
                    <w:t>印刷机设置二次密闭间，</w:t>
                  </w:r>
                  <w:r>
                    <w:rPr>
                      <w:rFonts w:hint="eastAsia" w:ascii="Times New Roman" w:hAnsi="Times New Roman"/>
                      <w:color w:val="000000"/>
                      <w:sz w:val="21"/>
                      <w:szCs w:val="21"/>
                    </w:rPr>
                    <w:t>剪裁、调墨、印刷工序设置</w:t>
                  </w:r>
                  <w:r>
                    <w:rPr>
                      <w:rFonts w:hint="eastAsia" w:ascii="Times New Roman" w:hAnsi="Times New Roman"/>
                      <w:sz w:val="21"/>
                      <w:szCs w:val="21"/>
                    </w:rPr>
                    <w:t>集气罩+UV光氧+活性炭吸附装置+</w:t>
                  </w:r>
                  <w:r>
                    <w:rPr>
                      <w:rFonts w:ascii="Times New Roman" w:hAnsi="Times New Roman"/>
                      <w:sz w:val="21"/>
                      <w:szCs w:val="21"/>
                    </w:rPr>
                    <w:t>15</w:t>
                  </w:r>
                  <w:r>
                    <w:rPr>
                      <w:rFonts w:hint="eastAsia" w:ascii="Times New Roman" w:hAnsi="Times New Roman"/>
                      <w:sz w:val="21"/>
                      <w:szCs w:val="21"/>
                    </w:rPr>
                    <w:t>m高排气筒</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废水</w:t>
                  </w:r>
                </w:p>
              </w:tc>
              <w:tc>
                <w:tcPr>
                  <w:tcW w:w="187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jc w:val="center"/>
                    <w:rPr>
                      <w:rFonts w:ascii="Times New Roman" w:hAnsi="Times New Roman"/>
                      <w:bCs/>
                      <w:color w:val="000000"/>
                      <w:szCs w:val="21"/>
                    </w:rPr>
                  </w:pPr>
                  <w:r>
                    <w:rPr>
                      <w:rFonts w:ascii="Times New Roman" w:hAnsi="Times New Roman"/>
                      <w:bCs/>
                      <w:color w:val="000000"/>
                      <w:szCs w:val="21"/>
                    </w:rPr>
                    <w:t>生活污水</w:t>
                  </w:r>
                </w:p>
              </w:tc>
              <w:tc>
                <w:tcPr>
                  <w:tcW w:w="388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jc w:val="center"/>
                    <w:rPr>
                      <w:rFonts w:ascii="Times New Roman" w:hAnsi="Times New Roman"/>
                      <w:bCs/>
                      <w:color w:val="000000"/>
                      <w:szCs w:val="21"/>
                    </w:rPr>
                  </w:pPr>
                  <w:r>
                    <w:rPr>
                      <w:rFonts w:hint="eastAsia" w:ascii="Times New Roman" w:hAnsi="Times New Roman"/>
                      <w:bCs/>
                      <w:color w:val="000000"/>
                      <w:szCs w:val="21"/>
                    </w:rPr>
                    <w:t>厂区</w:t>
                  </w:r>
                  <w:r>
                    <w:rPr>
                      <w:rFonts w:ascii="Times New Roman" w:hAnsi="Times New Roman"/>
                      <w:bCs/>
                      <w:color w:val="000000"/>
                      <w:szCs w:val="21"/>
                    </w:rPr>
                    <w:t>化粪池（依托现有）</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噪声</w:t>
                  </w:r>
                </w:p>
              </w:tc>
              <w:tc>
                <w:tcPr>
                  <w:tcW w:w="1875"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产生噪声各设备</w:t>
                  </w:r>
                </w:p>
              </w:tc>
              <w:tc>
                <w:tcPr>
                  <w:tcW w:w="388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sz w:val="21"/>
                      <w:szCs w:val="21"/>
                    </w:rPr>
                    <w:t>基础减震和厂房隔声</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926" w:type="dxa"/>
                  <w:vMerge w:val="restart"/>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一般固体废物</w:t>
                  </w:r>
                </w:p>
              </w:tc>
              <w:tc>
                <w:tcPr>
                  <w:tcW w:w="1875"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hint="eastAsia" w:ascii="Times New Roman" w:hAnsi="Times New Roman"/>
                      <w:bCs/>
                      <w:color w:val="000000"/>
                      <w:sz w:val="21"/>
                      <w:szCs w:val="21"/>
                    </w:rPr>
                    <w:t>废边角料</w:t>
                  </w:r>
                </w:p>
              </w:tc>
              <w:tc>
                <w:tcPr>
                  <w:tcW w:w="3887" w:type="dxa"/>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一般固废暂存区</w:t>
                  </w:r>
                  <w:r>
                    <w:rPr>
                      <w:rFonts w:hint="eastAsia" w:ascii="Times New Roman" w:hAnsi="Times New Roman"/>
                      <w:bCs/>
                      <w:color w:val="000000"/>
                      <w:sz w:val="21"/>
                      <w:szCs w:val="21"/>
                    </w:rPr>
                    <w:t>24</w:t>
                  </w:r>
                  <w:r>
                    <w:rPr>
                      <w:rFonts w:ascii="Times New Roman" w:hAnsi="Times New Roman"/>
                      <w:bCs/>
                      <w:color w:val="000000"/>
                      <w:sz w:val="21"/>
                      <w:szCs w:val="21"/>
                    </w:rPr>
                    <w:t>m</w:t>
                  </w:r>
                  <w:r>
                    <w:rPr>
                      <w:rFonts w:ascii="Times New Roman" w:hAnsi="Times New Roman"/>
                      <w:bCs/>
                      <w:color w:val="000000"/>
                      <w:sz w:val="21"/>
                      <w:szCs w:val="21"/>
                      <w:vertAlign w:val="superscript"/>
                    </w:rPr>
                    <w:t>2</w:t>
                  </w:r>
                </w:p>
              </w:tc>
              <w:tc>
                <w:tcPr>
                  <w:tcW w:w="1247" w:type="dxa"/>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6" w:type="dxa"/>
                  <w:vMerge w:val="continue"/>
                  <w:tcBorders>
                    <w:left w:val="single" w:color="auto" w:sz="4" w:space="0"/>
                    <w:bottom w:val="single" w:color="auto" w:sz="4" w:space="0"/>
                    <w:right w:val="single" w:color="auto" w:sz="4" w:space="0"/>
                  </w:tcBorders>
                  <w:vAlign w:val="center"/>
                </w:tcPr>
                <w:p>
                  <w:pPr>
                    <w:widowControl/>
                    <w:spacing w:line="360" w:lineRule="exact"/>
                    <w:jc w:val="left"/>
                    <w:rPr>
                      <w:bCs/>
                      <w:color w:val="000000"/>
                      <w:kern w:val="28"/>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生活垃圾</w:t>
                  </w:r>
                </w:p>
              </w:tc>
              <w:tc>
                <w:tcPr>
                  <w:tcW w:w="388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垃圾桶若干</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926" w:type="dxa"/>
                  <w:vMerge w:val="restart"/>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危险废物</w:t>
                  </w:r>
                </w:p>
              </w:tc>
              <w:tc>
                <w:tcPr>
                  <w:tcW w:w="1875" w:type="dxa"/>
                  <w:tcBorders>
                    <w:top w:val="single" w:color="auto" w:sz="4" w:space="0"/>
                    <w:left w:val="single" w:color="auto" w:sz="4" w:space="0"/>
                    <w:right w:val="single" w:color="auto" w:sz="4" w:space="0"/>
                  </w:tcBorders>
                  <w:vAlign w:val="center"/>
                </w:tcPr>
                <w:p>
                  <w:pPr>
                    <w:pStyle w:val="46"/>
                    <w:snapToGrid w:val="0"/>
                    <w:spacing w:line="360" w:lineRule="exact"/>
                    <w:ind w:firstLine="420"/>
                    <w:rPr>
                      <w:rFonts w:ascii="Times New Roman" w:hAnsi="Times New Roman"/>
                      <w:bCs/>
                      <w:color w:val="000000"/>
                      <w:sz w:val="21"/>
                      <w:szCs w:val="21"/>
                    </w:rPr>
                  </w:pPr>
                  <w:r>
                    <w:rPr>
                      <w:rFonts w:hint="eastAsia" w:ascii="Times New Roman" w:hAnsi="Times New Roman"/>
                      <w:bCs/>
                      <w:color w:val="000000"/>
                      <w:sz w:val="21"/>
                      <w:szCs w:val="21"/>
                    </w:rPr>
                    <w:t>废活性炭</w:t>
                  </w:r>
                </w:p>
              </w:tc>
              <w:tc>
                <w:tcPr>
                  <w:tcW w:w="3887" w:type="dxa"/>
                  <w:vMerge w:val="restart"/>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sz w:val="21"/>
                      <w:szCs w:val="21"/>
                    </w:rPr>
                    <w:t>危废暂存间</w:t>
                  </w:r>
                  <w:r>
                    <w:rPr>
                      <w:rFonts w:ascii="Times New Roman" w:hAnsi="Times New Roman"/>
                      <w:bCs/>
                      <w:color w:val="000000"/>
                      <w:sz w:val="21"/>
                      <w:szCs w:val="21"/>
                    </w:rPr>
                    <w:t>1</w:t>
                  </w:r>
                  <w:r>
                    <w:rPr>
                      <w:rFonts w:hint="eastAsia" w:ascii="Times New Roman" w:hAnsi="Times New Roman"/>
                      <w:bCs/>
                      <w:color w:val="000000"/>
                      <w:sz w:val="21"/>
                      <w:szCs w:val="21"/>
                    </w:rPr>
                    <w:t>0</w:t>
                  </w:r>
                  <w:r>
                    <w:rPr>
                      <w:rFonts w:ascii="Times New Roman" w:hAnsi="Times New Roman"/>
                      <w:bCs/>
                      <w:color w:val="000000"/>
                      <w:sz w:val="21"/>
                      <w:szCs w:val="21"/>
                    </w:rPr>
                    <w:t>m</w:t>
                  </w:r>
                  <w:r>
                    <w:rPr>
                      <w:rFonts w:ascii="Times New Roman" w:hAnsi="Times New Roman"/>
                      <w:bCs/>
                      <w:color w:val="000000"/>
                      <w:sz w:val="21"/>
                      <w:szCs w:val="21"/>
                      <w:vertAlign w:val="superscript"/>
                    </w:rPr>
                    <w:t>2</w:t>
                  </w:r>
                  <w:r>
                    <w:rPr>
                      <w:rFonts w:hint="eastAsia" w:ascii="Times New Roman" w:hAnsi="Times New Roman"/>
                      <w:bCs/>
                      <w:color w:val="000000"/>
                      <w:sz w:val="21"/>
                      <w:szCs w:val="21"/>
                    </w:rPr>
                    <w:t>（依托现有）</w:t>
                  </w:r>
                </w:p>
              </w:tc>
              <w:tc>
                <w:tcPr>
                  <w:tcW w:w="1247" w:type="dxa"/>
                  <w:vMerge w:val="restart"/>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hint="eastAsia" w:ascii="Times New Roman" w:hAnsi="Times New Roman"/>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926" w:type="dxa"/>
                  <w:vMerge w:val="continue"/>
                  <w:tcBorders>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p>
              </w:tc>
              <w:tc>
                <w:tcPr>
                  <w:tcW w:w="1875" w:type="dxa"/>
                  <w:tcBorders>
                    <w:top w:val="single" w:color="auto" w:sz="4" w:space="0"/>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hint="eastAsia" w:ascii="Times New Roman" w:hAnsi="Times New Roman"/>
                      <w:bCs/>
                      <w:color w:val="000000"/>
                      <w:sz w:val="21"/>
                      <w:szCs w:val="21"/>
                    </w:rPr>
                    <w:t>废UV灯管</w:t>
                  </w:r>
                </w:p>
              </w:tc>
              <w:tc>
                <w:tcPr>
                  <w:tcW w:w="3887" w:type="dxa"/>
                  <w:vMerge w:val="continue"/>
                  <w:tcBorders>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sz w:val="21"/>
                      <w:szCs w:val="21"/>
                    </w:rPr>
                  </w:pPr>
                </w:p>
              </w:tc>
              <w:tc>
                <w:tcPr>
                  <w:tcW w:w="1247" w:type="dxa"/>
                  <w:vMerge w:val="continue"/>
                  <w:tcBorders>
                    <w:left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88" w:type="dxa"/>
                  <w:gridSpan w:val="3"/>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ascii="Times New Roman" w:hAnsi="Times New Roman"/>
                      <w:bCs/>
                      <w:color w:val="000000"/>
                      <w:sz w:val="21"/>
                      <w:szCs w:val="21"/>
                    </w:rPr>
                    <w:t>合  计</w:t>
                  </w:r>
                </w:p>
              </w:tc>
              <w:tc>
                <w:tcPr>
                  <w:tcW w:w="124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bCs/>
                      <w:color w:val="000000"/>
                      <w:sz w:val="21"/>
                      <w:szCs w:val="21"/>
                    </w:rPr>
                  </w:pPr>
                  <w:r>
                    <w:rPr>
                      <w:rFonts w:hint="eastAsia" w:ascii="Times New Roman" w:hAnsi="Times New Roman"/>
                      <w:bCs/>
                      <w:color w:val="000000"/>
                      <w:sz w:val="21"/>
                      <w:szCs w:val="21"/>
                    </w:rPr>
                    <w:t>6</w:t>
                  </w:r>
                </w:p>
              </w:tc>
            </w:tr>
          </w:tbl>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tc>
      </w:tr>
    </w:tbl>
    <w:p>
      <w:pPr>
        <w:adjustRightInd w:val="0"/>
        <w:snapToGrid w:val="0"/>
        <w:spacing w:line="360" w:lineRule="auto"/>
        <w:rPr>
          <w:b/>
          <w:kern w:val="0"/>
          <w:sz w:val="28"/>
          <w:szCs w:val="28"/>
        </w:rPr>
        <w:sectPr>
          <w:pgSz w:w="11907" w:h="16840"/>
          <w:pgMar w:top="1531" w:right="1531" w:bottom="1531" w:left="1531" w:header="851" w:footer="964" w:gutter="0"/>
          <w:cols w:space="720" w:num="1"/>
          <w:docGrid w:linePitch="312" w:charSpace="0"/>
        </w:sectPr>
      </w:pPr>
    </w:p>
    <w:p>
      <w:pPr>
        <w:pStyle w:val="1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1" w:name="_Hlk54167917"/>
      <w:r>
        <w:rPr>
          <w:rFonts w:ascii="Times New Roman" w:hAnsi="Times New Roman" w:eastAsia="黑体"/>
          <w:snapToGrid w:val="0"/>
          <w:sz w:val="30"/>
          <w:szCs w:val="30"/>
        </w:rPr>
        <w:t>环境保护措施监督检查清单</w:t>
      </w:r>
      <w:bookmarkEnd w:id="1"/>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417"/>
        <w:gridCol w:w="1559"/>
        <w:gridCol w:w="1843"/>
        <w:gridCol w:w="2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tcBorders>
              <w:top w:val="single" w:color="auto" w:sz="8" w:space="0"/>
              <w:left w:val="single" w:color="auto" w:sz="8" w:space="0"/>
              <w:bottom w:val="single" w:color="auto" w:sz="4" w:space="0"/>
              <w:right w:val="single" w:color="auto" w:sz="4" w:space="0"/>
              <w:tl2br w:val="single" w:color="auto" w:sz="4" w:space="0"/>
            </w:tcBorders>
          </w:tcPr>
          <w:p>
            <w:pPr>
              <w:adjustRightInd w:val="0"/>
              <w:snapToGrid w:val="0"/>
              <w:spacing w:line="360" w:lineRule="exact"/>
              <w:ind w:firstLine="840"/>
              <w:rPr>
                <w:color w:val="000000"/>
                <w:szCs w:val="21"/>
              </w:rPr>
            </w:pPr>
            <w:r>
              <w:rPr>
                <w:color w:val="000000"/>
                <w:szCs w:val="21"/>
              </w:rPr>
              <w:t>内容</w:t>
            </w:r>
          </w:p>
          <w:p>
            <w:pPr>
              <w:adjustRightInd w:val="0"/>
              <w:snapToGrid w:val="0"/>
              <w:spacing w:line="360" w:lineRule="exact"/>
              <w:rPr>
                <w:color w:val="000000"/>
                <w:szCs w:val="21"/>
              </w:rPr>
            </w:pPr>
            <w:r>
              <w:rPr>
                <w:color w:val="000000"/>
                <w:szCs w:val="21"/>
              </w:rPr>
              <w:t>要素</w:t>
            </w:r>
          </w:p>
        </w:tc>
        <w:tc>
          <w:tcPr>
            <w:tcW w:w="1417"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排放口(编号、名称)/污染源</w:t>
            </w:r>
          </w:p>
        </w:tc>
        <w:tc>
          <w:tcPr>
            <w:tcW w:w="1559"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污染物项目</w:t>
            </w:r>
          </w:p>
        </w:tc>
        <w:tc>
          <w:tcPr>
            <w:tcW w:w="1843"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环境保护措施</w:t>
            </w:r>
          </w:p>
        </w:tc>
        <w:tc>
          <w:tcPr>
            <w:tcW w:w="2443"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exact"/>
              <w:jc w:val="center"/>
              <w:rPr>
                <w:color w:val="000000"/>
                <w:szCs w:val="21"/>
              </w:rPr>
            </w:pPr>
            <w:r>
              <w:rPr>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38" w:type="dxa"/>
            <w:vMerge w:val="restart"/>
            <w:tcBorders>
              <w:left w:val="single" w:color="auto" w:sz="8" w:space="0"/>
              <w:right w:val="single" w:color="auto" w:sz="4" w:space="0"/>
            </w:tcBorders>
            <w:vAlign w:val="center"/>
          </w:tcPr>
          <w:p>
            <w:pPr>
              <w:widowControl/>
              <w:spacing w:line="360" w:lineRule="exact"/>
              <w:jc w:val="left"/>
              <w:rPr>
                <w:color w:val="000000"/>
                <w:szCs w:val="21"/>
              </w:rPr>
            </w:pPr>
            <w:r>
              <w:rPr>
                <w:rFonts w:hint="eastAsia"/>
                <w:color w:val="000000"/>
                <w:szCs w:val="21"/>
              </w:rPr>
              <w:t>大气环境</w:t>
            </w:r>
          </w:p>
        </w:tc>
        <w:tc>
          <w:tcPr>
            <w:tcW w:w="1417" w:type="dxa"/>
            <w:tcBorders>
              <w:top w:val="single" w:color="auto" w:sz="4" w:space="0"/>
              <w:left w:val="single" w:color="auto" w:sz="4" w:space="0"/>
              <w:bottom w:val="single" w:color="auto" w:sz="4" w:space="0"/>
              <w:right w:val="single" w:color="auto" w:sz="4" w:space="0"/>
            </w:tcBorders>
            <w:vAlign w:val="center"/>
          </w:tcPr>
          <w:p>
            <w:pPr>
              <w:pStyle w:val="46"/>
              <w:snapToGrid w:val="0"/>
              <w:spacing w:line="36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排气筒</w:t>
            </w:r>
          </w:p>
          <w:p>
            <w:pPr>
              <w:widowControl/>
              <w:spacing w:line="360" w:lineRule="exact"/>
              <w:jc w:val="left"/>
              <w:rPr>
                <w:color w:val="000000"/>
                <w:kern w:val="28"/>
                <w:szCs w:val="21"/>
              </w:rPr>
            </w:pPr>
            <w:r>
              <w:rPr>
                <w:color w:val="000000"/>
                <w:szCs w:val="21"/>
              </w:rPr>
              <w:t>（</w:t>
            </w:r>
            <w:r>
              <w:rPr>
                <w:rFonts w:hint="eastAsia"/>
                <w:color w:val="000000"/>
                <w:szCs w:val="21"/>
              </w:rPr>
              <w:t>剪裁、调墨、印刷</w:t>
            </w:r>
            <w:r>
              <w:rPr>
                <w:color w:val="000000"/>
                <w:szCs w:val="21"/>
              </w:rPr>
              <w:t>工序）</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非甲烷总烃</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rFonts w:hint="eastAsia"/>
                <w:color w:val="000000"/>
                <w:szCs w:val="21"/>
              </w:rPr>
              <w:t>集气罩+UV光氧+活性炭吸附装置+1根</w:t>
            </w:r>
            <w:r>
              <w:rPr>
                <w:color w:val="000000"/>
                <w:szCs w:val="21"/>
              </w:rPr>
              <w:t>15</w:t>
            </w:r>
            <w:r>
              <w:rPr>
                <w:rFonts w:hint="eastAsia"/>
                <w:color w:val="000000"/>
                <w:szCs w:val="21"/>
              </w:rPr>
              <w:t>m高排气筒</w:t>
            </w:r>
          </w:p>
        </w:tc>
        <w:tc>
          <w:tcPr>
            <w:tcW w:w="244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center"/>
              <w:rPr>
                <w:color w:val="000000"/>
                <w:szCs w:val="21"/>
              </w:rPr>
            </w:pPr>
            <w:r>
              <w:rPr>
                <w:rFonts w:hint="eastAsia"/>
                <w:szCs w:val="21"/>
              </w:rPr>
              <w:t>《印刷工业挥发性有机物排放标准</w:t>
            </w:r>
            <w:r>
              <w:rPr>
                <w:szCs w:val="21"/>
              </w:rPr>
              <w:t>》（</w:t>
            </w:r>
            <w:r>
              <w:rPr>
                <w:rFonts w:hint="eastAsia"/>
                <w:szCs w:val="21"/>
              </w:rPr>
              <w:t>D</w:t>
            </w:r>
            <w:r>
              <w:rPr>
                <w:szCs w:val="21"/>
              </w:rPr>
              <w:t>B</w:t>
            </w:r>
            <w:r>
              <w:rPr>
                <w:rFonts w:hint="eastAsia"/>
                <w:szCs w:val="21"/>
              </w:rPr>
              <w:t>41/1956</w:t>
            </w:r>
            <w:r>
              <w:rPr>
                <w:szCs w:val="21"/>
              </w:rPr>
              <w:t>-20</w:t>
            </w:r>
            <w:r>
              <w:rPr>
                <w:rFonts w:hint="eastAsia"/>
                <w:szCs w:val="21"/>
              </w:rPr>
              <w:t>20</w:t>
            </w:r>
            <w:r>
              <w:rPr>
                <w:szCs w:val="21"/>
              </w:rPr>
              <w:t>）</w:t>
            </w:r>
            <w:r>
              <w:rPr>
                <w:rFonts w:hint="eastAsia"/>
                <w:szCs w:val="21"/>
              </w:rPr>
              <w:t>中</w:t>
            </w:r>
            <w:r>
              <w:rPr>
                <w:szCs w:val="21"/>
              </w:rPr>
              <w:t>排放限值要求</w:t>
            </w:r>
            <w:r>
              <w:rPr>
                <w:color w:val="000000"/>
                <w:szCs w:val="21"/>
              </w:rPr>
              <w:t>；</w:t>
            </w:r>
            <w:r>
              <w:rPr>
                <w:szCs w:val="21"/>
              </w:rPr>
              <w:t>《河南省工业企业挥发性有机物排放建议值》（豫环攻坚办〔2017〕162号）排放限值要求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538" w:type="dxa"/>
            <w:vMerge w:val="continue"/>
            <w:tcBorders>
              <w:left w:val="single" w:color="auto" w:sz="8" w:space="0"/>
              <w:right w:val="single" w:color="auto" w:sz="4" w:space="0"/>
            </w:tcBorders>
            <w:vAlign w:val="center"/>
          </w:tcPr>
          <w:p>
            <w:pPr>
              <w:widowControl/>
              <w:spacing w:line="360" w:lineRule="exact"/>
              <w:jc w:val="left"/>
              <w:rPr>
                <w:color w:val="000000"/>
                <w:szCs w:val="21"/>
              </w:rPr>
            </w:pPr>
          </w:p>
        </w:tc>
        <w:tc>
          <w:tcPr>
            <w:tcW w:w="1417" w:type="dxa"/>
            <w:tcBorders>
              <w:top w:val="single" w:color="auto" w:sz="4" w:space="0"/>
              <w:left w:val="single" w:color="auto" w:sz="4" w:space="0"/>
              <w:right w:val="single" w:color="auto" w:sz="4" w:space="0"/>
            </w:tcBorders>
            <w:vAlign w:val="center"/>
          </w:tcPr>
          <w:p>
            <w:pPr>
              <w:widowControl/>
              <w:spacing w:line="360" w:lineRule="exact"/>
              <w:jc w:val="left"/>
              <w:rPr>
                <w:color w:val="000000"/>
                <w:kern w:val="28"/>
                <w:szCs w:val="21"/>
              </w:rPr>
            </w:pPr>
            <w:r>
              <w:rPr>
                <w:color w:val="000000"/>
                <w:kern w:val="28"/>
                <w:szCs w:val="21"/>
              </w:rPr>
              <w:t>车间无组织</w:t>
            </w:r>
          </w:p>
        </w:tc>
        <w:tc>
          <w:tcPr>
            <w:tcW w:w="155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非甲烷总烃</w:t>
            </w:r>
          </w:p>
        </w:tc>
        <w:tc>
          <w:tcPr>
            <w:tcW w:w="1843" w:type="dxa"/>
            <w:tcBorders>
              <w:top w:val="single" w:color="auto" w:sz="4" w:space="0"/>
              <w:left w:val="single" w:color="auto" w:sz="4" w:space="0"/>
              <w:right w:val="single" w:color="auto" w:sz="4" w:space="0"/>
            </w:tcBorders>
            <w:vAlign w:val="center"/>
          </w:tcPr>
          <w:p>
            <w:pPr>
              <w:widowControl/>
              <w:spacing w:line="360" w:lineRule="exact"/>
              <w:jc w:val="center"/>
              <w:rPr>
                <w:color w:val="000000"/>
                <w:szCs w:val="21"/>
              </w:rPr>
            </w:pPr>
            <w:r>
              <w:rPr>
                <w:rFonts w:hint="eastAsia"/>
                <w:color w:val="000000"/>
                <w:szCs w:val="21"/>
              </w:rPr>
              <w:t>车间密闭。印刷机二次密闭。裁布机、裁带机、印刷机设置集气罩。</w:t>
            </w:r>
          </w:p>
        </w:tc>
        <w:tc>
          <w:tcPr>
            <w:tcW w:w="2443" w:type="dxa"/>
            <w:tcBorders>
              <w:top w:val="single" w:color="auto" w:sz="4" w:space="0"/>
              <w:left w:val="single" w:color="auto" w:sz="4" w:space="0"/>
              <w:right w:val="single" w:color="auto" w:sz="8" w:space="0"/>
            </w:tcBorders>
            <w:vAlign w:val="center"/>
          </w:tcPr>
          <w:p>
            <w:pPr>
              <w:adjustRightInd w:val="0"/>
              <w:snapToGrid w:val="0"/>
              <w:spacing w:line="360" w:lineRule="exact"/>
              <w:jc w:val="center"/>
              <w:rPr>
                <w:color w:val="000000"/>
                <w:szCs w:val="21"/>
              </w:rPr>
            </w:pPr>
            <w:r>
              <w:rPr>
                <w:rFonts w:hint="eastAsia"/>
                <w:szCs w:val="21"/>
              </w:rPr>
              <w:t>《印刷工业挥发性有机物排放标准</w:t>
            </w:r>
            <w:r>
              <w:rPr>
                <w:szCs w:val="21"/>
              </w:rPr>
              <w:t>》（</w:t>
            </w:r>
            <w:r>
              <w:rPr>
                <w:rFonts w:hint="eastAsia"/>
                <w:szCs w:val="21"/>
              </w:rPr>
              <w:t>D</w:t>
            </w:r>
            <w:r>
              <w:rPr>
                <w:szCs w:val="21"/>
              </w:rPr>
              <w:t>B</w:t>
            </w:r>
            <w:r>
              <w:rPr>
                <w:rFonts w:hint="eastAsia"/>
                <w:szCs w:val="21"/>
              </w:rPr>
              <w:t>41/1956</w:t>
            </w:r>
            <w:r>
              <w:rPr>
                <w:szCs w:val="21"/>
              </w:rPr>
              <w:t>-20</w:t>
            </w:r>
            <w:r>
              <w:rPr>
                <w:rFonts w:hint="eastAsia"/>
                <w:szCs w:val="21"/>
              </w:rPr>
              <w:t>20</w:t>
            </w:r>
            <w:r>
              <w:rPr>
                <w:szCs w:val="21"/>
              </w:rPr>
              <w:t>）</w:t>
            </w:r>
            <w:r>
              <w:rPr>
                <w:rFonts w:hint="eastAsia"/>
                <w:szCs w:val="21"/>
              </w:rPr>
              <w:t>中</w:t>
            </w:r>
            <w:r>
              <w:rPr>
                <w:szCs w:val="21"/>
              </w:rPr>
              <w:t>排放限值要求</w:t>
            </w:r>
            <w:r>
              <w:rPr>
                <w:color w:val="000000"/>
                <w:szCs w:val="21"/>
              </w:rPr>
              <w:t>；</w:t>
            </w:r>
            <w:r>
              <w:rPr>
                <w:szCs w:val="21"/>
              </w:rPr>
              <w:t>《河南省工业企业挥发性有机物排放建议值》（豫环攻坚办〔2017〕162号）排放限值要求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地表水环境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生活污水</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COD</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vertAlign w:val="superscript"/>
              </w:rPr>
            </w:pPr>
            <w:r>
              <w:rPr>
                <w:rFonts w:hint="eastAsia"/>
                <w:color w:val="000000"/>
                <w:szCs w:val="21"/>
              </w:rPr>
              <w:t>厂区</w:t>
            </w:r>
            <w:r>
              <w:rPr>
                <w:color w:val="000000"/>
                <w:szCs w:val="21"/>
              </w:rPr>
              <w:t>化粪池</w:t>
            </w:r>
          </w:p>
          <w:p>
            <w:pPr>
              <w:adjustRightInd w:val="0"/>
              <w:snapToGrid w:val="0"/>
              <w:spacing w:line="360" w:lineRule="exact"/>
              <w:jc w:val="center"/>
              <w:rPr>
                <w:color w:val="000000"/>
                <w:szCs w:val="21"/>
              </w:rPr>
            </w:pPr>
            <w:r>
              <w:rPr>
                <w:color w:val="000000"/>
                <w:szCs w:val="21"/>
              </w:rPr>
              <w:t>（依托现有）</w:t>
            </w:r>
          </w:p>
        </w:tc>
        <w:tc>
          <w:tcPr>
            <w:tcW w:w="2443" w:type="dxa"/>
            <w:vMerge w:val="restar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left"/>
              <w:rPr>
                <w:color w:val="000000"/>
                <w:szCs w:val="21"/>
              </w:rPr>
            </w:pPr>
            <w:r>
              <w:rPr>
                <w:bCs/>
                <w:szCs w:val="21"/>
              </w:rPr>
              <w:t>《污水综合排放标准》（8978-1996）表4 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color w:val="00000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NH</w:t>
            </w:r>
            <w:r>
              <w:rPr>
                <w:color w:val="000000"/>
                <w:szCs w:val="21"/>
                <w:vertAlign w:val="subscript"/>
              </w:rPr>
              <w:t>3</w:t>
            </w:r>
            <w:r>
              <w:rPr>
                <w:color w:val="000000"/>
                <w:szCs w:val="21"/>
              </w:rPr>
              <w:t>-N</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szCs w:val="21"/>
              </w:rPr>
            </w:pPr>
          </w:p>
        </w:tc>
        <w:tc>
          <w:tcPr>
            <w:tcW w:w="2443"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360" w:lineRule="exact"/>
              <w:jc w:val="left"/>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color w:val="00000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SS</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szCs w:val="21"/>
              </w:rPr>
            </w:pPr>
          </w:p>
        </w:tc>
        <w:tc>
          <w:tcPr>
            <w:tcW w:w="2443"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360" w:lineRule="exact"/>
              <w:jc w:val="left"/>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声环境</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四周厂界</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Cs w:val="21"/>
              </w:rPr>
            </w:pPr>
            <w:r>
              <w:rPr>
                <w:szCs w:val="21"/>
              </w:rPr>
              <w:t>等效连续</w:t>
            </w:r>
          </w:p>
          <w:p>
            <w:pPr>
              <w:adjustRightInd w:val="0"/>
              <w:snapToGrid w:val="0"/>
              <w:spacing w:line="360" w:lineRule="exact"/>
              <w:jc w:val="center"/>
              <w:rPr>
                <w:color w:val="000000"/>
                <w:szCs w:val="21"/>
              </w:rPr>
            </w:pPr>
            <w:r>
              <w:rPr>
                <w:szCs w:val="21"/>
              </w:rPr>
              <w:t>声压级</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color w:val="000000"/>
                <w:szCs w:val="21"/>
              </w:rPr>
            </w:pPr>
            <w:r>
              <w:rPr>
                <w:color w:val="000000"/>
                <w:szCs w:val="21"/>
              </w:rPr>
              <w:t>基础减震、厂房隔声</w:t>
            </w:r>
          </w:p>
        </w:tc>
        <w:tc>
          <w:tcPr>
            <w:tcW w:w="244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center"/>
              <w:rPr>
                <w:color w:val="000000"/>
                <w:szCs w:val="21"/>
              </w:rPr>
            </w:pPr>
            <w:r>
              <w:rPr>
                <w:color w:val="000000"/>
                <w:szCs w:val="21"/>
              </w:rPr>
              <w:t>《工业企业厂界环境噪声排放标准》（GB12348-2008）</w:t>
            </w:r>
          </w:p>
          <w:p>
            <w:pPr>
              <w:adjustRightInd w:val="0"/>
              <w:snapToGrid w:val="0"/>
              <w:spacing w:line="360" w:lineRule="exact"/>
              <w:jc w:val="center"/>
              <w:rPr>
                <w:color w:val="000000"/>
                <w:szCs w:val="21"/>
              </w:rPr>
            </w:pPr>
            <w:r>
              <w:rPr>
                <w:color w:val="000000"/>
                <w:szCs w:val="21"/>
              </w:rPr>
              <w:t>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电磁辐射</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w:t>
            </w:r>
          </w:p>
        </w:tc>
        <w:tc>
          <w:tcPr>
            <w:tcW w:w="2443"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固体废物</w:t>
            </w:r>
          </w:p>
        </w:tc>
        <w:tc>
          <w:tcPr>
            <w:tcW w:w="7262" w:type="dxa"/>
            <w:gridSpan w:val="4"/>
            <w:tcBorders>
              <w:top w:val="single" w:color="auto" w:sz="4" w:space="0"/>
              <w:left w:val="single" w:color="auto" w:sz="4" w:space="0"/>
              <w:bottom w:val="single" w:color="auto" w:sz="4" w:space="0"/>
              <w:right w:val="single" w:color="auto" w:sz="8" w:space="0"/>
            </w:tcBorders>
            <w:vAlign w:val="center"/>
          </w:tcPr>
          <w:p>
            <w:pPr>
              <w:spacing w:line="360" w:lineRule="exact"/>
              <w:rPr>
                <w:color w:val="000000"/>
                <w:szCs w:val="21"/>
              </w:rPr>
            </w:pPr>
            <w:r>
              <w:rPr>
                <w:color w:val="000000"/>
                <w:szCs w:val="21"/>
              </w:rPr>
              <w:t>项目产生的废边角料经收集后暂存厂区一般固废暂存区，定期外售综合处置；</w:t>
            </w:r>
            <w:r>
              <w:rPr>
                <w:rFonts w:hint="eastAsia"/>
                <w:color w:val="000000"/>
                <w:szCs w:val="21"/>
              </w:rPr>
              <w:t>；</w:t>
            </w:r>
            <w:r>
              <w:rPr>
                <w:color w:val="000000"/>
                <w:szCs w:val="21"/>
              </w:rPr>
              <w:t>生活垃圾交由环卫部门清运处理；产生的危险废物经收集后暂存场区危废暂存间，定期交由有资质的单位处理。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土壤及地下水</w:t>
            </w:r>
          </w:p>
          <w:p>
            <w:pPr>
              <w:adjustRightInd w:val="0"/>
              <w:snapToGrid w:val="0"/>
              <w:spacing w:line="360" w:lineRule="exact"/>
              <w:jc w:val="center"/>
              <w:rPr>
                <w:color w:val="000000"/>
                <w:szCs w:val="21"/>
              </w:rPr>
            </w:pPr>
            <w:r>
              <w:rPr>
                <w:color w:val="000000"/>
                <w:szCs w:val="21"/>
              </w:rPr>
              <w:t>污染防治措施</w:t>
            </w:r>
          </w:p>
        </w:tc>
        <w:tc>
          <w:tcPr>
            <w:tcW w:w="726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left"/>
              <w:rPr>
                <w:color w:val="000000"/>
                <w:szCs w:val="21"/>
              </w:rPr>
            </w:pPr>
            <w:r>
              <w:rPr>
                <w:color w:val="000000"/>
                <w:szCs w:val="21"/>
              </w:rPr>
              <w:t>地面硬化并采取防渗处理，不会对土壤和地下水造成污染。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zCs w:val="21"/>
              </w:rPr>
            </w:pPr>
            <w:r>
              <w:rPr>
                <w:color w:val="000000"/>
                <w:szCs w:val="21"/>
              </w:rPr>
              <w:t>生态保护措施</w:t>
            </w:r>
          </w:p>
        </w:tc>
        <w:tc>
          <w:tcPr>
            <w:tcW w:w="726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538"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color w:val="000000"/>
                <w:spacing w:val="-8"/>
                <w:szCs w:val="21"/>
              </w:rPr>
            </w:pPr>
            <w:r>
              <w:rPr>
                <w:color w:val="000000"/>
                <w:spacing w:val="-8"/>
                <w:szCs w:val="21"/>
              </w:rPr>
              <w:t>环境风险</w:t>
            </w:r>
          </w:p>
          <w:p>
            <w:pPr>
              <w:adjustRightInd w:val="0"/>
              <w:snapToGrid w:val="0"/>
              <w:spacing w:line="360" w:lineRule="exact"/>
              <w:jc w:val="center"/>
              <w:rPr>
                <w:color w:val="000000"/>
                <w:spacing w:val="-8"/>
                <w:szCs w:val="21"/>
              </w:rPr>
            </w:pPr>
            <w:r>
              <w:rPr>
                <w:color w:val="000000"/>
                <w:spacing w:val="-8"/>
                <w:szCs w:val="21"/>
              </w:rPr>
              <w:t>防范措施</w:t>
            </w:r>
          </w:p>
        </w:tc>
        <w:tc>
          <w:tcPr>
            <w:tcW w:w="726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jc w:val="left"/>
              <w:rPr>
                <w:color w:val="000000"/>
                <w:szCs w:val="21"/>
              </w:rPr>
            </w:pPr>
            <w:r>
              <w:rPr>
                <w:color w:val="000000"/>
                <w:szCs w:val="21"/>
              </w:rPr>
              <w:t>地面硬化并采取防渗处理，不会对生态环境造成污染。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538"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360" w:lineRule="exact"/>
              <w:jc w:val="center"/>
              <w:rPr>
                <w:color w:val="000000"/>
                <w:spacing w:val="-8"/>
                <w:szCs w:val="21"/>
              </w:rPr>
            </w:pPr>
            <w:r>
              <w:rPr>
                <w:color w:val="000000"/>
                <w:spacing w:val="-8"/>
                <w:szCs w:val="21"/>
              </w:rPr>
              <w:t>其他环境</w:t>
            </w:r>
          </w:p>
          <w:p>
            <w:pPr>
              <w:adjustRightInd w:val="0"/>
              <w:snapToGrid w:val="0"/>
              <w:spacing w:line="360" w:lineRule="exact"/>
              <w:jc w:val="center"/>
              <w:rPr>
                <w:color w:val="000000"/>
                <w:spacing w:val="-8"/>
                <w:szCs w:val="21"/>
              </w:rPr>
            </w:pPr>
            <w:r>
              <w:rPr>
                <w:color w:val="000000"/>
                <w:spacing w:val="-8"/>
                <w:szCs w:val="21"/>
              </w:rPr>
              <w:t>管理要求</w:t>
            </w:r>
          </w:p>
        </w:tc>
        <w:tc>
          <w:tcPr>
            <w:tcW w:w="7262" w:type="dxa"/>
            <w:gridSpan w:val="4"/>
            <w:tcBorders>
              <w:top w:val="single" w:color="auto" w:sz="4" w:space="0"/>
              <w:left w:val="single" w:color="auto" w:sz="4" w:space="0"/>
              <w:bottom w:val="single" w:color="auto" w:sz="8" w:space="0"/>
              <w:right w:val="single" w:color="auto" w:sz="8" w:space="0"/>
            </w:tcBorders>
            <w:vAlign w:val="center"/>
          </w:tcPr>
          <w:p>
            <w:pPr>
              <w:adjustRightInd w:val="0"/>
              <w:snapToGrid w:val="0"/>
              <w:spacing w:line="360" w:lineRule="exact"/>
              <w:jc w:val="left"/>
              <w:rPr>
                <w:color w:val="000000"/>
                <w:szCs w:val="21"/>
              </w:rPr>
            </w:pPr>
            <w:r>
              <w:rPr>
                <w:color w:val="000000"/>
                <w:szCs w:val="21"/>
              </w:rPr>
              <w:t>（1）排放口规范化设置，粘贴标识牌；</w:t>
            </w:r>
          </w:p>
          <w:p>
            <w:pPr>
              <w:adjustRightInd w:val="0"/>
              <w:snapToGrid w:val="0"/>
              <w:spacing w:line="360" w:lineRule="exact"/>
              <w:jc w:val="left"/>
              <w:rPr>
                <w:color w:val="000000"/>
                <w:szCs w:val="21"/>
              </w:rPr>
            </w:pPr>
            <w:r>
              <w:rPr>
                <w:color w:val="000000"/>
                <w:szCs w:val="21"/>
              </w:rPr>
              <w:t>（2）依据行业规范制定自行监测计划；</w:t>
            </w:r>
          </w:p>
          <w:p>
            <w:pPr>
              <w:adjustRightInd w:val="0"/>
              <w:snapToGrid w:val="0"/>
              <w:spacing w:line="360" w:lineRule="exact"/>
              <w:jc w:val="left"/>
              <w:rPr>
                <w:color w:val="000000"/>
                <w:szCs w:val="21"/>
              </w:rPr>
            </w:pPr>
            <w:r>
              <w:rPr>
                <w:color w:val="000000"/>
                <w:szCs w:val="21"/>
              </w:rPr>
              <w:t>（3）建立环境管理台帐制度，落实环境管理台账记录责任人，明确工作职责。</w:t>
            </w:r>
          </w:p>
          <w:p>
            <w:pPr>
              <w:spacing w:line="360" w:lineRule="exact"/>
              <w:rPr>
                <w:szCs w:val="21"/>
              </w:rPr>
            </w:pPr>
            <w:r>
              <w:rPr>
                <w:szCs w:val="21"/>
              </w:rPr>
              <w:t>（</w:t>
            </w:r>
            <w:r>
              <w:rPr>
                <w:rFonts w:hint="eastAsia"/>
                <w:szCs w:val="21"/>
              </w:rPr>
              <w:t>4</w:t>
            </w:r>
            <w:r>
              <w:rPr>
                <w:szCs w:val="21"/>
              </w:rPr>
              <w:t>）项目实施后，按</w:t>
            </w:r>
            <w:r>
              <w:rPr>
                <w:rFonts w:eastAsia="黑体"/>
              </w:rPr>
              <w:t>《</w:t>
            </w:r>
            <w:r>
              <w:rPr>
                <w:szCs w:val="21"/>
              </w:rPr>
              <w:t>河南省重污染天气通用行业应急减排措施制定技术指南）（2021年修订版）</w:t>
            </w:r>
            <w:r>
              <w:rPr>
                <w:rFonts w:hint="eastAsia"/>
                <w:szCs w:val="21"/>
              </w:rPr>
              <w:t>和《关于印发&lt;重污染天气重点行业应急减排措施制定技术指南（2020年修订版）&gt;的函》（环办大气函[2020]340号）</w:t>
            </w:r>
            <w:r>
              <w:rPr>
                <w:szCs w:val="21"/>
              </w:rPr>
              <w:t>相关要求执行。</w:t>
            </w:r>
          </w:p>
          <w:p>
            <w:pPr>
              <w:pStyle w:val="6"/>
            </w:pPr>
          </w:p>
          <w:p>
            <w:pPr>
              <w:pStyle w:val="5"/>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ind w:left="2040" w:hanging="360"/>
            </w:pPr>
          </w:p>
          <w:p>
            <w:pPr>
              <w:pStyle w:val="9"/>
              <w:numPr>
                <w:ilvl w:val="0"/>
                <w:numId w:val="0"/>
              </w:numPr>
            </w:pPr>
          </w:p>
        </w:tc>
      </w:tr>
    </w:tbl>
    <w:p>
      <w:pPr>
        <w:pStyle w:val="1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865" w:type="dxa"/>
          </w:tcPr>
          <w:p>
            <w:pPr>
              <w:spacing w:line="460" w:lineRule="exact"/>
              <w:ind w:firstLine="480" w:firstLineChars="200"/>
              <w:rPr>
                <w:sz w:val="24"/>
              </w:rPr>
            </w:pPr>
            <w:r>
              <w:rPr>
                <w:rFonts w:hint="eastAsia"/>
                <w:sz w:val="24"/>
              </w:rPr>
              <w:t>偃师丰河包装材料有限公司年产100万个集装袋改建项目</w:t>
            </w:r>
            <w:r>
              <w:rPr>
                <w:rFonts w:hint="eastAsia" w:ascii="宋体" w:hAnsi="宋体" w:cs="宋体"/>
                <w:sz w:val="24"/>
              </w:rPr>
              <w:t>的建设符合国家相关产业政策，项目选址不存在大的环境制约因素，项目选址合理。项目建成后，产生的废气、废水、噪声、固废经采取措施治理后，能够实现污染物的达标排放，不会对环境造成大的影响。从环保角度分析，该项目建设是可行的。</w:t>
            </w:r>
          </w:p>
        </w:tc>
      </w:tr>
    </w:tbl>
    <w:p>
      <w:pPr>
        <w:sectPr>
          <w:pgSz w:w="11906" w:h="16838"/>
          <w:pgMar w:top="1531" w:right="1531" w:bottom="1531" w:left="1531" w:header="851" w:footer="1134" w:gutter="0"/>
          <w:cols w:space="720" w:num="1"/>
          <w:docGrid w:linePitch="312" w:charSpace="0"/>
        </w:sectPr>
      </w:pPr>
    </w:p>
    <w:p>
      <w:pPr>
        <w:pStyle w:val="15"/>
        <w:adjustRightInd w:val="0"/>
        <w:snapToGrid w:val="0"/>
        <w:spacing w:before="0" w:beforeAutospacing="0" w:after="0" w:afterAutospacing="0"/>
        <w:outlineLvl w:val="0"/>
        <w:rPr>
          <w:rFonts w:ascii="Times New Roman" w:hAnsi="Times New Roman" w:eastAsia="黑体"/>
          <w:snapToGrid w:val="0"/>
          <w:sz w:val="32"/>
          <w:szCs w:val="32"/>
        </w:rPr>
      </w:pPr>
    </w:p>
    <w:p>
      <w:pPr>
        <w:pStyle w:val="15"/>
        <w:adjustRightInd w:val="0"/>
        <w:snapToGri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15"/>
        <w:adjustRightInd w:val="0"/>
        <w:snapToGrid w:val="0"/>
        <w:spacing w:before="0" w:beforeAutospacing="0" w:after="120" w:afterLines="50" w:afterAutospacing="0" w:line="520" w:lineRule="exact"/>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18"/>
        <w:tblpPr w:leftFromText="180" w:rightFromText="180" w:vertAnchor="text" w:horzAnchor="margin" w:tblpXSpec="center" w:tblpY="223"/>
        <w:tblOverlap w:val="never"/>
        <w:tblW w:w="140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658"/>
        <w:gridCol w:w="1781"/>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25"/>
              <w:spacing w:beforeLines="0" w:afterLines="0" w:line="240" w:lineRule="auto"/>
              <w:jc w:val="right"/>
              <w:rPr>
                <w:rFonts w:ascii="Times New Roman" w:eastAsia="黑体"/>
                <w:snapToGrid w:val="0"/>
                <w:spacing w:val="-6"/>
                <w:kern w:val="21"/>
                <w:szCs w:val="21"/>
              </w:rPr>
            </w:pPr>
            <w:r>
              <w:rPr>
                <w:rFonts w:ascii="Times New Roman" w:eastAsia="黑体"/>
                <w:snapToGrid w:val="0"/>
                <w:spacing w:val="-6"/>
                <w:kern w:val="21"/>
                <w:szCs w:val="21"/>
              </w:rPr>
              <w:t>项目</w:t>
            </w:r>
          </w:p>
          <w:p>
            <w:pPr>
              <w:pStyle w:val="25"/>
              <w:spacing w:beforeLines="0" w:afterLines="0" w:line="240" w:lineRule="auto"/>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417"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701"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hAnsi="宋体" w:cs="宋体"/>
                <w:kern w:val="2"/>
                <w:szCs w:val="21"/>
              </w:rPr>
              <w:t>①</w:t>
            </w:r>
            <w:r>
              <w:rPr>
                <w:rFonts w:ascii="Times New Roman" w:eastAsia="黑体"/>
                <w:snapToGrid w:val="0"/>
                <w:spacing w:val="-6"/>
                <w:kern w:val="21"/>
                <w:szCs w:val="21"/>
              </w:rPr>
              <w:fldChar w:fldCharType="end"/>
            </w:r>
          </w:p>
        </w:tc>
        <w:tc>
          <w:tcPr>
            <w:tcW w:w="1276"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25"/>
              <w:spacing w:beforeLines="0" w:afterLine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eastAsia="黑体"/>
                <w:snapToGrid w:val="0"/>
                <w:spacing w:val="-6"/>
                <w:kern w:val="21"/>
                <w:szCs w:val="21"/>
              </w:rPr>
              <w:fldChar w:fldCharType="end"/>
            </w:r>
          </w:p>
        </w:tc>
        <w:tc>
          <w:tcPr>
            <w:tcW w:w="1701"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hAnsi="宋体" w:cs="宋体"/>
                <w:kern w:val="2"/>
                <w:szCs w:val="21"/>
              </w:rPr>
              <w:t>③</w:t>
            </w:r>
            <w:r>
              <w:rPr>
                <w:rFonts w:ascii="Times New Roman" w:eastAsia="黑体"/>
                <w:snapToGrid w:val="0"/>
                <w:spacing w:val="-6"/>
                <w:kern w:val="21"/>
                <w:szCs w:val="21"/>
              </w:rPr>
              <w:fldChar w:fldCharType="end"/>
            </w:r>
          </w:p>
        </w:tc>
        <w:tc>
          <w:tcPr>
            <w:tcW w:w="1559"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w:t>
            </w:r>
          </w:p>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hAnsi="宋体" w:cs="宋体"/>
                <w:kern w:val="2"/>
                <w:szCs w:val="21"/>
              </w:rPr>
              <w:t>④</w:t>
            </w:r>
            <w:r>
              <w:rPr>
                <w:rFonts w:ascii="Times New Roman" w:eastAsia="黑体"/>
                <w:snapToGrid w:val="0"/>
                <w:spacing w:val="-6"/>
                <w:kern w:val="21"/>
                <w:szCs w:val="21"/>
              </w:rPr>
              <w:fldChar w:fldCharType="end"/>
            </w:r>
          </w:p>
        </w:tc>
        <w:tc>
          <w:tcPr>
            <w:tcW w:w="1658" w:type="dxa"/>
            <w:tcMar>
              <w:left w:w="28" w:type="dxa"/>
              <w:right w:w="28" w:type="dxa"/>
            </w:tcMar>
            <w:vAlign w:val="center"/>
          </w:tcPr>
          <w:p>
            <w:pPr>
              <w:pStyle w:val="2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2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hAnsi="宋体" w:cs="宋体"/>
                <w:kern w:val="2"/>
                <w:szCs w:val="21"/>
              </w:rPr>
              <w:t>⑤</w:t>
            </w:r>
            <w:r>
              <w:rPr>
                <w:rFonts w:ascii="Times New Roman" w:eastAsia="黑体"/>
                <w:snapToGrid w:val="0"/>
                <w:spacing w:val="-16"/>
                <w:kern w:val="21"/>
                <w:szCs w:val="21"/>
              </w:rPr>
              <w:fldChar w:fldCharType="end"/>
            </w:r>
          </w:p>
        </w:tc>
        <w:tc>
          <w:tcPr>
            <w:tcW w:w="1781" w:type="dxa"/>
            <w:tcMar>
              <w:left w:w="28" w:type="dxa"/>
              <w:right w:w="28" w:type="dxa"/>
            </w:tcMar>
            <w:vAlign w:val="center"/>
          </w:tcPr>
          <w:p>
            <w:pPr>
              <w:pStyle w:val="2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2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hAnsi="宋体" w:cs="宋体"/>
                <w:kern w:val="2"/>
                <w:szCs w:val="21"/>
              </w:rPr>
              <w:t>⑥</w:t>
            </w:r>
            <w:r>
              <w:rPr>
                <w:rFonts w:ascii="Times New Roman" w:eastAsia="黑体"/>
                <w:snapToGrid w:val="0"/>
                <w:spacing w:val="-16"/>
                <w:kern w:val="21"/>
                <w:szCs w:val="21"/>
              </w:rPr>
              <w:fldChar w:fldCharType="end"/>
            </w:r>
          </w:p>
        </w:tc>
        <w:tc>
          <w:tcPr>
            <w:tcW w:w="1355" w:type="dxa"/>
            <w:tcMar>
              <w:left w:w="28" w:type="dxa"/>
              <w:right w:w="28" w:type="dxa"/>
            </w:tcMar>
            <w:vAlign w:val="center"/>
          </w:tcPr>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p>
          <w:p>
            <w:pPr>
              <w:pStyle w:val="2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hAnsi="宋体" w:cs="宋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5"/>
              <w:spacing w:beforeLines="0" w:afterLines="0" w:line="240" w:lineRule="auto"/>
              <w:rPr>
                <w:rFonts w:ascii="Times New Roman"/>
                <w:snapToGrid w:val="0"/>
                <w:kern w:val="21"/>
                <w:szCs w:val="21"/>
              </w:rPr>
            </w:pPr>
            <w:r>
              <w:rPr>
                <w:rFonts w:hint="eastAsia" w:ascii="Times New Roman"/>
                <w:snapToGrid w:val="0"/>
                <w:kern w:val="21"/>
                <w:szCs w:val="21"/>
              </w:rPr>
              <w:t>废气</w:t>
            </w:r>
          </w:p>
        </w:tc>
        <w:tc>
          <w:tcPr>
            <w:tcW w:w="1417" w:type="dxa"/>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非甲烷总烃</w:t>
            </w:r>
          </w:p>
        </w:tc>
        <w:tc>
          <w:tcPr>
            <w:tcW w:w="1701" w:type="dxa"/>
            <w:vAlign w:val="center"/>
          </w:tcPr>
          <w:p>
            <w:pPr>
              <w:spacing w:line="320" w:lineRule="exact"/>
              <w:jc w:val="center"/>
              <w:rPr>
                <w:szCs w:val="21"/>
              </w:rPr>
            </w:pPr>
            <w:r>
              <w:rPr>
                <w:rFonts w:hint="eastAsia"/>
                <w:szCs w:val="21"/>
              </w:rPr>
              <w:t>0</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0.1022t/a</w:t>
            </w:r>
          </w:p>
        </w:tc>
        <w:tc>
          <w:tcPr>
            <w:tcW w:w="1658" w:type="dxa"/>
            <w:vAlign w:val="center"/>
          </w:tcPr>
          <w:p>
            <w:pPr>
              <w:spacing w:line="320" w:lineRule="exact"/>
              <w:jc w:val="center"/>
              <w:rPr>
                <w:szCs w:val="21"/>
              </w:rPr>
            </w:pPr>
            <w:r>
              <w:rPr>
                <w:rFonts w:hint="eastAsia"/>
                <w:szCs w:val="21"/>
              </w:rPr>
              <w:t>0</w:t>
            </w:r>
          </w:p>
        </w:tc>
        <w:tc>
          <w:tcPr>
            <w:tcW w:w="1781" w:type="dxa"/>
            <w:vAlign w:val="center"/>
          </w:tcPr>
          <w:p>
            <w:pPr>
              <w:spacing w:line="320" w:lineRule="exact"/>
              <w:jc w:val="center"/>
              <w:rPr>
                <w:szCs w:val="21"/>
              </w:rPr>
            </w:pPr>
            <w:r>
              <w:rPr>
                <w:rFonts w:hint="eastAsia"/>
                <w:szCs w:val="21"/>
              </w:rPr>
              <w:t>0.1022t/a</w:t>
            </w:r>
          </w:p>
        </w:tc>
        <w:tc>
          <w:tcPr>
            <w:tcW w:w="1355" w:type="dxa"/>
            <w:vAlign w:val="center"/>
          </w:tcPr>
          <w:p>
            <w:pPr>
              <w:spacing w:line="320" w:lineRule="exact"/>
              <w:jc w:val="center"/>
              <w:rPr>
                <w:szCs w:val="21"/>
              </w:rPr>
            </w:pPr>
            <w:r>
              <w:rPr>
                <w:rFonts w:hint="eastAsia"/>
                <w:szCs w:val="21"/>
              </w:rPr>
              <w:t>+0.1022t/a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88" w:type="dxa"/>
            <w:vMerge w:val="restart"/>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废水</w:t>
            </w:r>
          </w:p>
        </w:tc>
        <w:tc>
          <w:tcPr>
            <w:tcW w:w="1417" w:type="dxa"/>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COD</w:t>
            </w:r>
          </w:p>
        </w:tc>
        <w:tc>
          <w:tcPr>
            <w:tcW w:w="1701" w:type="dxa"/>
            <w:vAlign w:val="center"/>
          </w:tcPr>
          <w:p>
            <w:pPr>
              <w:spacing w:line="320" w:lineRule="exact"/>
              <w:jc w:val="center"/>
              <w:rPr>
                <w:szCs w:val="21"/>
              </w:rPr>
            </w:pPr>
            <w:r>
              <w:rPr>
                <w:rFonts w:hint="eastAsia"/>
                <w:szCs w:val="21"/>
              </w:rPr>
              <w:t>0.0054t/a</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0.134t/a</w:t>
            </w:r>
          </w:p>
        </w:tc>
        <w:tc>
          <w:tcPr>
            <w:tcW w:w="1658" w:type="dxa"/>
            <w:vAlign w:val="center"/>
          </w:tcPr>
          <w:p>
            <w:pPr>
              <w:spacing w:line="320" w:lineRule="exact"/>
              <w:jc w:val="center"/>
              <w:rPr>
                <w:szCs w:val="21"/>
              </w:rPr>
            </w:pPr>
            <w:r>
              <w:rPr>
                <w:rFonts w:hint="eastAsia"/>
                <w:szCs w:val="21"/>
              </w:rPr>
              <w:t>0.0054t/a</w:t>
            </w:r>
          </w:p>
        </w:tc>
        <w:tc>
          <w:tcPr>
            <w:tcW w:w="1781" w:type="dxa"/>
            <w:vAlign w:val="center"/>
          </w:tcPr>
          <w:p>
            <w:pPr>
              <w:spacing w:line="320" w:lineRule="exact"/>
              <w:jc w:val="center"/>
              <w:rPr>
                <w:szCs w:val="21"/>
              </w:rPr>
            </w:pPr>
            <w:r>
              <w:rPr>
                <w:rFonts w:hint="eastAsia"/>
                <w:szCs w:val="21"/>
              </w:rPr>
              <w:t>0.134t/a</w:t>
            </w:r>
          </w:p>
        </w:tc>
        <w:tc>
          <w:tcPr>
            <w:tcW w:w="1355" w:type="dxa"/>
            <w:vAlign w:val="center"/>
          </w:tcPr>
          <w:p>
            <w:pPr>
              <w:spacing w:line="320" w:lineRule="exact"/>
              <w:jc w:val="center"/>
              <w:rPr>
                <w:szCs w:val="21"/>
              </w:rPr>
            </w:pPr>
            <w:r>
              <w:rPr>
                <w:rFonts w:hint="eastAsia"/>
                <w:szCs w:val="21"/>
              </w:rPr>
              <w:t>+0.1286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88" w:type="dxa"/>
            <w:vMerge w:val="continue"/>
            <w:vAlign w:val="center"/>
          </w:tcPr>
          <w:p>
            <w:pPr>
              <w:pStyle w:val="25"/>
              <w:spacing w:beforeLines="0" w:afterLines="0" w:line="240" w:lineRule="auto"/>
              <w:rPr>
                <w:rFonts w:ascii="Times New Roman"/>
                <w:snapToGrid w:val="0"/>
                <w:kern w:val="21"/>
                <w:szCs w:val="21"/>
              </w:rPr>
            </w:pPr>
          </w:p>
        </w:tc>
        <w:tc>
          <w:tcPr>
            <w:tcW w:w="1417" w:type="dxa"/>
            <w:vAlign w:val="center"/>
          </w:tcPr>
          <w:p>
            <w:pPr>
              <w:pStyle w:val="25"/>
              <w:spacing w:beforeLines="0" w:afterLines="0" w:line="240" w:lineRule="auto"/>
              <w:rPr>
                <w:rFonts w:ascii="Times New Roman"/>
                <w:snapToGrid w:val="0"/>
                <w:kern w:val="21"/>
                <w:szCs w:val="21"/>
              </w:rPr>
            </w:pPr>
            <w:r>
              <w:rPr>
                <w:rFonts w:hint="eastAsia" w:ascii="Times New Roman"/>
                <w:snapToGrid w:val="0"/>
                <w:kern w:val="21"/>
                <w:szCs w:val="21"/>
              </w:rPr>
              <w:t>SS</w:t>
            </w:r>
          </w:p>
        </w:tc>
        <w:tc>
          <w:tcPr>
            <w:tcW w:w="1701" w:type="dxa"/>
            <w:vAlign w:val="center"/>
          </w:tcPr>
          <w:p>
            <w:pPr>
              <w:spacing w:line="320" w:lineRule="exact"/>
              <w:jc w:val="center"/>
              <w:rPr>
                <w:szCs w:val="21"/>
              </w:rPr>
            </w:pPr>
            <w:r>
              <w:rPr>
                <w:rFonts w:hint="eastAsia"/>
                <w:szCs w:val="21"/>
              </w:rPr>
              <w:t>0.0012t/a</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0.048t/a</w:t>
            </w:r>
          </w:p>
        </w:tc>
        <w:tc>
          <w:tcPr>
            <w:tcW w:w="1658" w:type="dxa"/>
            <w:vAlign w:val="center"/>
          </w:tcPr>
          <w:p>
            <w:pPr>
              <w:spacing w:line="320" w:lineRule="exact"/>
              <w:jc w:val="center"/>
              <w:rPr>
                <w:szCs w:val="21"/>
              </w:rPr>
            </w:pPr>
            <w:r>
              <w:rPr>
                <w:rFonts w:hint="eastAsia"/>
                <w:szCs w:val="21"/>
              </w:rPr>
              <w:t>0.0012t/a</w:t>
            </w:r>
          </w:p>
        </w:tc>
        <w:tc>
          <w:tcPr>
            <w:tcW w:w="1781" w:type="dxa"/>
            <w:vAlign w:val="center"/>
          </w:tcPr>
          <w:p>
            <w:pPr>
              <w:spacing w:line="320" w:lineRule="exact"/>
              <w:jc w:val="center"/>
              <w:rPr>
                <w:szCs w:val="21"/>
              </w:rPr>
            </w:pPr>
            <w:r>
              <w:rPr>
                <w:rFonts w:hint="eastAsia"/>
                <w:szCs w:val="21"/>
              </w:rPr>
              <w:t>0.048t/a</w:t>
            </w:r>
          </w:p>
        </w:tc>
        <w:tc>
          <w:tcPr>
            <w:tcW w:w="1355" w:type="dxa"/>
            <w:vAlign w:val="center"/>
          </w:tcPr>
          <w:p>
            <w:pPr>
              <w:spacing w:line="320" w:lineRule="exact"/>
              <w:jc w:val="center"/>
              <w:rPr>
                <w:szCs w:val="21"/>
              </w:rPr>
            </w:pPr>
            <w:r>
              <w:rPr>
                <w:rFonts w:hint="eastAsia"/>
                <w:szCs w:val="21"/>
              </w:rPr>
              <w:t>+0.0468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5"/>
              <w:spacing w:beforeLines="0" w:afterLines="0" w:line="240" w:lineRule="auto"/>
              <w:rPr>
                <w:rFonts w:ascii="Times New Roman"/>
                <w:snapToGrid w:val="0"/>
                <w:kern w:val="21"/>
                <w:szCs w:val="21"/>
              </w:rPr>
            </w:pPr>
          </w:p>
        </w:tc>
        <w:tc>
          <w:tcPr>
            <w:tcW w:w="1417" w:type="dxa"/>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氨氮</w:t>
            </w:r>
          </w:p>
        </w:tc>
        <w:tc>
          <w:tcPr>
            <w:tcW w:w="1701" w:type="dxa"/>
            <w:vAlign w:val="center"/>
          </w:tcPr>
          <w:p>
            <w:pPr>
              <w:spacing w:line="320" w:lineRule="exact"/>
              <w:jc w:val="center"/>
              <w:rPr>
                <w:szCs w:val="21"/>
              </w:rPr>
            </w:pPr>
            <w:r>
              <w:rPr>
                <w:rFonts w:hint="eastAsia"/>
                <w:szCs w:val="21"/>
              </w:rPr>
              <w:t>0.00059t/a</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0.014t/a</w:t>
            </w:r>
          </w:p>
        </w:tc>
        <w:tc>
          <w:tcPr>
            <w:tcW w:w="1658" w:type="dxa"/>
            <w:vAlign w:val="center"/>
          </w:tcPr>
          <w:p>
            <w:pPr>
              <w:spacing w:line="320" w:lineRule="exact"/>
              <w:jc w:val="center"/>
              <w:rPr>
                <w:szCs w:val="21"/>
              </w:rPr>
            </w:pPr>
            <w:r>
              <w:rPr>
                <w:rFonts w:hint="eastAsia"/>
                <w:szCs w:val="21"/>
              </w:rPr>
              <w:t>0.00059t/a</w:t>
            </w:r>
          </w:p>
        </w:tc>
        <w:tc>
          <w:tcPr>
            <w:tcW w:w="1781" w:type="dxa"/>
            <w:vAlign w:val="center"/>
          </w:tcPr>
          <w:p>
            <w:pPr>
              <w:spacing w:line="320" w:lineRule="exact"/>
              <w:jc w:val="center"/>
              <w:rPr>
                <w:szCs w:val="21"/>
              </w:rPr>
            </w:pPr>
            <w:r>
              <w:rPr>
                <w:rFonts w:hint="eastAsia"/>
                <w:szCs w:val="21"/>
              </w:rPr>
              <w:t>0.014t/a</w:t>
            </w:r>
          </w:p>
        </w:tc>
        <w:tc>
          <w:tcPr>
            <w:tcW w:w="1355" w:type="dxa"/>
            <w:vAlign w:val="center"/>
          </w:tcPr>
          <w:p>
            <w:pPr>
              <w:spacing w:line="320" w:lineRule="exact"/>
              <w:jc w:val="center"/>
              <w:rPr>
                <w:szCs w:val="21"/>
              </w:rPr>
            </w:pPr>
            <w:r>
              <w:rPr>
                <w:rFonts w:hint="eastAsia"/>
                <w:szCs w:val="21"/>
              </w:rPr>
              <w:t>+0.01341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一般固体废物</w:t>
            </w:r>
          </w:p>
        </w:tc>
        <w:tc>
          <w:tcPr>
            <w:tcW w:w="1417" w:type="dxa"/>
            <w:tcBorders>
              <w:left w:val="single" w:color="auto" w:sz="2" w:space="0"/>
            </w:tcBorders>
            <w:vAlign w:val="center"/>
          </w:tcPr>
          <w:p>
            <w:pPr>
              <w:adjustRightInd w:val="0"/>
              <w:snapToGrid w:val="0"/>
              <w:spacing w:line="360" w:lineRule="exact"/>
              <w:jc w:val="center"/>
              <w:rPr>
                <w:szCs w:val="21"/>
              </w:rPr>
            </w:pPr>
            <w:r>
              <w:rPr>
                <w:rFonts w:hint="eastAsia"/>
                <w:szCs w:val="21"/>
              </w:rPr>
              <w:t>废边角料</w:t>
            </w:r>
          </w:p>
        </w:tc>
        <w:tc>
          <w:tcPr>
            <w:tcW w:w="1701" w:type="dxa"/>
            <w:vAlign w:val="center"/>
          </w:tcPr>
          <w:p>
            <w:pPr>
              <w:spacing w:line="320" w:lineRule="exact"/>
              <w:jc w:val="center"/>
              <w:rPr>
                <w:szCs w:val="21"/>
              </w:rPr>
            </w:pPr>
            <w:r>
              <w:rPr>
                <w:rFonts w:hint="eastAsia"/>
                <w:szCs w:val="21"/>
              </w:rPr>
              <w:t>0</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3.1t/a</w:t>
            </w:r>
          </w:p>
        </w:tc>
        <w:tc>
          <w:tcPr>
            <w:tcW w:w="1658" w:type="dxa"/>
            <w:vAlign w:val="center"/>
          </w:tcPr>
          <w:p>
            <w:pPr>
              <w:spacing w:line="320" w:lineRule="exact"/>
              <w:jc w:val="center"/>
              <w:rPr>
                <w:szCs w:val="21"/>
              </w:rPr>
            </w:pPr>
            <w:r>
              <w:rPr>
                <w:rFonts w:hint="eastAsia"/>
                <w:szCs w:val="21"/>
              </w:rPr>
              <w:t>0</w:t>
            </w:r>
          </w:p>
        </w:tc>
        <w:tc>
          <w:tcPr>
            <w:tcW w:w="1781" w:type="dxa"/>
            <w:vAlign w:val="center"/>
          </w:tcPr>
          <w:p>
            <w:pPr>
              <w:spacing w:line="320" w:lineRule="exact"/>
              <w:jc w:val="center"/>
              <w:rPr>
                <w:szCs w:val="21"/>
              </w:rPr>
            </w:pPr>
            <w:r>
              <w:rPr>
                <w:rFonts w:hint="eastAsia"/>
                <w:szCs w:val="21"/>
              </w:rPr>
              <w:t>3.1t/a</w:t>
            </w:r>
          </w:p>
        </w:tc>
        <w:tc>
          <w:tcPr>
            <w:tcW w:w="1355" w:type="dxa"/>
            <w:vAlign w:val="center"/>
          </w:tcPr>
          <w:p>
            <w:pPr>
              <w:spacing w:line="320" w:lineRule="exact"/>
              <w:jc w:val="center"/>
              <w:rPr>
                <w:szCs w:val="21"/>
              </w:rPr>
            </w:pPr>
            <w:r>
              <w:rPr>
                <w:rFonts w:hint="eastAsia"/>
                <w:szCs w:val="21"/>
              </w:rPr>
              <w:t>+3.1t/a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5"/>
              <w:spacing w:beforeLines="0" w:afterLines="0" w:line="240" w:lineRule="auto"/>
              <w:rPr>
                <w:rFonts w:ascii="Times New Roman"/>
                <w:snapToGrid w:val="0"/>
                <w:kern w:val="21"/>
                <w:szCs w:val="21"/>
              </w:rPr>
            </w:pPr>
          </w:p>
        </w:tc>
        <w:tc>
          <w:tcPr>
            <w:tcW w:w="1417" w:type="dxa"/>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生活垃圾</w:t>
            </w:r>
          </w:p>
        </w:tc>
        <w:tc>
          <w:tcPr>
            <w:tcW w:w="1701" w:type="dxa"/>
            <w:vAlign w:val="center"/>
          </w:tcPr>
          <w:p>
            <w:pPr>
              <w:spacing w:line="320" w:lineRule="exact"/>
              <w:jc w:val="center"/>
              <w:rPr>
                <w:szCs w:val="21"/>
              </w:rPr>
            </w:pPr>
            <w:r>
              <w:rPr>
                <w:rFonts w:hint="eastAsia"/>
                <w:szCs w:val="21"/>
              </w:rPr>
              <w:t>0.3t/a</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7.5t/a</w:t>
            </w:r>
          </w:p>
        </w:tc>
        <w:tc>
          <w:tcPr>
            <w:tcW w:w="1658" w:type="dxa"/>
            <w:vAlign w:val="center"/>
          </w:tcPr>
          <w:p>
            <w:pPr>
              <w:spacing w:line="320" w:lineRule="exact"/>
              <w:jc w:val="center"/>
              <w:rPr>
                <w:szCs w:val="21"/>
              </w:rPr>
            </w:pPr>
            <w:r>
              <w:rPr>
                <w:rFonts w:hint="eastAsia"/>
                <w:szCs w:val="21"/>
              </w:rPr>
              <w:t>0.3t/a</w:t>
            </w:r>
          </w:p>
        </w:tc>
        <w:tc>
          <w:tcPr>
            <w:tcW w:w="1781" w:type="dxa"/>
            <w:vAlign w:val="center"/>
          </w:tcPr>
          <w:p>
            <w:pPr>
              <w:spacing w:line="320" w:lineRule="exact"/>
              <w:jc w:val="center"/>
              <w:rPr>
                <w:szCs w:val="21"/>
              </w:rPr>
            </w:pPr>
            <w:r>
              <w:rPr>
                <w:rFonts w:hint="eastAsia"/>
                <w:szCs w:val="21"/>
              </w:rPr>
              <w:t>7.5t/a</w:t>
            </w:r>
          </w:p>
        </w:tc>
        <w:tc>
          <w:tcPr>
            <w:tcW w:w="1355" w:type="dxa"/>
            <w:vAlign w:val="center"/>
          </w:tcPr>
          <w:p>
            <w:pPr>
              <w:spacing w:line="320" w:lineRule="exact"/>
              <w:jc w:val="center"/>
              <w:rPr>
                <w:szCs w:val="21"/>
              </w:rPr>
            </w:pPr>
            <w:r>
              <w:rPr>
                <w:rFonts w:hint="eastAsia"/>
                <w:szCs w:val="21"/>
              </w:rPr>
              <w:t>+7.2t/a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417" w:type="dxa"/>
            <w:vAlign w:val="center"/>
          </w:tcPr>
          <w:p>
            <w:pPr>
              <w:pStyle w:val="25"/>
              <w:spacing w:beforeLines="0" w:afterLines="0" w:line="240" w:lineRule="auto"/>
              <w:rPr>
                <w:rFonts w:ascii="Times New Roman"/>
                <w:snapToGrid w:val="0"/>
                <w:kern w:val="21"/>
                <w:szCs w:val="21"/>
              </w:rPr>
            </w:pPr>
            <w:r>
              <w:rPr>
                <w:rFonts w:ascii="Times New Roman"/>
                <w:snapToGrid w:val="0"/>
                <w:kern w:val="21"/>
                <w:szCs w:val="21"/>
              </w:rPr>
              <w:t>废活性炭</w:t>
            </w:r>
          </w:p>
        </w:tc>
        <w:tc>
          <w:tcPr>
            <w:tcW w:w="1701" w:type="dxa"/>
            <w:vAlign w:val="center"/>
          </w:tcPr>
          <w:p>
            <w:pPr>
              <w:spacing w:line="320" w:lineRule="exact"/>
              <w:jc w:val="center"/>
              <w:rPr>
                <w:szCs w:val="21"/>
              </w:rPr>
            </w:pPr>
            <w:r>
              <w:rPr>
                <w:rFonts w:hint="eastAsia"/>
                <w:szCs w:val="21"/>
              </w:rPr>
              <w:t>0</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rPr>
              <w:t>0.4t/a</w:t>
            </w:r>
          </w:p>
        </w:tc>
        <w:tc>
          <w:tcPr>
            <w:tcW w:w="1658" w:type="dxa"/>
            <w:vAlign w:val="center"/>
          </w:tcPr>
          <w:p>
            <w:pPr>
              <w:spacing w:line="320" w:lineRule="exact"/>
              <w:jc w:val="center"/>
              <w:rPr>
                <w:szCs w:val="21"/>
              </w:rPr>
            </w:pPr>
            <w:r>
              <w:rPr>
                <w:rFonts w:hint="eastAsia"/>
                <w:szCs w:val="21"/>
              </w:rPr>
              <w:t>0</w:t>
            </w:r>
          </w:p>
        </w:tc>
        <w:tc>
          <w:tcPr>
            <w:tcW w:w="1781" w:type="dxa"/>
            <w:vAlign w:val="center"/>
          </w:tcPr>
          <w:p>
            <w:pPr>
              <w:spacing w:line="320" w:lineRule="exact"/>
              <w:jc w:val="center"/>
              <w:rPr>
                <w:szCs w:val="21"/>
              </w:rPr>
            </w:pPr>
            <w:r>
              <w:rPr>
                <w:rFonts w:hint="eastAsia"/>
                <w:szCs w:val="21"/>
              </w:rPr>
              <w:t>0.4t/a</w:t>
            </w:r>
          </w:p>
        </w:tc>
        <w:tc>
          <w:tcPr>
            <w:tcW w:w="1355" w:type="dxa"/>
            <w:vAlign w:val="center"/>
          </w:tcPr>
          <w:p>
            <w:pPr>
              <w:spacing w:line="320" w:lineRule="exact"/>
              <w:jc w:val="center"/>
              <w:rPr>
                <w:szCs w:val="21"/>
              </w:rPr>
            </w:pPr>
            <w:r>
              <w:rPr>
                <w:rFonts w:hint="eastAsia"/>
                <w:szCs w:val="21"/>
              </w:rPr>
              <w:t>+0.4t/a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5"/>
              <w:spacing w:beforeLines="0" w:afterLines="0" w:line="240" w:lineRule="auto"/>
              <w:rPr>
                <w:rFonts w:ascii="Times New Roman"/>
                <w:snapToGrid w:val="0"/>
                <w:kern w:val="21"/>
                <w:szCs w:val="21"/>
              </w:rPr>
            </w:pPr>
          </w:p>
        </w:tc>
        <w:tc>
          <w:tcPr>
            <w:tcW w:w="1417" w:type="dxa"/>
            <w:vAlign w:val="center"/>
          </w:tcPr>
          <w:p>
            <w:pPr>
              <w:pStyle w:val="25"/>
              <w:spacing w:beforeLines="0" w:afterLines="0" w:line="240" w:lineRule="auto"/>
              <w:rPr>
                <w:rFonts w:ascii="Times New Roman"/>
                <w:snapToGrid w:val="0"/>
                <w:kern w:val="21"/>
                <w:szCs w:val="21"/>
              </w:rPr>
            </w:pPr>
            <w:r>
              <w:rPr>
                <w:rFonts w:hint="eastAsia" w:ascii="Times New Roman"/>
                <w:snapToGrid w:val="0"/>
                <w:kern w:val="21"/>
                <w:szCs w:val="21"/>
              </w:rPr>
              <w:t>废UV灯管</w:t>
            </w:r>
          </w:p>
        </w:tc>
        <w:tc>
          <w:tcPr>
            <w:tcW w:w="1701" w:type="dxa"/>
            <w:vAlign w:val="center"/>
          </w:tcPr>
          <w:p>
            <w:pPr>
              <w:spacing w:line="320" w:lineRule="exact"/>
              <w:jc w:val="center"/>
              <w:rPr>
                <w:szCs w:val="21"/>
              </w:rPr>
            </w:pPr>
            <w:r>
              <w:rPr>
                <w:rFonts w:hint="eastAsia"/>
                <w:szCs w:val="21"/>
              </w:rPr>
              <w:t>0</w:t>
            </w:r>
          </w:p>
        </w:tc>
        <w:tc>
          <w:tcPr>
            <w:tcW w:w="1276" w:type="dxa"/>
            <w:vAlign w:val="center"/>
          </w:tcPr>
          <w:p>
            <w:pPr>
              <w:spacing w:line="320" w:lineRule="exact"/>
              <w:jc w:val="center"/>
              <w:rPr>
                <w:szCs w:val="21"/>
              </w:rPr>
            </w:pPr>
          </w:p>
        </w:tc>
        <w:tc>
          <w:tcPr>
            <w:tcW w:w="1701" w:type="dxa"/>
            <w:vAlign w:val="center"/>
          </w:tcPr>
          <w:p>
            <w:pPr>
              <w:spacing w:line="320" w:lineRule="exact"/>
              <w:jc w:val="center"/>
              <w:rPr>
                <w:szCs w:val="21"/>
              </w:rPr>
            </w:pPr>
          </w:p>
        </w:tc>
        <w:tc>
          <w:tcPr>
            <w:tcW w:w="1559" w:type="dxa"/>
            <w:vAlign w:val="center"/>
          </w:tcPr>
          <w:p>
            <w:pPr>
              <w:spacing w:line="320" w:lineRule="exact"/>
              <w:jc w:val="center"/>
              <w:rPr>
                <w:szCs w:val="21"/>
              </w:rPr>
            </w:pPr>
            <w:r>
              <w:rPr>
                <w:rFonts w:hint="eastAsia"/>
                <w:szCs w:val="21"/>
                <w:lang w:val="en-US" w:eastAsia="zh-CN"/>
              </w:rPr>
              <w:t>48</w:t>
            </w:r>
            <w:r>
              <w:rPr>
                <w:rFonts w:hint="eastAsia"/>
                <w:szCs w:val="21"/>
              </w:rPr>
              <w:t>根/a</w:t>
            </w:r>
          </w:p>
        </w:tc>
        <w:tc>
          <w:tcPr>
            <w:tcW w:w="1658" w:type="dxa"/>
            <w:vAlign w:val="center"/>
          </w:tcPr>
          <w:p>
            <w:pPr>
              <w:spacing w:line="320" w:lineRule="exact"/>
              <w:jc w:val="center"/>
              <w:rPr>
                <w:szCs w:val="21"/>
              </w:rPr>
            </w:pPr>
            <w:r>
              <w:rPr>
                <w:rFonts w:hint="eastAsia"/>
                <w:szCs w:val="21"/>
              </w:rPr>
              <w:t>0</w:t>
            </w:r>
          </w:p>
        </w:tc>
        <w:tc>
          <w:tcPr>
            <w:tcW w:w="1781" w:type="dxa"/>
            <w:vAlign w:val="center"/>
          </w:tcPr>
          <w:p>
            <w:pPr>
              <w:spacing w:line="320" w:lineRule="exact"/>
              <w:jc w:val="center"/>
              <w:rPr>
                <w:szCs w:val="21"/>
              </w:rPr>
            </w:pPr>
            <w:r>
              <w:rPr>
                <w:rFonts w:hint="eastAsia"/>
                <w:szCs w:val="21"/>
                <w:lang w:val="en-US" w:eastAsia="zh-CN"/>
              </w:rPr>
              <w:t>48</w:t>
            </w:r>
            <w:r>
              <w:rPr>
                <w:rFonts w:hint="eastAsia"/>
                <w:szCs w:val="21"/>
              </w:rPr>
              <w:t>根/a</w:t>
            </w:r>
          </w:p>
        </w:tc>
        <w:tc>
          <w:tcPr>
            <w:tcW w:w="1355" w:type="dxa"/>
            <w:vAlign w:val="center"/>
          </w:tcPr>
          <w:p>
            <w:pPr>
              <w:spacing w:line="320" w:lineRule="exact"/>
              <w:jc w:val="center"/>
              <w:rPr>
                <w:szCs w:val="21"/>
              </w:rPr>
            </w:pPr>
            <w:r>
              <w:rPr>
                <w:rFonts w:hint="eastAsia"/>
                <w:szCs w:val="21"/>
              </w:rPr>
              <w:t>+</w:t>
            </w:r>
            <w:r>
              <w:rPr>
                <w:rFonts w:hint="eastAsia"/>
                <w:szCs w:val="21"/>
                <w:lang w:val="en-US" w:eastAsia="zh-CN"/>
              </w:rPr>
              <w:t>48</w:t>
            </w:r>
            <w:r>
              <w:rPr>
                <w:rFonts w:hint="eastAsia"/>
                <w:szCs w:val="21"/>
              </w:rPr>
              <w:t>根/a</w:t>
            </w:r>
          </w:p>
        </w:tc>
      </w:tr>
    </w:tbl>
    <w:p>
      <w:pPr>
        <w:pStyle w:val="25"/>
        <w:spacing w:before="192" w:beforeLines="80" w:after="24"/>
        <w:jc w:val="left"/>
        <w:rPr>
          <w:rFonts w:eastAsia="黑体"/>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 xml:space="preserve"> </w:t>
      </w:r>
    </w:p>
    <w:sectPr>
      <w:footerReference r:id="rId4" w:type="default"/>
      <w:pgSz w:w="16838" w:h="11906" w:orient="landscape"/>
      <w:pgMar w:top="1417" w:right="1701" w:bottom="1417"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MS Mincho"/>
    <w:panose1 w:val="00000000000000000000"/>
    <w:charset w:val="00"/>
    <w:family w:val="roman"/>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42</w:t>
    </w:r>
    <w:r>
      <w:fldChar w:fldCharType="end"/>
    </w:r>
  </w:p>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Style w:val="21"/>
                              <w:rFonts w:ascii="宋体" w:hAnsi="宋体"/>
                              <w:sz w:val="26"/>
                              <w:szCs w:val="26"/>
                            </w:rPr>
                            <w:t>46</w:t>
                          </w:r>
                          <w:r>
                            <w:rPr>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Inb8UBAACR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JSWWG5z4+cf388/f51/f&#10;SFncLJNEvYcKMx895sbhvRtwcWY/oDMxH9pg0hc5EYyjwKeLwHKIRKRHq3K1KjAkMDZfEJ89PfcB&#10;4gfpDElGTQNOMAvLjw8Qx9Q5JVWz7k5pnaeo7V8OxEwelnofe0xWHHbDRGjnmhPy6XH4NbW465To&#10;e4vapj2ZjTAbu8lINcC/O0QsnPtJqCPUVAwnlRlNW5VW4fk9Zz39SZ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JSJ2/FAQAAkQMAAA4AAAAAAAAAAQAgAAAAHgEAAGRycy9lMm9Eb2MueG1s&#10;UEsFBgAAAAAGAAYAWQEAAFUFAAAAAA==&#10;">
              <v:fill on="f" focussize="0,0"/>
              <v:stroke on="f"/>
              <v:imagedata o:title=""/>
              <o:lock v:ext="edit" aspectratio="f"/>
              <v:textbox inset="0mm,0mm,0mm,0mm" style="mso-fit-shape-to-text:t;">
                <w:txbxContent>
                  <w:p>
                    <w:pPr>
                      <w:pStyle w:val="12"/>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Style w:val="21"/>
                        <w:rFonts w:ascii="宋体" w:hAnsi="宋体"/>
                        <w:sz w:val="26"/>
                        <w:szCs w:val="26"/>
                      </w:rPr>
                      <w:t>46</w:t>
                    </w:r>
                    <w:r>
                      <w:rPr>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81236"/>
    <w:multiLevelType w:val="singleLevel"/>
    <w:tmpl w:val="99481236"/>
    <w:lvl w:ilvl="0" w:tentative="0">
      <w:start w:val="1"/>
      <w:numFmt w:val="decimal"/>
      <w:suff w:val="nothing"/>
      <w:lvlText w:val="（%1）"/>
      <w:lvlJc w:val="left"/>
    </w:lvl>
  </w:abstractNum>
  <w:abstractNum w:abstractNumId="1">
    <w:nsid w:val="E7C791F7"/>
    <w:multiLevelType w:val="singleLevel"/>
    <w:tmpl w:val="E7C791F7"/>
    <w:lvl w:ilvl="0" w:tentative="0">
      <w:start w:val="2"/>
      <w:numFmt w:val="decimal"/>
      <w:suff w:val="nothing"/>
      <w:lvlText w:val="（%1）"/>
      <w:lvlJc w:val="left"/>
    </w:lvl>
  </w:abstractNum>
  <w:abstractNum w:abstractNumId="2">
    <w:nsid w:val="0E47517D"/>
    <w:multiLevelType w:val="singleLevel"/>
    <w:tmpl w:val="0E47517D"/>
    <w:lvl w:ilvl="0" w:tentative="0">
      <w:start w:val="1"/>
      <w:numFmt w:val="decimal"/>
      <w:suff w:val="space"/>
      <w:lvlText w:val="%1."/>
      <w:lvlJc w:val="left"/>
    </w:lvl>
  </w:abstractNum>
  <w:abstractNum w:abstractNumId="3">
    <w:nsid w:val="23A8CDED"/>
    <w:multiLevelType w:val="singleLevel"/>
    <w:tmpl w:val="23A8CDED"/>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4">
    <w:nsid w:val="585B7415"/>
    <w:multiLevelType w:val="multilevel"/>
    <w:tmpl w:val="585B7415"/>
    <w:lvl w:ilvl="0" w:tentative="0">
      <w:start w:val="1"/>
      <w:numFmt w:val="decimal"/>
      <w:pStyle w:val="27"/>
      <w:lvlText w:val="表%1"/>
      <w:lvlJc w:val="left"/>
      <w:pPr>
        <w:ind w:left="987" w:hanging="420"/>
      </w:pPr>
    </w:lvl>
    <w:lvl w:ilvl="1" w:tentative="0">
      <w:start w:val="1"/>
      <w:numFmt w:val="lowerLetter"/>
      <w:lvlText w:val="%2)"/>
      <w:lvlJc w:val="left"/>
      <w:pPr>
        <w:ind w:left="-11" w:hanging="420"/>
      </w:pPr>
    </w:lvl>
    <w:lvl w:ilvl="2" w:tentative="0">
      <w:start w:val="1"/>
      <w:numFmt w:val="lowerRoman"/>
      <w:lvlText w:val="%3."/>
      <w:lvlJc w:val="right"/>
      <w:pPr>
        <w:ind w:left="409" w:hanging="420"/>
      </w:pPr>
    </w:lvl>
    <w:lvl w:ilvl="3" w:tentative="0">
      <w:start w:val="1"/>
      <w:numFmt w:val="decimal"/>
      <w:lvlText w:val="%4."/>
      <w:lvlJc w:val="left"/>
      <w:pPr>
        <w:ind w:left="829" w:hanging="420"/>
      </w:pPr>
    </w:lvl>
    <w:lvl w:ilvl="4" w:tentative="0">
      <w:start w:val="1"/>
      <w:numFmt w:val="lowerLetter"/>
      <w:lvlText w:val="%5)"/>
      <w:lvlJc w:val="left"/>
      <w:pPr>
        <w:ind w:left="1249" w:hanging="420"/>
      </w:pPr>
    </w:lvl>
    <w:lvl w:ilvl="5" w:tentative="0">
      <w:start w:val="1"/>
      <w:numFmt w:val="lowerRoman"/>
      <w:lvlText w:val="%6."/>
      <w:lvlJc w:val="right"/>
      <w:pPr>
        <w:ind w:left="1669" w:hanging="420"/>
      </w:pPr>
    </w:lvl>
    <w:lvl w:ilvl="6" w:tentative="0">
      <w:start w:val="1"/>
      <w:numFmt w:val="decimal"/>
      <w:lvlText w:val="%7."/>
      <w:lvlJc w:val="left"/>
      <w:pPr>
        <w:ind w:left="2089" w:hanging="420"/>
      </w:pPr>
    </w:lvl>
    <w:lvl w:ilvl="7" w:tentative="0">
      <w:start w:val="1"/>
      <w:numFmt w:val="lowerLetter"/>
      <w:lvlText w:val="%8)"/>
      <w:lvlJc w:val="left"/>
      <w:pPr>
        <w:ind w:left="2509" w:hanging="420"/>
      </w:pPr>
    </w:lvl>
    <w:lvl w:ilvl="8" w:tentative="0">
      <w:start w:val="1"/>
      <w:numFmt w:val="lowerRoman"/>
      <w:lvlText w:val="%9."/>
      <w:lvlJc w:val="right"/>
      <w:pPr>
        <w:ind w:left="2929"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MTgyNzM1ZjhjNzcwNjE3NDM5NDUxOWI5YTQzNDMifQ=="/>
  </w:docVars>
  <w:rsids>
    <w:rsidRoot w:val="00172A27"/>
    <w:rsid w:val="00000FA7"/>
    <w:rsid w:val="00002A67"/>
    <w:rsid w:val="00003D22"/>
    <w:rsid w:val="00005839"/>
    <w:rsid w:val="000060B3"/>
    <w:rsid w:val="0000690F"/>
    <w:rsid w:val="00006B8F"/>
    <w:rsid w:val="000145EB"/>
    <w:rsid w:val="00015A77"/>
    <w:rsid w:val="00015FE0"/>
    <w:rsid w:val="00016757"/>
    <w:rsid w:val="00024443"/>
    <w:rsid w:val="00026010"/>
    <w:rsid w:val="00027421"/>
    <w:rsid w:val="000300F3"/>
    <w:rsid w:val="00031B60"/>
    <w:rsid w:val="00035FCA"/>
    <w:rsid w:val="00036735"/>
    <w:rsid w:val="00043276"/>
    <w:rsid w:val="0004364B"/>
    <w:rsid w:val="00050A0D"/>
    <w:rsid w:val="00051728"/>
    <w:rsid w:val="000524F0"/>
    <w:rsid w:val="00053254"/>
    <w:rsid w:val="00054E34"/>
    <w:rsid w:val="000557F4"/>
    <w:rsid w:val="00061B1F"/>
    <w:rsid w:val="000646C1"/>
    <w:rsid w:val="000733C4"/>
    <w:rsid w:val="00074099"/>
    <w:rsid w:val="00074783"/>
    <w:rsid w:val="000805CD"/>
    <w:rsid w:val="0008070B"/>
    <w:rsid w:val="000810AC"/>
    <w:rsid w:val="0008176C"/>
    <w:rsid w:val="00081A02"/>
    <w:rsid w:val="00082231"/>
    <w:rsid w:val="00082B54"/>
    <w:rsid w:val="00083A1B"/>
    <w:rsid w:val="0008452A"/>
    <w:rsid w:val="00085AC2"/>
    <w:rsid w:val="00086391"/>
    <w:rsid w:val="000910DD"/>
    <w:rsid w:val="00091B11"/>
    <w:rsid w:val="00092D38"/>
    <w:rsid w:val="0009371C"/>
    <w:rsid w:val="0009377B"/>
    <w:rsid w:val="00095DC7"/>
    <w:rsid w:val="000A160F"/>
    <w:rsid w:val="000A20C9"/>
    <w:rsid w:val="000A3105"/>
    <w:rsid w:val="000B058F"/>
    <w:rsid w:val="000B2AA2"/>
    <w:rsid w:val="000B2AF9"/>
    <w:rsid w:val="000B2B8D"/>
    <w:rsid w:val="000B4467"/>
    <w:rsid w:val="000B4DB9"/>
    <w:rsid w:val="000C09AC"/>
    <w:rsid w:val="000C283F"/>
    <w:rsid w:val="000C2A63"/>
    <w:rsid w:val="000C42D9"/>
    <w:rsid w:val="000C5F0B"/>
    <w:rsid w:val="000C650E"/>
    <w:rsid w:val="000C767F"/>
    <w:rsid w:val="000C798E"/>
    <w:rsid w:val="000D263A"/>
    <w:rsid w:val="000D2676"/>
    <w:rsid w:val="000D3437"/>
    <w:rsid w:val="000D3FEB"/>
    <w:rsid w:val="000D470D"/>
    <w:rsid w:val="000D5A44"/>
    <w:rsid w:val="000E06DA"/>
    <w:rsid w:val="000E2645"/>
    <w:rsid w:val="000E3ED2"/>
    <w:rsid w:val="000F5F90"/>
    <w:rsid w:val="000F6644"/>
    <w:rsid w:val="00101A08"/>
    <w:rsid w:val="001022CC"/>
    <w:rsid w:val="001048A9"/>
    <w:rsid w:val="00105696"/>
    <w:rsid w:val="00107AA5"/>
    <w:rsid w:val="00110E08"/>
    <w:rsid w:val="0011339C"/>
    <w:rsid w:val="0011373A"/>
    <w:rsid w:val="00113A76"/>
    <w:rsid w:val="00113C3D"/>
    <w:rsid w:val="00113E51"/>
    <w:rsid w:val="001202E6"/>
    <w:rsid w:val="0012074A"/>
    <w:rsid w:val="00120EEE"/>
    <w:rsid w:val="00122571"/>
    <w:rsid w:val="00122572"/>
    <w:rsid w:val="00123868"/>
    <w:rsid w:val="00124DAA"/>
    <w:rsid w:val="001303D7"/>
    <w:rsid w:val="00131F42"/>
    <w:rsid w:val="0013553B"/>
    <w:rsid w:val="001357F1"/>
    <w:rsid w:val="00136AC5"/>
    <w:rsid w:val="00140AFD"/>
    <w:rsid w:val="00140FA8"/>
    <w:rsid w:val="00142AD4"/>
    <w:rsid w:val="00142FEB"/>
    <w:rsid w:val="00143A2D"/>
    <w:rsid w:val="0014483C"/>
    <w:rsid w:val="00144F98"/>
    <w:rsid w:val="00145A41"/>
    <w:rsid w:val="0014762A"/>
    <w:rsid w:val="001505DD"/>
    <w:rsid w:val="00150811"/>
    <w:rsid w:val="00151675"/>
    <w:rsid w:val="001519C1"/>
    <w:rsid w:val="00152F69"/>
    <w:rsid w:val="0015319F"/>
    <w:rsid w:val="001561C7"/>
    <w:rsid w:val="00157435"/>
    <w:rsid w:val="00164CB6"/>
    <w:rsid w:val="00164E53"/>
    <w:rsid w:val="00166614"/>
    <w:rsid w:val="00166935"/>
    <w:rsid w:val="001703D9"/>
    <w:rsid w:val="00170A96"/>
    <w:rsid w:val="00172141"/>
    <w:rsid w:val="0017236B"/>
    <w:rsid w:val="00172A27"/>
    <w:rsid w:val="0017504D"/>
    <w:rsid w:val="0017671A"/>
    <w:rsid w:val="00177422"/>
    <w:rsid w:val="001801AA"/>
    <w:rsid w:val="00182D6D"/>
    <w:rsid w:val="00184590"/>
    <w:rsid w:val="00186343"/>
    <w:rsid w:val="001870D1"/>
    <w:rsid w:val="001871DA"/>
    <w:rsid w:val="0018781E"/>
    <w:rsid w:val="001921F6"/>
    <w:rsid w:val="0019262D"/>
    <w:rsid w:val="0019336B"/>
    <w:rsid w:val="001941D1"/>
    <w:rsid w:val="00195D56"/>
    <w:rsid w:val="001963DA"/>
    <w:rsid w:val="0019689E"/>
    <w:rsid w:val="001A0D58"/>
    <w:rsid w:val="001A1B35"/>
    <w:rsid w:val="001A48A2"/>
    <w:rsid w:val="001A4E9C"/>
    <w:rsid w:val="001A54A8"/>
    <w:rsid w:val="001A648F"/>
    <w:rsid w:val="001A6F61"/>
    <w:rsid w:val="001A797B"/>
    <w:rsid w:val="001B2CB4"/>
    <w:rsid w:val="001B5C87"/>
    <w:rsid w:val="001B6A4B"/>
    <w:rsid w:val="001B72B8"/>
    <w:rsid w:val="001C1148"/>
    <w:rsid w:val="001C144E"/>
    <w:rsid w:val="001C1686"/>
    <w:rsid w:val="001C3A55"/>
    <w:rsid w:val="001C3E89"/>
    <w:rsid w:val="001C413E"/>
    <w:rsid w:val="001C4352"/>
    <w:rsid w:val="001C5253"/>
    <w:rsid w:val="001C57D2"/>
    <w:rsid w:val="001C69B3"/>
    <w:rsid w:val="001C749A"/>
    <w:rsid w:val="001D3AD9"/>
    <w:rsid w:val="001D4CB2"/>
    <w:rsid w:val="001D5595"/>
    <w:rsid w:val="001D5E5F"/>
    <w:rsid w:val="001D6619"/>
    <w:rsid w:val="001D6C90"/>
    <w:rsid w:val="001D7641"/>
    <w:rsid w:val="001D7874"/>
    <w:rsid w:val="001D7F22"/>
    <w:rsid w:val="001D7F28"/>
    <w:rsid w:val="001E3361"/>
    <w:rsid w:val="001E760F"/>
    <w:rsid w:val="001F0F17"/>
    <w:rsid w:val="001F12B8"/>
    <w:rsid w:val="001F3347"/>
    <w:rsid w:val="001F58AC"/>
    <w:rsid w:val="001F5E28"/>
    <w:rsid w:val="001F69E4"/>
    <w:rsid w:val="001F7B26"/>
    <w:rsid w:val="0020053A"/>
    <w:rsid w:val="002028E8"/>
    <w:rsid w:val="0020524A"/>
    <w:rsid w:val="00206FC7"/>
    <w:rsid w:val="00211B42"/>
    <w:rsid w:val="00211F7C"/>
    <w:rsid w:val="002125B4"/>
    <w:rsid w:val="00214598"/>
    <w:rsid w:val="00214630"/>
    <w:rsid w:val="00215285"/>
    <w:rsid w:val="002155B8"/>
    <w:rsid w:val="00217FBD"/>
    <w:rsid w:val="00222172"/>
    <w:rsid w:val="00223219"/>
    <w:rsid w:val="00224839"/>
    <w:rsid w:val="002249B2"/>
    <w:rsid w:val="00224BB2"/>
    <w:rsid w:val="00225227"/>
    <w:rsid w:val="00226574"/>
    <w:rsid w:val="002278EC"/>
    <w:rsid w:val="0023010C"/>
    <w:rsid w:val="00231AB4"/>
    <w:rsid w:val="0023280E"/>
    <w:rsid w:val="00235225"/>
    <w:rsid w:val="0023531C"/>
    <w:rsid w:val="002377D1"/>
    <w:rsid w:val="002420F6"/>
    <w:rsid w:val="0024311A"/>
    <w:rsid w:val="00244945"/>
    <w:rsid w:val="00247B63"/>
    <w:rsid w:val="002506BC"/>
    <w:rsid w:val="00254345"/>
    <w:rsid w:val="00254C46"/>
    <w:rsid w:val="00260CB5"/>
    <w:rsid w:val="002620DE"/>
    <w:rsid w:val="00262DFB"/>
    <w:rsid w:val="00263358"/>
    <w:rsid w:val="0026353E"/>
    <w:rsid w:val="00263B4E"/>
    <w:rsid w:val="00264557"/>
    <w:rsid w:val="0026799A"/>
    <w:rsid w:val="00267B23"/>
    <w:rsid w:val="0027009A"/>
    <w:rsid w:val="002736AF"/>
    <w:rsid w:val="00273EAA"/>
    <w:rsid w:val="00274C01"/>
    <w:rsid w:val="0027525B"/>
    <w:rsid w:val="002805AB"/>
    <w:rsid w:val="0028103F"/>
    <w:rsid w:val="00281C47"/>
    <w:rsid w:val="00283D90"/>
    <w:rsid w:val="00284204"/>
    <w:rsid w:val="00286356"/>
    <w:rsid w:val="00287812"/>
    <w:rsid w:val="002908A7"/>
    <w:rsid w:val="00291773"/>
    <w:rsid w:val="002930B3"/>
    <w:rsid w:val="002941D6"/>
    <w:rsid w:val="00295088"/>
    <w:rsid w:val="002962BE"/>
    <w:rsid w:val="002970CC"/>
    <w:rsid w:val="00297F22"/>
    <w:rsid w:val="002A155F"/>
    <w:rsid w:val="002A168C"/>
    <w:rsid w:val="002A2A47"/>
    <w:rsid w:val="002A3DC7"/>
    <w:rsid w:val="002A5A44"/>
    <w:rsid w:val="002A65D8"/>
    <w:rsid w:val="002A6991"/>
    <w:rsid w:val="002B10D1"/>
    <w:rsid w:val="002B49E2"/>
    <w:rsid w:val="002B5869"/>
    <w:rsid w:val="002B7B00"/>
    <w:rsid w:val="002B7BBD"/>
    <w:rsid w:val="002B7C44"/>
    <w:rsid w:val="002C2B17"/>
    <w:rsid w:val="002C2C0C"/>
    <w:rsid w:val="002C2DE6"/>
    <w:rsid w:val="002C718B"/>
    <w:rsid w:val="002C755E"/>
    <w:rsid w:val="002D0C4D"/>
    <w:rsid w:val="002D144D"/>
    <w:rsid w:val="002D21B2"/>
    <w:rsid w:val="002D2B2C"/>
    <w:rsid w:val="002D3DD0"/>
    <w:rsid w:val="002D52C1"/>
    <w:rsid w:val="002D53CE"/>
    <w:rsid w:val="002D5984"/>
    <w:rsid w:val="002E01A5"/>
    <w:rsid w:val="002E1F3A"/>
    <w:rsid w:val="002E298A"/>
    <w:rsid w:val="002E44AB"/>
    <w:rsid w:val="002F1665"/>
    <w:rsid w:val="002F1882"/>
    <w:rsid w:val="002F6DB1"/>
    <w:rsid w:val="00301978"/>
    <w:rsid w:val="0030332C"/>
    <w:rsid w:val="003051C2"/>
    <w:rsid w:val="00312296"/>
    <w:rsid w:val="0031238E"/>
    <w:rsid w:val="00314F0E"/>
    <w:rsid w:val="00315231"/>
    <w:rsid w:val="00315988"/>
    <w:rsid w:val="00316DD2"/>
    <w:rsid w:val="00321D8E"/>
    <w:rsid w:val="003232E8"/>
    <w:rsid w:val="00324C09"/>
    <w:rsid w:val="00325129"/>
    <w:rsid w:val="00325928"/>
    <w:rsid w:val="00327633"/>
    <w:rsid w:val="0033111D"/>
    <w:rsid w:val="00332863"/>
    <w:rsid w:val="00334022"/>
    <w:rsid w:val="00335475"/>
    <w:rsid w:val="00336416"/>
    <w:rsid w:val="0033684D"/>
    <w:rsid w:val="00337B42"/>
    <w:rsid w:val="003416DB"/>
    <w:rsid w:val="00341B42"/>
    <w:rsid w:val="003427EF"/>
    <w:rsid w:val="0034348F"/>
    <w:rsid w:val="0034564F"/>
    <w:rsid w:val="003459E5"/>
    <w:rsid w:val="003477C7"/>
    <w:rsid w:val="00350C8E"/>
    <w:rsid w:val="00353C4D"/>
    <w:rsid w:val="00354CD4"/>
    <w:rsid w:val="00356653"/>
    <w:rsid w:val="003569ED"/>
    <w:rsid w:val="0035743F"/>
    <w:rsid w:val="00357BE2"/>
    <w:rsid w:val="0036170C"/>
    <w:rsid w:val="00361768"/>
    <w:rsid w:val="00361F92"/>
    <w:rsid w:val="003633D4"/>
    <w:rsid w:val="00365569"/>
    <w:rsid w:val="00366E0F"/>
    <w:rsid w:val="00372B2E"/>
    <w:rsid w:val="00373D36"/>
    <w:rsid w:val="0037561B"/>
    <w:rsid w:val="00375910"/>
    <w:rsid w:val="003779C9"/>
    <w:rsid w:val="003802C5"/>
    <w:rsid w:val="00381A72"/>
    <w:rsid w:val="00384676"/>
    <w:rsid w:val="00384D3B"/>
    <w:rsid w:val="00385051"/>
    <w:rsid w:val="00385A7F"/>
    <w:rsid w:val="00386340"/>
    <w:rsid w:val="00386C7F"/>
    <w:rsid w:val="00387C53"/>
    <w:rsid w:val="00390764"/>
    <w:rsid w:val="00390857"/>
    <w:rsid w:val="00391CEF"/>
    <w:rsid w:val="00392514"/>
    <w:rsid w:val="00395E90"/>
    <w:rsid w:val="00395F9E"/>
    <w:rsid w:val="00396DB3"/>
    <w:rsid w:val="003A0EA8"/>
    <w:rsid w:val="003A4BF3"/>
    <w:rsid w:val="003A6901"/>
    <w:rsid w:val="003A7C98"/>
    <w:rsid w:val="003B08E9"/>
    <w:rsid w:val="003B161C"/>
    <w:rsid w:val="003B420D"/>
    <w:rsid w:val="003B62CC"/>
    <w:rsid w:val="003C6C16"/>
    <w:rsid w:val="003D0908"/>
    <w:rsid w:val="003D0B92"/>
    <w:rsid w:val="003D26B8"/>
    <w:rsid w:val="003D2AC3"/>
    <w:rsid w:val="003D3A60"/>
    <w:rsid w:val="003D50E6"/>
    <w:rsid w:val="003D794D"/>
    <w:rsid w:val="003E05BA"/>
    <w:rsid w:val="003E238F"/>
    <w:rsid w:val="003E2659"/>
    <w:rsid w:val="003E28F8"/>
    <w:rsid w:val="003E3058"/>
    <w:rsid w:val="003E3F8F"/>
    <w:rsid w:val="003E477E"/>
    <w:rsid w:val="003E4B5C"/>
    <w:rsid w:val="003E704D"/>
    <w:rsid w:val="003E76A9"/>
    <w:rsid w:val="003E7D1C"/>
    <w:rsid w:val="003F0809"/>
    <w:rsid w:val="003F1E2D"/>
    <w:rsid w:val="003F480B"/>
    <w:rsid w:val="003F51B2"/>
    <w:rsid w:val="003F5E74"/>
    <w:rsid w:val="003F6A8C"/>
    <w:rsid w:val="003F755C"/>
    <w:rsid w:val="003F7D42"/>
    <w:rsid w:val="004047B0"/>
    <w:rsid w:val="004056E2"/>
    <w:rsid w:val="00406F01"/>
    <w:rsid w:val="00407A7F"/>
    <w:rsid w:val="004109D1"/>
    <w:rsid w:val="004120F5"/>
    <w:rsid w:val="00412DE8"/>
    <w:rsid w:val="00413119"/>
    <w:rsid w:val="00413D21"/>
    <w:rsid w:val="00416D50"/>
    <w:rsid w:val="00416FD5"/>
    <w:rsid w:val="00417772"/>
    <w:rsid w:val="0041794F"/>
    <w:rsid w:val="00420E6A"/>
    <w:rsid w:val="00422965"/>
    <w:rsid w:val="004236A3"/>
    <w:rsid w:val="00425A9E"/>
    <w:rsid w:val="00426D6B"/>
    <w:rsid w:val="00426E39"/>
    <w:rsid w:val="00431129"/>
    <w:rsid w:val="00431E6C"/>
    <w:rsid w:val="00432BD8"/>
    <w:rsid w:val="00433CE7"/>
    <w:rsid w:val="00436721"/>
    <w:rsid w:val="00437C8D"/>
    <w:rsid w:val="00437F6A"/>
    <w:rsid w:val="0044016A"/>
    <w:rsid w:val="0044565C"/>
    <w:rsid w:val="0044609C"/>
    <w:rsid w:val="00446A83"/>
    <w:rsid w:val="004505B1"/>
    <w:rsid w:val="00450A16"/>
    <w:rsid w:val="00452738"/>
    <w:rsid w:val="00453D42"/>
    <w:rsid w:val="00456091"/>
    <w:rsid w:val="00457D18"/>
    <w:rsid w:val="0046010F"/>
    <w:rsid w:val="0046032A"/>
    <w:rsid w:val="00460580"/>
    <w:rsid w:val="00460934"/>
    <w:rsid w:val="00462878"/>
    <w:rsid w:val="00463EEF"/>
    <w:rsid w:val="004648BE"/>
    <w:rsid w:val="004648CE"/>
    <w:rsid w:val="00464FD6"/>
    <w:rsid w:val="004653A0"/>
    <w:rsid w:val="00466321"/>
    <w:rsid w:val="00467990"/>
    <w:rsid w:val="0047021E"/>
    <w:rsid w:val="00471E47"/>
    <w:rsid w:val="004722D9"/>
    <w:rsid w:val="00473B93"/>
    <w:rsid w:val="00476213"/>
    <w:rsid w:val="00476C6F"/>
    <w:rsid w:val="00482D18"/>
    <w:rsid w:val="004837E5"/>
    <w:rsid w:val="00484B9B"/>
    <w:rsid w:val="004855F6"/>
    <w:rsid w:val="00485A00"/>
    <w:rsid w:val="0048661E"/>
    <w:rsid w:val="004910F4"/>
    <w:rsid w:val="00491C4B"/>
    <w:rsid w:val="00493994"/>
    <w:rsid w:val="0049420B"/>
    <w:rsid w:val="00494670"/>
    <w:rsid w:val="004A2363"/>
    <w:rsid w:val="004A2D68"/>
    <w:rsid w:val="004A36B4"/>
    <w:rsid w:val="004A3823"/>
    <w:rsid w:val="004A3E28"/>
    <w:rsid w:val="004A4195"/>
    <w:rsid w:val="004A4FFF"/>
    <w:rsid w:val="004B2C13"/>
    <w:rsid w:val="004B3503"/>
    <w:rsid w:val="004C035A"/>
    <w:rsid w:val="004C542D"/>
    <w:rsid w:val="004C6D69"/>
    <w:rsid w:val="004D0740"/>
    <w:rsid w:val="004D1C61"/>
    <w:rsid w:val="004D2A89"/>
    <w:rsid w:val="004D30A8"/>
    <w:rsid w:val="004D5654"/>
    <w:rsid w:val="004E22E8"/>
    <w:rsid w:val="004E24ED"/>
    <w:rsid w:val="004E3095"/>
    <w:rsid w:val="004E3620"/>
    <w:rsid w:val="004E422B"/>
    <w:rsid w:val="004E6946"/>
    <w:rsid w:val="004E7B17"/>
    <w:rsid w:val="004F1AD8"/>
    <w:rsid w:val="004F6F4C"/>
    <w:rsid w:val="00500FC0"/>
    <w:rsid w:val="0050167A"/>
    <w:rsid w:val="00503013"/>
    <w:rsid w:val="0050301F"/>
    <w:rsid w:val="005039CB"/>
    <w:rsid w:val="00503D3A"/>
    <w:rsid w:val="00505145"/>
    <w:rsid w:val="0050558F"/>
    <w:rsid w:val="00506045"/>
    <w:rsid w:val="00506286"/>
    <w:rsid w:val="005063D1"/>
    <w:rsid w:val="00507051"/>
    <w:rsid w:val="00510813"/>
    <w:rsid w:val="0051165C"/>
    <w:rsid w:val="00511990"/>
    <w:rsid w:val="00511DE0"/>
    <w:rsid w:val="00513197"/>
    <w:rsid w:val="00514870"/>
    <w:rsid w:val="00514B9B"/>
    <w:rsid w:val="00517F02"/>
    <w:rsid w:val="00523D7B"/>
    <w:rsid w:val="00523E98"/>
    <w:rsid w:val="00523EDA"/>
    <w:rsid w:val="00524303"/>
    <w:rsid w:val="005258A2"/>
    <w:rsid w:val="005259CE"/>
    <w:rsid w:val="0053049A"/>
    <w:rsid w:val="00532DBD"/>
    <w:rsid w:val="00536322"/>
    <w:rsid w:val="005401AE"/>
    <w:rsid w:val="00542B7F"/>
    <w:rsid w:val="00542E07"/>
    <w:rsid w:val="00545424"/>
    <w:rsid w:val="00545453"/>
    <w:rsid w:val="0055398C"/>
    <w:rsid w:val="00554A7B"/>
    <w:rsid w:val="00555611"/>
    <w:rsid w:val="0055572C"/>
    <w:rsid w:val="0055713A"/>
    <w:rsid w:val="00557308"/>
    <w:rsid w:val="0056106A"/>
    <w:rsid w:val="00567785"/>
    <w:rsid w:val="0057085C"/>
    <w:rsid w:val="005720AE"/>
    <w:rsid w:val="0057292F"/>
    <w:rsid w:val="00572BE5"/>
    <w:rsid w:val="00573F32"/>
    <w:rsid w:val="00575315"/>
    <w:rsid w:val="005762AB"/>
    <w:rsid w:val="005777E1"/>
    <w:rsid w:val="00583426"/>
    <w:rsid w:val="00584015"/>
    <w:rsid w:val="00592119"/>
    <w:rsid w:val="005937A3"/>
    <w:rsid w:val="0059382B"/>
    <w:rsid w:val="00594D77"/>
    <w:rsid w:val="005969E4"/>
    <w:rsid w:val="00597B55"/>
    <w:rsid w:val="005A0695"/>
    <w:rsid w:val="005A06B7"/>
    <w:rsid w:val="005A103E"/>
    <w:rsid w:val="005A1759"/>
    <w:rsid w:val="005A4DB9"/>
    <w:rsid w:val="005A5669"/>
    <w:rsid w:val="005A68A7"/>
    <w:rsid w:val="005B4CB9"/>
    <w:rsid w:val="005B6818"/>
    <w:rsid w:val="005B72E3"/>
    <w:rsid w:val="005C3BD3"/>
    <w:rsid w:val="005C3EE4"/>
    <w:rsid w:val="005C50E8"/>
    <w:rsid w:val="005C7E62"/>
    <w:rsid w:val="005D11F1"/>
    <w:rsid w:val="005D36AB"/>
    <w:rsid w:val="005D39BD"/>
    <w:rsid w:val="005D42AB"/>
    <w:rsid w:val="005D51E7"/>
    <w:rsid w:val="005D58DC"/>
    <w:rsid w:val="005E4559"/>
    <w:rsid w:val="005E58D1"/>
    <w:rsid w:val="005F1528"/>
    <w:rsid w:val="005F5374"/>
    <w:rsid w:val="00600044"/>
    <w:rsid w:val="0060352D"/>
    <w:rsid w:val="006046AB"/>
    <w:rsid w:val="00604BDF"/>
    <w:rsid w:val="00606523"/>
    <w:rsid w:val="006111AD"/>
    <w:rsid w:val="0061127C"/>
    <w:rsid w:val="00611674"/>
    <w:rsid w:val="00611734"/>
    <w:rsid w:val="006119E3"/>
    <w:rsid w:val="00617B7A"/>
    <w:rsid w:val="00617CC3"/>
    <w:rsid w:val="00620520"/>
    <w:rsid w:val="00621BB1"/>
    <w:rsid w:val="0062242A"/>
    <w:rsid w:val="00622736"/>
    <w:rsid w:val="00624337"/>
    <w:rsid w:val="00624EFE"/>
    <w:rsid w:val="00625384"/>
    <w:rsid w:val="0063078C"/>
    <w:rsid w:val="00632DC3"/>
    <w:rsid w:val="006339B1"/>
    <w:rsid w:val="00634AF0"/>
    <w:rsid w:val="0063572E"/>
    <w:rsid w:val="00635D1D"/>
    <w:rsid w:val="00636FB1"/>
    <w:rsid w:val="006377A6"/>
    <w:rsid w:val="00637A3D"/>
    <w:rsid w:val="00640719"/>
    <w:rsid w:val="006411EF"/>
    <w:rsid w:val="00642889"/>
    <w:rsid w:val="00642A32"/>
    <w:rsid w:val="006508A9"/>
    <w:rsid w:val="00650A8C"/>
    <w:rsid w:val="006568A4"/>
    <w:rsid w:val="00656A26"/>
    <w:rsid w:val="00662CC8"/>
    <w:rsid w:val="00667205"/>
    <w:rsid w:val="006725C8"/>
    <w:rsid w:val="006748B8"/>
    <w:rsid w:val="006775C3"/>
    <w:rsid w:val="00680268"/>
    <w:rsid w:val="00682A87"/>
    <w:rsid w:val="00682BB6"/>
    <w:rsid w:val="0069090B"/>
    <w:rsid w:val="00690B9E"/>
    <w:rsid w:val="006910D5"/>
    <w:rsid w:val="0069290A"/>
    <w:rsid w:val="00693C40"/>
    <w:rsid w:val="0069775A"/>
    <w:rsid w:val="00697813"/>
    <w:rsid w:val="006A1868"/>
    <w:rsid w:val="006A1C74"/>
    <w:rsid w:val="006A2103"/>
    <w:rsid w:val="006A3EE8"/>
    <w:rsid w:val="006A5913"/>
    <w:rsid w:val="006A672F"/>
    <w:rsid w:val="006A72BF"/>
    <w:rsid w:val="006A7F8F"/>
    <w:rsid w:val="006B03F2"/>
    <w:rsid w:val="006B1CDA"/>
    <w:rsid w:val="006B27F3"/>
    <w:rsid w:val="006B37DC"/>
    <w:rsid w:val="006B4A06"/>
    <w:rsid w:val="006B4F68"/>
    <w:rsid w:val="006B71DF"/>
    <w:rsid w:val="006C02E4"/>
    <w:rsid w:val="006C0592"/>
    <w:rsid w:val="006C272E"/>
    <w:rsid w:val="006C5479"/>
    <w:rsid w:val="006D13B5"/>
    <w:rsid w:val="006D175E"/>
    <w:rsid w:val="006D463C"/>
    <w:rsid w:val="006D4F30"/>
    <w:rsid w:val="006D5283"/>
    <w:rsid w:val="006D5F36"/>
    <w:rsid w:val="006D5F9D"/>
    <w:rsid w:val="006E01DA"/>
    <w:rsid w:val="006E12FF"/>
    <w:rsid w:val="006E3AAB"/>
    <w:rsid w:val="006E607E"/>
    <w:rsid w:val="006E6B81"/>
    <w:rsid w:val="006E79AD"/>
    <w:rsid w:val="006F02A4"/>
    <w:rsid w:val="006F646E"/>
    <w:rsid w:val="006F74AC"/>
    <w:rsid w:val="006F76D4"/>
    <w:rsid w:val="00700896"/>
    <w:rsid w:val="0070091D"/>
    <w:rsid w:val="007036F3"/>
    <w:rsid w:val="00703AA7"/>
    <w:rsid w:val="0070401A"/>
    <w:rsid w:val="007046D9"/>
    <w:rsid w:val="00704F89"/>
    <w:rsid w:val="00705A10"/>
    <w:rsid w:val="00706C5D"/>
    <w:rsid w:val="00706CD1"/>
    <w:rsid w:val="00715518"/>
    <w:rsid w:val="00715A5D"/>
    <w:rsid w:val="00717380"/>
    <w:rsid w:val="00720D83"/>
    <w:rsid w:val="00731088"/>
    <w:rsid w:val="0073227D"/>
    <w:rsid w:val="00732922"/>
    <w:rsid w:val="00735AEB"/>
    <w:rsid w:val="00736F94"/>
    <w:rsid w:val="007419A0"/>
    <w:rsid w:val="007430AD"/>
    <w:rsid w:val="007435C0"/>
    <w:rsid w:val="007455F8"/>
    <w:rsid w:val="00746085"/>
    <w:rsid w:val="0075162E"/>
    <w:rsid w:val="007519C9"/>
    <w:rsid w:val="0075299E"/>
    <w:rsid w:val="00754034"/>
    <w:rsid w:val="00755154"/>
    <w:rsid w:val="00756556"/>
    <w:rsid w:val="00757811"/>
    <w:rsid w:val="00757FE2"/>
    <w:rsid w:val="007618C4"/>
    <w:rsid w:val="00761BAE"/>
    <w:rsid w:val="00762CFA"/>
    <w:rsid w:val="00766591"/>
    <w:rsid w:val="00767980"/>
    <w:rsid w:val="00770B19"/>
    <w:rsid w:val="0077463F"/>
    <w:rsid w:val="007752E7"/>
    <w:rsid w:val="007763CA"/>
    <w:rsid w:val="007763ED"/>
    <w:rsid w:val="00776B61"/>
    <w:rsid w:val="00776F20"/>
    <w:rsid w:val="00777E8A"/>
    <w:rsid w:val="00781809"/>
    <w:rsid w:val="007836EA"/>
    <w:rsid w:val="00783B3E"/>
    <w:rsid w:val="00784CDA"/>
    <w:rsid w:val="00785E94"/>
    <w:rsid w:val="007877F2"/>
    <w:rsid w:val="007906C4"/>
    <w:rsid w:val="00790B5C"/>
    <w:rsid w:val="00792469"/>
    <w:rsid w:val="00792598"/>
    <w:rsid w:val="007940EA"/>
    <w:rsid w:val="007967E8"/>
    <w:rsid w:val="007A0B0A"/>
    <w:rsid w:val="007A2170"/>
    <w:rsid w:val="007A22BF"/>
    <w:rsid w:val="007A24D9"/>
    <w:rsid w:val="007A3323"/>
    <w:rsid w:val="007A4090"/>
    <w:rsid w:val="007A765D"/>
    <w:rsid w:val="007A76C4"/>
    <w:rsid w:val="007A7871"/>
    <w:rsid w:val="007B0718"/>
    <w:rsid w:val="007B3990"/>
    <w:rsid w:val="007B3E86"/>
    <w:rsid w:val="007B72B8"/>
    <w:rsid w:val="007B7A58"/>
    <w:rsid w:val="007C21B5"/>
    <w:rsid w:val="007C3997"/>
    <w:rsid w:val="007C7D0E"/>
    <w:rsid w:val="007D1633"/>
    <w:rsid w:val="007D4362"/>
    <w:rsid w:val="007E0FBC"/>
    <w:rsid w:val="007E1D8D"/>
    <w:rsid w:val="007E2F26"/>
    <w:rsid w:val="007E3460"/>
    <w:rsid w:val="007E379E"/>
    <w:rsid w:val="007E4BD2"/>
    <w:rsid w:val="007E7D59"/>
    <w:rsid w:val="007E7E3D"/>
    <w:rsid w:val="007F0B78"/>
    <w:rsid w:val="007F2F9D"/>
    <w:rsid w:val="007F3E93"/>
    <w:rsid w:val="007F3F63"/>
    <w:rsid w:val="007F7560"/>
    <w:rsid w:val="00801393"/>
    <w:rsid w:val="00802F88"/>
    <w:rsid w:val="008042AB"/>
    <w:rsid w:val="00804913"/>
    <w:rsid w:val="00810ADC"/>
    <w:rsid w:val="008123E4"/>
    <w:rsid w:val="0081293E"/>
    <w:rsid w:val="008131D9"/>
    <w:rsid w:val="008149B8"/>
    <w:rsid w:val="00815465"/>
    <w:rsid w:val="00816E7A"/>
    <w:rsid w:val="00817E9A"/>
    <w:rsid w:val="00823225"/>
    <w:rsid w:val="008234A8"/>
    <w:rsid w:val="0083047C"/>
    <w:rsid w:val="008306BD"/>
    <w:rsid w:val="00831A80"/>
    <w:rsid w:val="00832754"/>
    <w:rsid w:val="00833743"/>
    <w:rsid w:val="008340A4"/>
    <w:rsid w:val="00834D92"/>
    <w:rsid w:val="00840FC8"/>
    <w:rsid w:val="008411BB"/>
    <w:rsid w:val="0085179A"/>
    <w:rsid w:val="008521FD"/>
    <w:rsid w:val="00860E9C"/>
    <w:rsid w:val="008630A5"/>
    <w:rsid w:val="00866E02"/>
    <w:rsid w:val="008676DC"/>
    <w:rsid w:val="0087036F"/>
    <w:rsid w:val="00871144"/>
    <w:rsid w:val="0087135F"/>
    <w:rsid w:val="008716A8"/>
    <w:rsid w:val="0087225B"/>
    <w:rsid w:val="00872C45"/>
    <w:rsid w:val="00872D94"/>
    <w:rsid w:val="008733F2"/>
    <w:rsid w:val="00873ED5"/>
    <w:rsid w:val="00875AB8"/>
    <w:rsid w:val="00875F46"/>
    <w:rsid w:val="00880364"/>
    <w:rsid w:val="00880664"/>
    <w:rsid w:val="00882662"/>
    <w:rsid w:val="008861D8"/>
    <w:rsid w:val="008913B3"/>
    <w:rsid w:val="00891592"/>
    <w:rsid w:val="00891E9E"/>
    <w:rsid w:val="00892A6C"/>
    <w:rsid w:val="00892D54"/>
    <w:rsid w:val="00893242"/>
    <w:rsid w:val="008939AA"/>
    <w:rsid w:val="008940A4"/>
    <w:rsid w:val="00894B5D"/>
    <w:rsid w:val="0089528D"/>
    <w:rsid w:val="008A0E3A"/>
    <w:rsid w:val="008A19CF"/>
    <w:rsid w:val="008A1BC8"/>
    <w:rsid w:val="008A2F68"/>
    <w:rsid w:val="008A4301"/>
    <w:rsid w:val="008A439F"/>
    <w:rsid w:val="008B1623"/>
    <w:rsid w:val="008B280C"/>
    <w:rsid w:val="008B2ACE"/>
    <w:rsid w:val="008B4804"/>
    <w:rsid w:val="008B4D03"/>
    <w:rsid w:val="008B4FA6"/>
    <w:rsid w:val="008B5282"/>
    <w:rsid w:val="008B5AE4"/>
    <w:rsid w:val="008B7C17"/>
    <w:rsid w:val="008B7DFE"/>
    <w:rsid w:val="008C15E1"/>
    <w:rsid w:val="008C2D01"/>
    <w:rsid w:val="008C3E14"/>
    <w:rsid w:val="008C40E6"/>
    <w:rsid w:val="008C5663"/>
    <w:rsid w:val="008C58B5"/>
    <w:rsid w:val="008C7484"/>
    <w:rsid w:val="008D0F7A"/>
    <w:rsid w:val="008D14DB"/>
    <w:rsid w:val="008D2984"/>
    <w:rsid w:val="008D3BC0"/>
    <w:rsid w:val="008D3F90"/>
    <w:rsid w:val="008D63C7"/>
    <w:rsid w:val="008D68E4"/>
    <w:rsid w:val="008E0506"/>
    <w:rsid w:val="008E0CFF"/>
    <w:rsid w:val="008E46C8"/>
    <w:rsid w:val="008E4D07"/>
    <w:rsid w:val="008E5D6B"/>
    <w:rsid w:val="008E6F0E"/>
    <w:rsid w:val="008E719C"/>
    <w:rsid w:val="008E76F0"/>
    <w:rsid w:val="008F15FE"/>
    <w:rsid w:val="008F2D29"/>
    <w:rsid w:val="008F3215"/>
    <w:rsid w:val="008F391D"/>
    <w:rsid w:val="008F4642"/>
    <w:rsid w:val="008F5187"/>
    <w:rsid w:val="008F60D8"/>
    <w:rsid w:val="009015F2"/>
    <w:rsid w:val="009026F9"/>
    <w:rsid w:val="00902727"/>
    <w:rsid w:val="0090312B"/>
    <w:rsid w:val="00904606"/>
    <w:rsid w:val="00905E67"/>
    <w:rsid w:val="009156C4"/>
    <w:rsid w:val="009160BF"/>
    <w:rsid w:val="0091647D"/>
    <w:rsid w:val="0091706F"/>
    <w:rsid w:val="0091736D"/>
    <w:rsid w:val="009201E9"/>
    <w:rsid w:val="00922FDA"/>
    <w:rsid w:val="00927E95"/>
    <w:rsid w:val="0093037A"/>
    <w:rsid w:val="009312F7"/>
    <w:rsid w:val="00931EF1"/>
    <w:rsid w:val="00934316"/>
    <w:rsid w:val="00934967"/>
    <w:rsid w:val="00935ED8"/>
    <w:rsid w:val="0094154D"/>
    <w:rsid w:val="009440FE"/>
    <w:rsid w:val="0094614F"/>
    <w:rsid w:val="00946CCF"/>
    <w:rsid w:val="0095155F"/>
    <w:rsid w:val="00954429"/>
    <w:rsid w:val="0095537F"/>
    <w:rsid w:val="009556B3"/>
    <w:rsid w:val="00955AC1"/>
    <w:rsid w:val="009563CE"/>
    <w:rsid w:val="009572F0"/>
    <w:rsid w:val="00963189"/>
    <w:rsid w:val="009651CF"/>
    <w:rsid w:val="0096565E"/>
    <w:rsid w:val="00965ABD"/>
    <w:rsid w:val="00971705"/>
    <w:rsid w:val="009730F8"/>
    <w:rsid w:val="0097484D"/>
    <w:rsid w:val="00974EEF"/>
    <w:rsid w:val="0097537D"/>
    <w:rsid w:val="00975F4D"/>
    <w:rsid w:val="00976328"/>
    <w:rsid w:val="0097680D"/>
    <w:rsid w:val="009801F4"/>
    <w:rsid w:val="00981D4D"/>
    <w:rsid w:val="0098240C"/>
    <w:rsid w:val="00982438"/>
    <w:rsid w:val="00982530"/>
    <w:rsid w:val="00982D9F"/>
    <w:rsid w:val="0098358A"/>
    <w:rsid w:val="00983653"/>
    <w:rsid w:val="0098404C"/>
    <w:rsid w:val="00985283"/>
    <w:rsid w:val="00985FA0"/>
    <w:rsid w:val="0098603D"/>
    <w:rsid w:val="00986B11"/>
    <w:rsid w:val="00986CF3"/>
    <w:rsid w:val="009870BF"/>
    <w:rsid w:val="00987154"/>
    <w:rsid w:val="00991388"/>
    <w:rsid w:val="0099146E"/>
    <w:rsid w:val="00992FD8"/>
    <w:rsid w:val="009937D5"/>
    <w:rsid w:val="00993BEB"/>
    <w:rsid w:val="009951CE"/>
    <w:rsid w:val="00995477"/>
    <w:rsid w:val="009957D1"/>
    <w:rsid w:val="00995992"/>
    <w:rsid w:val="009972ED"/>
    <w:rsid w:val="00997AFA"/>
    <w:rsid w:val="009A03E5"/>
    <w:rsid w:val="009A08B2"/>
    <w:rsid w:val="009A0F3B"/>
    <w:rsid w:val="009A1A0F"/>
    <w:rsid w:val="009A1BB4"/>
    <w:rsid w:val="009A2492"/>
    <w:rsid w:val="009A2628"/>
    <w:rsid w:val="009A2C95"/>
    <w:rsid w:val="009A3200"/>
    <w:rsid w:val="009A3D98"/>
    <w:rsid w:val="009A64FF"/>
    <w:rsid w:val="009A725C"/>
    <w:rsid w:val="009A7DDB"/>
    <w:rsid w:val="009A7DF7"/>
    <w:rsid w:val="009A7F71"/>
    <w:rsid w:val="009B0897"/>
    <w:rsid w:val="009B1342"/>
    <w:rsid w:val="009B1387"/>
    <w:rsid w:val="009B2AB3"/>
    <w:rsid w:val="009B7519"/>
    <w:rsid w:val="009B7BD9"/>
    <w:rsid w:val="009C133B"/>
    <w:rsid w:val="009C1DE6"/>
    <w:rsid w:val="009C288F"/>
    <w:rsid w:val="009C28AE"/>
    <w:rsid w:val="009C29B5"/>
    <w:rsid w:val="009C5677"/>
    <w:rsid w:val="009C6C56"/>
    <w:rsid w:val="009C7DD5"/>
    <w:rsid w:val="009D6BE0"/>
    <w:rsid w:val="009E0C74"/>
    <w:rsid w:val="009E2106"/>
    <w:rsid w:val="009E227D"/>
    <w:rsid w:val="009E2F24"/>
    <w:rsid w:val="009E4310"/>
    <w:rsid w:val="009E461B"/>
    <w:rsid w:val="009E5019"/>
    <w:rsid w:val="009E6721"/>
    <w:rsid w:val="009E7856"/>
    <w:rsid w:val="009F2342"/>
    <w:rsid w:val="009F4B0F"/>
    <w:rsid w:val="009F5854"/>
    <w:rsid w:val="009F6935"/>
    <w:rsid w:val="00A01344"/>
    <w:rsid w:val="00A01AFB"/>
    <w:rsid w:val="00A01DC8"/>
    <w:rsid w:val="00A02419"/>
    <w:rsid w:val="00A03374"/>
    <w:rsid w:val="00A04F1B"/>
    <w:rsid w:val="00A0501B"/>
    <w:rsid w:val="00A10AD0"/>
    <w:rsid w:val="00A14947"/>
    <w:rsid w:val="00A15261"/>
    <w:rsid w:val="00A15D77"/>
    <w:rsid w:val="00A16241"/>
    <w:rsid w:val="00A20571"/>
    <w:rsid w:val="00A23E00"/>
    <w:rsid w:val="00A31996"/>
    <w:rsid w:val="00A320C6"/>
    <w:rsid w:val="00A322FB"/>
    <w:rsid w:val="00A32A83"/>
    <w:rsid w:val="00A32B48"/>
    <w:rsid w:val="00A32B59"/>
    <w:rsid w:val="00A32DDC"/>
    <w:rsid w:val="00A34D51"/>
    <w:rsid w:val="00A368DB"/>
    <w:rsid w:val="00A423AA"/>
    <w:rsid w:val="00A4266B"/>
    <w:rsid w:val="00A435AF"/>
    <w:rsid w:val="00A43D3C"/>
    <w:rsid w:val="00A44866"/>
    <w:rsid w:val="00A47478"/>
    <w:rsid w:val="00A4782F"/>
    <w:rsid w:val="00A529FA"/>
    <w:rsid w:val="00A52B3F"/>
    <w:rsid w:val="00A53E14"/>
    <w:rsid w:val="00A53EC6"/>
    <w:rsid w:val="00A54032"/>
    <w:rsid w:val="00A55C0F"/>
    <w:rsid w:val="00A56B29"/>
    <w:rsid w:val="00A6211E"/>
    <w:rsid w:val="00A625F6"/>
    <w:rsid w:val="00A646CB"/>
    <w:rsid w:val="00A65044"/>
    <w:rsid w:val="00A65622"/>
    <w:rsid w:val="00A6581B"/>
    <w:rsid w:val="00A667F6"/>
    <w:rsid w:val="00A67B98"/>
    <w:rsid w:val="00A704DC"/>
    <w:rsid w:val="00A72EDE"/>
    <w:rsid w:val="00A7383C"/>
    <w:rsid w:val="00A76642"/>
    <w:rsid w:val="00A77390"/>
    <w:rsid w:val="00A775A5"/>
    <w:rsid w:val="00A77AAA"/>
    <w:rsid w:val="00A82A1D"/>
    <w:rsid w:val="00A82E8A"/>
    <w:rsid w:val="00A85C15"/>
    <w:rsid w:val="00A8713F"/>
    <w:rsid w:val="00A90BA1"/>
    <w:rsid w:val="00A911B1"/>
    <w:rsid w:val="00A9677B"/>
    <w:rsid w:val="00A97A9A"/>
    <w:rsid w:val="00AA0671"/>
    <w:rsid w:val="00AA2531"/>
    <w:rsid w:val="00AB0D47"/>
    <w:rsid w:val="00AB1E09"/>
    <w:rsid w:val="00AB2AA4"/>
    <w:rsid w:val="00AB2F34"/>
    <w:rsid w:val="00AB3293"/>
    <w:rsid w:val="00AB3905"/>
    <w:rsid w:val="00AB39E8"/>
    <w:rsid w:val="00AB4EDE"/>
    <w:rsid w:val="00AB5330"/>
    <w:rsid w:val="00AB5BF3"/>
    <w:rsid w:val="00AB7747"/>
    <w:rsid w:val="00AC14CE"/>
    <w:rsid w:val="00AC20C8"/>
    <w:rsid w:val="00AC2A56"/>
    <w:rsid w:val="00AC2AC5"/>
    <w:rsid w:val="00AC2CC5"/>
    <w:rsid w:val="00AC4040"/>
    <w:rsid w:val="00AC56EA"/>
    <w:rsid w:val="00AC5A63"/>
    <w:rsid w:val="00AC5D61"/>
    <w:rsid w:val="00AD055E"/>
    <w:rsid w:val="00AD47A7"/>
    <w:rsid w:val="00AD5BE9"/>
    <w:rsid w:val="00AE1DA8"/>
    <w:rsid w:val="00AE2A03"/>
    <w:rsid w:val="00AE48FA"/>
    <w:rsid w:val="00AE6286"/>
    <w:rsid w:val="00AE749B"/>
    <w:rsid w:val="00AF0CBF"/>
    <w:rsid w:val="00AF1573"/>
    <w:rsid w:val="00AF257F"/>
    <w:rsid w:val="00AF33CF"/>
    <w:rsid w:val="00AF371F"/>
    <w:rsid w:val="00AF46B2"/>
    <w:rsid w:val="00AF4CC8"/>
    <w:rsid w:val="00AF4D50"/>
    <w:rsid w:val="00AF6179"/>
    <w:rsid w:val="00AF656A"/>
    <w:rsid w:val="00B012F9"/>
    <w:rsid w:val="00B025E1"/>
    <w:rsid w:val="00B03904"/>
    <w:rsid w:val="00B03B64"/>
    <w:rsid w:val="00B04390"/>
    <w:rsid w:val="00B048B5"/>
    <w:rsid w:val="00B06E22"/>
    <w:rsid w:val="00B1177C"/>
    <w:rsid w:val="00B11C30"/>
    <w:rsid w:val="00B1295A"/>
    <w:rsid w:val="00B12D8A"/>
    <w:rsid w:val="00B14C2C"/>
    <w:rsid w:val="00B17C51"/>
    <w:rsid w:val="00B20A45"/>
    <w:rsid w:val="00B2160B"/>
    <w:rsid w:val="00B21EA2"/>
    <w:rsid w:val="00B22C5C"/>
    <w:rsid w:val="00B23F70"/>
    <w:rsid w:val="00B24F30"/>
    <w:rsid w:val="00B26190"/>
    <w:rsid w:val="00B27653"/>
    <w:rsid w:val="00B30F9A"/>
    <w:rsid w:val="00B31ABF"/>
    <w:rsid w:val="00B3267A"/>
    <w:rsid w:val="00B33BE3"/>
    <w:rsid w:val="00B40219"/>
    <w:rsid w:val="00B41184"/>
    <w:rsid w:val="00B436C9"/>
    <w:rsid w:val="00B43B41"/>
    <w:rsid w:val="00B513AA"/>
    <w:rsid w:val="00B5166A"/>
    <w:rsid w:val="00B51C53"/>
    <w:rsid w:val="00B53B5D"/>
    <w:rsid w:val="00B6055E"/>
    <w:rsid w:val="00B60AA1"/>
    <w:rsid w:val="00B61CF8"/>
    <w:rsid w:val="00B6317D"/>
    <w:rsid w:val="00B65D05"/>
    <w:rsid w:val="00B66EDB"/>
    <w:rsid w:val="00B71F97"/>
    <w:rsid w:val="00B7723F"/>
    <w:rsid w:val="00B80534"/>
    <w:rsid w:val="00B826E2"/>
    <w:rsid w:val="00B829A1"/>
    <w:rsid w:val="00B8433C"/>
    <w:rsid w:val="00B87491"/>
    <w:rsid w:val="00B90F55"/>
    <w:rsid w:val="00B91654"/>
    <w:rsid w:val="00B93734"/>
    <w:rsid w:val="00B956EC"/>
    <w:rsid w:val="00B96A85"/>
    <w:rsid w:val="00B97631"/>
    <w:rsid w:val="00B97E89"/>
    <w:rsid w:val="00BA1654"/>
    <w:rsid w:val="00BA29E9"/>
    <w:rsid w:val="00BA3704"/>
    <w:rsid w:val="00BA3C9D"/>
    <w:rsid w:val="00BA5C2C"/>
    <w:rsid w:val="00BA6A84"/>
    <w:rsid w:val="00BA6B83"/>
    <w:rsid w:val="00BA7142"/>
    <w:rsid w:val="00BB01E7"/>
    <w:rsid w:val="00BB10BE"/>
    <w:rsid w:val="00BB1476"/>
    <w:rsid w:val="00BB2115"/>
    <w:rsid w:val="00BB237C"/>
    <w:rsid w:val="00BB41A3"/>
    <w:rsid w:val="00BB4240"/>
    <w:rsid w:val="00BB4C66"/>
    <w:rsid w:val="00BB7248"/>
    <w:rsid w:val="00BC110C"/>
    <w:rsid w:val="00BC2A35"/>
    <w:rsid w:val="00BC32DC"/>
    <w:rsid w:val="00BC34EE"/>
    <w:rsid w:val="00BC35B6"/>
    <w:rsid w:val="00BC4446"/>
    <w:rsid w:val="00BC4594"/>
    <w:rsid w:val="00BC73F7"/>
    <w:rsid w:val="00BD17AC"/>
    <w:rsid w:val="00BD1A5F"/>
    <w:rsid w:val="00BD1B51"/>
    <w:rsid w:val="00BD2B74"/>
    <w:rsid w:val="00BD4025"/>
    <w:rsid w:val="00BD4596"/>
    <w:rsid w:val="00BD6AD8"/>
    <w:rsid w:val="00BD6F65"/>
    <w:rsid w:val="00BD6FB8"/>
    <w:rsid w:val="00BE1405"/>
    <w:rsid w:val="00BE1CEB"/>
    <w:rsid w:val="00BE1F7A"/>
    <w:rsid w:val="00BE312D"/>
    <w:rsid w:val="00BE4206"/>
    <w:rsid w:val="00BE59DA"/>
    <w:rsid w:val="00BF06EF"/>
    <w:rsid w:val="00BF11C1"/>
    <w:rsid w:val="00BF1C20"/>
    <w:rsid w:val="00BF1EB4"/>
    <w:rsid w:val="00BF2C14"/>
    <w:rsid w:val="00BF7780"/>
    <w:rsid w:val="00BF7A06"/>
    <w:rsid w:val="00C000E6"/>
    <w:rsid w:val="00C02D72"/>
    <w:rsid w:val="00C03435"/>
    <w:rsid w:val="00C05200"/>
    <w:rsid w:val="00C10578"/>
    <w:rsid w:val="00C111F7"/>
    <w:rsid w:val="00C12EC3"/>
    <w:rsid w:val="00C135BC"/>
    <w:rsid w:val="00C15C95"/>
    <w:rsid w:val="00C16109"/>
    <w:rsid w:val="00C166D4"/>
    <w:rsid w:val="00C16A50"/>
    <w:rsid w:val="00C16D1B"/>
    <w:rsid w:val="00C20395"/>
    <w:rsid w:val="00C249D6"/>
    <w:rsid w:val="00C2596A"/>
    <w:rsid w:val="00C270DB"/>
    <w:rsid w:val="00C27537"/>
    <w:rsid w:val="00C2788F"/>
    <w:rsid w:val="00C306F9"/>
    <w:rsid w:val="00C328FE"/>
    <w:rsid w:val="00C33507"/>
    <w:rsid w:val="00C34310"/>
    <w:rsid w:val="00C361A8"/>
    <w:rsid w:val="00C36367"/>
    <w:rsid w:val="00C36662"/>
    <w:rsid w:val="00C369D5"/>
    <w:rsid w:val="00C4008D"/>
    <w:rsid w:val="00C4409D"/>
    <w:rsid w:val="00C44E72"/>
    <w:rsid w:val="00C45260"/>
    <w:rsid w:val="00C45A06"/>
    <w:rsid w:val="00C47B20"/>
    <w:rsid w:val="00C47E5B"/>
    <w:rsid w:val="00C5062D"/>
    <w:rsid w:val="00C52A82"/>
    <w:rsid w:val="00C55A91"/>
    <w:rsid w:val="00C56506"/>
    <w:rsid w:val="00C60462"/>
    <w:rsid w:val="00C61E4B"/>
    <w:rsid w:val="00C630EE"/>
    <w:rsid w:val="00C64137"/>
    <w:rsid w:val="00C6464D"/>
    <w:rsid w:val="00C64BFF"/>
    <w:rsid w:val="00C65950"/>
    <w:rsid w:val="00C6628F"/>
    <w:rsid w:val="00C704E9"/>
    <w:rsid w:val="00C72048"/>
    <w:rsid w:val="00C762A8"/>
    <w:rsid w:val="00C763C9"/>
    <w:rsid w:val="00C80057"/>
    <w:rsid w:val="00C801BB"/>
    <w:rsid w:val="00C814FC"/>
    <w:rsid w:val="00C82232"/>
    <w:rsid w:val="00C822FB"/>
    <w:rsid w:val="00C82913"/>
    <w:rsid w:val="00C85196"/>
    <w:rsid w:val="00C901DE"/>
    <w:rsid w:val="00C96FC5"/>
    <w:rsid w:val="00C972B1"/>
    <w:rsid w:val="00C97EC2"/>
    <w:rsid w:val="00CA0CD6"/>
    <w:rsid w:val="00CA2CCE"/>
    <w:rsid w:val="00CA300E"/>
    <w:rsid w:val="00CA43FD"/>
    <w:rsid w:val="00CA51D1"/>
    <w:rsid w:val="00CA7151"/>
    <w:rsid w:val="00CA7EF8"/>
    <w:rsid w:val="00CB2629"/>
    <w:rsid w:val="00CB4431"/>
    <w:rsid w:val="00CB5E50"/>
    <w:rsid w:val="00CB7633"/>
    <w:rsid w:val="00CC2CE6"/>
    <w:rsid w:val="00CC2D85"/>
    <w:rsid w:val="00CC33A9"/>
    <w:rsid w:val="00CC346C"/>
    <w:rsid w:val="00CC489B"/>
    <w:rsid w:val="00CC4FFA"/>
    <w:rsid w:val="00CC5CE9"/>
    <w:rsid w:val="00CC5D6D"/>
    <w:rsid w:val="00CD0420"/>
    <w:rsid w:val="00CD0944"/>
    <w:rsid w:val="00CD14B5"/>
    <w:rsid w:val="00CD2855"/>
    <w:rsid w:val="00CD2BCD"/>
    <w:rsid w:val="00CD305C"/>
    <w:rsid w:val="00CD3A4C"/>
    <w:rsid w:val="00CD77BA"/>
    <w:rsid w:val="00CD7A88"/>
    <w:rsid w:val="00CE10E9"/>
    <w:rsid w:val="00CE284F"/>
    <w:rsid w:val="00CE2910"/>
    <w:rsid w:val="00CE2A52"/>
    <w:rsid w:val="00CE4D62"/>
    <w:rsid w:val="00CE5042"/>
    <w:rsid w:val="00CE5393"/>
    <w:rsid w:val="00CE5B30"/>
    <w:rsid w:val="00CE7E61"/>
    <w:rsid w:val="00CF163E"/>
    <w:rsid w:val="00CF27C7"/>
    <w:rsid w:val="00CF36BE"/>
    <w:rsid w:val="00CF37F7"/>
    <w:rsid w:val="00CF3F23"/>
    <w:rsid w:val="00CF57E9"/>
    <w:rsid w:val="00CF58A7"/>
    <w:rsid w:val="00CF6000"/>
    <w:rsid w:val="00D003F3"/>
    <w:rsid w:val="00D0364F"/>
    <w:rsid w:val="00D04CBC"/>
    <w:rsid w:val="00D060C0"/>
    <w:rsid w:val="00D06834"/>
    <w:rsid w:val="00D07185"/>
    <w:rsid w:val="00D07BD4"/>
    <w:rsid w:val="00D126BE"/>
    <w:rsid w:val="00D146E1"/>
    <w:rsid w:val="00D15092"/>
    <w:rsid w:val="00D162DA"/>
    <w:rsid w:val="00D20BB6"/>
    <w:rsid w:val="00D23267"/>
    <w:rsid w:val="00D279CE"/>
    <w:rsid w:val="00D308ED"/>
    <w:rsid w:val="00D32B39"/>
    <w:rsid w:val="00D32C25"/>
    <w:rsid w:val="00D347E5"/>
    <w:rsid w:val="00D34FC2"/>
    <w:rsid w:val="00D35176"/>
    <w:rsid w:val="00D358E9"/>
    <w:rsid w:val="00D35B5C"/>
    <w:rsid w:val="00D368E4"/>
    <w:rsid w:val="00D36D86"/>
    <w:rsid w:val="00D428AA"/>
    <w:rsid w:val="00D50A34"/>
    <w:rsid w:val="00D53EFA"/>
    <w:rsid w:val="00D61C0C"/>
    <w:rsid w:val="00D63B9C"/>
    <w:rsid w:val="00D713EA"/>
    <w:rsid w:val="00D723C9"/>
    <w:rsid w:val="00D7403F"/>
    <w:rsid w:val="00D75BEB"/>
    <w:rsid w:val="00D8018B"/>
    <w:rsid w:val="00D84D94"/>
    <w:rsid w:val="00D85C50"/>
    <w:rsid w:val="00D860BB"/>
    <w:rsid w:val="00D8639C"/>
    <w:rsid w:val="00D8650D"/>
    <w:rsid w:val="00D86996"/>
    <w:rsid w:val="00D86C1D"/>
    <w:rsid w:val="00D9447A"/>
    <w:rsid w:val="00D94A7C"/>
    <w:rsid w:val="00D95896"/>
    <w:rsid w:val="00D978A2"/>
    <w:rsid w:val="00DA2D5F"/>
    <w:rsid w:val="00DA3E0D"/>
    <w:rsid w:val="00DA4E99"/>
    <w:rsid w:val="00DA6511"/>
    <w:rsid w:val="00DA75B1"/>
    <w:rsid w:val="00DB126A"/>
    <w:rsid w:val="00DB2586"/>
    <w:rsid w:val="00DB2983"/>
    <w:rsid w:val="00DB2B51"/>
    <w:rsid w:val="00DB3E87"/>
    <w:rsid w:val="00DB435D"/>
    <w:rsid w:val="00DB665D"/>
    <w:rsid w:val="00DB6C31"/>
    <w:rsid w:val="00DB7F24"/>
    <w:rsid w:val="00DC1257"/>
    <w:rsid w:val="00DC1614"/>
    <w:rsid w:val="00DC3DC0"/>
    <w:rsid w:val="00DC4931"/>
    <w:rsid w:val="00DC597D"/>
    <w:rsid w:val="00DC5B2B"/>
    <w:rsid w:val="00DC6877"/>
    <w:rsid w:val="00DD318D"/>
    <w:rsid w:val="00DD6BB4"/>
    <w:rsid w:val="00DD79C8"/>
    <w:rsid w:val="00DE1EC2"/>
    <w:rsid w:val="00DE2231"/>
    <w:rsid w:val="00DE5337"/>
    <w:rsid w:val="00DE579F"/>
    <w:rsid w:val="00DE6B4A"/>
    <w:rsid w:val="00DF0953"/>
    <w:rsid w:val="00DF0AC4"/>
    <w:rsid w:val="00DF27AC"/>
    <w:rsid w:val="00DF2E12"/>
    <w:rsid w:val="00DF3323"/>
    <w:rsid w:val="00DF4186"/>
    <w:rsid w:val="00DF514A"/>
    <w:rsid w:val="00DF6690"/>
    <w:rsid w:val="00DF6804"/>
    <w:rsid w:val="00E027E6"/>
    <w:rsid w:val="00E02C59"/>
    <w:rsid w:val="00E02E5B"/>
    <w:rsid w:val="00E0358D"/>
    <w:rsid w:val="00E04323"/>
    <w:rsid w:val="00E065DA"/>
    <w:rsid w:val="00E070A2"/>
    <w:rsid w:val="00E104BC"/>
    <w:rsid w:val="00E10DF1"/>
    <w:rsid w:val="00E12933"/>
    <w:rsid w:val="00E13336"/>
    <w:rsid w:val="00E13743"/>
    <w:rsid w:val="00E159D2"/>
    <w:rsid w:val="00E16136"/>
    <w:rsid w:val="00E162C5"/>
    <w:rsid w:val="00E243C7"/>
    <w:rsid w:val="00E2465E"/>
    <w:rsid w:val="00E2656A"/>
    <w:rsid w:val="00E2717A"/>
    <w:rsid w:val="00E300C1"/>
    <w:rsid w:val="00E30E82"/>
    <w:rsid w:val="00E31478"/>
    <w:rsid w:val="00E412D0"/>
    <w:rsid w:val="00E41A46"/>
    <w:rsid w:val="00E41CC8"/>
    <w:rsid w:val="00E42211"/>
    <w:rsid w:val="00E43A1B"/>
    <w:rsid w:val="00E4601F"/>
    <w:rsid w:val="00E5106B"/>
    <w:rsid w:val="00E51269"/>
    <w:rsid w:val="00E56322"/>
    <w:rsid w:val="00E60982"/>
    <w:rsid w:val="00E62C62"/>
    <w:rsid w:val="00E6433C"/>
    <w:rsid w:val="00E654C1"/>
    <w:rsid w:val="00E65D97"/>
    <w:rsid w:val="00E672D9"/>
    <w:rsid w:val="00E71253"/>
    <w:rsid w:val="00E72A5A"/>
    <w:rsid w:val="00E73354"/>
    <w:rsid w:val="00E80934"/>
    <w:rsid w:val="00E81C28"/>
    <w:rsid w:val="00E8255A"/>
    <w:rsid w:val="00E85BD1"/>
    <w:rsid w:val="00E90035"/>
    <w:rsid w:val="00E90428"/>
    <w:rsid w:val="00E912FB"/>
    <w:rsid w:val="00E91B6B"/>
    <w:rsid w:val="00E9242D"/>
    <w:rsid w:val="00E94A48"/>
    <w:rsid w:val="00EA2C25"/>
    <w:rsid w:val="00EA5E90"/>
    <w:rsid w:val="00EB1D01"/>
    <w:rsid w:val="00EB1D3C"/>
    <w:rsid w:val="00EB23EE"/>
    <w:rsid w:val="00EB2480"/>
    <w:rsid w:val="00EB25C8"/>
    <w:rsid w:val="00EB2ECE"/>
    <w:rsid w:val="00EB5255"/>
    <w:rsid w:val="00EB5C47"/>
    <w:rsid w:val="00EC3245"/>
    <w:rsid w:val="00EC4C00"/>
    <w:rsid w:val="00EC7654"/>
    <w:rsid w:val="00EC799B"/>
    <w:rsid w:val="00ED0639"/>
    <w:rsid w:val="00ED495A"/>
    <w:rsid w:val="00ED5F29"/>
    <w:rsid w:val="00ED645A"/>
    <w:rsid w:val="00EE29B4"/>
    <w:rsid w:val="00EE6D6D"/>
    <w:rsid w:val="00EE73BA"/>
    <w:rsid w:val="00EE7F62"/>
    <w:rsid w:val="00EF4755"/>
    <w:rsid w:val="00EF50C8"/>
    <w:rsid w:val="00EF7135"/>
    <w:rsid w:val="00EF757A"/>
    <w:rsid w:val="00F025F1"/>
    <w:rsid w:val="00F027DB"/>
    <w:rsid w:val="00F02B21"/>
    <w:rsid w:val="00F02C9F"/>
    <w:rsid w:val="00F070FA"/>
    <w:rsid w:val="00F12172"/>
    <w:rsid w:val="00F124C6"/>
    <w:rsid w:val="00F14A7A"/>
    <w:rsid w:val="00F171F7"/>
    <w:rsid w:val="00F175F6"/>
    <w:rsid w:val="00F22985"/>
    <w:rsid w:val="00F22BE7"/>
    <w:rsid w:val="00F232B3"/>
    <w:rsid w:val="00F25899"/>
    <w:rsid w:val="00F31E13"/>
    <w:rsid w:val="00F32916"/>
    <w:rsid w:val="00F3383E"/>
    <w:rsid w:val="00F34262"/>
    <w:rsid w:val="00F345B2"/>
    <w:rsid w:val="00F36AE4"/>
    <w:rsid w:val="00F41B34"/>
    <w:rsid w:val="00F42048"/>
    <w:rsid w:val="00F42269"/>
    <w:rsid w:val="00F42344"/>
    <w:rsid w:val="00F426F2"/>
    <w:rsid w:val="00F465A7"/>
    <w:rsid w:val="00F50B7C"/>
    <w:rsid w:val="00F5302F"/>
    <w:rsid w:val="00F5393B"/>
    <w:rsid w:val="00F550E6"/>
    <w:rsid w:val="00F56E0C"/>
    <w:rsid w:val="00F608D5"/>
    <w:rsid w:val="00F60922"/>
    <w:rsid w:val="00F61D9C"/>
    <w:rsid w:val="00F62DE2"/>
    <w:rsid w:val="00F6474F"/>
    <w:rsid w:val="00F65A8F"/>
    <w:rsid w:val="00F70CF0"/>
    <w:rsid w:val="00F723F6"/>
    <w:rsid w:val="00F73D60"/>
    <w:rsid w:val="00F74345"/>
    <w:rsid w:val="00F74822"/>
    <w:rsid w:val="00F75594"/>
    <w:rsid w:val="00F77B98"/>
    <w:rsid w:val="00F77FCB"/>
    <w:rsid w:val="00F80A0A"/>
    <w:rsid w:val="00F82B19"/>
    <w:rsid w:val="00F83586"/>
    <w:rsid w:val="00F84491"/>
    <w:rsid w:val="00F87468"/>
    <w:rsid w:val="00F87E54"/>
    <w:rsid w:val="00F91A6F"/>
    <w:rsid w:val="00F9212D"/>
    <w:rsid w:val="00F93016"/>
    <w:rsid w:val="00F94811"/>
    <w:rsid w:val="00F94A28"/>
    <w:rsid w:val="00F965DA"/>
    <w:rsid w:val="00FA11F0"/>
    <w:rsid w:val="00FA1B72"/>
    <w:rsid w:val="00FA406A"/>
    <w:rsid w:val="00FA54DB"/>
    <w:rsid w:val="00FA636C"/>
    <w:rsid w:val="00FA671F"/>
    <w:rsid w:val="00FB0BF0"/>
    <w:rsid w:val="00FB28EA"/>
    <w:rsid w:val="00FB33D0"/>
    <w:rsid w:val="00FB3CE6"/>
    <w:rsid w:val="00FB503A"/>
    <w:rsid w:val="00FB516C"/>
    <w:rsid w:val="00FB6DED"/>
    <w:rsid w:val="00FC113D"/>
    <w:rsid w:val="00FC17E5"/>
    <w:rsid w:val="00FC3208"/>
    <w:rsid w:val="00FC45AD"/>
    <w:rsid w:val="00FC51C8"/>
    <w:rsid w:val="00FC5B14"/>
    <w:rsid w:val="00FC613E"/>
    <w:rsid w:val="00FC6431"/>
    <w:rsid w:val="00FC73AD"/>
    <w:rsid w:val="00FD0236"/>
    <w:rsid w:val="00FD18F4"/>
    <w:rsid w:val="00FD54DB"/>
    <w:rsid w:val="00FD58C7"/>
    <w:rsid w:val="00FD619F"/>
    <w:rsid w:val="00FE0703"/>
    <w:rsid w:val="00FE2B3E"/>
    <w:rsid w:val="00FF03E7"/>
    <w:rsid w:val="00FF505C"/>
    <w:rsid w:val="00FF6EFE"/>
    <w:rsid w:val="00FF7DA0"/>
    <w:rsid w:val="01033FC9"/>
    <w:rsid w:val="01064AB0"/>
    <w:rsid w:val="01077BEE"/>
    <w:rsid w:val="010F7DBD"/>
    <w:rsid w:val="01115E53"/>
    <w:rsid w:val="01133CB6"/>
    <w:rsid w:val="01135C42"/>
    <w:rsid w:val="011725CF"/>
    <w:rsid w:val="011B680E"/>
    <w:rsid w:val="01254CE1"/>
    <w:rsid w:val="01267170"/>
    <w:rsid w:val="01290F7E"/>
    <w:rsid w:val="012E3344"/>
    <w:rsid w:val="01303102"/>
    <w:rsid w:val="014A58D5"/>
    <w:rsid w:val="014C6EFB"/>
    <w:rsid w:val="014F258D"/>
    <w:rsid w:val="01557482"/>
    <w:rsid w:val="01570FC5"/>
    <w:rsid w:val="0158569F"/>
    <w:rsid w:val="015B02E6"/>
    <w:rsid w:val="015B573F"/>
    <w:rsid w:val="015D1E09"/>
    <w:rsid w:val="01600B59"/>
    <w:rsid w:val="016069AB"/>
    <w:rsid w:val="01612CAF"/>
    <w:rsid w:val="01617A6D"/>
    <w:rsid w:val="016208E3"/>
    <w:rsid w:val="016302E4"/>
    <w:rsid w:val="01656C73"/>
    <w:rsid w:val="01667A1E"/>
    <w:rsid w:val="016D72B7"/>
    <w:rsid w:val="016D78FF"/>
    <w:rsid w:val="016F48AC"/>
    <w:rsid w:val="0171766E"/>
    <w:rsid w:val="01722D87"/>
    <w:rsid w:val="01773F08"/>
    <w:rsid w:val="017E4CDA"/>
    <w:rsid w:val="017F6E82"/>
    <w:rsid w:val="01937B13"/>
    <w:rsid w:val="01985296"/>
    <w:rsid w:val="019C3138"/>
    <w:rsid w:val="019E7451"/>
    <w:rsid w:val="01A20B94"/>
    <w:rsid w:val="01A64F73"/>
    <w:rsid w:val="01AE141D"/>
    <w:rsid w:val="01B64DA3"/>
    <w:rsid w:val="01B67196"/>
    <w:rsid w:val="01B70EA4"/>
    <w:rsid w:val="01B73D26"/>
    <w:rsid w:val="01BE41DB"/>
    <w:rsid w:val="01C315AE"/>
    <w:rsid w:val="01C71790"/>
    <w:rsid w:val="01C8502C"/>
    <w:rsid w:val="01CF0A35"/>
    <w:rsid w:val="01D236F9"/>
    <w:rsid w:val="01D723A4"/>
    <w:rsid w:val="01DA03AC"/>
    <w:rsid w:val="01DF01DE"/>
    <w:rsid w:val="01DF1ED6"/>
    <w:rsid w:val="01E37602"/>
    <w:rsid w:val="01E6575B"/>
    <w:rsid w:val="01E6739A"/>
    <w:rsid w:val="01F16817"/>
    <w:rsid w:val="01F35C7B"/>
    <w:rsid w:val="01FB399D"/>
    <w:rsid w:val="01FE0D2A"/>
    <w:rsid w:val="02040551"/>
    <w:rsid w:val="020E4C4A"/>
    <w:rsid w:val="020E7029"/>
    <w:rsid w:val="02103844"/>
    <w:rsid w:val="02151A4E"/>
    <w:rsid w:val="02157637"/>
    <w:rsid w:val="02197005"/>
    <w:rsid w:val="021D2F9F"/>
    <w:rsid w:val="021F6FD2"/>
    <w:rsid w:val="02211D2D"/>
    <w:rsid w:val="02216DAC"/>
    <w:rsid w:val="02233B51"/>
    <w:rsid w:val="02241511"/>
    <w:rsid w:val="022529AF"/>
    <w:rsid w:val="02265EA6"/>
    <w:rsid w:val="022B6FC9"/>
    <w:rsid w:val="022D00B4"/>
    <w:rsid w:val="022D09D9"/>
    <w:rsid w:val="022D31C2"/>
    <w:rsid w:val="022D435B"/>
    <w:rsid w:val="022E49FD"/>
    <w:rsid w:val="023165CE"/>
    <w:rsid w:val="023C0192"/>
    <w:rsid w:val="02402D26"/>
    <w:rsid w:val="02421B31"/>
    <w:rsid w:val="02470C2E"/>
    <w:rsid w:val="02473234"/>
    <w:rsid w:val="02483DAE"/>
    <w:rsid w:val="024A52FD"/>
    <w:rsid w:val="025126C9"/>
    <w:rsid w:val="02544ED1"/>
    <w:rsid w:val="025970EB"/>
    <w:rsid w:val="025A5930"/>
    <w:rsid w:val="02605BD4"/>
    <w:rsid w:val="02613920"/>
    <w:rsid w:val="026371C8"/>
    <w:rsid w:val="02691211"/>
    <w:rsid w:val="02697903"/>
    <w:rsid w:val="02711B23"/>
    <w:rsid w:val="02752E0B"/>
    <w:rsid w:val="02781A11"/>
    <w:rsid w:val="027A15D9"/>
    <w:rsid w:val="027B31E8"/>
    <w:rsid w:val="027E6B23"/>
    <w:rsid w:val="028005BA"/>
    <w:rsid w:val="028577C2"/>
    <w:rsid w:val="028D4B6E"/>
    <w:rsid w:val="02916B9D"/>
    <w:rsid w:val="029A70FD"/>
    <w:rsid w:val="029D61C4"/>
    <w:rsid w:val="02A10627"/>
    <w:rsid w:val="02A13A13"/>
    <w:rsid w:val="02A27292"/>
    <w:rsid w:val="02A54A34"/>
    <w:rsid w:val="02A83488"/>
    <w:rsid w:val="02B11344"/>
    <w:rsid w:val="02B3758F"/>
    <w:rsid w:val="02B37877"/>
    <w:rsid w:val="02B77E6B"/>
    <w:rsid w:val="02BB4C40"/>
    <w:rsid w:val="02BC3B2B"/>
    <w:rsid w:val="02BC69B1"/>
    <w:rsid w:val="02C976D8"/>
    <w:rsid w:val="02CF2CAE"/>
    <w:rsid w:val="02D2431B"/>
    <w:rsid w:val="02D60799"/>
    <w:rsid w:val="02E342B3"/>
    <w:rsid w:val="02E70063"/>
    <w:rsid w:val="02E927A6"/>
    <w:rsid w:val="02EF5970"/>
    <w:rsid w:val="02F2363C"/>
    <w:rsid w:val="02F838FB"/>
    <w:rsid w:val="02F91743"/>
    <w:rsid w:val="02F96569"/>
    <w:rsid w:val="02FA3EDA"/>
    <w:rsid w:val="02FB39DF"/>
    <w:rsid w:val="02FD26ED"/>
    <w:rsid w:val="0306648E"/>
    <w:rsid w:val="031750C8"/>
    <w:rsid w:val="031E05BA"/>
    <w:rsid w:val="03287064"/>
    <w:rsid w:val="032E4824"/>
    <w:rsid w:val="033573E3"/>
    <w:rsid w:val="033F11B7"/>
    <w:rsid w:val="033F2F5A"/>
    <w:rsid w:val="033F7C4D"/>
    <w:rsid w:val="034620BB"/>
    <w:rsid w:val="034C6E64"/>
    <w:rsid w:val="034F488A"/>
    <w:rsid w:val="03517B39"/>
    <w:rsid w:val="035404B1"/>
    <w:rsid w:val="03543565"/>
    <w:rsid w:val="03571A99"/>
    <w:rsid w:val="035C6D7A"/>
    <w:rsid w:val="0360596A"/>
    <w:rsid w:val="03617E34"/>
    <w:rsid w:val="03647368"/>
    <w:rsid w:val="03671543"/>
    <w:rsid w:val="036819BA"/>
    <w:rsid w:val="036A41EA"/>
    <w:rsid w:val="036C32C4"/>
    <w:rsid w:val="036F33F7"/>
    <w:rsid w:val="03766AF1"/>
    <w:rsid w:val="037F7EAD"/>
    <w:rsid w:val="03895BCD"/>
    <w:rsid w:val="038A04CF"/>
    <w:rsid w:val="039939CC"/>
    <w:rsid w:val="03A27B3C"/>
    <w:rsid w:val="03A43CCC"/>
    <w:rsid w:val="03A72505"/>
    <w:rsid w:val="03A85218"/>
    <w:rsid w:val="03AA4A80"/>
    <w:rsid w:val="03AC01EC"/>
    <w:rsid w:val="03AC334B"/>
    <w:rsid w:val="03B31F8E"/>
    <w:rsid w:val="03B62831"/>
    <w:rsid w:val="03B71CF7"/>
    <w:rsid w:val="03B95A2F"/>
    <w:rsid w:val="03BC5FCE"/>
    <w:rsid w:val="03BE6FEF"/>
    <w:rsid w:val="03C05617"/>
    <w:rsid w:val="03C07E83"/>
    <w:rsid w:val="03CA2551"/>
    <w:rsid w:val="03CF0AEA"/>
    <w:rsid w:val="03D964B3"/>
    <w:rsid w:val="03DA191E"/>
    <w:rsid w:val="03EA7B21"/>
    <w:rsid w:val="03EC4366"/>
    <w:rsid w:val="03EF6880"/>
    <w:rsid w:val="03F267B6"/>
    <w:rsid w:val="03F5250C"/>
    <w:rsid w:val="03F61E86"/>
    <w:rsid w:val="03F661B3"/>
    <w:rsid w:val="03F70989"/>
    <w:rsid w:val="03F81B5F"/>
    <w:rsid w:val="0400224F"/>
    <w:rsid w:val="04010F82"/>
    <w:rsid w:val="040513CA"/>
    <w:rsid w:val="040E353D"/>
    <w:rsid w:val="04107C6D"/>
    <w:rsid w:val="041120C8"/>
    <w:rsid w:val="041125F6"/>
    <w:rsid w:val="0414360C"/>
    <w:rsid w:val="041721D2"/>
    <w:rsid w:val="04174218"/>
    <w:rsid w:val="041A0D33"/>
    <w:rsid w:val="041C132F"/>
    <w:rsid w:val="041C3062"/>
    <w:rsid w:val="042069B9"/>
    <w:rsid w:val="04271C79"/>
    <w:rsid w:val="04295E08"/>
    <w:rsid w:val="042B291F"/>
    <w:rsid w:val="043168D9"/>
    <w:rsid w:val="04331D03"/>
    <w:rsid w:val="04357831"/>
    <w:rsid w:val="043A2BC2"/>
    <w:rsid w:val="0442095A"/>
    <w:rsid w:val="04463B07"/>
    <w:rsid w:val="044D2DB7"/>
    <w:rsid w:val="04530346"/>
    <w:rsid w:val="04530CC6"/>
    <w:rsid w:val="04565E82"/>
    <w:rsid w:val="045A4246"/>
    <w:rsid w:val="045A77C8"/>
    <w:rsid w:val="045B02D2"/>
    <w:rsid w:val="046602B4"/>
    <w:rsid w:val="04690A1C"/>
    <w:rsid w:val="046B3D86"/>
    <w:rsid w:val="046E34B3"/>
    <w:rsid w:val="04716B7E"/>
    <w:rsid w:val="04744A92"/>
    <w:rsid w:val="047907D5"/>
    <w:rsid w:val="047A27F1"/>
    <w:rsid w:val="047C6230"/>
    <w:rsid w:val="047E3222"/>
    <w:rsid w:val="047E6B0E"/>
    <w:rsid w:val="04816756"/>
    <w:rsid w:val="0489770F"/>
    <w:rsid w:val="048D2E4A"/>
    <w:rsid w:val="048F43A3"/>
    <w:rsid w:val="04904923"/>
    <w:rsid w:val="049073DA"/>
    <w:rsid w:val="04982B86"/>
    <w:rsid w:val="04986D81"/>
    <w:rsid w:val="049C40FA"/>
    <w:rsid w:val="049C5A95"/>
    <w:rsid w:val="049E703C"/>
    <w:rsid w:val="049E78B7"/>
    <w:rsid w:val="04A04DBF"/>
    <w:rsid w:val="04A10CCB"/>
    <w:rsid w:val="04A833CC"/>
    <w:rsid w:val="04AC0A81"/>
    <w:rsid w:val="04AC17A9"/>
    <w:rsid w:val="04AD2658"/>
    <w:rsid w:val="04AF4B9F"/>
    <w:rsid w:val="04B82256"/>
    <w:rsid w:val="04B86147"/>
    <w:rsid w:val="04BB09BB"/>
    <w:rsid w:val="04C1313E"/>
    <w:rsid w:val="04C138BC"/>
    <w:rsid w:val="04C90502"/>
    <w:rsid w:val="04CC6B57"/>
    <w:rsid w:val="04D81734"/>
    <w:rsid w:val="04D84588"/>
    <w:rsid w:val="04DD640E"/>
    <w:rsid w:val="04DE0206"/>
    <w:rsid w:val="04E17F36"/>
    <w:rsid w:val="04E275CF"/>
    <w:rsid w:val="04E864B1"/>
    <w:rsid w:val="04EB023C"/>
    <w:rsid w:val="04EC172F"/>
    <w:rsid w:val="04EE0DF0"/>
    <w:rsid w:val="04EF7440"/>
    <w:rsid w:val="04F024E9"/>
    <w:rsid w:val="04F30A3A"/>
    <w:rsid w:val="04FE4F0F"/>
    <w:rsid w:val="050052F5"/>
    <w:rsid w:val="0501557D"/>
    <w:rsid w:val="050271C3"/>
    <w:rsid w:val="05097BA0"/>
    <w:rsid w:val="050D2F7D"/>
    <w:rsid w:val="051518B0"/>
    <w:rsid w:val="051F436D"/>
    <w:rsid w:val="05251CD0"/>
    <w:rsid w:val="053761AA"/>
    <w:rsid w:val="053E5264"/>
    <w:rsid w:val="054422F5"/>
    <w:rsid w:val="054D4F62"/>
    <w:rsid w:val="054E032E"/>
    <w:rsid w:val="054F162A"/>
    <w:rsid w:val="05571C43"/>
    <w:rsid w:val="055E7F8F"/>
    <w:rsid w:val="0561051F"/>
    <w:rsid w:val="05633D43"/>
    <w:rsid w:val="05670A3F"/>
    <w:rsid w:val="056851D8"/>
    <w:rsid w:val="056D5FD9"/>
    <w:rsid w:val="056F702B"/>
    <w:rsid w:val="05713CA9"/>
    <w:rsid w:val="05724BA2"/>
    <w:rsid w:val="0574499E"/>
    <w:rsid w:val="057E2BC7"/>
    <w:rsid w:val="057F4508"/>
    <w:rsid w:val="05801F1A"/>
    <w:rsid w:val="05874E60"/>
    <w:rsid w:val="058944A5"/>
    <w:rsid w:val="0592603E"/>
    <w:rsid w:val="059628B3"/>
    <w:rsid w:val="05983063"/>
    <w:rsid w:val="059957A7"/>
    <w:rsid w:val="059B6FE3"/>
    <w:rsid w:val="059C26E8"/>
    <w:rsid w:val="059C56BA"/>
    <w:rsid w:val="05A04772"/>
    <w:rsid w:val="05A831B3"/>
    <w:rsid w:val="05A8405A"/>
    <w:rsid w:val="05AB763B"/>
    <w:rsid w:val="05AD1EE9"/>
    <w:rsid w:val="05B63A1E"/>
    <w:rsid w:val="05B67925"/>
    <w:rsid w:val="05BF6FA6"/>
    <w:rsid w:val="05C0635A"/>
    <w:rsid w:val="05C65F8C"/>
    <w:rsid w:val="05C725CF"/>
    <w:rsid w:val="05CD1A1C"/>
    <w:rsid w:val="05CD78D4"/>
    <w:rsid w:val="05D018DA"/>
    <w:rsid w:val="05D2280C"/>
    <w:rsid w:val="05D247BB"/>
    <w:rsid w:val="05D24820"/>
    <w:rsid w:val="05D32D00"/>
    <w:rsid w:val="05D8104D"/>
    <w:rsid w:val="05D870CE"/>
    <w:rsid w:val="05D97EC7"/>
    <w:rsid w:val="05E417D2"/>
    <w:rsid w:val="05EA2114"/>
    <w:rsid w:val="05EA2F66"/>
    <w:rsid w:val="05F83EAE"/>
    <w:rsid w:val="05FB37B3"/>
    <w:rsid w:val="05FC13EC"/>
    <w:rsid w:val="06033277"/>
    <w:rsid w:val="06150D0A"/>
    <w:rsid w:val="0628065B"/>
    <w:rsid w:val="06282583"/>
    <w:rsid w:val="063217F1"/>
    <w:rsid w:val="063647CE"/>
    <w:rsid w:val="063E7D85"/>
    <w:rsid w:val="06406625"/>
    <w:rsid w:val="064110DA"/>
    <w:rsid w:val="06460FE4"/>
    <w:rsid w:val="064B61ED"/>
    <w:rsid w:val="064C3C1E"/>
    <w:rsid w:val="06520ABD"/>
    <w:rsid w:val="06640B90"/>
    <w:rsid w:val="066C140E"/>
    <w:rsid w:val="066C238E"/>
    <w:rsid w:val="066C53AF"/>
    <w:rsid w:val="067119AF"/>
    <w:rsid w:val="067F53EA"/>
    <w:rsid w:val="067F54E5"/>
    <w:rsid w:val="068337C3"/>
    <w:rsid w:val="0684700D"/>
    <w:rsid w:val="06883B2B"/>
    <w:rsid w:val="0690635C"/>
    <w:rsid w:val="069637DD"/>
    <w:rsid w:val="069959D3"/>
    <w:rsid w:val="069C2697"/>
    <w:rsid w:val="06A23431"/>
    <w:rsid w:val="06A34E59"/>
    <w:rsid w:val="06AD2ED9"/>
    <w:rsid w:val="06AF20BF"/>
    <w:rsid w:val="06B25D3D"/>
    <w:rsid w:val="06B60F3E"/>
    <w:rsid w:val="06BA0A85"/>
    <w:rsid w:val="06C42A4B"/>
    <w:rsid w:val="06C73234"/>
    <w:rsid w:val="06C93726"/>
    <w:rsid w:val="06CB1023"/>
    <w:rsid w:val="06CC1ADA"/>
    <w:rsid w:val="06CC6A2B"/>
    <w:rsid w:val="06CD1745"/>
    <w:rsid w:val="06D32B47"/>
    <w:rsid w:val="06D67248"/>
    <w:rsid w:val="06D72692"/>
    <w:rsid w:val="06DC3C13"/>
    <w:rsid w:val="06E0175C"/>
    <w:rsid w:val="06E84403"/>
    <w:rsid w:val="06E8627C"/>
    <w:rsid w:val="06F207DF"/>
    <w:rsid w:val="06F56F65"/>
    <w:rsid w:val="06FC6EF7"/>
    <w:rsid w:val="06FD250F"/>
    <w:rsid w:val="06FE4F76"/>
    <w:rsid w:val="06FE59BD"/>
    <w:rsid w:val="07004491"/>
    <w:rsid w:val="07030990"/>
    <w:rsid w:val="070371E0"/>
    <w:rsid w:val="07067476"/>
    <w:rsid w:val="0707302B"/>
    <w:rsid w:val="0708312D"/>
    <w:rsid w:val="070920F2"/>
    <w:rsid w:val="071271E0"/>
    <w:rsid w:val="07134E37"/>
    <w:rsid w:val="0718679F"/>
    <w:rsid w:val="07195A79"/>
    <w:rsid w:val="071F2426"/>
    <w:rsid w:val="072008E6"/>
    <w:rsid w:val="07223FEC"/>
    <w:rsid w:val="07241972"/>
    <w:rsid w:val="072648CF"/>
    <w:rsid w:val="07291546"/>
    <w:rsid w:val="07293586"/>
    <w:rsid w:val="07295285"/>
    <w:rsid w:val="072B3F63"/>
    <w:rsid w:val="072B5A8A"/>
    <w:rsid w:val="07353CF8"/>
    <w:rsid w:val="0736646E"/>
    <w:rsid w:val="07366F10"/>
    <w:rsid w:val="0739511C"/>
    <w:rsid w:val="0740365C"/>
    <w:rsid w:val="07432ED7"/>
    <w:rsid w:val="074350EC"/>
    <w:rsid w:val="074A559F"/>
    <w:rsid w:val="074D1EEE"/>
    <w:rsid w:val="075E6B38"/>
    <w:rsid w:val="07636392"/>
    <w:rsid w:val="07693A64"/>
    <w:rsid w:val="076C061B"/>
    <w:rsid w:val="076C491F"/>
    <w:rsid w:val="076D43BB"/>
    <w:rsid w:val="07770C56"/>
    <w:rsid w:val="07775844"/>
    <w:rsid w:val="077F71B1"/>
    <w:rsid w:val="078C695A"/>
    <w:rsid w:val="07980128"/>
    <w:rsid w:val="079C5931"/>
    <w:rsid w:val="079D0DAF"/>
    <w:rsid w:val="07AC5B4D"/>
    <w:rsid w:val="07AF74E6"/>
    <w:rsid w:val="07B3764C"/>
    <w:rsid w:val="07B37FAA"/>
    <w:rsid w:val="07B466BD"/>
    <w:rsid w:val="07B60E42"/>
    <w:rsid w:val="07C0474E"/>
    <w:rsid w:val="07C754D8"/>
    <w:rsid w:val="07CB4495"/>
    <w:rsid w:val="07CC035C"/>
    <w:rsid w:val="07CC6E32"/>
    <w:rsid w:val="07CD65BB"/>
    <w:rsid w:val="07D1146E"/>
    <w:rsid w:val="07D52EA0"/>
    <w:rsid w:val="07D97647"/>
    <w:rsid w:val="07DE78E8"/>
    <w:rsid w:val="07E2170C"/>
    <w:rsid w:val="07F00A5D"/>
    <w:rsid w:val="07F42C85"/>
    <w:rsid w:val="07FB2B68"/>
    <w:rsid w:val="07FB5177"/>
    <w:rsid w:val="08007089"/>
    <w:rsid w:val="0800763C"/>
    <w:rsid w:val="08071F47"/>
    <w:rsid w:val="08086FB3"/>
    <w:rsid w:val="080B70CB"/>
    <w:rsid w:val="0811572D"/>
    <w:rsid w:val="08150E2E"/>
    <w:rsid w:val="081B7FE1"/>
    <w:rsid w:val="081F7B37"/>
    <w:rsid w:val="08256B4B"/>
    <w:rsid w:val="0826610A"/>
    <w:rsid w:val="082C4FF4"/>
    <w:rsid w:val="082D1611"/>
    <w:rsid w:val="082E48EA"/>
    <w:rsid w:val="08312EC7"/>
    <w:rsid w:val="08331CE5"/>
    <w:rsid w:val="0834745A"/>
    <w:rsid w:val="08465633"/>
    <w:rsid w:val="084B6091"/>
    <w:rsid w:val="084E209A"/>
    <w:rsid w:val="085014AA"/>
    <w:rsid w:val="08530347"/>
    <w:rsid w:val="08596752"/>
    <w:rsid w:val="08600116"/>
    <w:rsid w:val="086739E1"/>
    <w:rsid w:val="086E17D2"/>
    <w:rsid w:val="08784DA7"/>
    <w:rsid w:val="087B0764"/>
    <w:rsid w:val="087B0FA3"/>
    <w:rsid w:val="0880405B"/>
    <w:rsid w:val="08810B8C"/>
    <w:rsid w:val="08821891"/>
    <w:rsid w:val="08867A29"/>
    <w:rsid w:val="088957AC"/>
    <w:rsid w:val="088B3E2A"/>
    <w:rsid w:val="088B7FBB"/>
    <w:rsid w:val="088D49EB"/>
    <w:rsid w:val="088F4E99"/>
    <w:rsid w:val="08980B6B"/>
    <w:rsid w:val="089F1181"/>
    <w:rsid w:val="08A3471C"/>
    <w:rsid w:val="08A34CEA"/>
    <w:rsid w:val="08A85913"/>
    <w:rsid w:val="08A940DB"/>
    <w:rsid w:val="08AB6768"/>
    <w:rsid w:val="08AE2137"/>
    <w:rsid w:val="08AF6AA5"/>
    <w:rsid w:val="08BB6BAC"/>
    <w:rsid w:val="08BD57AE"/>
    <w:rsid w:val="08C9557C"/>
    <w:rsid w:val="08DC5D07"/>
    <w:rsid w:val="08E27F00"/>
    <w:rsid w:val="08E4598F"/>
    <w:rsid w:val="08EA583B"/>
    <w:rsid w:val="08EE2249"/>
    <w:rsid w:val="08EF5F24"/>
    <w:rsid w:val="08F82735"/>
    <w:rsid w:val="08FD5964"/>
    <w:rsid w:val="090332D9"/>
    <w:rsid w:val="09050C6D"/>
    <w:rsid w:val="090E21BE"/>
    <w:rsid w:val="090F21AC"/>
    <w:rsid w:val="0914133C"/>
    <w:rsid w:val="09154410"/>
    <w:rsid w:val="09174F4B"/>
    <w:rsid w:val="091C63E3"/>
    <w:rsid w:val="09205072"/>
    <w:rsid w:val="092217DD"/>
    <w:rsid w:val="09221816"/>
    <w:rsid w:val="09224832"/>
    <w:rsid w:val="09227E15"/>
    <w:rsid w:val="09300A44"/>
    <w:rsid w:val="093A7294"/>
    <w:rsid w:val="093B02AE"/>
    <w:rsid w:val="093B21BE"/>
    <w:rsid w:val="09411E0C"/>
    <w:rsid w:val="0944547C"/>
    <w:rsid w:val="0946191A"/>
    <w:rsid w:val="09485675"/>
    <w:rsid w:val="094C45BB"/>
    <w:rsid w:val="0950145B"/>
    <w:rsid w:val="09523A67"/>
    <w:rsid w:val="09524B82"/>
    <w:rsid w:val="095A40E4"/>
    <w:rsid w:val="0963782C"/>
    <w:rsid w:val="096522A0"/>
    <w:rsid w:val="0965561A"/>
    <w:rsid w:val="09670C1E"/>
    <w:rsid w:val="09741971"/>
    <w:rsid w:val="09783D22"/>
    <w:rsid w:val="097B6FD9"/>
    <w:rsid w:val="097C6FED"/>
    <w:rsid w:val="097D59D1"/>
    <w:rsid w:val="09820C1C"/>
    <w:rsid w:val="098740BE"/>
    <w:rsid w:val="0989246C"/>
    <w:rsid w:val="099055D2"/>
    <w:rsid w:val="09983154"/>
    <w:rsid w:val="09987BAD"/>
    <w:rsid w:val="09987D8D"/>
    <w:rsid w:val="0999202C"/>
    <w:rsid w:val="099D2511"/>
    <w:rsid w:val="099F681C"/>
    <w:rsid w:val="09A75DD7"/>
    <w:rsid w:val="09A87052"/>
    <w:rsid w:val="09AB7DCF"/>
    <w:rsid w:val="09AC4F79"/>
    <w:rsid w:val="09B87B45"/>
    <w:rsid w:val="09B9064A"/>
    <w:rsid w:val="09B95C41"/>
    <w:rsid w:val="09BD3E90"/>
    <w:rsid w:val="09C03812"/>
    <w:rsid w:val="09C208DE"/>
    <w:rsid w:val="09C23626"/>
    <w:rsid w:val="09C746D6"/>
    <w:rsid w:val="09D334C9"/>
    <w:rsid w:val="09D3751C"/>
    <w:rsid w:val="09D547C0"/>
    <w:rsid w:val="09E609D2"/>
    <w:rsid w:val="09E717A5"/>
    <w:rsid w:val="09F41900"/>
    <w:rsid w:val="09FC7E33"/>
    <w:rsid w:val="09FE4535"/>
    <w:rsid w:val="0A003E1E"/>
    <w:rsid w:val="0A03069B"/>
    <w:rsid w:val="0A047D89"/>
    <w:rsid w:val="0A06079C"/>
    <w:rsid w:val="0A06552F"/>
    <w:rsid w:val="0A0E7B10"/>
    <w:rsid w:val="0A103C7A"/>
    <w:rsid w:val="0A12147C"/>
    <w:rsid w:val="0A145E47"/>
    <w:rsid w:val="0A1A0BD8"/>
    <w:rsid w:val="0A210DE1"/>
    <w:rsid w:val="0A2245E8"/>
    <w:rsid w:val="0A251D0A"/>
    <w:rsid w:val="0A255411"/>
    <w:rsid w:val="0A263993"/>
    <w:rsid w:val="0A272928"/>
    <w:rsid w:val="0A283B80"/>
    <w:rsid w:val="0A285D9E"/>
    <w:rsid w:val="0A2C5B0F"/>
    <w:rsid w:val="0A2D3AC2"/>
    <w:rsid w:val="0A2D6C24"/>
    <w:rsid w:val="0A3163AB"/>
    <w:rsid w:val="0A3576B6"/>
    <w:rsid w:val="0A37261C"/>
    <w:rsid w:val="0A3B4950"/>
    <w:rsid w:val="0A3D71F0"/>
    <w:rsid w:val="0A3F6FC6"/>
    <w:rsid w:val="0A48406E"/>
    <w:rsid w:val="0A4E7B6C"/>
    <w:rsid w:val="0A515E34"/>
    <w:rsid w:val="0A553E46"/>
    <w:rsid w:val="0A581E69"/>
    <w:rsid w:val="0A584AF2"/>
    <w:rsid w:val="0A5E4A14"/>
    <w:rsid w:val="0A6417CB"/>
    <w:rsid w:val="0A665C18"/>
    <w:rsid w:val="0A6C1E6E"/>
    <w:rsid w:val="0A6D3FBE"/>
    <w:rsid w:val="0A6D50C9"/>
    <w:rsid w:val="0A6F21C8"/>
    <w:rsid w:val="0A7D31C2"/>
    <w:rsid w:val="0A7D7E49"/>
    <w:rsid w:val="0A8134BB"/>
    <w:rsid w:val="0A8426D3"/>
    <w:rsid w:val="0A967822"/>
    <w:rsid w:val="0A9978CB"/>
    <w:rsid w:val="0AA73530"/>
    <w:rsid w:val="0AA755DF"/>
    <w:rsid w:val="0AAB7F95"/>
    <w:rsid w:val="0AAE7368"/>
    <w:rsid w:val="0AAF40F0"/>
    <w:rsid w:val="0AB36BF5"/>
    <w:rsid w:val="0AB53EE0"/>
    <w:rsid w:val="0AB54350"/>
    <w:rsid w:val="0AB6090F"/>
    <w:rsid w:val="0AB73AF0"/>
    <w:rsid w:val="0AB77DF0"/>
    <w:rsid w:val="0ABB6984"/>
    <w:rsid w:val="0ABD2AA6"/>
    <w:rsid w:val="0ABE2D16"/>
    <w:rsid w:val="0AC06480"/>
    <w:rsid w:val="0AC319CA"/>
    <w:rsid w:val="0AD04AC5"/>
    <w:rsid w:val="0AD12122"/>
    <w:rsid w:val="0ADB5599"/>
    <w:rsid w:val="0ADB5643"/>
    <w:rsid w:val="0ADD526F"/>
    <w:rsid w:val="0AEA23AE"/>
    <w:rsid w:val="0AED26ED"/>
    <w:rsid w:val="0AED319D"/>
    <w:rsid w:val="0AF85BFC"/>
    <w:rsid w:val="0B025FD6"/>
    <w:rsid w:val="0B03507E"/>
    <w:rsid w:val="0B0517AF"/>
    <w:rsid w:val="0B084257"/>
    <w:rsid w:val="0B110F33"/>
    <w:rsid w:val="0B120D44"/>
    <w:rsid w:val="0B1C2B93"/>
    <w:rsid w:val="0B2B4418"/>
    <w:rsid w:val="0B2C2923"/>
    <w:rsid w:val="0B2F0ED3"/>
    <w:rsid w:val="0B4A11E8"/>
    <w:rsid w:val="0B4A3C68"/>
    <w:rsid w:val="0B4B6613"/>
    <w:rsid w:val="0B544AD9"/>
    <w:rsid w:val="0B5C6102"/>
    <w:rsid w:val="0B5F7579"/>
    <w:rsid w:val="0B614C23"/>
    <w:rsid w:val="0B637900"/>
    <w:rsid w:val="0B6401C5"/>
    <w:rsid w:val="0B65727D"/>
    <w:rsid w:val="0B660753"/>
    <w:rsid w:val="0B712B50"/>
    <w:rsid w:val="0B7329CF"/>
    <w:rsid w:val="0B7736E2"/>
    <w:rsid w:val="0B7A11C8"/>
    <w:rsid w:val="0B7A2006"/>
    <w:rsid w:val="0B7B1EFD"/>
    <w:rsid w:val="0B7D2D6E"/>
    <w:rsid w:val="0B7E76A9"/>
    <w:rsid w:val="0B801FB2"/>
    <w:rsid w:val="0B823235"/>
    <w:rsid w:val="0B873D68"/>
    <w:rsid w:val="0B8860E3"/>
    <w:rsid w:val="0B974B73"/>
    <w:rsid w:val="0B9A22BF"/>
    <w:rsid w:val="0B9E01FC"/>
    <w:rsid w:val="0BA32DF6"/>
    <w:rsid w:val="0BA64525"/>
    <w:rsid w:val="0BA84F53"/>
    <w:rsid w:val="0BA96CA5"/>
    <w:rsid w:val="0BAA542D"/>
    <w:rsid w:val="0BAD731B"/>
    <w:rsid w:val="0BAF721B"/>
    <w:rsid w:val="0BB05C6B"/>
    <w:rsid w:val="0BB37348"/>
    <w:rsid w:val="0BB417F5"/>
    <w:rsid w:val="0BB94370"/>
    <w:rsid w:val="0BBF404C"/>
    <w:rsid w:val="0BC31907"/>
    <w:rsid w:val="0BC43C47"/>
    <w:rsid w:val="0BC74383"/>
    <w:rsid w:val="0BC824A8"/>
    <w:rsid w:val="0BC936DE"/>
    <w:rsid w:val="0BD20B9D"/>
    <w:rsid w:val="0BD27BF6"/>
    <w:rsid w:val="0BE05033"/>
    <w:rsid w:val="0BE511DF"/>
    <w:rsid w:val="0BE55CF6"/>
    <w:rsid w:val="0BE65B0F"/>
    <w:rsid w:val="0BEB23A9"/>
    <w:rsid w:val="0BEC011F"/>
    <w:rsid w:val="0BED424D"/>
    <w:rsid w:val="0BF26112"/>
    <w:rsid w:val="0BF31CA6"/>
    <w:rsid w:val="0BF41F65"/>
    <w:rsid w:val="0BF54590"/>
    <w:rsid w:val="0BF9705C"/>
    <w:rsid w:val="0C023916"/>
    <w:rsid w:val="0C055FA2"/>
    <w:rsid w:val="0C0C10EA"/>
    <w:rsid w:val="0C113523"/>
    <w:rsid w:val="0C1655B6"/>
    <w:rsid w:val="0C167328"/>
    <w:rsid w:val="0C24191D"/>
    <w:rsid w:val="0C245A60"/>
    <w:rsid w:val="0C25611E"/>
    <w:rsid w:val="0C25627B"/>
    <w:rsid w:val="0C2736F0"/>
    <w:rsid w:val="0C2C75C8"/>
    <w:rsid w:val="0C2F59E7"/>
    <w:rsid w:val="0C315729"/>
    <w:rsid w:val="0C3655BA"/>
    <w:rsid w:val="0C3B3C7D"/>
    <w:rsid w:val="0C3B7107"/>
    <w:rsid w:val="0C3D1575"/>
    <w:rsid w:val="0C3F0F13"/>
    <w:rsid w:val="0C3F1D38"/>
    <w:rsid w:val="0C4178AE"/>
    <w:rsid w:val="0C4A585C"/>
    <w:rsid w:val="0C502032"/>
    <w:rsid w:val="0C510F97"/>
    <w:rsid w:val="0C521DB6"/>
    <w:rsid w:val="0C5C092A"/>
    <w:rsid w:val="0C5D2491"/>
    <w:rsid w:val="0C643363"/>
    <w:rsid w:val="0C6C434C"/>
    <w:rsid w:val="0C6D3626"/>
    <w:rsid w:val="0C7211A7"/>
    <w:rsid w:val="0C722FDA"/>
    <w:rsid w:val="0C742430"/>
    <w:rsid w:val="0C742CB9"/>
    <w:rsid w:val="0C7C484A"/>
    <w:rsid w:val="0C7C5AFE"/>
    <w:rsid w:val="0C7D4C81"/>
    <w:rsid w:val="0C7D79F8"/>
    <w:rsid w:val="0C832FCC"/>
    <w:rsid w:val="0C8340B0"/>
    <w:rsid w:val="0C8524C9"/>
    <w:rsid w:val="0C90447F"/>
    <w:rsid w:val="0C9535CA"/>
    <w:rsid w:val="0C975DE8"/>
    <w:rsid w:val="0CA07C5E"/>
    <w:rsid w:val="0CA44551"/>
    <w:rsid w:val="0CA61721"/>
    <w:rsid w:val="0CA61B55"/>
    <w:rsid w:val="0CA71916"/>
    <w:rsid w:val="0CA92A59"/>
    <w:rsid w:val="0CA94BC8"/>
    <w:rsid w:val="0CAB2EAE"/>
    <w:rsid w:val="0CAE65B3"/>
    <w:rsid w:val="0CAF4A59"/>
    <w:rsid w:val="0CB20AAE"/>
    <w:rsid w:val="0CB659B6"/>
    <w:rsid w:val="0CB73F47"/>
    <w:rsid w:val="0CB7457A"/>
    <w:rsid w:val="0CB81E90"/>
    <w:rsid w:val="0CB94774"/>
    <w:rsid w:val="0CBC37E9"/>
    <w:rsid w:val="0CBC789A"/>
    <w:rsid w:val="0CC05CAE"/>
    <w:rsid w:val="0CC14007"/>
    <w:rsid w:val="0CC53CE2"/>
    <w:rsid w:val="0CC70DDE"/>
    <w:rsid w:val="0CDB0E3D"/>
    <w:rsid w:val="0CE32D0D"/>
    <w:rsid w:val="0CE4753D"/>
    <w:rsid w:val="0CE52F8B"/>
    <w:rsid w:val="0CE70A20"/>
    <w:rsid w:val="0CEB1CD5"/>
    <w:rsid w:val="0CEB205C"/>
    <w:rsid w:val="0CEC7CE9"/>
    <w:rsid w:val="0CF079D5"/>
    <w:rsid w:val="0CF14BCE"/>
    <w:rsid w:val="0CF339FF"/>
    <w:rsid w:val="0CF74348"/>
    <w:rsid w:val="0D047FB9"/>
    <w:rsid w:val="0D09052E"/>
    <w:rsid w:val="0D0D3D2C"/>
    <w:rsid w:val="0D0D6654"/>
    <w:rsid w:val="0D1306D4"/>
    <w:rsid w:val="0D19260D"/>
    <w:rsid w:val="0D195BCC"/>
    <w:rsid w:val="0D1C50B6"/>
    <w:rsid w:val="0D1D1F50"/>
    <w:rsid w:val="0D1E2A96"/>
    <w:rsid w:val="0D214F56"/>
    <w:rsid w:val="0D2236D5"/>
    <w:rsid w:val="0D282B68"/>
    <w:rsid w:val="0D2A0A95"/>
    <w:rsid w:val="0D315AD8"/>
    <w:rsid w:val="0D321DAD"/>
    <w:rsid w:val="0D324A72"/>
    <w:rsid w:val="0D340E13"/>
    <w:rsid w:val="0D35413B"/>
    <w:rsid w:val="0D357A77"/>
    <w:rsid w:val="0D367DD0"/>
    <w:rsid w:val="0D38474C"/>
    <w:rsid w:val="0D3F079C"/>
    <w:rsid w:val="0D3F75FA"/>
    <w:rsid w:val="0D3F7DC1"/>
    <w:rsid w:val="0D445D34"/>
    <w:rsid w:val="0D447C58"/>
    <w:rsid w:val="0D451707"/>
    <w:rsid w:val="0D4628CB"/>
    <w:rsid w:val="0D472438"/>
    <w:rsid w:val="0D55331F"/>
    <w:rsid w:val="0D5812F3"/>
    <w:rsid w:val="0D596A44"/>
    <w:rsid w:val="0D5B590C"/>
    <w:rsid w:val="0D621C7D"/>
    <w:rsid w:val="0D66437A"/>
    <w:rsid w:val="0D665689"/>
    <w:rsid w:val="0D6A65A2"/>
    <w:rsid w:val="0D6D1FAD"/>
    <w:rsid w:val="0D717296"/>
    <w:rsid w:val="0D720C2D"/>
    <w:rsid w:val="0D78272F"/>
    <w:rsid w:val="0D823EB9"/>
    <w:rsid w:val="0D826C4E"/>
    <w:rsid w:val="0D893314"/>
    <w:rsid w:val="0D8944BC"/>
    <w:rsid w:val="0D8D6ECD"/>
    <w:rsid w:val="0D9625B6"/>
    <w:rsid w:val="0D983A26"/>
    <w:rsid w:val="0D9853B8"/>
    <w:rsid w:val="0D9D13D9"/>
    <w:rsid w:val="0D9F49A6"/>
    <w:rsid w:val="0DA606F7"/>
    <w:rsid w:val="0DA90812"/>
    <w:rsid w:val="0DAA7293"/>
    <w:rsid w:val="0DB263DA"/>
    <w:rsid w:val="0DB40F1B"/>
    <w:rsid w:val="0DB77A93"/>
    <w:rsid w:val="0DB82A5D"/>
    <w:rsid w:val="0DB91B83"/>
    <w:rsid w:val="0DBC5FCE"/>
    <w:rsid w:val="0DC06991"/>
    <w:rsid w:val="0DC11CF6"/>
    <w:rsid w:val="0DC169DF"/>
    <w:rsid w:val="0DC31DEB"/>
    <w:rsid w:val="0DC3629D"/>
    <w:rsid w:val="0DC670F6"/>
    <w:rsid w:val="0DD30AE8"/>
    <w:rsid w:val="0DD94ED8"/>
    <w:rsid w:val="0DE45B0B"/>
    <w:rsid w:val="0DF41E1A"/>
    <w:rsid w:val="0DF53D25"/>
    <w:rsid w:val="0DFA7715"/>
    <w:rsid w:val="0DFC08B1"/>
    <w:rsid w:val="0DFE4BE6"/>
    <w:rsid w:val="0E0518FD"/>
    <w:rsid w:val="0E0C24ED"/>
    <w:rsid w:val="0E1E5184"/>
    <w:rsid w:val="0E236F0A"/>
    <w:rsid w:val="0E242C19"/>
    <w:rsid w:val="0E286B8F"/>
    <w:rsid w:val="0E2B25BF"/>
    <w:rsid w:val="0E2B4BB2"/>
    <w:rsid w:val="0E2C2256"/>
    <w:rsid w:val="0E2D3929"/>
    <w:rsid w:val="0E2D5A78"/>
    <w:rsid w:val="0E2D7D3C"/>
    <w:rsid w:val="0E2E3349"/>
    <w:rsid w:val="0E303BE3"/>
    <w:rsid w:val="0E3A0B9C"/>
    <w:rsid w:val="0E520091"/>
    <w:rsid w:val="0E550E78"/>
    <w:rsid w:val="0E5C122D"/>
    <w:rsid w:val="0E5D10EC"/>
    <w:rsid w:val="0E5D52E7"/>
    <w:rsid w:val="0E5E6314"/>
    <w:rsid w:val="0E6153C1"/>
    <w:rsid w:val="0E634F98"/>
    <w:rsid w:val="0E6C082B"/>
    <w:rsid w:val="0E6E42B3"/>
    <w:rsid w:val="0E700019"/>
    <w:rsid w:val="0E7008E1"/>
    <w:rsid w:val="0E70097A"/>
    <w:rsid w:val="0E7021D2"/>
    <w:rsid w:val="0E7247C1"/>
    <w:rsid w:val="0E73034D"/>
    <w:rsid w:val="0E773F9C"/>
    <w:rsid w:val="0E7C633D"/>
    <w:rsid w:val="0E80280C"/>
    <w:rsid w:val="0E832392"/>
    <w:rsid w:val="0E840E2B"/>
    <w:rsid w:val="0E850596"/>
    <w:rsid w:val="0E8634B1"/>
    <w:rsid w:val="0E8C4BDF"/>
    <w:rsid w:val="0E921E70"/>
    <w:rsid w:val="0E934A6E"/>
    <w:rsid w:val="0E9C6F4B"/>
    <w:rsid w:val="0EA449EA"/>
    <w:rsid w:val="0EBE7815"/>
    <w:rsid w:val="0EC264E7"/>
    <w:rsid w:val="0EC26651"/>
    <w:rsid w:val="0EC77E9D"/>
    <w:rsid w:val="0EC9382F"/>
    <w:rsid w:val="0ECA4F99"/>
    <w:rsid w:val="0ECF231E"/>
    <w:rsid w:val="0ED11EDA"/>
    <w:rsid w:val="0ED177FF"/>
    <w:rsid w:val="0ED56E4C"/>
    <w:rsid w:val="0EDF4F85"/>
    <w:rsid w:val="0EE22433"/>
    <w:rsid w:val="0EE3723B"/>
    <w:rsid w:val="0EEA278E"/>
    <w:rsid w:val="0EEE3317"/>
    <w:rsid w:val="0EEE5448"/>
    <w:rsid w:val="0EEF4BBE"/>
    <w:rsid w:val="0EF8089E"/>
    <w:rsid w:val="0EF87A19"/>
    <w:rsid w:val="0F0063D1"/>
    <w:rsid w:val="0F02063F"/>
    <w:rsid w:val="0F033575"/>
    <w:rsid w:val="0F0501E3"/>
    <w:rsid w:val="0F060C5A"/>
    <w:rsid w:val="0F08337C"/>
    <w:rsid w:val="0F084201"/>
    <w:rsid w:val="0F086170"/>
    <w:rsid w:val="0F087420"/>
    <w:rsid w:val="0F092E8D"/>
    <w:rsid w:val="0F0A09A6"/>
    <w:rsid w:val="0F0B1E22"/>
    <w:rsid w:val="0F113ECC"/>
    <w:rsid w:val="0F12375A"/>
    <w:rsid w:val="0F13775A"/>
    <w:rsid w:val="0F145974"/>
    <w:rsid w:val="0F173241"/>
    <w:rsid w:val="0F1A5B4B"/>
    <w:rsid w:val="0F247F8F"/>
    <w:rsid w:val="0F250AEC"/>
    <w:rsid w:val="0F251541"/>
    <w:rsid w:val="0F2B162D"/>
    <w:rsid w:val="0F340B53"/>
    <w:rsid w:val="0F3518CB"/>
    <w:rsid w:val="0F3A1087"/>
    <w:rsid w:val="0F3A2C58"/>
    <w:rsid w:val="0F3E4845"/>
    <w:rsid w:val="0F3E5BC8"/>
    <w:rsid w:val="0F3E6A41"/>
    <w:rsid w:val="0F3F652F"/>
    <w:rsid w:val="0F407B0B"/>
    <w:rsid w:val="0F411B72"/>
    <w:rsid w:val="0F4241D3"/>
    <w:rsid w:val="0F45620E"/>
    <w:rsid w:val="0F4A5B1E"/>
    <w:rsid w:val="0F531423"/>
    <w:rsid w:val="0F5369FF"/>
    <w:rsid w:val="0F561601"/>
    <w:rsid w:val="0F5818CE"/>
    <w:rsid w:val="0F5F45FE"/>
    <w:rsid w:val="0F6B5E63"/>
    <w:rsid w:val="0F6C59B6"/>
    <w:rsid w:val="0F7029B8"/>
    <w:rsid w:val="0F704C20"/>
    <w:rsid w:val="0F761B48"/>
    <w:rsid w:val="0F8213E6"/>
    <w:rsid w:val="0F83003A"/>
    <w:rsid w:val="0F831894"/>
    <w:rsid w:val="0F8416E7"/>
    <w:rsid w:val="0F91018E"/>
    <w:rsid w:val="0F915BB3"/>
    <w:rsid w:val="0F95348D"/>
    <w:rsid w:val="0F9A112B"/>
    <w:rsid w:val="0FB95B7C"/>
    <w:rsid w:val="0FC03BCC"/>
    <w:rsid w:val="0FC47CDA"/>
    <w:rsid w:val="0FC872FB"/>
    <w:rsid w:val="0FD4589D"/>
    <w:rsid w:val="0FDA7E8C"/>
    <w:rsid w:val="0FDB437E"/>
    <w:rsid w:val="0FE53BF8"/>
    <w:rsid w:val="0FE75D0C"/>
    <w:rsid w:val="0FEF7F0C"/>
    <w:rsid w:val="0FF92120"/>
    <w:rsid w:val="0FFD169A"/>
    <w:rsid w:val="10020F88"/>
    <w:rsid w:val="10060878"/>
    <w:rsid w:val="10064E4E"/>
    <w:rsid w:val="10086859"/>
    <w:rsid w:val="100F7B38"/>
    <w:rsid w:val="10115025"/>
    <w:rsid w:val="101373BB"/>
    <w:rsid w:val="10150F79"/>
    <w:rsid w:val="101C6206"/>
    <w:rsid w:val="101F4370"/>
    <w:rsid w:val="10233A85"/>
    <w:rsid w:val="102567E2"/>
    <w:rsid w:val="102B316C"/>
    <w:rsid w:val="102B6816"/>
    <w:rsid w:val="102D6241"/>
    <w:rsid w:val="1034143D"/>
    <w:rsid w:val="103A02EB"/>
    <w:rsid w:val="103C2973"/>
    <w:rsid w:val="10493DEE"/>
    <w:rsid w:val="104F1718"/>
    <w:rsid w:val="105709DA"/>
    <w:rsid w:val="10643F43"/>
    <w:rsid w:val="106D2F64"/>
    <w:rsid w:val="106E6C41"/>
    <w:rsid w:val="106F25F9"/>
    <w:rsid w:val="1074462B"/>
    <w:rsid w:val="1077668D"/>
    <w:rsid w:val="10791AF9"/>
    <w:rsid w:val="107A0982"/>
    <w:rsid w:val="108305CC"/>
    <w:rsid w:val="108E6A63"/>
    <w:rsid w:val="108E71CF"/>
    <w:rsid w:val="108F1551"/>
    <w:rsid w:val="109935A1"/>
    <w:rsid w:val="109946CA"/>
    <w:rsid w:val="109C2F95"/>
    <w:rsid w:val="10A44908"/>
    <w:rsid w:val="10A50EEC"/>
    <w:rsid w:val="10A518FD"/>
    <w:rsid w:val="10A77D74"/>
    <w:rsid w:val="10A83BDD"/>
    <w:rsid w:val="10B30079"/>
    <w:rsid w:val="10B4104A"/>
    <w:rsid w:val="10B63710"/>
    <w:rsid w:val="10BA2475"/>
    <w:rsid w:val="10BF55B1"/>
    <w:rsid w:val="10C74CA9"/>
    <w:rsid w:val="10D03AFB"/>
    <w:rsid w:val="10D16CF9"/>
    <w:rsid w:val="10D25807"/>
    <w:rsid w:val="10D27A0F"/>
    <w:rsid w:val="10D354F4"/>
    <w:rsid w:val="10D41797"/>
    <w:rsid w:val="10D45F90"/>
    <w:rsid w:val="10D53F01"/>
    <w:rsid w:val="10DB101D"/>
    <w:rsid w:val="10E3374A"/>
    <w:rsid w:val="10E46CE5"/>
    <w:rsid w:val="10EB080D"/>
    <w:rsid w:val="10F10820"/>
    <w:rsid w:val="10F624BE"/>
    <w:rsid w:val="10F7137A"/>
    <w:rsid w:val="10FA47F9"/>
    <w:rsid w:val="10FB0EEC"/>
    <w:rsid w:val="110125DC"/>
    <w:rsid w:val="110D5C40"/>
    <w:rsid w:val="110E1D79"/>
    <w:rsid w:val="11100CAF"/>
    <w:rsid w:val="111C2F7A"/>
    <w:rsid w:val="111D1457"/>
    <w:rsid w:val="111E6926"/>
    <w:rsid w:val="11243048"/>
    <w:rsid w:val="112A71FD"/>
    <w:rsid w:val="112F4982"/>
    <w:rsid w:val="11316C3A"/>
    <w:rsid w:val="11361012"/>
    <w:rsid w:val="11361E93"/>
    <w:rsid w:val="113632EC"/>
    <w:rsid w:val="113A29E0"/>
    <w:rsid w:val="113C4550"/>
    <w:rsid w:val="113D3CEE"/>
    <w:rsid w:val="113E348A"/>
    <w:rsid w:val="1144622F"/>
    <w:rsid w:val="11474A20"/>
    <w:rsid w:val="114E06C3"/>
    <w:rsid w:val="11516F3B"/>
    <w:rsid w:val="11530B5F"/>
    <w:rsid w:val="11665CA1"/>
    <w:rsid w:val="1178406B"/>
    <w:rsid w:val="11886248"/>
    <w:rsid w:val="118E699A"/>
    <w:rsid w:val="118F7D3D"/>
    <w:rsid w:val="1194014A"/>
    <w:rsid w:val="119655DA"/>
    <w:rsid w:val="11982648"/>
    <w:rsid w:val="119C3248"/>
    <w:rsid w:val="119E2D35"/>
    <w:rsid w:val="11A26297"/>
    <w:rsid w:val="11A81A12"/>
    <w:rsid w:val="11A873E0"/>
    <w:rsid w:val="11AD64EA"/>
    <w:rsid w:val="11B630F6"/>
    <w:rsid w:val="11B81E3D"/>
    <w:rsid w:val="11BB1CE2"/>
    <w:rsid w:val="11BF0DF5"/>
    <w:rsid w:val="11C4020E"/>
    <w:rsid w:val="11C6799C"/>
    <w:rsid w:val="11CB0060"/>
    <w:rsid w:val="11CD35E0"/>
    <w:rsid w:val="11D7237A"/>
    <w:rsid w:val="11DA01E8"/>
    <w:rsid w:val="11EE20BD"/>
    <w:rsid w:val="11F03636"/>
    <w:rsid w:val="11F51391"/>
    <w:rsid w:val="11F579F3"/>
    <w:rsid w:val="11F76BB7"/>
    <w:rsid w:val="11F8663D"/>
    <w:rsid w:val="11F967E0"/>
    <w:rsid w:val="11FD0A27"/>
    <w:rsid w:val="11FF4C67"/>
    <w:rsid w:val="120131A2"/>
    <w:rsid w:val="12015EF7"/>
    <w:rsid w:val="120404B1"/>
    <w:rsid w:val="120B11D5"/>
    <w:rsid w:val="12123489"/>
    <w:rsid w:val="12126EF4"/>
    <w:rsid w:val="12157F26"/>
    <w:rsid w:val="121C5F6E"/>
    <w:rsid w:val="122C04E7"/>
    <w:rsid w:val="123738D5"/>
    <w:rsid w:val="1237460A"/>
    <w:rsid w:val="123C065D"/>
    <w:rsid w:val="1240333E"/>
    <w:rsid w:val="12411BCD"/>
    <w:rsid w:val="12494BA5"/>
    <w:rsid w:val="125E6A56"/>
    <w:rsid w:val="126376CD"/>
    <w:rsid w:val="12646766"/>
    <w:rsid w:val="12671822"/>
    <w:rsid w:val="126739A9"/>
    <w:rsid w:val="1268205A"/>
    <w:rsid w:val="12747C64"/>
    <w:rsid w:val="127520CD"/>
    <w:rsid w:val="127814BD"/>
    <w:rsid w:val="127D7171"/>
    <w:rsid w:val="128449B6"/>
    <w:rsid w:val="128468F1"/>
    <w:rsid w:val="12867C7C"/>
    <w:rsid w:val="128C64B5"/>
    <w:rsid w:val="128C7268"/>
    <w:rsid w:val="128E6E32"/>
    <w:rsid w:val="128F5F27"/>
    <w:rsid w:val="12994790"/>
    <w:rsid w:val="129E08B6"/>
    <w:rsid w:val="129F7F33"/>
    <w:rsid w:val="12A50D0F"/>
    <w:rsid w:val="12A7276D"/>
    <w:rsid w:val="12A85570"/>
    <w:rsid w:val="12B72477"/>
    <w:rsid w:val="12B828B1"/>
    <w:rsid w:val="12BC378F"/>
    <w:rsid w:val="12CA49C6"/>
    <w:rsid w:val="12D915C6"/>
    <w:rsid w:val="12DB2F84"/>
    <w:rsid w:val="12E34DF4"/>
    <w:rsid w:val="12E96728"/>
    <w:rsid w:val="12EB2094"/>
    <w:rsid w:val="12F02BED"/>
    <w:rsid w:val="12F35985"/>
    <w:rsid w:val="12F4146C"/>
    <w:rsid w:val="12F46C52"/>
    <w:rsid w:val="12F47FBA"/>
    <w:rsid w:val="12F837EF"/>
    <w:rsid w:val="12FD04AE"/>
    <w:rsid w:val="130117BB"/>
    <w:rsid w:val="13031077"/>
    <w:rsid w:val="130C1417"/>
    <w:rsid w:val="131312F5"/>
    <w:rsid w:val="1314129D"/>
    <w:rsid w:val="13154133"/>
    <w:rsid w:val="131A66DA"/>
    <w:rsid w:val="132136BE"/>
    <w:rsid w:val="13227A34"/>
    <w:rsid w:val="1326159C"/>
    <w:rsid w:val="13290F19"/>
    <w:rsid w:val="132E1327"/>
    <w:rsid w:val="13305F33"/>
    <w:rsid w:val="13327778"/>
    <w:rsid w:val="1333717E"/>
    <w:rsid w:val="133439A6"/>
    <w:rsid w:val="13354F59"/>
    <w:rsid w:val="133A64A6"/>
    <w:rsid w:val="13435964"/>
    <w:rsid w:val="134E6C76"/>
    <w:rsid w:val="1352379B"/>
    <w:rsid w:val="13573B86"/>
    <w:rsid w:val="135D6D4C"/>
    <w:rsid w:val="135F0589"/>
    <w:rsid w:val="136255B0"/>
    <w:rsid w:val="136775AF"/>
    <w:rsid w:val="13687170"/>
    <w:rsid w:val="13696F98"/>
    <w:rsid w:val="136B58AB"/>
    <w:rsid w:val="1370100A"/>
    <w:rsid w:val="13765174"/>
    <w:rsid w:val="137875FD"/>
    <w:rsid w:val="137D28AB"/>
    <w:rsid w:val="138148AB"/>
    <w:rsid w:val="13894BBF"/>
    <w:rsid w:val="138B0B59"/>
    <w:rsid w:val="13951726"/>
    <w:rsid w:val="139867FF"/>
    <w:rsid w:val="13A13A8C"/>
    <w:rsid w:val="13A20F56"/>
    <w:rsid w:val="13A80E60"/>
    <w:rsid w:val="13B052F7"/>
    <w:rsid w:val="13B07650"/>
    <w:rsid w:val="13B472BD"/>
    <w:rsid w:val="13B827FD"/>
    <w:rsid w:val="13BC33EC"/>
    <w:rsid w:val="13BE6F9F"/>
    <w:rsid w:val="13BF5CF4"/>
    <w:rsid w:val="13CF052B"/>
    <w:rsid w:val="13D173FE"/>
    <w:rsid w:val="13D464A0"/>
    <w:rsid w:val="13D61872"/>
    <w:rsid w:val="13D95F0F"/>
    <w:rsid w:val="13DE741A"/>
    <w:rsid w:val="13DE7FA4"/>
    <w:rsid w:val="13DF3D8C"/>
    <w:rsid w:val="13DF6E97"/>
    <w:rsid w:val="13E8193B"/>
    <w:rsid w:val="13EB1B1B"/>
    <w:rsid w:val="13F0789D"/>
    <w:rsid w:val="13F1017F"/>
    <w:rsid w:val="13F12EF8"/>
    <w:rsid w:val="13F97366"/>
    <w:rsid w:val="13FE414C"/>
    <w:rsid w:val="13FF63EF"/>
    <w:rsid w:val="14044EC9"/>
    <w:rsid w:val="140501AF"/>
    <w:rsid w:val="140D4EEF"/>
    <w:rsid w:val="140F1445"/>
    <w:rsid w:val="141A2475"/>
    <w:rsid w:val="141C6627"/>
    <w:rsid w:val="141D5BBB"/>
    <w:rsid w:val="14215C78"/>
    <w:rsid w:val="14241E2C"/>
    <w:rsid w:val="14244613"/>
    <w:rsid w:val="1428456B"/>
    <w:rsid w:val="14300589"/>
    <w:rsid w:val="143341E6"/>
    <w:rsid w:val="14385291"/>
    <w:rsid w:val="1439373A"/>
    <w:rsid w:val="14396509"/>
    <w:rsid w:val="143D154A"/>
    <w:rsid w:val="143E2F20"/>
    <w:rsid w:val="14400DD2"/>
    <w:rsid w:val="14443603"/>
    <w:rsid w:val="14446A31"/>
    <w:rsid w:val="14484423"/>
    <w:rsid w:val="144A2A51"/>
    <w:rsid w:val="145509EC"/>
    <w:rsid w:val="14591603"/>
    <w:rsid w:val="145E1B5A"/>
    <w:rsid w:val="14651382"/>
    <w:rsid w:val="14685256"/>
    <w:rsid w:val="146A024E"/>
    <w:rsid w:val="147430DD"/>
    <w:rsid w:val="14765D3E"/>
    <w:rsid w:val="14766D67"/>
    <w:rsid w:val="1479023B"/>
    <w:rsid w:val="147B1676"/>
    <w:rsid w:val="14835A3B"/>
    <w:rsid w:val="14854C8E"/>
    <w:rsid w:val="14862C75"/>
    <w:rsid w:val="14870B97"/>
    <w:rsid w:val="148C37E3"/>
    <w:rsid w:val="148E2AF7"/>
    <w:rsid w:val="148E4111"/>
    <w:rsid w:val="148F1D2A"/>
    <w:rsid w:val="148F3291"/>
    <w:rsid w:val="14981D96"/>
    <w:rsid w:val="1499617E"/>
    <w:rsid w:val="149E075E"/>
    <w:rsid w:val="14A85637"/>
    <w:rsid w:val="14AA55E6"/>
    <w:rsid w:val="14AB198A"/>
    <w:rsid w:val="14AF0307"/>
    <w:rsid w:val="14B448B6"/>
    <w:rsid w:val="14B60AE8"/>
    <w:rsid w:val="14BD1CCD"/>
    <w:rsid w:val="14C44D5A"/>
    <w:rsid w:val="14C548A3"/>
    <w:rsid w:val="14C617CA"/>
    <w:rsid w:val="14CE5977"/>
    <w:rsid w:val="14D12C06"/>
    <w:rsid w:val="14D3349C"/>
    <w:rsid w:val="14D472E2"/>
    <w:rsid w:val="14DD2C3C"/>
    <w:rsid w:val="14E2362A"/>
    <w:rsid w:val="14EA710D"/>
    <w:rsid w:val="14EE3721"/>
    <w:rsid w:val="14F97173"/>
    <w:rsid w:val="14FC2752"/>
    <w:rsid w:val="150440E3"/>
    <w:rsid w:val="15050616"/>
    <w:rsid w:val="150A73D9"/>
    <w:rsid w:val="151354EF"/>
    <w:rsid w:val="151C775A"/>
    <w:rsid w:val="151F17E7"/>
    <w:rsid w:val="1521289B"/>
    <w:rsid w:val="15221A83"/>
    <w:rsid w:val="1533389C"/>
    <w:rsid w:val="15376F23"/>
    <w:rsid w:val="153B292B"/>
    <w:rsid w:val="153C205B"/>
    <w:rsid w:val="15444BA4"/>
    <w:rsid w:val="154767B9"/>
    <w:rsid w:val="15476CCD"/>
    <w:rsid w:val="15481134"/>
    <w:rsid w:val="154F0717"/>
    <w:rsid w:val="155143EA"/>
    <w:rsid w:val="155301DA"/>
    <w:rsid w:val="15545123"/>
    <w:rsid w:val="155C21CD"/>
    <w:rsid w:val="155E0335"/>
    <w:rsid w:val="15635D6E"/>
    <w:rsid w:val="15661135"/>
    <w:rsid w:val="156D2EBC"/>
    <w:rsid w:val="156F284D"/>
    <w:rsid w:val="156F6AF8"/>
    <w:rsid w:val="15717457"/>
    <w:rsid w:val="15730C12"/>
    <w:rsid w:val="157E2301"/>
    <w:rsid w:val="157E5FB7"/>
    <w:rsid w:val="15856938"/>
    <w:rsid w:val="158F410F"/>
    <w:rsid w:val="1590254A"/>
    <w:rsid w:val="1592248C"/>
    <w:rsid w:val="15A15911"/>
    <w:rsid w:val="15A84CA8"/>
    <w:rsid w:val="15AB08D1"/>
    <w:rsid w:val="15B010A4"/>
    <w:rsid w:val="15B23DA7"/>
    <w:rsid w:val="15B45FCD"/>
    <w:rsid w:val="15B849D5"/>
    <w:rsid w:val="15BB0E5F"/>
    <w:rsid w:val="15BB1506"/>
    <w:rsid w:val="15BB223E"/>
    <w:rsid w:val="15BD2BF8"/>
    <w:rsid w:val="15C01EBE"/>
    <w:rsid w:val="15C4275A"/>
    <w:rsid w:val="15C648BD"/>
    <w:rsid w:val="15CC1EF9"/>
    <w:rsid w:val="15D6340E"/>
    <w:rsid w:val="15D8032C"/>
    <w:rsid w:val="15DD6D32"/>
    <w:rsid w:val="15E67376"/>
    <w:rsid w:val="15EB1900"/>
    <w:rsid w:val="15EE5B18"/>
    <w:rsid w:val="15F671BB"/>
    <w:rsid w:val="16030BDF"/>
    <w:rsid w:val="16087E1D"/>
    <w:rsid w:val="160D3785"/>
    <w:rsid w:val="160F02D2"/>
    <w:rsid w:val="161151AF"/>
    <w:rsid w:val="16172312"/>
    <w:rsid w:val="161A44EA"/>
    <w:rsid w:val="161C27D4"/>
    <w:rsid w:val="161E6709"/>
    <w:rsid w:val="162236AA"/>
    <w:rsid w:val="1625135D"/>
    <w:rsid w:val="162A678A"/>
    <w:rsid w:val="163432F5"/>
    <w:rsid w:val="16345795"/>
    <w:rsid w:val="163B0003"/>
    <w:rsid w:val="163C0301"/>
    <w:rsid w:val="163F4CD3"/>
    <w:rsid w:val="16420731"/>
    <w:rsid w:val="16451D1A"/>
    <w:rsid w:val="164C12BE"/>
    <w:rsid w:val="164D568D"/>
    <w:rsid w:val="164E7C35"/>
    <w:rsid w:val="16504F3F"/>
    <w:rsid w:val="1656357A"/>
    <w:rsid w:val="165E466E"/>
    <w:rsid w:val="16623842"/>
    <w:rsid w:val="16695727"/>
    <w:rsid w:val="167011B9"/>
    <w:rsid w:val="167D1FF6"/>
    <w:rsid w:val="1683409D"/>
    <w:rsid w:val="1684540D"/>
    <w:rsid w:val="168A4E80"/>
    <w:rsid w:val="169D31C0"/>
    <w:rsid w:val="16A00068"/>
    <w:rsid w:val="16A07FFA"/>
    <w:rsid w:val="16A20381"/>
    <w:rsid w:val="16A42F24"/>
    <w:rsid w:val="16A43F59"/>
    <w:rsid w:val="16A969AB"/>
    <w:rsid w:val="16B00FD7"/>
    <w:rsid w:val="16B07024"/>
    <w:rsid w:val="16B42EB7"/>
    <w:rsid w:val="16B4437F"/>
    <w:rsid w:val="16CA31F6"/>
    <w:rsid w:val="16CB6914"/>
    <w:rsid w:val="16CD73C3"/>
    <w:rsid w:val="16D26F39"/>
    <w:rsid w:val="16D3287D"/>
    <w:rsid w:val="16D50F64"/>
    <w:rsid w:val="16D93E0E"/>
    <w:rsid w:val="16DD78C9"/>
    <w:rsid w:val="16E226AB"/>
    <w:rsid w:val="16E4470A"/>
    <w:rsid w:val="16E5236F"/>
    <w:rsid w:val="16E80A0E"/>
    <w:rsid w:val="16EA387B"/>
    <w:rsid w:val="16EB4398"/>
    <w:rsid w:val="16EB6947"/>
    <w:rsid w:val="16F44BD6"/>
    <w:rsid w:val="16FE214E"/>
    <w:rsid w:val="16FE5B55"/>
    <w:rsid w:val="1704273F"/>
    <w:rsid w:val="17044A90"/>
    <w:rsid w:val="170455C1"/>
    <w:rsid w:val="170E125B"/>
    <w:rsid w:val="171440DF"/>
    <w:rsid w:val="17150ECE"/>
    <w:rsid w:val="17183D62"/>
    <w:rsid w:val="171A7536"/>
    <w:rsid w:val="171C5B71"/>
    <w:rsid w:val="17220D9A"/>
    <w:rsid w:val="1723713F"/>
    <w:rsid w:val="17282FA1"/>
    <w:rsid w:val="172B726E"/>
    <w:rsid w:val="172E2909"/>
    <w:rsid w:val="173128A4"/>
    <w:rsid w:val="173706A4"/>
    <w:rsid w:val="173C61D0"/>
    <w:rsid w:val="173D46B3"/>
    <w:rsid w:val="17407C91"/>
    <w:rsid w:val="17524FBE"/>
    <w:rsid w:val="17551A1D"/>
    <w:rsid w:val="17572D69"/>
    <w:rsid w:val="175741F8"/>
    <w:rsid w:val="176628AB"/>
    <w:rsid w:val="1766482F"/>
    <w:rsid w:val="17681DB3"/>
    <w:rsid w:val="176E11F5"/>
    <w:rsid w:val="17701D14"/>
    <w:rsid w:val="17735226"/>
    <w:rsid w:val="17750EB9"/>
    <w:rsid w:val="17757326"/>
    <w:rsid w:val="177C6C01"/>
    <w:rsid w:val="17814143"/>
    <w:rsid w:val="17861DE0"/>
    <w:rsid w:val="17864502"/>
    <w:rsid w:val="178A7660"/>
    <w:rsid w:val="1793369B"/>
    <w:rsid w:val="179D3A8D"/>
    <w:rsid w:val="17AB7B79"/>
    <w:rsid w:val="17AE3BAD"/>
    <w:rsid w:val="17AE7D5C"/>
    <w:rsid w:val="17AF070F"/>
    <w:rsid w:val="17B40B12"/>
    <w:rsid w:val="17BD1266"/>
    <w:rsid w:val="17BE1BD1"/>
    <w:rsid w:val="17BE1E45"/>
    <w:rsid w:val="17BE4040"/>
    <w:rsid w:val="17BF573D"/>
    <w:rsid w:val="17BF5896"/>
    <w:rsid w:val="17C35048"/>
    <w:rsid w:val="17C70D3C"/>
    <w:rsid w:val="17C915DD"/>
    <w:rsid w:val="17D42417"/>
    <w:rsid w:val="17D6292A"/>
    <w:rsid w:val="17DC7592"/>
    <w:rsid w:val="17DD7C6D"/>
    <w:rsid w:val="17E614B7"/>
    <w:rsid w:val="17E65696"/>
    <w:rsid w:val="17E67D0A"/>
    <w:rsid w:val="17E8678E"/>
    <w:rsid w:val="17E96C0C"/>
    <w:rsid w:val="17EA11C9"/>
    <w:rsid w:val="17F340D9"/>
    <w:rsid w:val="17F5783A"/>
    <w:rsid w:val="17F65B68"/>
    <w:rsid w:val="17F71CDA"/>
    <w:rsid w:val="17F83AEE"/>
    <w:rsid w:val="17F85D5A"/>
    <w:rsid w:val="17F906AC"/>
    <w:rsid w:val="17FD764D"/>
    <w:rsid w:val="17FE34DE"/>
    <w:rsid w:val="18004614"/>
    <w:rsid w:val="1803110F"/>
    <w:rsid w:val="18104D81"/>
    <w:rsid w:val="1811222A"/>
    <w:rsid w:val="18123D56"/>
    <w:rsid w:val="18180AF5"/>
    <w:rsid w:val="18196853"/>
    <w:rsid w:val="181C2A74"/>
    <w:rsid w:val="181C6797"/>
    <w:rsid w:val="18233522"/>
    <w:rsid w:val="1829740F"/>
    <w:rsid w:val="182F4B09"/>
    <w:rsid w:val="18332FE7"/>
    <w:rsid w:val="1835555E"/>
    <w:rsid w:val="18420747"/>
    <w:rsid w:val="184511DE"/>
    <w:rsid w:val="18460264"/>
    <w:rsid w:val="1846709E"/>
    <w:rsid w:val="184D6C7B"/>
    <w:rsid w:val="18500C65"/>
    <w:rsid w:val="18570ADF"/>
    <w:rsid w:val="185B46F9"/>
    <w:rsid w:val="185D7B2C"/>
    <w:rsid w:val="185F311E"/>
    <w:rsid w:val="186400C1"/>
    <w:rsid w:val="18672003"/>
    <w:rsid w:val="186D4DB2"/>
    <w:rsid w:val="186E3C2D"/>
    <w:rsid w:val="18721DEF"/>
    <w:rsid w:val="18744A15"/>
    <w:rsid w:val="18795D6E"/>
    <w:rsid w:val="187B5532"/>
    <w:rsid w:val="187E4E13"/>
    <w:rsid w:val="187E77F3"/>
    <w:rsid w:val="18814447"/>
    <w:rsid w:val="18825F3F"/>
    <w:rsid w:val="188756DF"/>
    <w:rsid w:val="188C6F04"/>
    <w:rsid w:val="188D381B"/>
    <w:rsid w:val="189121FF"/>
    <w:rsid w:val="189217B5"/>
    <w:rsid w:val="189468D0"/>
    <w:rsid w:val="189769A0"/>
    <w:rsid w:val="189F624C"/>
    <w:rsid w:val="189F6EAF"/>
    <w:rsid w:val="18A17429"/>
    <w:rsid w:val="18A846A1"/>
    <w:rsid w:val="18A85F64"/>
    <w:rsid w:val="18C41106"/>
    <w:rsid w:val="18C45F35"/>
    <w:rsid w:val="18C64823"/>
    <w:rsid w:val="18CE1722"/>
    <w:rsid w:val="18CF1C0C"/>
    <w:rsid w:val="18D92473"/>
    <w:rsid w:val="18E07737"/>
    <w:rsid w:val="18E41338"/>
    <w:rsid w:val="18EB153F"/>
    <w:rsid w:val="18ED1DDE"/>
    <w:rsid w:val="18F06E59"/>
    <w:rsid w:val="18F255E2"/>
    <w:rsid w:val="18F33DE8"/>
    <w:rsid w:val="18F51E31"/>
    <w:rsid w:val="18F951B5"/>
    <w:rsid w:val="18FF5371"/>
    <w:rsid w:val="190B1B51"/>
    <w:rsid w:val="190D278D"/>
    <w:rsid w:val="190E64CB"/>
    <w:rsid w:val="190F3751"/>
    <w:rsid w:val="19137345"/>
    <w:rsid w:val="19164B38"/>
    <w:rsid w:val="19187835"/>
    <w:rsid w:val="191B6762"/>
    <w:rsid w:val="19246DBB"/>
    <w:rsid w:val="192E4026"/>
    <w:rsid w:val="19316DAB"/>
    <w:rsid w:val="19355689"/>
    <w:rsid w:val="19360DA7"/>
    <w:rsid w:val="19442D82"/>
    <w:rsid w:val="1945145A"/>
    <w:rsid w:val="19471E21"/>
    <w:rsid w:val="194F34C9"/>
    <w:rsid w:val="19505896"/>
    <w:rsid w:val="19530703"/>
    <w:rsid w:val="19547D3B"/>
    <w:rsid w:val="195741E9"/>
    <w:rsid w:val="19581270"/>
    <w:rsid w:val="195A7533"/>
    <w:rsid w:val="195B5EB1"/>
    <w:rsid w:val="196202E3"/>
    <w:rsid w:val="196A0AEA"/>
    <w:rsid w:val="196C601B"/>
    <w:rsid w:val="196E2A10"/>
    <w:rsid w:val="19704329"/>
    <w:rsid w:val="1972453A"/>
    <w:rsid w:val="19754B31"/>
    <w:rsid w:val="19756F6D"/>
    <w:rsid w:val="197B25D3"/>
    <w:rsid w:val="19817AE9"/>
    <w:rsid w:val="19825616"/>
    <w:rsid w:val="1983356E"/>
    <w:rsid w:val="198568B3"/>
    <w:rsid w:val="198645BF"/>
    <w:rsid w:val="19865807"/>
    <w:rsid w:val="1989406D"/>
    <w:rsid w:val="198E13AB"/>
    <w:rsid w:val="199115B9"/>
    <w:rsid w:val="19965701"/>
    <w:rsid w:val="1999038F"/>
    <w:rsid w:val="19A42D17"/>
    <w:rsid w:val="19A74AF3"/>
    <w:rsid w:val="19A86EE8"/>
    <w:rsid w:val="19AE67CA"/>
    <w:rsid w:val="19AE78F1"/>
    <w:rsid w:val="19BC6F1F"/>
    <w:rsid w:val="19C476AF"/>
    <w:rsid w:val="19C62CDD"/>
    <w:rsid w:val="19DE290C"/>
    <w:rsid w:val="19E1089B"/>
    <w:rsid w:val="19E51925"/>
    <w:rsid w:val="19EC03C6"/>
    <w:rsid w:val="19ED1242"/>
    <w:rsid w:val="19ED16C0"/>
    <w:rsid w:val="19ED51AB"/>
    <w:rsid w:val="19EE08AC"/>
    <w:rsid w:val="19EE41C9"/>
    <w:rsid w:val="19EE45FA"/>
    <w:rsid w:val="19EF5958"/>
    <w:rsid w:val="19F90307"/>
    <w:rsid w:val="19FC4D25"/>
    <w:rsid w:val="1A006C4E"/>
    <w:rsid w:val="1A077939"/>
    <w:rsid w:val="1A0A1442"/>
    <w:rsid w:val="1A102013"/>
    <w:rsid w:val="1A107A20"/>
    <w:rsid w:val="1A154DC0"/>
    <w:rsid w:val="1A1C66C0"/>
    <w:rsid w:val="1A1E4CFA"/>
    <w:rsid w:val="1A292326"/>
    <w:rsid w:val="1A2946BD"/>
    <w:rsid w:val="1A3464C7"/>
    <w:rsid w:val="1A393F4B"/>
    <w:rsid w:val="1A3B2BB8"/>
    <w:rsid w:val="1A42393B"/>
    <w:rsid w:val="1A432C86"/>
    <w:rsid w:val="1A437A60"/>
    <w:rsid w:val="1A452BF9"/>
    <w:rsid w:val="1A453CFB"/>
    <w:rsid w:val="1A4867A8"/>
    <w:rsid w:val="1A4B447D"/>
    <w:rsid w:val="1A4B6A2F"/>
    <w:rsid w:val="1A4E4C14"/>
    <w:rsid w:val="1A534E1A"/>
    <w:rsid w:val="1A550BD0"/>
    <w:rsid w:val="1A566349"/>
    <w:rsid w:val="1A5844A8"/>
    <w:rsid w:val="1A585780"/>
    <w:rsid w:val="1A597FD1"/>
    <w:rsid w:val="1A5A6E8D"/>
    <w:rsid w:val="1A6419BD"/>
    <w:rsid w:val="1A683EF1"/>
    <w:rsid w:val="1A6932C5"/>
    <w:rsid w:val="1A6B6FAE"/>
    <w:rsid w:val="1A726F8F"/>
    <w:rsid w:val="1A752844"/>
    <w:rsid w:val="1A7B6F8E"/>
    <w:rsid w:val="1A7C5515"/>
    <w:rsid w:val="1A7E6C25"/>
    <w:rsid w:val="1A7F23F1"/>
    <w:rsid w:val="1A802D2C"/>
    <w:rsid w:val="1A822167"/>
    <w:rsid w:val="1A84073E"/>
    <w:rsid w:val="1A8C2AAB"/>
    <w:rsid w:val="1A8E3DA4"/>
    <w:rsid w:val="1A912FAC"/>
    <w:rsid w:val="1A937E87"/>
    <w:rsid w:val="1A944854"/>
    <w:rsid w:val="1A946498"/>
    <w:rsid w:val="1A976D34"/>
    <w:rsid w:val="1A9B4D07"/>
    <w:rsid w:val="1A9C2A7F"/>
    <w:rsid w:val="1A9D7DC6"/>
    <w:rsid w:val="1A9E4554"/>
    <w:rsid w:val="1AA60C96"/>
    <w:rsid w:val="1AA6232A"/>
    <w:rsid w:val="1AA951FA"/>
    <w:rsid w:val="1AAD45DE"/>
    <w:rsid w:val="1AAD5909"/>
    <w:rsid w:val="1AAF379B"/>
    <w:rsid w:val="1AB0583D"/>
    <w:rsid w:val="1AB3268A"/>
    <w:rsid w:val="1AB86B13"/>
    <w:rsid w:val="1ABF7031"/>
    <w:rsid w:val="1AC3529E"/>
    <w:rsid w:val="1AC40144"/>
    <w:rsid w:val="1ACD23DC"/>
    <w:rsid w:val="1ACD4BD0"/>
    <w:rsid w:val="1ACE777F"/>
    <w:rsid w:val="1AD1211A"/>
    <w:rsid w:val="1AD159CA"/>
    <w:rsid w:val="1AD65DD7"/>
    <w:rsid w:val="1ADA3E5B"/>
    <w:rsid w:val="1ADC45F4"/>
    <w:rsid w:val="1ADC79B1"/>
    <w:rsid w:val="1ADD6776"/>
    <w:rsid w:val="1ADE6A03"/>
    <w:rsid w:val="1AE201C4"/>
    <w:rsid w:val="1AE94F35"/>
    <w:rsid w:val="1AE97182"/>
    <w:rsid w:val="1AEB22E1"/>
    <w:rsid w:val="1AED0582"/>
    <w:rsid w:val="1AF70FE1"/>
    <w:rsid w:val="1B01726B"/>
    <w:rsid w:val="1B027629"/>
    <w:rsid w:val="1B042926"/>
    <w:rsid w:val="1B0429E5"/>
    <w:rsid w:val="1B046F80"/>
    <w:rsid w:val="1B097065"/>
    <w:rsid w:val="1B0A6E57"/>
    <w:rsid w:val="1B0A7FE6"/>
    <w:rsid w:val="1B1C2975"/>
    <w:rsid w:val="1B232F00"/>
    <w:rsid w:val="1B255530"/>
    <w:rsid w:val="1B256C48"/>
    <w:rsid w:val="1B256E15"/>
    <w:rsid w:val="1B2B7942"/>
    <w:rsid w:val="1B2C7256"/>
    <w:rsid w:val="1B3267B5"/>
    <w:rsid w:val="1B3E3F29"/>
    <w:rsid w:val="1B40161D"/>
    <w:rsid w:val="1B425EF0"/>
    <w:rsid w:val="1B430FE8"/>
    <w:rsid w:val="1B441859"/>
    <w:rsid w:val="1B45469B"/>
    <w:rsid w:val="1B4B3D8E"/>
    <w:rsid w:val="1B4E4C5F"/>
    <w:rsid w:val="1B504F4F"/>
    <w:rsid w:val="1B5169DB"/>
    <w:rsid w:val="1B551082"/>
    <w:rsid w:val="1B572B30"/>
    <w:rsid w:val="1B5747E9"/>
    <w:rsid w:val="1B596F2A"/>
    <w:rsid w:val="1B5C02B2"/>
    <w:rsid w:val="1B5D1C29"/>
    <w:rsid w:val="1B5F60A6"/>
    <w:rsid w:val="1B6559CF"/>
    <w:rsid w:val="1B6606B1"/>
    <w:rsid w:val="1B6B32EE"/>
    <w:rsid w:val="1B745425"/>
    <w:rsid w:val="1B792F5F"/>
    <w:rsid w:val="1B7A55D7"/>
    <w:rsid w:val="1B7E1215"/>
    <w:rsid w:val="1B8013D7"/>
    <w:rsid w:val="1B8B2D87"/>
    <w:rsid w:val="1B94791E"/>
    <w:rsid w:val="1B9B2929"/>
    <w:rsid w:val="1BA23442"/>
    <w:rsid w:val="1BAA6AC1"/>
    <w:rsid w:val="1BB46A91"/>
    <w:rsid w:val="1BB63FEE"/>
    <w:rsid w:val="1BB75325"/>
    <w:rsid w:val="1BBA4193"/>
    <w:rsid w:val="1BBD1563"/>
    <w:rsid w:val="1BBF740C"/>
    <w:rsid w:val="1BC00E55"/>
    <w:rsid w:val="1BC019EA"/>
    <w:rsid w:val="1BCA6111"/>
    <w:rsid w:val="1BCB2889"/>
    <w:rsid w:val="1BCE18DB"/>
    <w:rsid w:val="1BD04283"/>
    <w:rsid w:val="1BD152BC"/>
    <w:rsid w:val="1BD56F7A"/>
    <w:rsid w:val="1BDB7E87"/>
    <w:rsid w:val="1BDE40F1"/>
    <w:rsid w:val="1BDE6641"/>
    <w:rsid w:val="1BE05C51"/>
    <w:rsid w:val="1BE22381"/>
    <w:rsid w:val="1BE6434F"/>
    <w:rsid w:val="1BE9605A"/>
    <w:rsid w:val="1BE969EA"/>
    <w:rsid w:val="1BEB6EB8"/>
    <w:rsid w:val="1BED48E7"/>
    <w:rsid w:val="1BF02735"/>
    <w:rsid w:val="1BF56AA1"/>
    <w:rsid w:val="1BFA6215"/>
    <w:rsid w:val="1C010F21"/>
    <w:rsid w:val="1C023917"/>
    <w:rsid w:val="1C0814C4"/>
    <w:rsid w:val="1C1226D1"/>
    <w:rsid w:val="1C164410"/>
    <w:rsid w:val="1C164DDD"/>
    <w:rsid w:val="1C1A1470"/>
    <w:rsid w:val="1C1E242D"/>
    <w:rsid w:val="1C1F3597"/>
    <w:rsid w:val="1C204EEA"/>
    <w:rsid w:val="1C23163B"/>
    <w:rsid w:val="1C257041"/>
    <w:rsid w:val="1C2734C6"/>
    <w:rsid w:val="1C2E2864"/>
    <w:rsid w:val="1C320F66"/>
    <w:rsid w:val="1C3D136C"/>
    <w:rsid w:val="1C40530D"/>
    <w:rsid w:val="1C4931FC"/>
    <w:rsid w:val="1C4A0579"/>
    <w:rsid w:val="1C5E7925"/>
    <w:rsid w:val="1C5F2C1F"/>
    <w:rsid w:val="1C5F574F"/>
    <w:rsid w:val="1C600AEA"/>
    <w:rsid w:val="1C613AB6"/>
    <w:rsid w:val="1C617555"/>
    <w:rsid w:val="1C6410EC"/>
    <w:rsid w:val="1C6C3935"/>
    <w:rsid w:val="1C6D0B4E"/>
    <w:rsid w:val="1C6D351E"/>
    <w:rsid w:val="1C6E4A8A"/>
    <w:rsid w:val="1C7A03A9"/>
    <w:rsid w:val="1C8013F7"/>
    <w:rsid w:val="1C857876"/>
    <w:rsid w:val="1C884C21"/>
    <w:rsid w:val="1C89765E"/>
    <w:rsid w:val="1C8D65FE"/>
    <w:rsid w:val="1C917E75"/>
    <w:rsid w:val="1C9301D4"/>
    <w:rsid w:val="1C981139"/>
    <w:rsid w:val="1C9A2FD9"/>
    <w:rsid w:val="1CA11AFF"/>
    <w:rsid w:val="1CA42924"/>
    <w:rsid w:val="1CA568FD"/>
    <w:rsid w:val="1CA82560"/>
    <w:rsid w:val="1CA87EF3"/>
    <w:rsid w:val="1CAA4B4F"/>
    <w:rsid w:val="1CAD7A44"/>
    <w:rsid w:val="1CB34AD2"/>
    <w:rsid w:val="1CB5424E"/>
    <w:rsid w:val="1CB966F0"/>
    <w:rsid w:val="1CC24A84"/>
    <w:rsid w:val="1CC8558C"/>
    <w:rsid w:val="1CCF387C"/>
    <w:rsid w:val="1CD3764B"/>
    <w:rsid w:val="1CD92CF9"/>
    <w:rsid w:val="1CDB7BEF"/>
    <w:rsid w:val="1CDE0D7F"/>
    <w:rsid w:val="1CE61163"/>
    <w:rsid w:val="1CEB0C9C"/>
    <w:rsid w:val="1CEE52E1"/>
    <w:rsid w:val="1CEF0673"/>
    <w:rsid w:val="1CF24629"/>
    <w:rsid w:val="1CF246C5"/>
    <w:rsid w:val="1CFB2C00"/>
    <w:rsid w:val="1CFC504D"/>
    <w:rsid w:val="1CFD070F"/>
    <w:rsid w:val="1D131DF1"/>
    <w:rsid w:val="1D141D1D"/>
    <w:rsid w:val="1D156AD7"/>
    <w:rsid w:val="1D182D07"/>
    <w:rsid w:val="1D1B3433"/>
    <w:rsid w:val="1D216FD1"/>
    <w:rsid w:val="1D265B2B"/>
    <w:rsid w:val="1D2B6CB6"/>
    <w:rsid w:val="1D352AE5"/>
    <w:rsid w:val="1D387FA9"/>
    <w:rsid w:val="1D3E6C50"/>
    <w:rsid w:val="1D3F0BA2"/>
    <w:rsid w:val="1D473F4C"/>
    <w:rsid w:val="1D4F7B02"/>
    <w:rsid w:val="1D502937"/>
    <w:rsid w:val="1D5431BD"/>
    <w:rsid w:val="1D5F0ED8"/>
    <w:rsid w:val="1D5F6196"/>
    <w:rsid w:val="1D6132A5"/>
    <w:rsid w:val="1D6E5CDF"/>
    <w:rsid w:val="1D7275E9"/>
    <w:rsid w:val="1D7803DF"/>
    <w:rsid w:val="1D7C1265"/>
    <w:rsid w:val="1D894350"/>
    <w:rsid w:val="1D8A05E6"/>
    <w:rsid w:val="1D8B0217"/>
    <w:rsid w:val="1D8E56D5"/>
    <w:rsid w:val="1D94386F"/>
    <w:rsid w:val="1D970257"/>
    <w:rsid w:val="1D9D09AD"/>
    <w:rsid w:val="1DA05107"/>
    <w:rsid w:val="1DA413F6"/>
    <w:rsid w:val="1DA52998"/>
    <w:rsid w:val="1DAB6184"/>
    <w:rsid w:val="1DB35010"/>
    <w:rsid w:val="1DB676CE"/>
    <w:rsid w:val="1DB94029"/>
    <w:rsid w:val="1DBA6FFA"/>
    <w:rsid w:val="1DBA7EF6"/>
    <w:rsid w:val="1DBB2C82"/>
    <w:rsid w:val="1DC432FB"/>
    <w:rsid w:val="1DC6492C"/>
    <w:rsid w:val="1DCC68DA"/>
    <w:rsid w:val="1DCF7B99"/>
    <w:rsid w:val="1DD20000"/>
    <w:rsid w:val="1DDA0D77"/>
    <w:rsid w:val="1DDB3E4F"/>
    <w:rsid w:val="1DDC544A"/>
    <w:rsid w:val="1DDE1B70"/>
    <w:rsid w:val="1DE15329"/>
    <w:rsid w:val="1DE2323F"/>
    <w:rsid w:val="1DE47BD8"/>
    <w:rsid w:val="1DE50A8B"/>
    <w:rsid w:val="1DE80ABB"/>
    <w:rsid w:val="1DE8481B"/>
    <w:rsid w:val="1DE948B3"/>
    <w:rsid w:val="1DEF6AE2"/>
    <w:rsid w:val="1DF85A0F"/>
    <w:rsid w:val="1E084D6D"/>
    <w:rsid w:val="1E0B0C4E"/>
    <w:rsid w:val="1E0E7AA0"/>
    <w:rsid w:val="1E152ED4"/>
    <w:rsid w:val="1E170A3F"/>
    <w:rsid w:val="1E181694"/>
    <w:rsid w:val="1E1F28C7"/>
    <w:rsid w:val="1E232809"/>
    <w:rsid w:val="1E2461E3"/>
    <w:rsid w:val="1E2628A9"/>
    <w:rsid w:val="1E29193A"/>
    <w:rsid w:val="1E2C2A09"/>
    <w:rsid w:val="1E2D3C63"/>
    <w:rsid w:val="1E2E4053"/>
    <w:rsid w:val="1E370188"/>
    <w:rsid w:val="1E3802BA"/>
    <w:rsid w:val="1E38192E"/>
    <w:rsid w:val="1E3B2797"/>
    <w:rsid w:val="1E3D10BF"/>
    <w:rsid w:val="1E3E238B"/>
    <w:rsid w:val="1E4040AF"/>
    <w:rsid w:val="1E4746F1"/>
    <w:rsid w:val="1E570778"/>
    <w:rsid w:val="1E58391F"/>
    <w:rsid w:val="1E5B2D98"/>
    <w:rsid w:val="1E5E6A8A"/>
    <w:rsid w:val="1E5F7626"/>
    <w:rsid w:val="1E6412FA"/>
    <w:rsid w:val="1E641D8C"/>
    <w:rsid w:val="1E642213"/>
    <w:rsid w:val="1E68481A"/>
    <w:rsid w:val="1E696434"/>
    <w:rsid w:val="1E7054C6"/>
    <w:rsid w:val="1E7A0588"/>
    <w:rsid w:val="1E7A1F04"/>
    <w:rsid w:val="1E7A43DA"/>
    <w:rsid w:val="1E7D40AA"/>
    <w:rsid w:val="1E7E5A78"/>
    <w:rsid w:val="1E7F50E6"/>
    <w:rsid w:val="1E842E1A"/>
    <w:rsid w:val="1E867B53"/>
    <w:rsid w:val="1E8752F3"/>
    <w:rsid w:val="1E8D38B7"/>
    <w:rsid w:val="1E9644C4"/>
    <w:rsid w:val="1EA00899"/>
    <w:rsid w:val="1EA04B81"/>
    <w:rsid w:val="1EAD1C72"/>
    <w:rsid w:val="1EB15712"/>
    <w:rsid w:val="1EB94195"/>
    <w:rsid w:val="1EBF20F5"/>
    <w:rsid w:val="1EBF359C"/>
    <w:rsid w:val="1EC30A81"/>
    <w:rsid w:val="1EC6077C"/>
    <w:rsid w:val="1ECE64F3"/>
    <w:rsid w:val="1EE047BA"/>
    <w:rsid w:val="1EE95CBE"/>
    <w:rsid w:val="1EED7BBD"/>
    <w:rsid w:val="1EF642FB"/>
    <w:rsid w:val="1EF7583C"/>
    <w:rsid w:val="1F12015D"/>
    <w:rsid w:val="1F163487"/>
    <w:rsid w:val="1F1961DE"/>
    <w:rsid w:val="1F2023AB"/>
    <w:rsid w:val="1F2136F4"/>
    <w:rsid w:val="1F287F24"/>
    <w:rsid w:val="1F307CEC"/>
    <w:rsid w:val="1F3972B2"/>
    <w:rsid w:val="1F3B5FC0"/>
    <w:rsid w:val="1F3E42CD"/>
    <w:rsid w:val="1F442AF8"/>
    <w:rsid w:val="1F443B4E"/>
    <w:rsid w:val="1F455D86"/>
    <w:rsid w:val="1F4F0626"/>
    <w:rsid w:val="1F5469EB"/>
    <w:rsid w:val="1F5B76DF"/>
    <w:rsid w:val="1F5E30F3"/>
    <w:rsid w:val="1F610A1A"/>
    <w:rsid w:val="1F614E8B"/>
    <w:rsid w:val="1F62253E"/>
    <w:rsid w:val="1F631C8C"/>
    <w:rsid w:val="1F642864"/>
    <w:rsid w:val="1F65307D"/>
    <w:rsid w:val="1F6D0522"/>
    <w:rsid w:val="1F6F56E5"/>
    <w:rsid w:val="1F74409A"/>
    <w:rsid w:val="1F7E6A05"/>
    <w:rsid w:val="1F7F35A9"/>
    <w:rsid w:val="1F8048BA"/>
    <w:rsid w:val="1F833BCE"/>
    <w:rsid w:val="1F936EA7"/>
    <w:rsid w:val="1F9469A7"/>
    <w:rsid w:val="1F9A7E54"/>
    <w:rsid w:val="1F9C1CF3"/>
    <w:rsid w:val="1FA45005"/>
    <w:rsid w:val="1FA670C3"/>
    <w:rsid w:val="1FA67BC3"/>
    <w:rsid w:val="1FAF7CB5"/>
    <w:rsid w:val="1FB15432"/>
    <w:rsid w:val="1FBC323C"/>
    <w:rsid w:val="1FBD424A"/>
    <w:rsid w:val="1FBD6265"/>
    <w:rsid w:val="1FBE325E"/>
    <w:rsid w:val="1FC510F5"/>
    <w:rsid w:val="1FC92709"/>
    <w:rsid w:val="1FCB5296"/>
    <w:rsid w:val="1FD237E5"/>
    <w:rsid w:val="1FD336E5"/>
    <w:rsid w:val="1FD6419E"/>
    <w:rsid w:val="1FDF3EEF"/>
    <w:rsid w:val="1FE52773"/>
    <w:rsid w:val="1FE7539E"/>
    <w:rsid w:val="1FE8573A"/>
    <w:rsid w:val="1FEF2EB1"/>
    <w:rsid w:val="1FF41A39"/>
    <w:rsid w:val="1FF43395"/>
    <w:rsid w:val="1FF70004"/>
    <w:rsid w:val="1FF71EC7"/>
    <w:rsid w:val="1FF85EDF"/>
    <w:rsid w:val="1FFE1F85"/>
    <w:rsid w:val="1FFE7013"/>
    <w:rsid w:val="2001166B"/>
    <w:rsid w:val="2004661B"/>
    <w:rsid w:val="20053DA5"/>
    <w:rsid w:val="2006363B"/>
    <w:rsid w:val="20077310"/>
    <w:rsid w:val="2009465B"/>
    <w:rsid w:val="200B759D"/>
    <w:rsid w:val="200C66E5"/>
    <w:rsid w:val="200D4BB4"/>
    <w:rsid w:val="200D6DE0"/>
    <w:rsid w:val="200D7AD6"/>
    <w:rsid w:val="20112775"/>
    <w:rsid w:val="20116D26"/>
    <w:rsid w:val="201172AF"/>
    <w:rsid w:val="20143CC2"/>
    <w:rsid w:val="201564B1"/>
    <w:rsid w:val="2017112F"/>
    <w:rsid w:val="20172F7C"/>
    <w:rsid w:val="2019444C"/>
    <w:rsid w:val="201E60E2"/>
    <w:rsid w:val="202A0673"/>
    <w:rsid w:val="202A32F7"/>
    <w:rsid w:val="202B3D47"/>
    <w:rsid w:val="203229BB"/>
    <w:rsid w:val="20327CA6"/>
    <w:rsid w:val="2037491D"/>
    <w:rsid w:val="20383F61"/>
    <w:rsid w:val="2039169A"/>
    <w:rsid w:val="203B738B"/>
    <w:rsid w:val="203C456C"/>
    <w:rsid w:val="20422849"/>
    <w:rsid w:val="20425CF6"/>
    <w:rsid w:val="20442FC1"/>
    <w:rsid w:val="204642A7"/>
    <w:rsid w:val="204B3C80"/>
    <w:rsid w:val="204D3410"/>
    <w:rsid w:val="204E18D9"/>
    <w:rsid w:val="204E3905"/>
    <w:rsid w:val="20560962"/>
    <w:rsid w:val="205A44F9"/>
    <w:rsid w:val="20631C38"/>
    <w:rsid w:val="20671BE0"/>
    <w:rsid w:val="206A14AC"/>
    <w:rsid w:val="206C55A1"/>
    <w:rsid w:val="20746EEB"/>
    <w:rsid w:val="2078769F"/>
    <w:rsid w:val="207F4033"/>
    <w:rsid w:val="20853683"/>
    <w:rsid w:val="20895E5D"/>
    <w:rsid w:val="20921048"/>
    <w:rsid w:val="20950625"/>
    <w:rsid w:val="20960C99"/>
    <w:rsid w:val="20963CB8"/>
    <w:rsid w:val="20980061"/>
    <w:rsid w:val="209B209A"/>
    <w:rsid w:val="20A15693"/>
    <w:rsid w:val="20A648FB"/>
    <w:rsid w:val="20A81A1B"/>
    <w:rsid w:val="20AC7184"/>
    <w:rsid w:val="20AE7D33"/>
    <w:rsid w:val="20AF6651"/>
    <w:rsid w:val="20B07FB6"/>
    <w:rsid w:val="20B32D85"/>
    <w:rsid w:val="20B45DC7"/>
    <w:rsid w:val="20B646FB"/>
    <w:rsid w:val="20BA4B4C"/>
    <w:rsid w:val="20C07CDF"/>
    <w:rsid w:val="20CA0015"/>
    <w:rsid w:val="20D07B03"/>
    <w:rsid w:val="20D404DB"/>
    <w:rsid w:val="20DA06EC"/>
    <w:rsid w:val="20DB20E1"/>
    <w:rsid w:val="20E90043"/>
    <w:rsid w:val="20F56A41"/>
    <w:rsid w:val="20F57DE7"/>
    <w:rsid w:val="210003B7"/>
    <w:rsid w:val="21015E20"/>
    <w:rsid w:val="2103630E"/>
    <w:rsid w:val="21036861"/>
    <w:rsid w:val="2104086F"/>
    <w:rsid w:val="21047DF6"/>
    <w:rsid w:val="21060AEE"/>
    <w:rsid w:val="21062653"/>
    <w:rsid w:val="21082AE9"/>
    <w:rsid w:val="210A0439"/>
    <w:rsid w:val="210B673D"/>
    <w:rsid w:val="210C30C7"/>
    <w:rsid w:val="210E6862"/>
    <w:rsid w:val="21104247"/>
    <w:rsid w:val="21124FCF"/>
    <w:rsid w:val="21143CC5"/>
    <w:rsid w:val="211A6DE7"/>
    <w:rsid w:val="211C323F"/>
    <w:rsid w:val="211E2384"/>
    <w:rsid w:val="211E3C56"/>
    <w:rsid w:val="21246D48"/>
    <w:rsid w:val="212B715F"/>
    <w:rsid w:val="21327376"/>
    <w:rsid w:val="213412EA"/>
    <w:rsid w:val="21351EB7"/>
    <w:rsid w:val="21380308"/>
    <w:rsid w:val="213B74B1"/>
    <w:rsid w:val="21516B31"/>
    <w:rsid w:val="215423F2"/>
    <w:rsid w:val="215477CE"/>
    <w:rsid w:val="2156041D"/>
    <w:rsid w:val="215966D5"/>
    <w:rsid w:val="215A2310"/>
    <w:rsid w:val="215C0494"/>
    <w:rsid w:val="2161549E"/>
    <w:rsid w:val="2162259C"/>
    <w:rsid w:val="2164271A"/>
    <w:rsid w:val="216549C6"/>
    <w:rsid w:val="21692D32"/>
    <w:rsid w:val="21697ECE"/>
    <w:rsid w:val="216C7AB7"/>
    <w:rsid w:val="216F3808"/>
    <w:rsid w:val="21722C90"/>
    <w:rsid w:val="21744604"/>
    <w:rsid w:val="217D2716"/>
    <w:rsid w:val="2182572E"/>
    <w:rsid w:val="218324CE"/>
    <w:rsid w:val="21855597"/>
    <w:rsid w:val="2185742B"/>
    <w:rsid w:val="218627E4"/>
    <w:rsid w:val="218C4CCF"/>
    <w:rsid w:val="21906592"/>
    <w:rsid w:val="21955DC5"/>
    <w:rsid w:val="219640B2"/>
    <w:rsid w:val="219E2A58"/>
    <w:rsid w:val="21B35D56"/>
    <w:rsid w:val="21B6651B"/>
    <w:rsid w:val="21B74056"/>
    <w:rsid w:val="21C00DFF"/>
    <w:rsid w:val="21C07FFF"/>
    <w:rsid w:val="21C716FF"/>
    <w:rsid w:val="21C807EF"/>
    <w:rsid w:val="21C97896"/>
    <w:rsid w:val="21D10CF4"/>
    <w:rsid w:val="21D45405"/>
    <w:rsid w:val="21D74D60"/>
    <w:rsid w:val="21D919FD"/>
    <w:rsid w:val="21DE1E5E"/>
    <w:rsid w:val="21DE318A"/>
    <w:rsid w:val="21DE6E8E"/>
    <w:rsid w:val="21E8762B"/>
    <w:rsid w:val="21EE0A08"/>
    <w:rsid w:val="21EF22BC"/>
    <w:rsid w:val="21EF5B80"/>
    <w:rsid w:val="21EF5C9C"/>
    <w:rsid w:val="21F04504"/>
    <w:rsid w:val="21F668D8"/>
    <w:rsid w:val="21FF0B54"/>
    <w:rsid w:val="2205099E"/>
    <w:rsid w:val="220924D6"/>
    <w:rsid w:val="22093C26"/>
    <w:rsid w:val="221F6FDA"/>
    <w:rsid w:val="22231A35"/>
    <w:rsid w:val="22233E7B"/>
    <w:rsid w:val="222678B6"/>
    <w:rsid w:val="222D2D9E"/>
    <w:rsid w:val="222F15E4"/>
    <w:rsid w:val="22367AC2"/>
    <w:rsid w:val="223F702B"/>
    <w:rsid w:val="22424C1A"/>
    <w:rsid w:val="22434C0E"/>
    <w:rsid w:val="2247057C"/>
    <w:rsid w:val="224C7840"/>
    <w:rsid w:val="22576990"/>
    <w:rsid w:val="225A0402"/>
    <w:rsid w:val="225C46D4"/>
    <w:rsid w:val="22611847"/>
    <w:rsid w:val="2265222E"/>
    <w:rsid w:val="226B72D8"/>
    <w:rsid w:val="22762376"/>
    <w:rsid w:val="22777066"/>
    <w:rsid w:val="22780C58"/>
    <w:rsid w:val="227934AC"/>
    <w:rsid w:val="22810BD7"/>
    <w:rsid w:val="228A1A89"/>
    <w:rsid w:val="228E40A5"/>
    <w:rsid w:val="2292135A"/>
    <w:rsid w:val="229528F1"/>
    <w:rsid w:val="22986B2E"/>
    <w:rsid w:val="229B23B2"/>
    <w:rsid w:val="229E5DF6"/>
    <w:rsid w:val="22A13D8C"/>
    <w:rsid w:val="22A1666A"/>
    <w:rsid w:val="22A34241"/>
    <w:rsid w:val="22A45C44"/>
    <w:rsid w:val="22AF1F2B"/>
    <w:rsid w:val="22B10331"/>
    <w:rsid w:val="22B735B3"/>
    <w:rsid w:val="22B90ADA"/>
    <w:rsid w:val="22BB08A5"/>
    <w:rsid w:val="22BE1365"/>
    <w:rsid w:val="22BE24B2"/>
    <w:rsid w:val="22BE5E91"/>
    <w:rsid w:val="22BF08EA"/>
    <w:rsid w:val="22C003D2"/>
    <w:rsid w:val="22C20B11"/>
    <w:rsid w:val="22C6184D"/>
    <w:rsid w:val="22C7766C"/>
    <w:rsid w:val="22CD6D72"/>
    <w:rsid w:val="22CE12B0"/>
    <w:rsid w:val="22CF05BE"/>
    <w:rsid w:val="22D04600"/>
    <w:rsid w:val="22D23486"/>
    <w:rsid w:val="22D42EB5"/>
    <w:rsid w:val="22D7685F"/>
    <w:rsid w:val="22D91778"/>
    <w:rsid w:val="22E604C6"/>
    <w:rsid w:val="22EC1774"/>
    <w:rsid w:val="22F06E95"/>
    <w:rsid w:val="22F47480"/>
    <w:rsid w:val="22FA1A16"/>
    <w:rsid w:val="22FB416A"/>
    <w:rsid w:val="22FC64D6"/>
    <w:rsid w:val="23010CE6"/>
    <w:rsid w:val="23047F78"/>
    <w:rsid w:val="230A0CFE"/>
    <w:rsid w:val="230B470F"/>
    <w:rsid w:val="230D20A7"/>
    <w:rsid w:val="23133E60"/>
    <w:rsid w:val="231456C4"/>
    <w:rsid w:val="231B7CA9"/>
    <w:rsid w:val="232135B9"/>
    <w:rsid w:val="232170B4"/>
    <w:rsid w:val="23256232"/>
    <w:rsid w:val="23285999"/>
    <w:rsid w:val="232B103F"/>
    <w:rsid w:val="23313336"/>
    <w:rsid w:val="233342A1"/>
    <w:rsid w:val="23377209"/>
    <w:rsid w:val="233C4C01"/>
    <w:rsid w:val="233E1673"/>
    <w:rsid w:val="23405A55"/>
    <w:rsid w:val="23446CF7"/>
    <w:rsid w:val="234F3451"/>
    <w:rsid w:val="23501E18"/>
    <w:rsid w:val="235414E5"/>
    <w:rsid w:val="23597DC7"/>
    <w:rsid w:val="23633811"/>
    <w:rsid w:val="23664A29"/>
    <w:rsid w:val="23726929"/>
    <w:rsid w:val="237620FE"/>
    <w:rsid w:val="237976BE"/>
    <w:rsid w:val="237A7CEB"/>
    <w:rsid w:val="237F71F8"/>
    <w:rsid w:val="2387294F"/>
    <w:rsid w:val="23965B6E"/>
    <w:rsid w:val="23A014F8"/>
    <w:rsid w:val="23A462EB"/>
    <w:rsid w:val="23A91C03"/>
    <w:rsid w:val="23B07E46"/>
    <w:rsid w:val="23B51410"/>
    <w:rsid w:val="23BA7C36"/>
    <w:rsid w:val="23BE7C81"/>
    <w:rsid w:val="23C723EE"/>
    <w:rsid w:val="23C768AD"/>
    <w:rsid w:val="23CC2038"/>
    <w:rsid w:val="23CD095E"/>
    <w:rsid w:val="23D10D5D"/>
    <w:rsid w:val="23DE1C48"/>
    <w:rsid w:val="23DE5E37"/>
    <w:rsid w:val="23E75885"/>
    <w:rsid w:val="23F40C62"/>
    <w:rsid w:val="23F416F1"/>
    <w:rsid w:val="23F82BBB"/>
    <w:rsid w:val="23F91A8F"/>
    <w:rsid w:val="23FF69CE"/>
    <w:rsid w:val="2401022D"/>
    <w:rsid w:val="2401757E"/>
    <w:rsid w:val="240210CD"/>
    <w:rsid w:val="24071A2F"/>
    <w:rsid w:val="24117C4F"/>
    <w:rsid w:val="24141706"/>
    <w:rsid w:val="2418277F"/>
    <w:rsid w:val="24193064"/>
    <w:rsid w:val="241F04CD"/>
    <w:rsid w:val="24207080"/>
    <w:rsid w:val="24283894"/>
    <w:rsid w:val="243107FF"/>
    <w:rsid w:val="243171B2"/>
    <w:rsid w:val="24345772"/>
    <w:rsid w:val="2438574A"/>
    <w:rsid w:val="24410CCD"/>
    <w:rsid w:val="24411F9B"/>
    <w:rsid w:val="24416199"/>
    <w:rsid w:val="24424383"/>
    <w:rsid w:val="24511451"/>
    <w:rsid w:val="24517AD4"/>
    <w:rsid w:val="24591665"/>
    <w:rsid w:val="2459473E"/>
    <w:rsid w:val="246444E8"/>
    <w:rsid w:val="246543F0"/>
    <w:rsid w:val="24731C39"/>
    <w:rsid w:val="247D17BA"/>
    <w:rsid w:val="24803AA9"/>
    <w:rsid w:val="248738D5"/>
    <w:rsid w:val="24875392"/>
    <w:rsid w:val="2488716F"/>
    <w:rsid w:val="248D0D01"/>
    <w:rsid w:val="24931468"/>
    <w:rsid w:val="24944A6C"/>
    <w:rsid w:val="249642C6"/>
    <w:rsid w:val="2497749C"/>
    <w:rsid w:val="249854E8"/>
    <w:rsid w:val="249A4467"/>
    <w:rsid w:val="249A6EDF"/>
    <w:rsid w:val="249B551E"/>
    <w:rsid w:val="249D43E5"/>
    <w:rsid w:val="249F6180"/>
    <w:rsid w:val="24AF1E2B"/>
    <w:rsid w:val="24B226E0"/>
    <w:rsid w:val="24B77133"/>
    <w:rsid w:val="24BC2A56"/>
    <w:rsid w:val="24BF09F7"/>
    <w:rsid w:val="24C728A0"/>
    <w:rsid w:val="24C8172C"/>
    <w:rsid w:val="24CD7144"/>
    <w:rsid w:val="24D07AF4"/>
    <w:rsid w:val="24D741ED"/>
    <w:rsid w:val="24E06F55"/>
    <w:rsid w:val="24E44ECC"/>
    <w:rsid w:val="24E800B1"/>
    <w:rsid w:val="24F316A3"/>
    <w:rsid w:val="24F56020"/>
    <w:rsid w:val="24F64812"/>
    <w:rsid w:val="24F93A0A"/>
    <w:rsid w:val="24FC19E3"/>
    <w:rsid w:val="24FE0951"/>
    <w:rsid w:val="25023413"/>
    <w:rsid w:val="25035534"/>
    <w:rsid w:val="250454BA"/>
    <w:rsid w:val="25093D06"/>
    <w:rsid w:val="250E4BFB"/>
    <w:rsid w:val="251142D8"/>
    <w:rsid w:val="251630A7"/>
    <w:rsid w:val="25170846"/>
    <w:rsid w:val="251B3C5E"/>
    <w:rsid w:val="251C58C7"/>
    <w:rsid w:val="251D7B69"/>
    <w:rsid w:val="2521213C"/>
    <w:rsid w:val="25227EBD"/>
    <w:rsid w:val="252D4B67"/>
    <w:rsid w:val="252D53FE"/>
    <w:rsid w:val="25311754"/>
    <w:rsid w:val="2532164E"/>
    <w:rsid w:val="25324A04"/>
    <w:rsid w:val="25384752"/>
    <w:rsid w:val="254059A8"/>
    <w:rsid w:val="25476FF5"/>
    <w:rsid w:val="254C7228"/>
    <w:rsid w:val="25602565"/>
    <w:rsid w:val="25652305"/>
    <w:rsid w:val="2567571F"/>
    <w:rsid w:val="25693F85"/>
    <w:rsid w:val="256A1904"/>
    <w:rsid w:val="256D4145"/>
    <w:rsid w:val="257140FA"/>
    <w:rsid w:val="25730F09"/>
    <w:rsid w:val="25732DE7"/>
    <w:rsid w:val="25741A37"/>
    <w:rsid w:val="25775B5D"/>
    <w:rsid w:val="25780AF3"/>
    <w:rsid w:val="2578626C"/>
    <w:rsid w:val="25806BEC"/>
    <w:rsid w:val="25813B75"/>
    <w:rsid w:val="25837497"/>
    <w:rsid w:val="258B5CEA"/>
    <w:rsid w:val="258B7955"/>
    <w:rsid w:val="25952F2E"/>
    <w:rsid w:val="25985C28"/>
    <w:rsid w:val="259C6C0B"/>
    <w:rsid w:val="259F300D"/>
    <w:rsid w:val="25A043F7"/>
    <w:rsid w:val="25A079C5"/>
    <w:rsid w:val="25A2336D"/>
    <w:rsid w:val="25A629CD"/>
    <w:rsid w:val="25AB2C6A"/>
    <w:rsid w:val="25B4046C"/>
    <w:rsid w:val="25B43F0D"/>
    <w:rsid w:val="25B63E4B"/>
    <w:rsid w:val="25B706EC"/>
    <w:rsid w:val="25B93BB9"/>
    <w:rsid w:val="25BC2C26"/>
    <w:rsid w:val="25C5416C"/>
    <w:rsid w:val="25CA73C0"/>
    <w:rsid w:val="25CC48B6"/>
    <w:rsid w:val="25CE1439"/>
    <w:rsid w:val="25CE7787"/>
    <w:rsid w:val="25D42CAC"/>
    <w:rsid w:val="25D50DB0"/>
    <w:rsid w:val="25D90A69"/>
    <w:rsid w:val="25DA249A"/>
    <w:rsid w:val="25E45F3B"/>
    <w:rsid w:val="25EB05D4"/>
    <w:rsid w:val="25EB3606"/>
    <w:rsid w:val="25EC2D81"/>
    <w:rsid w:val="25EE2742"/>
    <w:rsid w:val="25EF704F"/>
    <w:rsid w:val="25F06CDE"/>
    <w:rsid w:val="25F65EEC"/>
    <w:rsid w:val="25FB7DA3"/>
    <w:rsid w:val="25FC18C9"/>
    <w:rsid w:val="25FD70C2"/>
    <w:rsid w:val="25FE1A6C"/>
    <w:rsid w:val="26031821"/>
    <w:rsid w:val="26035851"/>
    <w:rsid w:val="2606180B"/>
    <w:rsid w:val="2606519D"/>
    <w:rsid w:val="260A0530"/>
    <w:rsid w:val="26122A78"/>
    <w:rsid w:val="26171EC9"/>
    <w:rsid w:val="26214F54"/>
    <w:rsid w:val="26261501"/>
    <w:rsid w:val="26274763"/>
    <w:rsid w:val="262A5644"/>
    <w:rsid w:val="262E10D7"/>
    <w:rsid w:val="262F5B09"/>
    <w:rsid w:val="263073E8"/>
    <w:rsid w:val="26334F9D"/>
    <w:rsid w:val="263609A6"/>
    <w:rsid w:val="26361151"/>
    <w:rsid w:val="26364463"/>
    <w:rsid w:val="263C6639"/>
    <w:rsid w:val="26462677"/>
    <w:rsid w:val="26463E7B"/>
    <w:rsid w:val="26467D11"/>
    <w:rsid w:val="264B38C1"/>
    <w:rsid w:val="264E5EE5"/>
    <w:rsid w:val="26534A5D"/>
    <w:rsid w:val="26553A87"/>
    <w:rsid w:val="26587A62"/>
    <w:rsid w:val="265F3FA7"/>
    <w:rsid w:val="266162D7"/>
    <w:rsid w:val="26626D54"/>
    <w:rsid w:val="26652110"/>
    <w:rsid w:val="26662BAE"/>
    <w:rsid w:val="266A50F3"/>
    <w:rsid w:val="266C5629"/>
    <w:rsid w:val="26712844"/>
    <w:rsid w:val="2673749C"/>
    <w:rsid w:val="2679626D"/>
    <w:rsid w:val="267A4981"/>
    <w:rsid w:val="268140C0"/>
    <w:rsid w:val="26816839"/>
    <w:rsid w:val="268243CC"/>
    <w:rsid w:val="26882FA8"/>
    <w:rsid w:val="26893ABE"/>
    <w:rsid w:val="268B1F1E"/>
    <w:rsid w:val="268D09CE"/>
    <w:rsid w:val="268D4624"/>
    <w:rsid w:val="268F5E30"/>
    <w:rsid w:val="26911C37"/>
    <w:rsid w:val="269A3155"/>
    <w:rsid w:val="26A07CE6"/>
    <w:rsid w:val="26AE0847"/>
    <w:rsid w:val="26AE0C68"/>
    <w:rsid w:val="26BA04F5"/>
    <w:rsid w:val="26BA6672"/>
    <w:rsid w:val="26BD159B"/>
    <w:rsid w:val="26BD7F43"/>
    <w:rsid w:val="26BF3CA9"/>
    <w:rsid w:val="26C306D2"/>
    <w:rsid w:val="26C73E8C"/>
    <w:rsid w:val="26CA0282"/>
    <w:rsid w:val="26CC0A38"/>
    <w:rsid w:val="26D2460E"/>
    <w:rsid w:val="26D33A89"/>
    <w:rsid w:val="26DA4ECA"/>
    <w:rsid w:val="26DB6357"/>
    <w:rsid w:val="26DB66A4"/>
    <w:rsid w:val="26DE0C64"/>
    <w:rsid w:val="26DF2968"/>
    <w:rsid w:val="26E057A6"/>
    <w:rsid w:val="26EB07FB"/>
    <w:rsid w:val="26EB51F5"/>
    <w:rsid w:val="26EB739F"/>
    <w:rsid w:val="26ED2798"/>
    <w:rsid w:val="26F15D58"/>
    <w:rsid w:val="26FA074C"/>
    <w:rsid w:val="26FB53C3"/>
    <w:rsid w:val="26FC0F19"/>
    <w:rsid w:val="26FC46E7"/>
    <w:rsid w:val="26FE5E61"/>
    <w:rsid w:val="26FF3DE1"/>
    <w:rsid w:val="270044CB"/>
    <w:rsid w:val="270300AA"/>
    <w:rsid w:val="27035691"/>
    <w:rsid w:val="27070606"/>
    <w:rsid w:val="2708000C"/>
    <w:rsid w:val="27162FAA"/>
    <w:rsid w:val="271A5F9D"/>
    <w:rsid w:val="271A656D"/>
    <w:rsid w:val="271C61D5"/>
    <w:rsid w:val="271D4C7E"/>
    <w:rsid w:val="27212318"/>
    <w:rsid w:val="2725541D"/>
    <w:rsid w:val="27292632"/>
    <w:rsid w:val="272A65CE"/>
    <w:rsid w:val="272A6720"/>
    <w:rsid w:val="273141C5"/>
    <w:rsid w:val="273A1E16"/>
    <w:rsid w:val="273B2E24"/>
    <w:rsid w:val="27447601"/>
    <w:rsid w:val="27452A49"/>
    <w:rsid w:val="2746261B"/>
    <w:rsid w:val="27467293"/>
    <w:rsid w:val="27471B6E"/>
    <w:rsid w:val="27573743"/>
    <w:rsid w:val="275A3F6A"/>
    <w:rsid w:val="27617038"/>
    <w:rsid w:val="27633608"/>
    <w:rsid w:val="277057A2"/>
    <w:rsid w:val="27714A82"/>
    <w:rsid w:val="27793AC4"/>
    <w:rsid w:val="277E2DC4"/>
    <w:rsid w:val="277F7F17"/>
    <w:rsid w:val="27835A4D"/>
    <w:rsid w:val="278F066F"/>
    <w:rsid w:val="2796125F"/>
    <w:rsid w:val="279938A3"/>
    <w:rsid w:val="279B27B9"/>
    <w:rsid w:val="27A33DCC"/>
    <w:rsid w:val="27A732FB"/>
    <w:rsid w:val="27AA3010"/>
    <w:rsid w:val="27B86D86"/>
    <w:rsid w:val="27BE592C"/>
    <w:rsid w:val="27CA067E"/>
    <w:rsid w:val="27CC1A5D"/>
    <w:rsid w:val="27CD4DBB"/>
    <w:rsid w:val="27D55305"/>
    <w:rsid w:val="27DE1D26"/>
    <w:rsid w:val="27DF54F6"/>
    <w:rsid w:val="27E07192"/>
    <w:rsid w:val="27E23549"/>
    <w:rsid w:val="27E31E40"/>
    <w:rsid w:val="27E358A4"/>
    <w:rsid w:val="27EE0D94"/>
    <w:rsid w:val="27EF2CC6"/>
    <w:rsid w:val="27EF559E"/>
    <w:rsid w:val="27F96F57"/>
    <w:rsid w:val="280411E2"/>
    <w:rsid w:val="28050807"/>
    <w:rsid w:val="280E15AE"/>
    <w:rsid w:val="28165544"/>
    <w:rsid w:val="281A7677"/>
    <w:rsid w:val="281C7234"/>
    <w:rsid w:val="28280404"/>
    <w:rsid w:val="282E0FC0"/>
    <w:rsid w:val="28353BAA"/>
    <w:rsid w:val="283570CF"/>
    <w:rsid w:val="28380ADE"/>
    <w:rsid w:val="283C7A33"/>
    <w:rsid w:val="283D2BF8"/>
    <w:rsid w:val="283F5A1E"/>
    <w:rsid w:val="28424667"/>
    <w:rsid w:val="28424697"/>
    <w:rsid w:val="28447D64"/>
    <w:rsid w:val="284533D0"/>
    <w:rsid w:val="284A5E50"/>
    <w:rsid w:val="284C7464"/>
    <w:rsid w:val="28505848"/>
    <w:rsid w:val="28510558"/>
    <w:rsid w:val="285243FD"/>
    <w:rsid w:val="28566AC1"/>
    <w:rsid w:val="28591712"/>
    <w:rsid w:val="285A696C"/>
    <w:rsid w:val="285D4E9D"/>
    <w:rsid w:val="286116CE"/>
    <w:rsid w:val="28684EFC"/>
    <w:rsid w:val="286B61C5"/>
    <w:rsid w:val="286E5F95"/>
    <w:rsid w:val="286F23D7"/>
    <w:rsid w:val="28780610"/>
    <w:rsid w:val="28815467"/>
    <w:rsid w:val="288509B5"/>
    <w:rsid w:val="288D5205"/>
    <w:rsid w:val="288F205E"/>
    <w:rsid w:val="28A11922"/>
    <w:rsid w:val="28A91723"/>
    <w:rsid w:val="28B35316"/>
    <w:rsid w:val="28B43AC4"/>
    <w:rsid w:val="28BC2B8F"/>
    <w:rsid w:val="28C26B73"/>
    <w:rsid w:val="28C465EA"/>
    <w:rsid w:val="28C6454F"/>
    <w:rsid w:val="28CA5E3D"/>
    <w:rsid w:val="28D47EEC"/>
    <w:rsid w:val="28DA5EE2"/>
    <w:rsid w:val="28E4372E"/>
    <w:rsid w:val="28E67B7A"/>
    <w:rsid w:val="28E92A9A"/>
    <w:rsid w:val="28EA43AF"/>
    <w:rsid w:val="28F52380"/>
    <w:rsid w:val="28F66B66"/>
    <w:rsid w:val="28F7767E"/>
    <w:rsid w:val="28FB1873"/>
    <w:rsid w:val="28FE19B8"/>
    <w:rsid w:val="29032559"/>
    <w:rsid w:val="290529AE"/>
    <w:rsid w:val="290629F5"/>
    <w:rsid w:val="291E4CF1"/>
    <w:rsid w:val="291F25D2"/>
    <w:rsid w:val="29206EB8"/>
    <w:rsid w:val="2921107B"/>
    <w:rsid w:val="2922473B"/>
    <w:rsid w:val="29271A4E"/>
    <w:rsid w:val="29287A91"/>
    <w:rsid w:val="292A052D"/>
    <w:rsid w:val="29315A00"/>
    <w:rsid w:val="29315E03"/>
    <w:rsid w:val="29362311"/>
    <w:rsid w:val="294108D2"/>
    <w:rsid w:val="29432073"/>
    <w:rsid w:val="29432540"/>
    <w:rsid w:val="29437977"/>
    <w:rsid w:val="294A2F7E"/>
    <w:rsid w:val="294B5AF3"/>
    <w:rsid w:val="29510704"/>
    <w:rsid w:val="29516583"/>
    <w:rsid w:val="29533BB0"/>
    <w:rsid w:val="29551A16"/>
    <w:rsid w:val="295644F9"/>
    <w:rsid w:val="2957482F"/>
    <w:rsid w:val="29580AE8"/>
    <w:rsid w:val="29595666"/>
    <w:rsid w:val="295A571E"/>
    <w:rsid w:val="295B54EF"/>
    <w:rsid w:val="296570CB"/>
    <w:rsid w:val="29671AC3"/>
    <w:rsid w:val="296B0929"/>
    <w:rsid w:val="296D4AA9"/>
    <w:rsid w:val="29724371"/>
    <w:rsid w:val="29870FE0"/>
    <w:rsid w:val="29874881"/>
    <w:rsid w:val="29874E9A"/>
    <w:rsid w:val="298C7743"/>
    <w:rsid w:val="298E2136"/>
    <w:rsid w:val="298E5B60"/>
    <w:rsid w:val="298F3567"/>
    <w:rsid w:val="298F73C9"/>
    <w:rsid w:val="29942992"/>
    <w:rsid w:val="29942A42"/>
    <w:rsid w:val="299B10F2"/>
    <w:rsid w:val="29A70A09"/>
    <w:rsid w:val="29A76D55"/>
    <w:rsid w:val="29AF0399"/>
    <w:rsid w:val="29B268BD"/>
    <w:rsid w:val="29B55881"/>
    <w:rsid w:val="29B63F2F"/>
    <w:rsid w:val="29B75E04"/>
    <w:rsid w:val="29B95FC9"/>
    <w:rsid w:val="29BA292A"/>
    <w:rsid w:val="29BB2450"/>
    <w:rsid w:val="29BE7E65"/>
    <w:rsid w:val="29C961CE"/>
    <w:rsid w:val="29CC0D81"/>
    <w:rsid w:val="29CF6B51"/>
    <w:rsid w:val="29CF71C8"/>
    <w:rsid w:val="29D00B80"/>
    <w:rsid w:val="29DD472F"/>
    <w:rsid w:val="29DE79E5"/>
    <w:rsid w:val="29DF17AD"/>
    <w:rsid w:val="29E11CE5"/>
    <w:rsid w:val="29E325E0"/>
    <w:rsid w:val="29ED7161"/>
    <w:rsid w:val="29F53CF5"/>
    <w:rsid w:val="29F90C30"/>
    <w:rsid w:val="29FA5E66"/>
    <w:rsid w:val="29FC10AD"/>
    <w:rsid w:val="29FD3B3E"/>
    <w:rsid w:val="2A034E35"/>
    <w:rsid w:val="2A051253"/>
    <w:rsid w:val="2A054238"/>
    <w:rsid w:val="2A0B1986"/>
    <w:rsid w:val="2A1161B0"/>
    <w:rsid w:val="2A1619CA"/>
    <w:rsid w:val="2A287F45"/>
    <w:rsid w:val="2A2A13A3"/>
    <w:rsid w:val="2A2C16B6"/>
    <w:rsid w:val="2A3245B9"/>
    <w:rsid w:val="2A330793"/>
    <w:rsid w:val="2A33460E"/>
    <w:rsid w:val="2A3868F0"/>
    <w:rsid w:val="2A3C0B88"/>
    <w:rsid w:val="2A452503"/>
    <w:rsid w:val="2A4B7876"/>
    <w:rsid w:val="2A50037B"/>
    <w:rsid w:val="2A507219"/>
    <w:rsid w:val="2A5528C9"/>
    <w:rsid w:val="2A5763CC"/>
    <w:rsid w:val="2A57732B"/>
    <w:rsid w:val="2A607319"/>
    <w:rsid w:val="2A694D24"/>
    <w:rsid w:val="2A6A1EFE"/>
    <w:rsid w:val="2A6C539B"/>
    <w:rsid w:val="2A721372"/>
    <w:rsid w:val="2A741C78"/>
    <w:rsid w:val="2A7E0313"/>
    <w:rsid w:val="2A86258C"/>
    <w:rsid w:val="2A8B5084"/>
    <w:rsid w:val="2A8D2145"/>
    <w:rsid w:val="2A8E4149"/>
    <w:rsid w:val="2A8F0388"/>
    <w:rsid w:val="2A902458"/>
    <w:rsid w:val="2A95474A"/>
    <w:rsid w:val="2A9C0571"/>
    <w:rsid w:val="2A9C098C"/>
    <w:rsid w:val="2AA14405"/>
    <w:rsid w:val="2AA163BB"/>
    <w:rsid w:val="2AA426EF"/>
    <w:rsid w:val="2AAB4A1E"/>
    <w:rsid w:val="2AB03FC0"/>
    <w:rsid w:val="2AB3399B"/>
    <w:rsid w:val="2AB43CDA"/>
    <w:rsid w:val="2ABD6379"/>
    <w:rsid w:val="2AC3160C"/>
    <w:rsid w:val="2AD27A67"/>
    <w:rsid w:val="2AD3379E"/>
    <w:rsid w:val="2AD51FAC"/>
    <w:rsid w:val="2AD62A1E"/>
    <w:rsid w:val="2AD66641"/>
    <w:rsid w:val="2AD77051"/>
    <w:rsid w:val="2AD8478D"/>
    <w:rsid w:val="2AD92CE8"/>
    <w:rsid w:val="2ADB28F2"/>
    <w:rsid w:val="2AE1135C"/>
    <w:rsid w:val="2AE232F5"/>
    <w:rsid w:val="2AE861CD"/>
    <w:rsid w:val="2AEA1C88"/>
    <w:rsid w:val="2AEA20B0"/>
    <w:rsid w:val="2AF73B8C"/>
    <w:rsid w:val="2AFE7022"/>
    <w:rsid w:val="2AFF1B59"/>
    <w:rsid w:val="2B010E27"/>
    <w:rsid w:val="2B0631D3"/>
    <w:rsid w:val="2B0B3FC2"/>
    <w:rsid w:val="2B0E47D8"/>
    <w:rsid w:val="2B0F6295"/>
    <w:rsid w:val="2B250D50"/>
    <w:rsid w:val="2B262F5F"/>
    <w:rsid w:val="2B2778A0"/>
    <w:rsid w:val="2B2C3F6F"/>
    <w:rsid w:val="2B3B2788"/>
    <w:rsid w:val="2B425F7F"/>
    <w:rsid w:val="2B4333C3"/>
    <w:rsid w:val="2B4676A9"/>
    <w:rsid w:val="2B467C3E"/>
    <w:rsid w:val="2B4D4B91"/>
    <w:rsid w:val="2B5363BF"/>
    <w:rsid w:val="2B544DF6"/>
    <w:rsid w:val="2B585B45"/>
    <w:rsid w:val="2B611B1F"/>
    <w:rsid w:val="2B6461F3"/>
    <w:rsid w:val="2B6A0AD0"/>
    <w:rsid w:val="2B6A2315"/>
    <w:rsid w:val="2B6A597E"/>
    <w:rsid w:val="2B735D42"/>
    <w:rsid w:val="2B7A0480"/>
    <w:rsid w:val="2B85444E"/>
    <w:rsid w:val="2B866D5C"/>
    <w:rsid w:val="2B8D341F"/>
    <w:rsid w:val="2B99000A"/>
    <w:rsid w:val="2B9A1DE0"/>
    <w:rsid w:val="2B9A68E6"/>
    <w:rsid w:val="2B9B7E37"/>
    <w:rsid w:val="2BA50097"/>
    <w:rsid w:val="2BA936A8"/>
    <w:rsid w:val="2BAC4745"/>
    <w:rsid w:val="2BAE352B"/>
    <w:rsid w:val="2BAE5514"/>
    <w:rsid w:val="2BBC43B9"/>
    <w:rsid w:val="2BBE0F81"/>
    <w:rsid w:val="2BBE4333"/>
    <w:rsid w:val="2BC007FF"/>
    <w:rsid w:val="2BC14531"/>
    <w:rsid w:val="2BC55FE9"/>
    <w:rsid w:val="2BC614B0"/>
    <w:rsid w:val="2BC642BC"/>
    <w:rsid w:val="2BD03357"/>
    <w:rsid w:val="2BD226D8"/>
    <w:rsid w:val="2BD465B7"/>
    <w:rsid w:val="2BD57E9D"/>
    <w:rsid w:val="2BD95337"/>
    <w:rsid w:val="2BD95B88"/>
    <w:rsid w:val="2BDC788C"/>
    <w:rsid w:val="2BE550A9"/>
    <w:rsid w:val="2BED6365"/>
    <w:rsid w:val="2BF813EE"/>
    <w:rsid w:val="2BF86FB3"/>
    <w:rsid w:val="2BFB63C5"/>
    <w:rsid w:val="2C033821"/>
    <w:rsid w:val="2C0D1F08"/>
    <w:rsid w:val="2C161A34"/>
    <w:rsid w:val="2C1649A9"/>
    <w:rsid w:val="2C1D5E2B"/>
    <w:rsid w:val="2C221C20"/>
    <w:rsid w:val="2C236F0D"/>
    <w:rsid w:val="2C245F16"/>
    <w:rsid w:val="2C260311"/>
    <w:rsid w:val="2C2E50B2"/>
    <w:rsid w:val="2C315A5A"/>
    <w:rsid w:val="2C3505FA"/>
    <w:rsid w:val="2C381A3F"/>
    <w:rsid w:val="2C3972DA"/>
    <w:rsid w:val="2C3C1C11"/>
    <w:rsid w:val="2C3D7230"/>
    <w:rsid w:val="2C3F0E8F"/>
    <w:rsid w:val="2C493E85"/>
    <w:rsid w:val="2C4B1C25"/>
    <w:rsid w:val="2C4C1803"/>
    <w:rsid w:val="2C503163"/>
    <w:rsid w:val="2C5649ED"/>
    <w:rsid w:val="2C600B94"/>
    <w:rsid w:val="2C64509A"/>
    <w:rsid w:val="2C694AA3"/>
    <w:rsid w:val="2C6D291C"/>
    <w:rsid w:val="2C6D352C"/>
    <w:rsid w:val="2C73092A"/>
    <w:rsid w:val="2C772F18"/>
    <w:rsid w:val="2C78024A"/>
    <w:rsid w:val="2C784A5F"/>
    <w:rsid w:val="2C7B7E17"/>
    <w:rsid w:val="2C8108A0"/>
    <w:rsid w:val="2C8416FC"/>
    <w:rsid w:val="2C88190E"/>
    <w:rsid w:val="2C89202F"/>
    <w:rsid w:val="2C8E64C1"/>
    <w:rsid w:val="2C8F11C7"/>
    <w:rsid w:val="2C9061DF"/>
    <w:rsid w:val="2C913837"/>
    <w:rsid w:val="2C936ABC"/>
    <w:rsid w:val="2C94356B"/>
    <w:rsid w:val="2C955152"/>
    <w:rsid w:val="2C9C4B92"/>
    <w:rsid w:val="2C9D5A88"/>
    <w:rsid w:val="2C9D5C4A"/>
    <w:rsid w:val="2C9E04A6"/>
    <w:rsid w:val="2C9F3C6B"/>
    <w:rsid w:val="2CA2715B"/>
    <w:rsid w:val="2CA4050B"/>
    <w:rsid w:val="2CAA0E38"/>
    <w:rsid w:val="2CAC6D11"/>
    <w:rsid w:val="2CB36AC9"/>
    <w:rsid w:val="2CB37F67"/>
    <w:rsid w:val="2CB9621F"/>
    <w:rsid w:val="2CBC5BE4"/>
    <w:rsid w:val="2CC11D7C"/>
    <w:rsid w:val="2CC83A49"/>
    <w:rsid w:val="2CCE0D88"/>
    <w:rsid w:val="2CCE56B1"/>
    <w:rsid w:val="2CCF7B24"/>
    <w:rsid w:val="2CD421F2"/>
    <w:rsid w:val="2CE002B3"/>
    <w:rsid w:val="2CE72D4D"/>
    <w:rsid w:val="2CE74B18"/>
    <w:rsid w:val="2CE76B14"/>
    <w:rsid w:val="2CE91FE5"/>
    <w:rsid w:val="2CF16651"/>
    <w:rsid w:val="2CF24DB2"/>
    <w:rsid w:val="2CF5183F"/>
    <w:rsid w:val="2D0073F2"/>
    <w:rsid w:val="2D044F1E"/>
    <w:rsid w:val="2D0D3A58"/>
    <w:rsid w:val="2D15657E"/>
    <w:rsid w:val="2D1A5C2F"/>
    <w:rsid w:val="2D1C4074"/>
    <w:rsid w:val="2D1D3C89"/>
    <w:rsid w:val="2D1F121C"/>
    <w:rsid w:val="2D22547C"/>
    <w:rsid w:val="2D2302CE"/>
    <w:rsid w:val="2D2435D9"/>
    <w:rsid w:val="2D2913FB"/>
    <w:rsid w:val="2D2C7DE7"/>
    <w:rsid w:val="2D310963"/>
    <w:rsid w:val="2D361FF1"/>
    <w:rsid w:val="2D3801D1"/>
    <w:rsid w:val="2D3F6FA5"/>
    <w:rsid w:val="2D4E6087"/>
    <w:rsid w:val="2D524753"/>
    <w:rsid w:val="2D5333B6"/>
    <w:rsid w:val="2D572BF8"/>
    <w:rsid w:val="2D5E0288"/>
    <w:rsid w:val="2D5F34B9"/>
    <w:rsid w:val="2D600080"/>
    <w:rsid w:val="2D6052B5"/>
    <w:rsid w:val="2D64003B"/>
    <w:rsid w:val="2D657152"/>
    <w:rsid w:val="2D6907F8"/>
    <w:rsid w:val="2D6B69AC"/>
    <w:rsid w:val="2D751941"/>
    <w:rsid w:val="2D767E92"/>
    <w:rsid w:val="2D774B23"/>
    <w:rsid w:val="2D7900B4"/>
    <w:rsid w:val="2D7C39EF"/>
    <w:rsid w:val="2D897516"/>
    <w:rsid w:val="2D8A5248"/>
    <w:rsid w:val="2D9137C1"/>
    <w:rsid w:val="2D936EBA"/>
    <w:rsid w:val="2D954327"/>
    <w:rsid w:val="2D974C8C"/>
    <w:rsid w:val="2D977F7D"/>
    <w:rsid w:val="2D997B25"/>
    <w:rsid w:val="2D9B5762"/>
    <w:rsid w:val="2D9E56F5"/>
    <w:rsid w:val="2DA03DAB"/>
    <w:rsid w:val="2DA15F7E"/>
    <w:rsid w:val="2DAD5C0E"/>
    <w:rsid w:val="2DAE5E5B"/>
    <w:rsid w:val="2DB61819"/>
    <w:rsid w:val="2DB763B6"/>
    <w:rsid w:val="2DBD2D2C"/>
    <w:rsid w:val="2DC119D7"/>
    <w:rsid w:val="2DC157DB"/>
    <w:rsid w:val="2DC341A6"/>
    <w:rsid w:val="2DC8655C"/>
    <w:rsid w:val="2DC913EB"/>
    <w:rsid w:val="2DC97302"/>
    <w:rsid w:val="2DCE645A"/>
    <w:rsid w:val="2DCE6BBD"/>
    <w:rsid w:val="2DD15CC1"/>
    <w:rsid w:val="2DD46F68"/>
    <w:rsid w:val="2DD63C06"/>
    <w:rsid w:val="2DDB2D8C"/>
    <w:rsid w:val="2DDC2295"/>
    <w:rsid w:val="2DE045ED"/>
    <w:rsid w:val="2DE12474"/>
    <w:rsid w:val="2DE34760"/>
    <w:rsid w:val="2DEA113E"/>
    <w:rsid w:val="2DEF2B4B"/>
    <w:rsid w:val="2DF04C5F"/>
    <w:rsid w:val="2DF20412"/>
    <w:rsid w:val="2DF86999"/>
    <w:rsid w:val="2DF91C89"/>
    <w:rsid w:val="2E01534C"/>
    <w:rsid w:val="2E015959"/>
    <w:rsid w:val="2E025521"/>
    <w:rsid w:val="2E073CD4"/>
    <w:rsid w:val="2E080712"/>
    <w:rsid w:val="2E1951B4"/>
    <w:rsid w:val="2E1B3725"/>
    <w:rsid w:val="2E234436"/>
    <w:rsid w:val="2E246FE3"/>
    <w:rsid w:val="2E276593"/>
    <w:rsid w:val="2E2D391C"/>
    <w:rsid w:val="2E325D11"/>
    <w:rsid w:val="2E356D50"/>
    <w:rsid w:val="2E3A1EED"/>
    <w:rsid w:val="2E3B34F5"/>
    <w:rsid w:val="2E45667B"/>
    <w:rsid w:val="2E4E2DEA"/>
    <w:rsid w:val="2E521A73"/>
    <w:rsid w:val="2E5A6F7B"/>
    <w:rsid w:val="2E640A8A"/>
    <w:rsid w:val="2E650941"/>
    <w:rsid w:val="2E667F96"/>
    <w:rsid w:val="2E6C1F8D"/>
    <w:rsid w:val="2E6D3D79"/>
    <w:rsid w:val="2E792733"/>
    <w:rsid w:val="2E7D7F88"/>
    <w:rsid w:val="2E820B1C"/>
    <w:rsid w:val="2E8226AB"/>
    <w:rsid w:val="2E872853"/>
    <w:rsid w:val="2E88542B"/>
    <w:rsid w:val="2E891894"/>
    <w:rsid w:val="2E8A369B"/>
    <w:rsid w:val="2E967BFC"/>
    <w:rsid w:val="2E97249D"/>
    <w:rsid w:val="2E973AC3"/>
    <w:rsid w:val="2E9C7AD8"/>
    <w:rsid w:val="2E9F1D4F"/>
    <w:rsid w:val="2EA34BAC"/>
    <w:rsid w:val="2EA41A46"/>
    <w:rsid w:val="2EA55BFF"/>
    <w:rsid w:val="2EA55FBA"/>
    <w:rsid w:val="2EA9066A"/>
    <w:rsid w:val="2EB00988"/>
    <w:rsid w:val="2EB07A87"/>
    <w:rsid w:val="2EB439B3"/>
    <w:rsid w:val="2EB64F01"/>
    <w:rsid w:val="2EC84EA4"/>
    <w:rsid w:val="2ECD7386"/>
    <w:rsid w:val="2ED61540"/>
    <w:rsid w:val="2EDA197E"/>
    <w:rsid w:val="2EE0643A"/>
    <w:rsid w:val="2EE161F6"/>
    <w:rsid w:val="2EE50166"/>
    <w:rsid w:val="2EF60E95"/>
    <w:rsid w:val="2EF811CF"/>
    <w:rsid w:val="2EFD7BCD"/>
    <w:rsid w:val="2F087203"/>
    <w:rsid w:val="2F094ADA"/>
    <w:rsid w:val="2F0E75F6"/>
    <w:rsid w:val="2F103353"/>
    <w:rsid w:val="2F192938"/>
    <w:rsid w:val="2F1B3E9C"/>
    <w:rsid w:val="2F1F0969"/>
    <w:rsid w:val="2F1F4DBA"/>
    <w:rsid w:val="2F222484"/>
    <w:rsid w:val="2F243393"/>
    <w:rsid w:val="2F260DF0"/>
    <w:rsid w:val="2F29157F"/>
    <w:rsid w:val="2F29662A"/>
    <w:rsid w:val="2F2B2D36"/>
    <w:rsid w:val="2F357FBB"/>
    <w:rsid w:val="2F362AB8"/>
    <w:rsid w:val="2F3802F6"/>
    <w:rsid w:val="2F382000"/>
    <w:rsid w:val="2F3834EE"/>
    <w:rsid w:val="2F3E64D8"/>
    <w:rsid w:val="2F3F30D6"/>
    <w:rsid w:val="2F404090"/>
    <w:rsid w:val="2F4943B3"/>
    <w:rsid w:val="2F4F7622"/>
    <w:rsid w:val="2F53682A"/>
    <w:rsid w:val="2F53797F"/>
    <w:rsid w:val="2F5B2FA4"/>
    <w:rsid w:val="2F5E7489"/>
    <w:rsid w:val="2F6324F2"/>
    <w:rsid w:val="2F645C59"/>
    <w:rsid w:val="2F6469DA"/>
    <w:rsid w:val="2F6A3D16"/>
    <w:rsid w:val="2F7A0600"/>
    <w:rsid w:val="2F7E4FD1"/>
    <w:rsid w:val="2F805CEC"/>
    <w:rsid w:val="2F8519BC"/>
    <w:rsid w:val="2F871E2C"/>
    <w:rsid w:val="2F8777C0"/>
    <w:rsid w:val="2F8C513E"/>
    <w:rsid w:val="2F8D2C99"/>
    <w:rsid w:val="2F8F0658"/>
    <w:rsid w:val="2F96401F"/>
    <w:rsid w:val="2F96550A"/>
    <w:rsid w:val="2F9B402D"/>
    <w:rsid w:val="2F9B5433"/>
    <w:rsid w:val="2FA85B58"/>
    <w:rsid w:val="2FAD1C4E"/>
    <w:rsid w:val="2FB16378"/>
    <w:rsid w:val="2FB16609"/>
    <w:rsid w:val="2FB27C17"/>
    <w:rsid w:val="2FB364F9"/>
    <w:rsid w:val="2FB5379E"/>
    <w:rsid w:val="2FB900DE"/>
    <w:rsid w:val="2FC26A1D"/>
    <w:rsid w:val="2FC56588"/>
    <w:rsid w:val="2FCA2CF6"/>
    <w:rsid w:val="2FCB27E9"/>
    <w:rsid w:val="2FCD0075"/>
    <w:rsid w:val="2FD065E6"/>
    <w:rsid w:val="2FD87972"/>
    <w:rsid w:val="2FD96870"/>
    <w:rsid w:val="2FDB3B6E"/>
    <w:rsid w:val="2FDC6718"/>
    <w:rsid w:val="2FDD5108"/>
    <w:rsid w:val="2FDF7298"/>
    <w:rsid w:val="2FE035B6"/>
    <w:rsid w:val="2FE150F5"/>
    <w:rsid w:val="2FE27BB3"/>
    <w:rsid w:val="2FE73D65"/>
    <w:rsid w:val="2FEF0EF4"/>
    <w:rsid w:val="2FEF6941"/>
    <w:rsid w:val="2FF04C31"/>
    <w:rsid w:val="2FF772B4"/>
    <w:rsid w:val="2FF805D4"/>
    <w:rsid w:val="30002390"/>
    <w:rsid w:val="300509A8"/>
    <w:rsid w:val="30066F69"/>
    <w:rsid w:val="300E5DD1"/>
    <w:rsid w:val="30104609"/>
    <w:rsid w:val="30140EE8"/>
    <w:rsid w:val="30144281"/>
    <w:rsid w:val="301468F9"/>
    <w:rsid w:val="3015281C"/>
    <w:rsid w:val="3018099D"/>
    <w:rsid w:val="30190520"/>
    <w:rsid w:val="30191784"/>
    <w:rsid w:val="30195064"/>
    <w:rsid w:val="30207B95"/>
    <w:rsid w:val="302130DB"/>
    <w:rsid w:val="30231D3F"/>
    <w:rsid w:val="302447B0"/>
    <w:rsid w:val="30253652"/>
    <w:rsid w:val="302A537D"/>
    <w:rsid w:val="302C39D1"/>
    <w:rsid w:val="303F2676"/>
    <w:rsid w:val="303F4D8D"/>
    <w:rsid w:val="30451A1B"/>
    <w:rsid w:val="304C56A2"/>
    <w:rsid w:val="30507530"/>
    <w:rsid w:val="305527F8"/>
    <w:rsid w:val="30580BC9"/>
    <w:rsid w:val="305D4451"/>
    <w:rsid w:val="305F12D1"/>
    <w:rsid w:val="30610516"/>
    <w:rsid w:val="30652586"/>
    <w:rsid w:val="306536ED"/>
    <w:rsid w:val="306B1CD0"/>
    <w:rsid w:val="306C02BE"/>
    <w:rsid w:val="306E71FE"/>
    <w:rsid w:val="307179D1"/>
    <w:rsid w:val="307449F6"/>
    <w:rsid w:val="307B2C92"/>
    <w:rsid w:val="30812E7B"/>
    <w:rsid w:val="30860FDD"/>
    <w:rsid w:val="30875E50"/>
    <w:rsid w:val="30887B9C"/>
    <w:rsid w:val="309716A9"/>
    <w:rsid w:val="30977818"/>
    <w:rsid w:val="309A6564"/>
    <w:rsid w:val="309F3BD7"/>
    <w:rsid w:val="30A171D5"/>
    <w:rsid w:val="30A63AE2"/>
    <w:rsid w:val="30A669FF"/>
    <w:rsid w:val="30A76B7D"/>
    <w:rsid w:val="30AC5F59"/>
    <w:rsid w:val="30B359EF"/>
    <w:rsid w:val="30B86CED"/>
    <w:rsid w:val="30BB3800"/>
    <w:rsid w:val="30BD31F5"/>
    <w:rsid w:val="30BF0FB7"/>
    <w:rsid w:val="30C3646D"/>
    <w:rsid w:val="30C80878"/>
    <w:rsid w:val="30CF25F3"/>
    <w:rsid w:val="30EA2992"/>
    <w:rsid w:val="30F14BA8"/>
    <w:rsid w:val="30F53618"/>
    <w:rsid w:val="30FD621E"/>
    <w:rsid w:val="30FE4766"/>
    <w:rsid w:val="30FE7C10"/>
    <w:rsid w:val="31000E7B"/>
    <w:rsid w:val="310679BC"/>
    <w:rsid w:val="3109417F"/>
    <w:rsid w:val="310D0E6E"/>
    <w:rsid w:val="31123DF2"/>
    <w:rsid w:val="31124713"/>
    <w:rsid w:val="3112786F"/>
    <w:rsid w:val="3113400C"/>
    <w:rsid w:val="31140E89"/>
    <w:rsid w:val="31154FC9"/>
    <w:rsid w:val="311B6044"/>
    <w:rsid w:val="311E2ED7"/>
    <w:rsid w:val="311E4DA6"/>
    <w:rsid w:val="311F67D9"/>
    <w:rsid w:val="31275D1F"/>
    <w:rsid w:val="312C1AAD"/>
    <w:rsid w:val="313437A7"/>
    <w:rsid w:val="31382769"/>
    <w:rsid w:val="31386648"/>
    <w:rsid w:val="31407988"/>
    <w:rsid w:val="3146415F"/>
    <w:rsid w:val="314C4FE5"/>
    <w:rsid w:val="314C6A35"/>
    <w:rsid w:val="315510DC"/>
    <w:rsid w:val="315619EE"/>
    <w:rsid w:val="315956B1"/>
    <w:rsid w:val="3159746A"/>
    <w:rsid w:val="315C449C"/>
    <w:rsid w:val="31656884"/>
    <w:rsid w:val="316B01B6"/>
    <w:rsid w:val="31710E2E"/>
    <w:rsid w:val="3175640D"/>
    <w:rsid w:val="317B7522"/>
    <w:rsid w:val="318162C5"/>
    <w:rsid w:val="31836E51"/>
    <w:rsid w:val="31870E33"/>
    <w:rsid w:val="318B791A"/>
    <w:rsid w:val="318D2984"/>
    <w:rsid w:val="31920C63"/>
    <w:rsid w:val="319461F4"/>
    <w:rsid w:val="319734FE"/>
    <w:rsid w:val="31975EA3"/>
    <w:rsid w:val="31976B01"/>
    <w:rsid w:val="319841F8"/>
    <w:rsid w:val="319A0E63"/>
    <w:rsid w:val="319E5B1D"/>
    <w:rsid w:val="319F14A6"/>
    <w:rsid w:val="31A612DF"/>
    <w:rsid w:val="31A72A62"/>
    <w:rsid w:val="31A77853"/>
    <w:rsid w:val="31A95903"/>
    <w:rsid w:val="31AB1582"/>
    <w:rsid w:val="31AE3FFC"/>
    <w:rsid w:val="31B0585F"/>
    <w:rsid w:val="31B25C6E"/>
    <w:rsid w:val="31B71350"/>
    <w:rsid w:val="31B82709"/>
    <w:rsid w:val="31BC6372"/>
    <w:rsid w:val="31C14D71"/>
    <w:rsid w:val="31C94596"/>
    <w:rsid w:val="31CA0522"/>
    <w:rsid w:val="31D04963"/>
    <w:rsid w:val="31D05482"/>
    <w:rsid w:val="31D633F0"/>
    <w:rsid w:val="31D75052"/>
    <w:rsid w:val="31E146D7"/>
    <w:rsid w:val="31E45914"/>
    <w:rsid w:val="31E6274D"/>
    <w:rsid w:val="31E92FFC"/>
    <w:rsid w:val="31EF3E7B"/>
    <w:rsid w:val="31F04804"/>
    <w:rsid w:val="31F054B8"/>
    <w:rsid w:val="31F122C7"/>
    <w:rsid w:val="31F4416E"/>
    <w:rsid w:val="31F53164"/>
    <w:rsid w:val="31F80F8C"/>
    <w:rsid w:val="31FB58C3"/>
    <w:rsid w:val="31FF3890"/>
    <w:rsid w:val="32060F9A"/>
    <w:rsid w:val="3211314A"/>
    <w:rsid w:val="32160691"/>
    <w:rsid w:val="321B082A"/>
    <w:rsid w:val="321D72AB"/>
    <w:rsid w:val="32205A0F"/>
    <w:rsid w:val="3224188C"/>
    <w:rsid w:val="322737D3"/>
    <w:rsid w:val="32293E4A"/>
    <w:rsid w:val="323152A5"/>
    <w:rsid w:val="32356EC9"/>
    <w:rsid w:val="323C2258"/>
    <w:rsid w:val="32400B34"/>
    <w:rsid w:val="324758DF"/>
    <w:rsid w:val="3249655E"/>
    <w:rsid w:val="324A12CE"/>
    <w:rsid w:val="324A5233"/>
    <w:rsid w:val="324C34C7"/>
    <w:rsid w:val="324E22FA"/>
    <w:rsid w:val="324E66F6"/>
    <w:rsid w:val="325069D5"/>
    <w:rsid w:val="32527413"/>
    <w:rsid w:val="32534165"/>
    <w:rsid w:val="32537FED"/>
    <w:rsid w:val="32567790"/>
    <w:rsid w:val="325D1FB4"/>
    <w:rsid w:val="32622895"/>
    <w:rsid w:val="32677017"/>
    <w:rsid w:val="32680711"/>
    <w:rsid w:val="326C1A62"/>
    <w:rsid w:val="326D2FFB"/>
    <w:rsid w:val="326E3F5A"/>
    <w:rsid w:val="32740632"/>
    <w:rsid w:val="327B1678"/>
    <w:rsid w:val="3280038F"/>
    <w:rsid w:val="328272E1"/>
    <w:rsid w:val="328A5ECD"/>
    <w:rsid w:val="329011A1"/>
    <w:rsid w:val="32907558"/>
    <w:rsid w:val="329C1350"/>
    <w:rsid w:val="329E6876"/>
    <w:rsid w:val="32B900D4"/>
    <w:rsid w:val="32B913B2"/>
    <w:rsid w:val="32B968ED"/>
    <w:rsid w:val="32BD4910"/>
    <w:rsid w:val="32C6720B"/>
    <w:rsid w:val="32C84782"/>
    <w:rsid w:val="32C86D83"/>
    <w:rsid w:val="32C94751"/>
    <w:rsid w:val="32D1301C"/>
    <w:rsid w:val="32D42157"/>
    <w:rsid w:val="32D47DFE"/>
    <w:rsid w:val="32D65818"/>
    <w:rsid w:val="32D9644D"/>
    <w:rsid w:val="32DE32E3"/>
    <w:rsid w:val="32DF184C"/>
    <w:rsid w:val="32EC10E3"/>
    <w:rsid w:val="32FC6909"/>
    <w:rsid w:val="32FE142A"/>
    <w:rsid w:val="33004FA3"/>
    <w:rsid w:val="330B14A4"/>
    <w:rsid w:val="330B70FB"/>
    <w:rsid w:val="330C39D8"/>
    <w:rsid w:val="330D13E4"/>
    <w:rsid w:val="33101905"/>
    <w:rsid w:val="331E3648"/>
    <w:rsid w:val="332253E8"/>
    <w:rsid w:val="332463A1"/>
    <w:rsid w:val="33277727"/>
    <w:rsid w:val="333015F2"/>
    <w:rsid w:val="33346B7A"/>
    <w:rsid w:val="333D1471"/>
    <w:rsid w:val="33410147"/>
    <w:rsid w:val="33411E99"/>
    <w:rsid w:val="33464977"/>
    <w:rsid w:val="334A1C4B"/>
    <w:rsid w:val="334B6320"/>
    <w:rsid w:val="334D0CDF"/>
    <w:rsid w:val="334F09CE"/>
    <w:rsid w:val="335B4AF4"/>
    <w:rsid w:val="336234E3"/>
    <w:rsid w:val="33646ED6"/>
    <w:rsid w:val="33694761"/>
    <w:rsid w:val="336B1393"/>
    <w:rsid w:val="336B4CB2"/>
    <w:rsid w:val="336B6A61"/>
    <w:rsid w:val="3380187E"/>
    <w:rsid w:val="338C2DAE"/>
    <w:rsid w:val="338F1E51"/>
    <w:rsid w:val="33914E3A"/>
    <w:rsid w:val="33996700"/>
    <w:rsid w:val="339E2AE9"/>
    <w:rsid w:val="339E63D3"/>
    <w:rsid w:val="33A21A35"/>
    <w:rsid w:val="33A51795"/>
    <w:rsid w:val="33AB6236"/>
    <w:rsid w:val="33B02ACB"/>
    <w:rsid w:val="33B154CA"/>
    <w:rsid w:val="33B32B0B"/>
    <w:rsid w:val="33B76AED"/>
    <w:rsid w:val="33C320A8"/>
    <w:rsid w:val="33CB4642"/>
    <w:rsid w:val="33CC1CF6"/>
    <w:rsid w:val="33CF499C"/>
    <w:rsid w:val="33D765ED"/>
    <w:rsid w:val="33D934D4"/>
    <w:rsid w:val="33EB3B84"/>
    <w:rsid w:val="33ED14B3"/>
    <w:rsid w:val="33EE5F45"/>
    <w:rsid w:val="33EF4E5C"/>
    <w:rsid w:val="33EF4EF3"/>
    <w:rsid w:val="33F745FD"/>
    <w:rsid w:val="33F86AE0"/>
    <w:rsid w:val="33FA0882"/>
    <w:rsid w:val="33FA2866"/>
    <w:rsid w:val="33FB191C"/>
    <w:rsid w:val="33FC4496"/>
    <w:rsid w:val="33FC7A6D"/>
    <w:rsid w:val="33FE2F6A"/>
    <w:rsid w:val="33FE3968"/>
    <w:rsid w:val="34001035"/>
    <w:rsid w:val="340351B8"/>
    <w:rsid w:val="340521E4"/>
    <w:rsid w:val="3407485F"/>
    <w:rsid w:val="340D2569"/>
    <w:rsid w:val="340E07E5"/>
    <w:rsid w:val="340E7846"/>
    <w:rsid w:val="34112BDD"/>
    <w:rsid w:val="3412089E"/>
    <w:rsid w:val="34121B08"/>
    <w:rsid w:val="341E4249"/>
    <w:rsid w:val="34235BF7"/>
    <w:rsid w:val="342A7796"/>
    <w:rsid w:val="342B79E2"/>
    <w:rsid w:val="342E7348"/>
    <w:rsid w:val="34346E39"/>
    <w:rsid w:val="34367F6B"/>
    <w:rsid w:val="34371AA0"/>
    <w:rsid w:val="343876CA"/>
    <w:rsid w:val="34387867"/>
    <w:rsid w:val="343B00F4"/>
    <w:rsid w:val="343E052A"/>
    <w:rsid w:val="343E539D"/>
    <w:rsid w:val="34477EF7"/>
    <w:rsid w:val="34546672"/>
    <w:rsid w:val="34623C2D"/>
    <w:rsid w:val="34623C49"/>
    <w:rsid w:val="34641A0F"/>
    <w:rsid w:val="346A379B"/>
    <w:rsid w:val="3479396B"/>
    <w:rsid w:val="347F28DE"/>
    <w:rsid w:val="34872F19"/>
    <w:rsid w:val="348C36A6"/>
    <w:rsid w:val="348C7345"/>
    <w:rsid w:val="348E1B52"/>
    <w:rsid w:val="348F0D56"/>
    <w:rsid w:val="34906910"/>
    <w:rsid w:val="34956E07"/>
    <w:rsid w:val="349C20DF"/>
    <w:rsid w:val="349D3378"/>
    <w:rsid w:val="349E0D75"/>
    <w:rsid w:val="34A52111"/>
    <w:rsid w:val="34A90757"/>
    <w:rsid w:val="34A97099"/>
    <w:rsid w:val="34AA3E39"/>
    <w:rsid w:val="34AF7EC8"/>
    <w:rsid w:val="34B11AE2"/>
    <w:rsid w:val="34B12A01"/>
    <w:rsid w:val="34B12FB4"/>
    <w:rsid w:val="34BA629C"/>
    <w:rsid w:val="34BF454C"/>
    <w:rsid w:val="34C147B6"/>
    <w:rsid w:val="34C33357"/>
    <w:rsid w:val="34C66B9C"/>
    <w:rsid w:val="34C92F9C"/>
    <w:rsid w:val="34CB6A45"/>
    <w:rsid w:val="34CE155A"/>
    <w:rsid w:val="34D00F81"/>
    <w:rsid w:val="34D06522"/>
    <w:rsid w:val="34D325B3"/>
    <w:rsid w:val="34D40DF6"/>
    <w:rsid w:val="34D6472F"/>
    <w:rsid w:val="34D72CE2"/>
    <w:rsid w:val="34DB65FF"/>
    <w:rsid w:val="34DC7FE9"/>
    <w:rsid w:val="34DD59C1"/>
    <w:rsid w:val="34E2221A"/>
    <w:rsid w:val="34EB018C"/>
    <w:rsid w:val="34EE3292"/>
    <w:rsid w:val="34F21523"/>
    <w:rsid w:val="34F23602"/>
    <w:rsid w:val="34F366B2"/>
    <w:rsid w:val="34F8417D"/>
    <w:rsid w:val="35106F09"/>
    <w:rsid w:val="35153840"/>
    <w:rsid w:val="35195F01"/>
    <w:rsid w:val="35217845"/>
    <w:rsid w:val="35220363"/>
    <w:rsid w:val="352748BB"/>
    <w:rsid w:val="352B06DF"/>
    <w:rsid w:val="352B37B0"/>
    <w:rsid w:val="352E4171"/>
    <w:rsid w:val="352F030A"/>
    <w:rsid w:val="35307FDC"/>
    <w:rsid w:val="35333768"/>
    <w:rsid w:val="353F351D"/>
    <w:rsid w:val="35485279"/>
    <w:rsid w:val="354A1537"/>
    <w:rsid w:val="354D2072"/>
    <w:rsid w:val="354F691D"/>
    <w:rsid w:val="35511616"/>
    <w:rsid w:val="35554A22"/>
    <w:rsid w:val="35563560"/>
    <w:rsid w:val="355746DC"/>
    <w:rsid w:val="35580001"/>
    <w:rsid w:val="35582B70"/>
    <w:rsid w:val="35591487"/>
    <w:rsid w:val="355B3B94"/>
    <w:rsid w:val="35607157"/>
    <w:rsid w:val="356075CF"/>
    <w:rsid w:val="35610F84"/>
    <w:rsid w:val="35626010"/>
    <w:rsid w:val="35641D98"/>
    <w:rsid w:val="356C283E"/>
    <w:rsid w:val="356D26BB"/>
    <w:rsid w:val="356D395F"/>
    <w:rsid w:val="35704476"/>
    <w:rsid w:val="35745F50"/>
    <w:rsid w:val="3578792E"/>
    <w:rsid w:val="35835D7B"/>
    <w:rsid w:val="35884AB2"/>
    <w:rsid w:val="3588770C"/>
    <w:rsid w:val="35893758"/>
    <w:rsid w:val="358A01E3"/>
    <w:rsid w:val="358A39ED"/>
    <w:rsid w:val="358A5520"/>
    <w:rsid w:val="358C5FA8"/>
    <w:rsid w:val="358E2536"/>
    <w:rsid w:val="35961CDD"/>
    <w:rsid w:val="359A1B11"/>
    <w:rsid w:val="359A622C"/>
    <w:rsid w:val="35A532C1"/>
    <w:rsid w:val="35A84B0F"/>
    <w:rsid w:val="35A973C7"/>
    <w:rsid w:val="35AA4127"/>
    <w:rsid w:val="35AB61D3"/>
    <w:rsid w:val="35B049B5"/>
    <w:rsid w:val="35B21C3A"/>
    <w:rsid w:val="35B65A81"/>
    <w:rsid w:val="35BD4A8B"/>
    <w:rsid w:val="35C128A4"/>
    <w:rsid w:val="35C15DF1"/>
    <w:rsid w:val="35C376C7"/>
    <w:rsid w:val="35C62C41"/>
    <w:rsid w:val="35CB63E1"/>
    <w:rsid w:val="35D42027"/>
    <w:rsid w:val="35D47CA5"/>
    <w:rsid w:val="35E14E3F"/>
    <w:rsid w:val="35E17537"/>
    <w:rsid w:val="35E42CE9"/>
    <w:rsid w:val="35E86C66"/>
    <w:rsid w:val="35EA6CAA"/>
    <w:rsid w:val="35EB34FD"/>
    <w:rsid w:val="35F656E5"/>
    <w:rsid w:val="35FC7C86"/>
    <w:rsid w:val="35FC7FF6"/>
    <w:rsid w:val="36073320"/>
    <w:rsid w:val="36074A7F"/>
    <w:rsid w:val="360E73F7"/>
    <w:rsid w:val="361031E1"/>
    <w:rsid w:val="3613552F"/>
    <w:rsid w:val="361A0FAE"/>
    <w:rsid w:val="361A583F"/>
    <w:rsid w:val="361B4F09"/>
    <w:rsid w:val="36236739"/>
    <w:rsid w:val="36241BB1"/>
    <w:rsid w:val="3626228D"/>
    <w:rsid w:val="3637004D"/>
    <w:rsid w:val="36381E2B"/>
    <w:rsid w:val="363A505E"/>
    <w:rsid w:val="3642656C"/>
    <w:rsid w:val="364602CD"/>
    <w:rsid w:val="364A2DB3"/>
    <w:rsid w:val="364B2472"/>
    <w:rsid w:val="365175F1"/>
    <w:rsid w:val="365300E0"/>
    <w:rsid w:val="3654745F"/>
    <w:rsid w:val="36556F3B"/>
    <w:rsid w:val="3657546E"/>
    <w:rsid w:val="365A3126"/>
    <w:rsid w:val="365B400A"/>
    <w:rsid w:val="365E3CBE"/>
    <w:rsid w:val="3660263A"/>
    <w:rsid w:val="3660654E"/>
    <w:rsid w:val="36644040"/>
    <w:rsid w:val="366E4FA9"/>
    <w:rsid w:val="367279C1"/>
    <w:rsid w:val="36783921"/>
    <w:rsid w:val="367856EB"/>
    <w:rsid w:val="3689232E"/>
    <w:rsid w:val="368B3E20"/>
    <w:rsid w:val="368B6E28"/>
    <w:rsid w:val="368F5DEF"/>
    <w:rsid w:val="36923549"/>
    <w:rsid w:val="36964F10"/>
    <w:rsid w:val="36967162"/>
    <w:rsid w:val="369B5FA1"/>
    <w:rsid w:val="369C543A"/>
    <w:rsid w:val="36A04D87"/>
    <w:rsid w:val="36A56DD3"/>
    <w:rsid w:val="36A64EC8"/>
    <w:rsid w:val="36AA2ED3"/>
    <w:rsid w:val="36AA408B"/>
    <w:rsid w:val="36AA6F55"/>
    <w:rsid w:val="36AE1146"/>
    <w:rsid w:val="36B354C6"/>
    <w:rsid w:val="36B75FBF"/>
    <w:rsid w:val="36BA5E42"/>
    <w:rsid w:val="36BD0C45"/>
    <w:rsid w:val="36BF5A35"/>
    <w:rsid w:val="36C074F1"/>
    <w:rsid w:val="36C21BA8"/>
    <w:rsid w:val="36C40B8A"/>
    <w:rsid w:val="36C55363"/>
    <w:rsid w:val="36C97CA9"/>
    <w:rsid w:val="36CB1652"/>
    <w:rsid w:val="36CD0D40"/>
    <w:rsid w:val="36CF63C3"/>
    <w:rsid w:val="36D44699"/>
    <w:rsid w:val="36D5233C"/>
    <w:rsid w:val="36DB3E6C"/>
    <w:rsid w:val="36DB7A18"/>
    <w:rsid w:val="36E41E36"/>
    <w:rsid w:val="36E45671"/>
    <w:rsid w:val="36E4601C"/>
    <w:rsid w:val="36EE6159"/>
    <w:rsid w:val="36EE6E2A"/>
    <w:rsid w:val="36F44363"/>
    <w:rsid w:val="36FC61E7"/>
    <w:rsid w:val="36FF495C"/>
    <w:rsid w:val="37015ADE"/>
    <w:rsid w:val="370A6E74"/>
    <w:rsid w:val="370C6B35"/>
    <w:rsid w:val="371206AA"/>
    <w:rsid w:val="37134008"/>
    <w:rsid w:val="3729006A"/>
    <w:rsid w:val="372F2F9E"/>
    <w:rsid w:val="373D6581"/>
    <w:rsid w:val="373E7D7B"/>
    <w:rsid w:val="373F6693"/>
    <w:rsid w:val="37430885"/>
    <w:rsid w:val="374875D1"/>
    <w:rsid w:val="3749462F"/>
    <w:rsid w:val="374B2469"/>
    <w:rsid w:val="374B470E"/>
    <w:rsid w:val="3751392B"/>
    <w:rsid w:val="37532EA2"/>
    <w:rsid w:val="37572C09"/>
    <w:rsid w:val="375F2342"/>
    <w:rsid w:val="3762792A"/>
    <w:rsid w:val="37683379"/>
    <w:rsid w:val="376B5D9F"/>
    <w:rsid w:val="376E387F"/>
    <w:rsid w:val="37700FF1"/>
    <w:rsid w:val="37744AD2"/>
    <w:rsid w:val="3779022C"/>
    <w:rsid w:val="377971C3"/>
    <w:rsid w:val="377A3B3D"/>
    <w:rsid w:val="377A688E"/>
    <w:rsid w:val="377B756B"/>
    <w:rsid w:val="377D5F45"/>
    <w:rsid w:val="37874542"/>
    <w:rsid w:val="37904129"/>
    <w:rsid w:val="3797004C"/>
    <w:rsid w:val="379A2363"/>
    <w:rsid w:val="379F185B"/>
    <w:rsid w:val="37A14FCA"/>
    <w:rsid w:val="37A20A99"/>
    <w:rsid w:val="37AF35AF"/>
    <w:rsid w:val="37B20ABB"/>
    <w:rsid w:val="37B21DD4"/>
    <w:rsid w:val="37B43089"/>
    <w:rsid w:val="37B809BD"/>
    <w:rsid w:val="37BA6CD9"/>
    <w:rsid w:val="37BC5AB7"/>
    <w:rsid w:val="37C2283E"/>
    <w:rsid w:val="37C3490A"/>
    <w:rsid w:val="37C719D1"/>
    <w:rsid w:val="37CB75DA"/>
    <w:rsid w:val="37CC0A98"/>
    <w:rsid w:val="37CE0B31"/>
    <w:rsid w:val="37D15A4F"/>
    <w:rsid w:val="37D31591"/>
    <w:rsid w:val="37D32596"/>
    <w:rsid w:val="37D34B24"/>
    <w:rsid w:val="37D81A49"/>
    <w:rsid w:val="37D82773"/>
    <w:rsid w:val="37D95CED"/>
    <w:rsid w:val="37DC2C73"/>
    <w:rsid w:val="37E00298"/>
    <w:rsid w:val="37E47040"/>
    <w:rsid w:val="37E63F6D"/>
    <w:rsid w:val="37E94AD3"/>
    <w:rsid w:val="37ED3050"/>
    <w:rsid w:val="37ED426E"/>
    <w:rsid w:val="37F32D1D"/>
    <w:rsid w:val="37F516C5"/>
    <w:rsid w:val="37F62954"/>
    <w:rsid w:val="37FB77A6"/>
    <w:rsid w:val="37FD095F"/>
    <w:rsid w:val="37FF0675"/>
    <w:rsid w:val="37FF2886"/>
    <w:rsid w:val="38017AD8"/>
    <w:rsid w:val="38026270"/>
    <w:rsid w:val="38062964"/>
    <w:rsid w:val="381B5324"/>
    <w:rsid w:val="38245F1F"/>
    <w:rsid w:val="382A4649"/>
    <w:rsid w:val="382F71FE"/>
    <w:rsid w:val="38303145"/>
    <w:rsid w:val="38355062"/>
    <w:rsid w:val="383E473E"/>
    <w:rsid w:val="38487ED8"/>
    <w:rsid w:val="38492982"/>
    <w:rsid w:val="384D4D3D"/>
    <w:rsid w:val="38515C75"/>
    <w:rsid w:val="38565B87"/>
    <w:rsid w:val="385C2351"/>
    <w:rsid w:val="385C7C71"/>
    <w:rsid w:val="385D7D36"/>
    <w:rsid w:val="385E21B7"/>
    <w:rsid w:val="38621469"/>
    <w:rsid w:val="38652F5F"/>
    <w:rsid w:val="38655AFC"/>
    <w:rsid w:val="386867D0"/>
    <w:rsid w:val="386A58F1"/>
    <w:rsid w:val="386C73ED"/>
    <w:rsid w:val="38774DDB"/>
    <w:rsid w:val="38787A8F"/>
    <w:rsid w:val="38862AB9"/>
    <w:rsid w:val="38947AEF"/>
    <w:rsid w:val="389600D6"/>
    <w:rsid w:val="38966318"/>
    <w:rsid w:val="3896712D"/>
    <w:rsid w:val="38A14B34"/>
    <w:rsid w:val="38A67416"/>
    <w:rsid w:val="38A70848"/>
    <w:rsid w:val="38A84B3B"/>
    <w:rsid w:val="38AA4B72"/>
    <w:rsid w:val="38AB6C54"/>
    <w:rsid w:val="38AC28B9"/>
    <w:rsid w:val="38AC4435"/>
    <w:rsid w:val="38AE5A83"/>
    <w:rsid w:val="38AE70F0"/>
    <w:rsid w:val="38B14BC6"/>
    <w:rsid w:val="38B263A7"/>
    <w:rsid w:val="38B302F9"/>
    <w:rsid w:val="38B6288B"/>
    <w:rsid w:val="38B655B4"/>
    <w:rsid w:val="38C97ED7"/>
    <w:rsid w:val="38D44E7B"/>
    <w:rsid w:val="38D82B06"/>
    <w:rsid w:val="38DB0AC9"/>
    <w:rsid w:val="38E1503A"/>
    <w:rsid w:val="38E17E4F"/>
    <w:rsid w:val="38E24701"/>
    <w:rsid w:val="38E24A2B"/>
    <w:rsid w:val="38E33C9F"/>
    <w:rsid w:val="38E9477F"/>
    <w:rsid w:val="38F12CD3"/>
    <w:rsid w:val="38F133AB"/>
    <w:rsid w:val="38F3152E"/>
    <w:rsid w:val="38F45E82"/>
    <w:rsid w:val="38F8537A"/>
    <w:rsid w:val="38F94775"/>
    <w:rsid w:val="390259DB"/>
    <w:rsid w:val="3903246E"/>
    <w:rsid w:val="39113FF7"/>
    <w:rsid w:val="391A63F4"/>
    <w:rsid w:val="391B4997"/>
    <w:rsid w:val="391E6483"/>
    <w:rsid w:val="39214372"/>
    <w:rsid w:val="39232E69"/>
    <w:rsid w:val="392971ED"/>
    <w:rsid w:val="392A0E60"/>
    <w:rsid w:val="392C72E7"/>
    <w:rsid w:val="39303E81"/>
    <w:rsid w:val="39323191"/>
    <w:rsid w:val="39325651"/>
    <w:rsid w:val="39341DDC"/>
    <w:rsid w:val="393778A5"/>
    <w:rsid w:val="39442061"/>
    <w:rsid w:val="39525C05"/>
    <w:rsid w:val="395F53F5"/>
    <w:rsid w:val="39635BB2"/>
    <w:rsid w:val="39692C50"/>
    <w:rsid w:val="396966BC"/>
    <w:rsid w:val="396E4A11"/>
    <w:rsid w:val="397136A2"/>
    <w:rsid w:val="397574ED"/>
    <w:rsid w:val="397E7BB9"/>
    <w:rsid w:val="39830E90"/>
    <w:rsid w:val="39844FE8"/>
    <w:rsid w:val="398C2B4A"/>
    <w:rsid w:val="39900BB7"/>
    <w:rsid w:val="399374F0"/>
    <w:rsid w:val="39942B08"/>
    <w:rsid w:val="3998314B"/>
    <w:rsid w:val="399B7F4F"/>
    <w:rsid w:val="39A0739D"/>
    <w:rsid w:val="39A23308"/>
    <w:rsid w:val="39A526C2"/>
    <w:rsid w:val="39A626CB"/>
    <w:rsid w:val="39A64BCE"/>
    <w:rsid w:val="39A80377"/>
    <w:rsid w:val="39AA55FB"/>
    <w:rsid w:val="39B05AC9"/>
    <w:rsid w:val="39B708ED"/>
    <w:rsid w:val="39B72368"/>
    <w:rsid w:val="39BA7A0D"/>
    <w:rsid w:val="39BD3A7D"/>
    <w:rsid w:val="39BD4ACC"/>
    <w:rsid w:val="39C06C72"/>
    <w:rsid w:val="39C17C2B"/>
    <w:rsid w:val="39C62346"/>
    <w:rsid w:val="39C666A3"/>
    <w:rsid w:val="39CB3486"/>
    <w:rsid w:val="39CF74A5"/>
    <w:rsid w:val="39D71DC0"/>
    <w:rsid w:val="39D901FE"/>
    <w:rsid w:val="39DB25C7"/>
    <w:rsid w:val="39DD0295"/>
    <w:rsid w:val="39DE5188"/>
    <w:rsid w:val="39E15A02"/>
    <w:rsid w:val="39EB58D3"/>
    <w:rsid w:val="39EC03DB"/>
    <w:rsid w:val="39EF1D93"/>
    <w:rsid w:val="39F13F38"/>
    <w:rsid w:val="39F47AA9"/>
    <w:rsid w:val="39F70F32"/>
    <w:rsid w:val="39F778B8"/>
    <w:rsid w:val="39FA5601"/>
    <w:rsid w:val="3A000C77"/>
    <w:rsid w:val="3A062832"/>
    <w:rsid w:val="3A074D09"/>
    <w:rsid w:val="3A0845E2"/>
    <w:rsid w:val="3A11277C"/>
    <w:rsid w:val="3A157A7C"/>
    <w:rsid w:val="3A18030B"/>
    <w:rsid w:val="3A1955E7"/>
    <w:rsid w:val="3A1C2FE0"/>
    <w:rsid w:val="3A1E0D3F"/>
    <w:rsid w:val="3A1E7F50"/>
    <w:rsid w:val="3A1F6551"/>
    <w:rsid w:val="3A2F1C79"/>
    <w:rsid w:val="3A3232F2"/>
    <w:rsid w:val="3A326F82"/>
    <w:rsid w:val="3A3F74DF"/>
    <w:rsid w:val="3A400F7C"/>
    <w:rsid w:val="3A4833CA"/>
    <w:rsid w:val="3A4A3B63"/>
    <w:rsid w:val="3A4A74E4"/>
    <w:rsid w:val="3A4B6C06"/>
    <w:rsid w:val="3A4E1BD1"/>
    <w:rsid w:val="3A4E578C"/>
    <w:rsid w:val="3A55235C"/>
    <w:rsid w:val="3A5822AF"/>
    <w:rsid w:val="3A593601"/>
    <w:rsid w:val="3A5F56D0"/>
    <w:rsid w:val="3A6256F7"/>
    <w:rsid w:val="3A7042E5"/>
    <w:rsid w:val="3A7149BD"/>
    <w:rsid w:val="3A722381"/>
    <w:rsid w:val="3A723751"/>
    <w:rsid w:val="3A7740B2"/>
    <w:rsid w:val="3A813794"/>
    <w:rsid w:val="3A872856"/>
    <w:rsid w:val="3A8D306C"/>
    <w:rsid w:val="3A8F7291"/>
    <w:rsid w:val="3A925075"/>
    <w:rsid w:val="3A962601"/>
    <w:rsid w:val="3A9A626E"/>
    <w:rsid w:val="3A9B0298"/>
    <w:rsid w:val="3A9B273C"/>
    <w:rsid w:val="3AA0521C"/>
    <w:rsid w:val="3AAC7676"/>
    <w:rsid w:val="3AB74F60"/>
    <w:rsid w:val="3AB76597"/>
    <w:rsid w:val="3AB93B0A"/>
    <w:rsid w:val="3ABC27DD"/>
    <w:rsid w:val="3ABE6E87"/>
    <w:rsid w:val="3AC12CDC"/>
    <w:rsid w:val="3AC169C1"/>
    <w:rsid w:val="3AC60319"/>
    <w:rsid w:val="3AC66A41"/>
    <w:rsid w:val="3AD02B0A"/>
    <w:rsid w:val="3AD33F64"/>
    <w:rsid w:val="3AD63B8F"/>
    <w:rsid w:val="3AD67161"/>
    <w:rsid w:val="3AE02771"/>
    <w:rsid w:val="3AE02ED8"/>
    <w:rsid w:val="3AE07245"/>
    <w:rsid w:val="3AE40023"/>
    <w:rsid w:val="3AE434C2"/>
    <w:rsid w:val="3AE52195"/>
    <w:rsid w:val="3AE9469D"/>
    <w:rsid w:val="3AE9675E"/>
    <w:rsid w:val="3AEF181E"/>
    <w:rsid w:val="3AF02F9B"/>
    <w:rsid w:val="3AF14B99"/>
    <w:rsid w:val="3AF42694"/>
    <w:rsid w:val="3AF511CC"/>
    <w:rsid w:val="3B0914E2"/>
    <w:rsid w:val="3B130C5E"/>
    <w:rsid w:val="3B154D0D"/>
    <w:rsid w:val="3B1A7FC6"/>
    <w:rsid w:val="3B1B5CE2"/>
    <w:rsid w:val="3B1C5253"/>
    <w:rsid w:val="3B1D0757"/>
    <w:rsid w:val="3B2D58E6"/>
    <w:rsid w:val="3B2E67DE"/>
    <w:rsid w:val="3B3633A4"/>
    <w:rsid w:val="3B3763D1"/>
    <w:rsid w:val="3B3A016C"/>
    <w:rsid w:val="3B405C3C"/>
    <w:rsid w:val="3B475871"/>
    <w:rsid w:val="3B487C59"/>
    <w:rsid w:val="3B597053"/>
    <w:rsid w:val="3B597C95"/>
    <w:rsid w:val="3B5D19B0"/>
    <w:rsid w:val="3B601E3B"/>
    <w:rsid w:val="3B6C3950"/>
    <w:rsid w:val="3B6F0279"/>
    <w:rsid w:val="3B70623E"/>
    <w:rsid w:val="3B7233AC"/>
    <w:rsid w:val="3B777E82"/>
    <w:rsid w:val="3B7914A9"/>
    <w:rsid w:val="3B7A22A3"/>
    <w:rsid w:val="3B7A76C3"/>
    <w:rsid w:val="3B7C7CD0"/>
    <w:rsid w:val="3B7D4DB6"/>
    <w:rsid w:val="3B836652"/>
    <w:rsid w:val="3B8720BD"/>
    <w:rsid w:val="3B8A0E2E"/>
    <w:rsid w:val="3B9B0D0A"/>
    <w:rsid w:val="3B9D029F"/>
    <w:rsid w:val="3B9F42A3"/>
    <w:rsid w:val="3BA4596C"/>
    <w:rsid w:val="3BA53AC6"/>
    <w:rsid w:val="3BA61D64"/>
    <w:rsid w:val="3BA843B2"/>
    <w:rsid w:val="3BA94DB2"/>
    <w:rsid w:val="3BAB0792"/>
    <w:rsid w:val="3BAD4B40"/>
    <w:rsid w:val="3BAF2EC6"/>
    <w:rsid w:val="3BC0404F"/>
    <w:rsid w:val="3BCC5395"/>
    <w:rsid w:val="3BD45C7B"/>
    <w:rsid w:val="3BDF27C7"/>
    <w:rsid w:val="3BE2227F"/>
    <w:rsid w:val="3BE837C7"/>
    <w:rsid w:val="3BEA0900"/>
    <w:rsid w:val="3BEE5321"/>
    <w:rsid w:val="3BF10B50"/>
    <w:rsid w:val="3BF6650A"/>
    <w:rsid w:val="3C067E6A"/>
    <w:rsid w:val="3C122375"/>
    <w:rsid w:val="3C134168"/>
    <w:rsid w:val="3C140218"/>
    <w:rsid w:val="3C1445B1"/>
    <w:rsid w:val="3C1D1C7C"/>
    <w:rsid w:val="3C210211"/>
    <w:rsid w:val="3C270B57"/>
    <w:rsid w:val="3C294C73"/>
    <w:rsid w:val="3C2B2AA0"/>
    <w:rsid w:val="3C2F6E1E"/>
    <w:rsid w:val="3C3256F7"/>
    <w:rsid w:val="3C333321"/>
    <w:rsid w:val="3C33778A"/>
    <w:rsid w:val="3C377A97"/>
    <w:rsid w:val="3C4F3A63"/>
    <w:rsid w:val="3C4F64BA"/>
    <w:rsid w:val="3C584A1E"/>
    <w:rsid w:val="3C5945BE"/>
    <w:rsid w:val="3C5F1985"/>
    <w:rsid w:val="3C623934"/>
    <w:rsid w:val="3C6536CD"/>
    <w:rsid w:val="3C6C6B30"/>
    <w:rsid w:val="3C6E4FE8"/>
    <w:rsid w:val="3C750799"/>
    <w:rsid w:val="3C7633AA"/>
    <w:rsid w:val="3C7B7B0C"/>
    <w:rsid w:val="3C7E4F07"/>
    <w:rsid w:val="3C811FC0"/>
    <w:rsid w:val="3C854ACB"/>
    <w:rsid w:val="3C883372"/>
    <w:rsid w:val="3C8944D6"/>
    <w:rsid w:val="3C897492"/>
    <w:rsid w:val="3C931192"/>
    <w:rsid w:val="3C943985"/>
    <w:rsid w:val="3C972FCD"/>
    <w:rsid w:val="3C98611F"/>
    <w:rsid w:val="3C9D29E8"/>
    <w:rsid w:val="3C9E6BDE"/>
    <w:rsid w:val="3CA30B35"/>
    <w:rsid w:val="3CA430B2"/>
    <w:rsid w:val="3CA60C86"/>
    <w:rsid w:val="3CB01E95"/>
    <w:rsid w:val="3CB266F3"/>
    <w:rsid w:val="3CB40235"/>
    <w:rsid w:val="3CBE5402"/>
    <w:rsid w:val="3CBE649C"/>
    <w:rsid w:val="3CC31F6D"/>
    <w:rsid w:val="3CC80801"/>
    <w:rsid w:val="3CCA11AD"/>
    <w:rsid w:val="3CCB6DB4"/>
    <w:rsid w:val="3CCD1D6F"/>
    <w:rsid w:val="3CD176B0"/>
    <w:rsid w:val="3CD2646C"/>
    <w:rsid w:val="3CD532AD"/>
    <w:rsid w:val="3CD7532F"/>
    <w:rsid w:val="3CDA245A"/>
    <w:rsid w:val="3CDD6509"/>
    <w:rsid w:val="3CE6517B"/>
    <w:rsid w:val="3CE730F6"/>
    <w:rsid w:val="3CF04EEC"/>
    <w:rsid w:val="3CF2132F"/>
    <w:rsid w:val="3CF36271"/>
    <w:rsid w:val="3CF56A96"/>
    <w:rsid w:val="3D097CA0"/>
    <w:rsid w:val="3D0C31FF"/>
    <w:rsid w:val="3D0E7F2C"/>
    <w:rsid w:val="3D152A0D"/>
    <w:rsid w:val="3D1A00B6"/>
    <w:rsid w:val="3D1E034F"/>
    <w:rsid w:val="3D1E06B7"/>
    <w:rsid w:val="3D1F1684"/>
    <w:rsid w:val="3D230686"/>
    <w:rsid w:val="3D2636C4"/>
    <w:rsid w:val="3D2F779C"/>
    <w:rsid w:val="3D34132B"/>
    <w:rsid w:val="3D3567DB"/>
    <w:rsid w:val="3D3A0519"/>
    <w:rsid w:val="3D3A16F9"/>
    <w:rsid w:val="3D3A3FB4"/>
    <w:rsid w:val="3D3B7DCC"/>
    <w:rsid w:val="3D3F7796"/>
    <w:rsid w:val="3D405758"/>
    <w:rsid w:val="3D4A117C"/>
    <w:rsid w:val="3D4A4132"/>
    <w:rsid w:val="3D4B0A5A"/>
    <w:rsid w:val="3D506DB1"/>
    <w:rsid w:val="3D564E2C"/>
    <w:rsid w:val="3D5A0896"/>
    <w:rsid w:val="3D5F369D"/>
    <w:rsid w:val="3D615871"/>
    <w:rsid w:val="3D6162B7"/>
    <w:rsid w:val="3D61673E"/>
    <w:rsid w:val="3D7031DB"/>
    <w:rsid w:val="3D7666B4"/>
    <w:rsid w:val="3D7A78C5"/>
    <w:rsid w:val="3D7C05D7"/>
    <w:rsid w:val="3D7E7E44"/>
    <w:rsid w:val="3D7F2F9B"/>
    <w:rsid w:val="3D8217B3"/>
    <w:rsid w:val="3D8272C0"/>
    <w:rsid w:val="3D884750"/>
    <w:rsid w:val="3D88639A"/>
    <w:rsid w:val="3D8B4CB0"/>
    <w:rsid w:val="3D8E35AE"/>
    <w:rsid w:val="3D914030"/>
    <w:rsid w:val="3D9339D9"/>
    <w:rsid w:val="3D963AFC"/>
    <w:rsid w:val="3D971D62"/>
    <w:rsid w:val="3DA75D3F"/>
    <w:rsid w:val="3DAB2EC5"/>
    <w:rsid w:val="3DAD1C1C"/>
    <w:rsid w:val="3DAE537F"/>
    <w:rsid w:val="3DB53EFA"/>
    <w:rsid w:val="3DBC4D38"/>
    <w:rsid w:val="3DC0380E"/>
    <w:rsid w:val="3DC911F4"/>
    <w:rsid w:val="3DD07AB3"/>
    <w:rsid w:val="3DD5689C"/>
    <w:rsid w:val="3DDC5060"/>
    <w:rsid w:val="3DE22714"/>
    <w:rsid w:val="3DE27840"/>
    <w:rsid w:val="3DE317FA"/>
    <w:rsid w:val="3DE6242B"/>
    <w:rsid w:val="3DE8408A"/>
    <w:rsid w:val="3DE840CB"/>
    <w:rsid w:val="3DED2C2B"/>
    <w:rsid w:val="3DF1001B"/>
    <w:rsid w:val="3DF535DC"/>
    <w:rsid w:val="3DFD5BB1"/>
    <w:rsid w:val="3DFE2EE2"/>
    <w:rsid w:val="3E021D85"/>
    <w:rsid w:val="3E055835"/>
    <w:rsid w:val="3E066EF1"/>
    <w:rsid w:val="3E0F445A"/>
    <w:rsid w:val="3E126A0D"/>
    <w:rsid w:val="3E142529"/>
    <w:rsid w:val="3E1C3AE3"/>
    <w:rsid w:val="3E294875"/>
    <w:rsid w:val="3E2D5DC1"/>
    <w:rsid w:val="3E2E568A"/>
    <w:rsid w:val="3E2F1781"/>
    <w:rsid w:val="3E2F2481"/>
    <w:rsid w:val="3E3635A1"/>
    <w:rsid w:val="3E4172DD"/>
    <w:rsid w:val="3E433BC6"/>
    <w:rsid w:val="3E4A1D14"/>
    <w:rsid w:val="3E4B6384"/>
    <w:rsid w:val="3E5464DD"/>
    <w:rsid w:val="3E57191C"/>
    <w:rsid w:val="3E5775AE"/>
    <w:rsid w:val="3E5C09AC"/>
    <w:rsid w:val="3E625CA4"/>
    <w:rsid w:val="3E661AFE"/>
    <w:rsid w:val="3E6F3495"/>
    <w:rsid w:val="3E714349"/>
    <w:rsid w:val="3E834E7A"/>
    <w:rsid w:val="3E836EC1"/>
    <w:rsid w:val="3E857414"/>
    <w:rsid w:val="3E891EB1"/>
    <w:rsid w:val="3E917F4F"/>
    <w:rsid w:val="3E98049E"/>
    <w:rsid w:val="3E9D3134"/>
    <w:rsid w:val="3EA258DD"/>
    <w:rsid w:val="3EA50E4D"/>
    <w:rsid w:val="3EB05A3A"/>
    <w:rsid w:val="3EB45BC9"/>
    <w:rsid w:val="3EB65226"/>
    <w:rsid w:val="3EB83EF5"/>
    <w:rsid w:val="3EBA3BA5"/>
    <w:rsid w:val="3EBB2617"/>
    <w:rsid w:val="3EBE349F"/>
    <w:rsid w:val="3EC14230"/>
    <w:rsid w:val="3EC92E20"/>
    <w:rsid w:val="3ECE2038"/>
    <w:rsid w:val="3EDA0523"/>
    <w:rsid w:val="3EE04473"/>
    <w:rsid w:val="3EE35AB4"/>
    <w:rsid w:val="3EE511D5"/>
    <w:rsid w:val="3EEA66FD"/>
    <w:rsid w:val="3EEB5D9A"/>
    <w:rsid w:val="3EFD3830"/>
    <w:rsid w:val="3EFD6047"/>
    <w:rsid w:val="3F001E9C"/>
    <w:rsid w:val="3F0F4080"/>
    <w:rsid w:val="3F2B1EDA"/>
    <w:rsid w:val="3F2E4958"/>
    <w:rsid w:val="3F3440E2"/>
    <w:rsid w:val="3F352967"/>
    <w:rsid w:val="3F3B3A05"/>
    <w:rsid w:val="3F3F0339"/>
    <w:rsid w:val="3F414327"/>
    <w:rsid w:val="3F421E6D"/>
    <w:rsid w:val="3F426519"/>
    <w:rsid w:val="3F471C36"/>
    <w:rsid w:val="3F48797E"/>
    <w:rsid w:val="3F53421A"/>
    <w:rsid w:val="3F5477E5"/>
    <w:rsid w:val="3F5952D9"/>
    <w:rsid w:val="3F5E41AE"/>
    <w:rsid w:val="3F5F7E30"/>
    <w:rsid w:val="3F6162ED"/>
    <w:rsid w:val="3F6B7D3D"/>
    <w:rsid w:val="3F6D0D47"/>
    <w:rsid w:val="3F6E3AE1"/>
    <w:rsid w:val="3F706B3B"/>
    <w:rsid w:val="3F770767"/>
    <w:rsid w:val="3F7825DF"/>
    <w:rsid w:val="3F7A281C"/>
    <w:rsid w:val="3F8E5E40"/>
    <w:rsid w:val="3F906942"/>
    <w:rsid w:val="3F91256E"/>
    <w:rsid w:val="3F963C6B"/>
    <w:rsid w:val="3F965C0E"/>
    <w:rsid w:val="3FA3513F"/>
    <w:rsid w:val="3FA5488E"/>
    <w:rsid w:val="3FAD2CC5"/>
    <w:rsid w:val="3FB134EE"/>
    <w:rsid w:val="3FB3031F"/>
    <w:rsid w:val="3FB51B5F"/>
    <w:rsid w:val="3FB91D8E"/>
    <w:rsid w:val="3FB97CC5"/>
    <w:rsid w:val="3FBB2D37"/>
    <w:rsid w:val="3FBC4967"/>
    <w:rsid w:val="3FBC71C4"/>
    <w:rsid w:val="3FBE0133"/>
    <w:rsid w:val="3FC17F32"/>
    <w:rsid w:val="3FC60CAC"/>
    <w:rsid w:val="3FC66218"/>
    <w:rsid w:val="3FC77EBD"/>
    <w:rsid w:val="3FC83EA2"/>
    <w:rsid w:val="3FCB166A"/>
    <w:rsid w:val="3FCC0070"/>
    <w:rsid w:val="3FCE186E"/>
    <w:rsid w:val="3FD41774"/>
    <w:rsid w:val="3FD901E7"/>
    <w:rsid w:val="3FD978AC"/>
    <w:rsid w:val="3FDC40D7"/>
    <w:rsid w:val="3FDF76B6"/>
    <w:rsid w:val="3FE02804"/>
    <w:rsid w:val="3FE13597"/>
    <w:rsid w:val="3FE36BF0"/>
    <w:rsid w:val="3FE97B7A"/>
    <w:rsid w:val="3FEC539C"/>
    <w:rsid w:val="3FF042C0"/>
    <w:rsid w:val="3FF34D61"/>
    <w:rsid w:val="3FF73500"/>
    <w:rsid w:val="3FF83A7D"/>
    <w:rsid w:val="4000187F"/>
    <w:rsid w:val="400049AE"/>
    <w:rsid w:val="400105CE"/>
    <w:rsid w:val="40031939"/>
    <w:rsid w:val="40082C3D"/>
    <w:rsid w:val="40084389"/>
    <w:rsid w:val="400D5C25"/>
    <w:rsid w:val="401F42AB"/>
    <w:rsid w:val="40207018"/>
    <w:rsid w:val="40223D9C"/>
    <w:rsid w:val="402733CD"/>
    <w:rsid w:val="40273E70"/>
    <w:rsid w:val="402A78DE"/>
    <w:rsid w:val="403127E7"/>
    <w:rsid w:val="40326AD4"/>
    <w:rsid w:val="403D7F3D"/>
    <w:rsid w:val="404357E8"/>
    <w:rsid w:val="40476A4B"/>
    <w:rsid w:val="404C1973"/>
    <w:rsid w:val="404E24DC"/>
    <w:rsid w:val="40515786"/>
    <w:rsid w:val="40552F1F"/>
    <w:rsid w:val="405B689B"/>
    <w:rsid w:val="405F4219"/>
    <w:rsid w:val="40645B7A"/>
    <w:rsid w:val="40744198"/>
    <w:rsid w:val="40776473"/>
    <w:rsid w:val="407778AA"/>
    <w:rsid w:val="407A064B"/>
    <w:rsid w:val="407A6407"/>
    <w:rsid w:val="407C7577"/>
    <w:rsid w:val="407D453E"/>
    <w:rsid w:val="40807D4E"/>
    <w:rsid w:val="40855778"/>
    <w:rsid w:val="408744D5"/>
    <w:rsid w:val="408E018E"/>
    <w:rsid w:val="409F307C"/>
    <w:rsid w:val="40A12DB7"/>
    <w:rsid w:val="40A3110D"/>
    <w:rsid w:val="40A60C1E"/>
    <w:rsid w:val="40A67886"/>
    <w:rsid w:val="40A93D68"/>
    <w:rsid w:val="40AC3FA6"/>
    <w:rsid w:val="40B14339"/>
    <w:rsid w:val="40B54D98"/>
    <w:rsid w:val="40B718EE"/>
    <w:rsid w:val="40C21AFB"/>
    <w:rsid w:val="40C608DC"/>
    <w:rsid w:val="40C91463"/>
    <w:rsid w:val="40D5509C"/>
    <w:rsid w:val="40D61839"/>
    <w:rsid w:val="40DA2978"/>
    <w:rsid w:val="40DA695E"/>
    <w:rsid w:val="40EA436F"/>
    <w:rsid w:val="40EF40F8"/>
    <w:rsid w:val="40F518FA"/>
    <w:rsid w:val="40F81E85"/>
    <w:rsid w:val="40F97192"/>
    <w:rsid w:val="40FC5963"/>
    <w:rsid w:val="410676EB"/>
    <w:rsid w:val="41081DB6"/>
    <w:rsid w:val="410B6BF5"/>
    <w:rsid w:val="41115E46"/>
    <w:rsid w:val="411351F8"/>
    <w:rsid w:val="411556A4"/>
    <w:rsid w:val="41166126"/>
    <w:rsid w:val="411A372A"/>
    <w:rsid w:val="4122148B"/>
    <w:rsid w:val="41235086"/>
    <w:rsid w:val="4124193C"/>
    <w:rsid w:val="41247CB5"/>
    <w:rsid w:val="412661E4"/>
    <w:rsid w:val="412720E0"/>
    <w:rsid w:val="41273414"/>
    <w:rsid w:val="41327E55"/>
    <w:rsid w:val="41331F17"/>
    <w:rsid w:val="41457E00"/>
    <w:rsid w:val="41514908"/>
    <w:rsid w:val="4152230E"/>
    <w:rsid w:val="41547BDA"/>
    <w:rsid w:val="41596DB3"/>
    <w:rsid w:val="415C1EB6"/>
    <w:rsid w:val="415E2793"/>
    <w:rsid w:val="415E2C7B"/>
    <w:rsid w:val="415E7191"/>
    <w:rsid w:val="415F5DE9"/>
    <w:rsid w:val="41634121"/>
    <w:rsid w:val="4167755E"/>
    <w:rsid w:val="416940AB"/>
    <w:rsid w:val="416A7F7B"/>
    <w:rsid w:val="416C5BED"/>
    <w:rsid w:val="416D5D32"/>
    <w:rsid w:val="41713263"/>
    <w:rsid w:val="41757026"/>
    <w:rsid w:val="417758B6"/>
    <w:rsid w:val="417C4E03"/>
    <w:rsid w:val="417D64CA"/>
    <w:rsid w:val="417F15ED"/>
    <w:rsid w:val="41872CAD"/>
    <w:rsid w:val="418D79BA"/>
    <w:rsid w:val="419238C1"/>
    <w:rsid w:val="41953E2D"/>
    <w:rsid w:val="41A54B69"/>
    <w:rsid w:val="41A86B29"/>
    <w:rsid w:val="41AB405D"/>
    <w:rsid w:val="41B67E58"/>
    <w:rsid w:val="41B86004"/>
    <w:rsid w:val="41BD1308"/>
    <w:rsid w:val="41CA3EE0"/>
    <w:rsid w:val="41CC0A2C"/>
    <w:rsid w:val="41CD2CDB"/>
    <w:rsid w:val="41CE7151"/>
    <w:rsid w:val="41D32BB7"/>
    <w:rsid w:val="41D4747B"/>
    <w:rsid w:val="41DF25BC"/>
    <w:rsid w:val="41E26AA4"/>
    <w:rsid w:val="41E27F62"/>
    <w:rsid w:val="41E84316"/>
    <w:rsid w:val="41E9639C"/>
    <w:rsid w:val="41EB1EB1"/>
    <w:rsid w:val="41ED4BF1"/>
    <w:rsid w:val="41EF7C75"/>
    <w:rsid w:val="41F663A5"/>
    <w:rsid w:val="41FF5540"/>
    <w:rsid w:val="41FF74B5"/>
    <w:rsid w:val="4200449D"/>
    <w:rsid w:val="4200496B"/>
    <w:rsid w:val="4202326A"/>
    <w:rsid w:val="420934E9"/>
    <w:rsid w:val="420B2470"/>
    <w:rsid w:val="4216524F"/>
    <w:rsid w:val="4219158A"/>
    <w:rsid w:val="421A3A0A"/>
    <w:rsid w:val="42215C6C"/>
    <w:rsid w:val="422B7169"/>
    <w:rsid w:val="42325A38"/>
    <w:rsid w:val="423A3BCC"/>
    <w:rsid w:val="424438A2"/>
    <w:rsid w:val="424675A1"/>
    <w:rsid w:val="424847FA"/>
    <w:rsid w:val="424C75A7"/>
    <w:rsid w:val="424D7E18"/>
    <w:rsid w:val="424E4388"/>
    <w:rsid w:val="424E57D2"/>
    <w:rsid w:val="42581608"/>
    <w:rsid w:val="426407EC"/>
    <w:rsid w:val="427733FA"/>
    <w:rsid w:val="427C179C"/>
    <w:rsid w:val="427C7E15"/>
    <w:rsid w:val="428611BC"/>
    <w:rsid w:val="42872100"/>
    <w:rsid w:val="42892A46"/>
    <w:rsid w:val="428B4314"/>
    <w:rsid w:val="42947B33"/>
    <w:rsid w:val="42955892"/>
    <w:rsid w:val="42993E60"/>
    <w:rsid w:val="429D5CBD"/>
    <w:rsid w:val="42A77EFE"/>
    <w:rsid w:val="42AF6BF3"/>
    <w:rsid w:val="42B03543"/>
    <w:rsid w:val="42B15918"/>
    <w:rsid w:val="42B26C49"/>
    <w:rsid w:val="42B545D7"/>
    <w:rsid w:val="42B701BE"/>
    <w:rsid w:val="42BA285F"/>
    <w:rsid w:val="42BB1AE3"/>
    <w:rsid w:val="42BE1C29"/>
    <w:rsid w:val="42BF4B86"/>
    <w:rsid w:val="42C7239D"/>
    <w:rsid w:val="42C768B4"/>
    <w:rsid w:val="42CA355B"/>
    <w:rsid w:val="42E362A8"/>
    <w:rsid w:val="42E53332"/>
    <w:rsid w:val="42ED6A3A"/>
    <w:rsid w:val="42F10498"/>
    <w:rsid w:val="42F873D4"/>
    <w:rsid w:val="42FA7F69"/>
    <w:rsid w:val="43001EA7"/>
    <w:rsid w:val="430402D4"/>
    <w:rsid w:val="43082762"/>
    <w:rsid w:val="430C2E61"/>
    <w:rsid w:val="43141DB2"/>
    <w:rsid w:val="43156B0A"/>
    <w:rsid w:val="431D1F14"/>
    <w:rsid w:val="43224CF5"/>
    <w:rsid w:val="43226677"/>
    <w:rsid w:val="43250690"/>
    <w:rsid w:val="432642AF"/>
    <w:rsid w:val="432B4EAB"/>
    <w:rsid w:val="4337625F"/>
    <w:rsid w:val="433A6FE6"/>
    <w:rsid w:val="433E16C5"/>
    <w:rsid w:val="43480868"/>
    <w:rsid w:val="4350713C"/>
    <w:rsid w:val="43547093"/>
    <w:rsid w:val="435A3846"/>
    <w:rsid w:val="43614ACD"/>
    <w:rsid w:val="436653E0"/>
    <w:rsid w:val="43671C64"/>
    <w:rsid w:val="43680A80"/>
    <w:rsid w:val="436C34DE"/>
    <w:rsid w:val="436E281B"/>
    <w:rsid w:val="43713935"/>
    <w:rsid w:val="43734DE8"/>
    <w:rsid w:val="43795918"/>
    <w:rsid w:val="43801F7A"/>
    <w:rsid w:val="43826706"/>
    <w:rsid w:val="43854A89"/>
    <w:rsid w:val="438C025F"/>
    <w:rsid w:val="439079DA"/>
    <w:rsid w:val="439350EB"/>
    <w:rsid w:val="43941672"/>
    <w:rsid w:val="43954D6F"/>
    <w:rsid w:val="439C5734"/>
    <w:rsid w:val="43A0449F"/>
    <w:rsid w:val="43A054D4"/>
    <w:rsid w:val="43A3216F"/>
    <w:rsid w:val="43A45DF2"/>
    <w:rsid w:val="43A625D9"/>
    <w:rsid w:val="43A67822"/>
    <w:rsid w:val="43A90471"/>
    <w:rsid w:val="43B31566"/>
    <w:rsid w:val="43B70FE7"/>
    <w:rsid w:val="43B855D3"/>
    <w:rsid w:val="43BE32F0"/>
    <w:rsid w:val="43BF1F89"/>
    <w:rsid w:val="43C4431A"/>
    <w:rsid w:val="43C64821"/>
    <w:rsid w:val="43C76CBB"/>
    <w:rsid w:val="43CD706F"/>
    <w:rsid w:val="43D27424"/>
    <w:rsid w:val="43D32DF6"/>
    <w:rsid w:val="43DA7001"/>
    <w:rsid w:val="43E2113A"/>
    <w:rsid w:val="43E329C9"/>
    <w:rsid w:val="43E8510C"/>
    <w:rsid w:val="43E903BB"/>
    <w:rsid w:val="43EA3E82"/>
    <w:rsid w:val="43EA4683"/>
    <w:rsid w:val="43EB5792"/>
    <w:rsid w:val="43ED75AE"/>
    <w:rsid w:val="43EF02CA"/>
    <w:rsid w:val="43F62381"/>
    <w:rsid w:val="43FA5555"/>
    <w:rsid w:val="440602FF"/>
    <w:rsid w:val="44071038"/>
    <w:rsid w:val="442E0974"/>
    <w:rsid w:val="442F3834"/>
    <w:rsid w:val="443C7703"/>
    <w:rsid w:val="443F62BD"/>
    <w:rsid w:val="44402B80"/>
    <w:rsid w:val="444233CE"/>
    <w:rsid w:val="444417CB"/>
    <w:rsid w:val="444459E5"/>
    <w:rsid w:val="444B401C"/>
    <w:rsid w:val="444E5C54"/>
    <w:rsid w:val="444F0B9C"/>
    <w:rsid w:val="445F427D"/>
    <w:rsid w:val="4463434D"/>
    <w:rsid w:val="44685FDD"/>
    <w:rsid w:val="44695F5B"/>
    <w:rsid w:val="447276C4"/>
    <w:rsid w:val="44760447"/>
    <w:rsid w:val="447901C4"/>
    <w:rsid w:val="4479283F"/>
    <w:rsid w:val="447970E4"/>
    <w:rsid w:val="447B4B57"/>
    <w:rsid w:val="448278E3"/>
    <w:rsid w:val="448477DA"/>
    <w:rsid w:val="44883246"/>
    <w:rsid w:val="44934B79"/>
    <w:rsid w:val="44A01696"/>
    <w:rsid w:val="44A62F7F"/>
    <w:rsid w:val="44A6406C"/>
    <w:rsid w:val="44AC1586"/>
    <w:rsid w:val="44AC4047"/>
    <w:rsid w:val="44AC75F5"/>
    <w:rsid w:val="44AD381D"/>
    <w:rsid w:val="44AD7D24"/>
    <w:rsid w:val="44AF6FC1"/>
    <w:rsid w:val="44B14139"/>
    <w:rsid w:val="44B4223D"/>
    <w:rsid w:val="44B70A0E"/>
    <w:rsid w:val="44B715FE"/>
    <w:rsid w:val="44B951CC"/>
    <w:rsid w:val="44BA3D96"/>
    <w:rsid w:val="44C0395A"/>
    <w:rsid w:val="44C37286"/>
    <w:rsid w:val="44C85F29"/>
    <w:rsid w:val="44C93741"/>
    <w:rsid w:val="44CD14E0"/>
    <w:rsid w:val="44CE6CDC"/>
    <w:rsid w:val="44DE251B"/>
    <w:rsid w:val="44DF64C3"/>
    <w:rsid w:val="44E0379E"/>
    <w:rsid w:val="44E22640"/>
    <w:rsid w:val="44EF7017"/>
    <w:rsid w:val="44F20B0B"/>
    <w:rsid w:val="44F22379"/>
    <w:rsid w:val="44F52781"/>
    <w:rsid w:val="44F602D6"/>
    <w:rsid w:val="44F93282"/>
    <w:rsid w:val="44FD6B11"/>
    <w:rsid w:val="45044F0C"/>
    <w:rsid w:val="450535A9"/>
    <w:rsid w:val="45075B35"/>
    <w:rsid w:val="450A3405"/>
    <w:rsid w:val="450C0646"/>
    <w:rsid w:val="451332A4"/>
    <w:rsid w:val="451842E6"/>
    <w:rsid w:val="451A04C4"/>
    <w:rsid w:val="451F547C"/>
    <w:rsid w:val="451F5652"/>
    <w:rsid w:val="45252CFE"/>
    <w:rsid w:val="45270C2F"/>
    <w:rsid w:val="452E5F4C"/>
    <w:rsid w:val="45315FCB"/>
    <w:rsid w:val="453A53B5"/>
    <w:rsid w:val="453C6847"/>
    <w:rsid w:val="45401FE7"/>
    <w:rsid w:val="454422CF"/>
    <w:rsid w:val="45462E84"/>
    <w:rsid w:val="454876BE"/>
    <w:rsid w:val="454F202D"/>
    <w:rsid w:val="454F630E"/>
    <w:rsid w:val="4555404A"/>
    <w:rsid w:val="455D1A89"/>
    <w:rsid w:val="455E2A33"/>
    <w:rsid w:val="455F3F55"/>
    <w:rsid w:val="456037C6"/>
    <w:rsid w:val="45612018"/>
    <w:rsid w:val="456307B3"/>
    <w:rsid w:val="45660B74"/>
    <w:rsid w:val="45674750"/>
    <w:rsid w:val="4567663A"/>
    <w:rsid w:val="456874FA"/>
    <w:rsid w:val="45703E50"/>
    <w:rsid w:val="457D2ED0"/>
    <w:rsid w:val="457D5CBA"/>
    <w:rsid w:val="458041DB"/>
    <w:rsid w:val="45830C3C"/>
    <w:rsid w:val="458946E9"/>
    <w:rsid w:val="458A6AD9"/>
    <w:rsid w:val="45911A7A"/>
    <w:rsid w:val="459B418C"/>
    <w:rsid w:val="459D6B9F"/>
    <w:rsid w:val="459F6CCD"/>
    <w:rsid w:val="459F6EA9"/>
    <w:rsid w:val="45A01C48"/>
    <w:rsid w:val="45A47C0E"/>
    <w:rsid w:val="45A956F8"/>
    <w:rsid w:val="45AD77FA"/>
    <w:rsid w:val="45BE38B1"/>
    <w:rsid w:val="45C202AC"/>
    <w:rsid w:val="45C945E2"/>
    <w:rsid w:val="45CF3C3D"/>
    <w:rsid w:val="45D63A8E"/>
    <w:rsid w:val="45D7163B"/>
    <w:rsid w:val="45E23010"/>
    <w:rsid w:val="45E826E9"/>
    <w:rsid w:val="45E95D1C"/>
    <w:rsid w:val="45EB2B3C"/>
    <w:rsid w:val="45EE202D"/>
    <w:rsid w:val="45EE366F"/>
    <w:rsid w:val="45EF2ECE"/>
    <w:rsid w:val="45F8443D"/>
    <w:rsid w:val="460558B1"/>
    <w:rsid w:val="460A562F"/>
    <w:rsid w:val="46106F89"/>
    <w:rsid w:val="46164E0A"/>
    <w:rsid w:val="46171B91"/>
    <w:rsid w:val="46180E1F"/>
    <w:rsid w:val="461E024B"/>
    <w:rsid w:val="462215A0"/>
    <w:rsid w:val="46225FA4"/>
    <w:rsid w:val="46287242"/>
    <w:rsid w:val="462C4742"/>
    <w:rsid w:val="462F64BC"/>
    <w:rsid w:val="46345080"/>
    <w:rsid w:val="464604AC"/>
    <w:rsid w:val="4646248E"/>
    <w:rsid w:val="46491495"/>
    <w:rsid w:val="464B3A02"/>
    <w:rsid w:val="464B51C2"/>
    <w:rsid w:val="464E13FA"/>
    <w:rsid w:val="464F0231"/>
    <w:rsid w:val="465217FB"/>
    <w:rsid w:val="465363A5"/>
    <w:rsid w:val="46555DC1"/>
    <w:rsid w:val="46577FD6"/>
    <w:rsid w:val="465F12C1"/>
    <w:rsid w:val="466246D9"/>
    <w:rsid w:val="46676AC1"/>
    <w:rsid w:val="4668293B"/>
    <w:rsid w:val="467D6263"/>
    <w:rsid w:val="467E07A1"/>
    <w:rsid w:val="467F0902"/>
    <w:rsid w:val="468303A8"/>
    <w:rsid w:val="46835ECE"/>
    <w:rsid w:val="468411E6"/>
    <w:rsid w:val="4688255B"/>
    <w:rsid w:val="468B00CF"/>
    <w:rsid w:val="468C7575"/>
    <w:rsid w:val="468D2DDE"/>
    <w:rsid w:val="469A1BEA"/>
    <w:rsid w:val="469B346F"/>
    <w:rsid w:val="469C4F56"/>
    <w:rsid w:val="469D606A"/>
    <w:rsid w:val="46A4117C"/>
    <w:rsid w:val="46A90DB1"/>
    <w:rsid w:val="46A94046"/>
    <w:rsid w:val="46AB36FE"/>
    <w:rsid w:val="46B23681"/>
    <w:rsid w:val="46B77F15"/>
    <w:rsid w:val="46BE370D"/>
    <w:rsid w:val="46C15515"/>
    <w:rsid w:val="46C17644"/>
    <w:rsid w:val="46CB4F1A"/>
    <w:rsid w:val="46D955A7"/>
    <w:rsid w:val="46DB52EA"/>
    <w:rsid w:val="46E01458"/>
    <w:rsid w:val="46E1475F"/>
    <w:rsid w:val="46E33D33"/>
    <w:rsid w:val="46ED6C8F"/>
    <w:rsid w:val="46EF74EB"/>
    <w:rsid w:val="46F063C7"/>
    <w:rsid w:val="46F454F5"/>
    <w:rsid w:val="46FA3745"/>
    <w:rsid w:val="46FC66A0"/>
    <w:rsid w:val="46FE6D3A"/>
    <w:rsid w:val="470614EA"/>
    <w:rsid w:val="47065D92"/>
    <w:rsid w:val="47065FED"/>
    <w:rsid w:val="4707248A"/>
    <w:rsid w:val="47086C71"/>
    <w:rsid w:val="47100C79"/>
    <w:rsid w:val="47102C52"/>
    <w:rsid w:val="4710711A"/>
    <w:rsid w:val="47133957"/>
    <w:rsid w:val="4716102E"/>
    <w:rsid w:val="47170C79"/>
    <w:rsid w:val="471B3FAD"/>
    <w:rsid w:val="472339B3"/>
    <w:rsid w:val="472B7282"/>
    <w:rsid w:val="47300708"/>
    <w:rsid w:val="473363E7"/>
    <w:rsid w:val="4736460C"/>
    <w:rsid w:val="473960E0"/>
    <w:rsid w:val="473A5791"/>
    <w:rsid w:val="473A6BC6"/>
    <w:rsid w:val="473D4464"/>
    <w:rsid w:val="47493B1F"/>
    <w:rsid w:val="474A59D2"/>
    <w:rsid w:val="474E1E5A"/>
    <w:rsid w:val="47551FE3"/>
    <w:rsid w:val="475A7DB0"/>
    <w:rsid w:val="47600CE4"/>
    <w:rsid w:val="476269EB"/>
    <w:rsid w:val="47650AF8"/>
    <w:rsid w:val="476864E5"/>
    <w:rsid w:val="47722E78"/>
    <w:rsid w:val="47747372"/>
    <w:rsid w:val="477A76D7"/>
    <w:rsid w:val="477B082A"/>
    <w:rsid w:val="47835B6C"/>
    <w:rsid w:val="478A1D18"/>
    <w:rsid w:val="478E515E"/>
    <w:rsid w:val="47915E49"/>
    <w:rsid w:val="479236A7"/>
    <w:rsid w:val="479703A6"/>
    <w:rsid w:val="479D0475"/>
    <w:rsid w:val="479D07C6"/>
    <w:rsid w:val="47A07E0C"/>
    <w:rsid w:val="47A33616"/>
    <w:rsid w:val="47A609E9"/>
    <w:rsid w:val="47A740F5"/>
    <w:rsid w:val="47A820B5"/>
    <w:rsid w:val="47AB0A10"/>
    <w:rsid w:val="47AC20A4"/>
    <w:rsid w:val="47AC3156"/>
    <w:rsid w:val="47AF09E8"/>
    <w:rsid w:val="47BC0538"/>
    <w:rsid w:val="47BE6378"/>
    <w:rsid w:val="47C51003"/>
    <w:rsid w:val="47CB7570"/>
    <w:rsid w:val="47D07A69"/>
    <w:rsid w:val="47D37DC8"/>
    <w:rsid w:val="47E17E01"/>
    <w:rsid w:val="47E76E62"/>
    <w:rsid w:val="47E8206C"/>
    <w:rsid w:val="47EB2FB8"/>
    <w:rsid w:val="47F030DA"/>
    <w:rsid w:val="47F262E8"/>
    <w:rsid w:val="47F51F54"/>
    <w:rsid w:val="47F73236"/>
    <w:rsid w:val="47F77D12"/>
    <w:rsid w:val="47F84EF6"/>
    <w:rsid w:val="47FB03B8"/>
    <w:rsid w:val="47FD1CA3"/>
    <w:rsid w:val="47FE5E33"/>
    <w:rsid w:val="48010546"/>
    <w:rsid w:val="48023016"/>
    <w:rsid w:val="48053884"/>
    <w:rsid w:val="4805783E"/>
    <w:rsid w:val="4807236B"/>
    <w:rsid w:val="48076462"/>
    <w:rsid w:val="48166037"/>
    <w:rsid w:val="481E6916"/>
    <w:rsid w:val="482363A7"/>
    <w:rsid w:val="48246143"/>
    <w:rsid w:val="48266D1A"/>
    <w:rsid w:val="48283121"/>
    <w:rsid w:val="4829134B"/>
    <w:rsid w:val="482915BE"/>
    <w:rsid w:val="482D1D28"/>
    <w:rsid w:val="482D5DFC"/>
    <w:rsid w:val="482F2371"/>
    <w:rsid w:val="483073A5"/>
    <w:rsid w:val="48314AAC"/>
    <w:rsid w:val="483341F1"/>
    <w:rsid w:val="483623E9"/>
    <w:rsid w:val="483626AA"/>
    <w:rsid w:val="48376872"/>
    <w:rsid w:val="483A55DC"/>
    <w:rsid w:val="483E66E6"/>
    <w:rsid w:val="483F0743"/>
    <w:rsid w:val="484C25B1"/>
    <w:rsid w:val="48520833"/>
    <w:rsid w:val="48534A1B"/>
    <w:rsid w:val="48545496"/>
    <w:rsid w:val="48564098"/>
    <w:rsid w:val="4860126A"/>
    <w:rsid w:val="48624E6D"/>
    <w:rsid w:val="4864303C"/>
    <w:rsid w:val="48665BF4"/>
    <w:rsid w:val="486E4FB7"/>
    <w:rsid w:val="4870272E"/>
    <w:rsid w:val="487105C9"/>
    <w:rsid w:val="48713152"/>
    <w:rsid w:val="4873354E"/>
    <w:rsid w:val="48756442"/>
    <w:rsid w:val="487A7716"/>
    <w:rsid w:val="48851A2A"/>
    <w:rsid w:val="488642E5"/>
    <w:rsid w:val="488A3637"/>
    <w:rsid w:val="488E69DA"/>
    <w:rsid w:val="489204C2"/>
    <w:rsid w:val="4895013A"/>
    <w:rsid w:val="4897312B"/>
    <w:rsid w:val="48997DFB"/>
    <w:rsid w:val="489A0679"/>
    <w:rsid w:val="489B338B"/>
    <w:rsid w:val="48A90BC0"/>
    <w:rsid w:val="48A918B3"/>
    <w:rsid w:val="48A93303"/>
    <w:rsid w:val="48A94B5A"/>
    <w:rsid w:val="48A96612"/>
    <w:rsid w:val="48AB0A1E"/>
    <w:rsid w:val="48B410C9"/>
    <w:rsid w:val="48B441BC"/>
    <w:rsid w:val="48B54549"/>
    <w:rsid w:val="48B8746B"/>
    <w:rsid w:val="48BF5B03"/>
    <w:rsid w:val="48C35F11"/>
    <w:rsid w:val="48C636B4"/>
    <w:rsid w:val="48C70671"/>
    <w:rsid w:val="48D10BEF"/>
    <w:rsid w:val="48D11220"/>
    <w:rsid w:val="48D434BA"/>
    <w:rsid w:val="48DA4A51"/>
    <w:rsid w:val="48E16101"/>
    <w:rsid w:val="48E574E8"/>
    <w:rsid w:val="48ED5212"/>
    <w:rsid w:val="48EF130B"/>
    <w:rsid w:val="48FE1519"/>
    <w:rsid w:val="490959ED"/>
    <w:rsid w:val="490A6B6B"/>
    <w:rsid w:val="490C513E"/>
    <w:rsid w:val="49196423"/>
    <w:rsid w:val="491A1E1C"/>
    <w:rsid w:val="491C181A"/>
    <w:rsid w:val="491F6260"/>
    <w:rsid w:val="49203142"/>
    <w:rsid w:val="49235C4B"/>
    <w:rsid w:val="49273864"/>
    <w:rsid w:val="49290C17"/>
    <w:rsid w:val="492C71BA"/>
    <w:rsid w:val="492D1C35"/>
    <w:rsid w:val="493540D6"/>
    <w:rsid w:val="49360129"/>
    <w:rsid w:val="493A7749"/>
    <w:rsid w:val="493D3232"/>
    <w:rsid w:val="49443DD3"/>
    <w:rsid w:val="49445034"/>
    <w:rsid w:val="49456890"/>
    <w:rsid w:val="49463465"/>
    <w:rsid w:val="4949422D"/>
    <w:rsid w:val="494A2D45"/>
    <w:rsid w:val="494A55EC"/>
    <w:rsid w:val="49522A09"/>
    <w:rsid w:val="49543DA4"/>
    <w:rsid w:val="49596635"/>
    <w:rsid w:val="495D2D89"/>
    <w:rsid w:val="4962686E"/>
    <w:rsid w:val="49645984"/>
    <w:rsid w:val="496C17D8"/>
    <w:rsid w:val="496D4BE4"/>
    <w:rsid w:val="496F4AF1"/>
    <w:rsid w:val="496F65BD"/>
    <w:rsid w:val="49700D8D"/>
    <w:rsid w:val="49835092"/>
    <w:rsid w:val="49850A66"/>
    <w:rsid w:val="49915BE2"/>
    <w:rsid w:val="4992564B"/>
    <w:rsid w:val="499B67FE"/>
    <w:rsid w:val="499F09F5"/>
    <w:rsid w:val="49A416E5"/>
    <w:rsid w:val="49A934D0"/>
    <w:rsid w:val="49B51EF7"/>
    <w:rsid w:val="49B657D4"/>
    <w:rsid w:val="49B97FDF"/>
    <w:rsid w:val="49BB2096"/>
    <w:rsid w:val="49BC236F"/>
    <w:rsid w:val="49C263D8"/>
    <w:rsid w:val="49C8434C"/>
    <w:rsid w:val="49CB6D65"/>
    <w:rsid w:val="49CD3240"/>
    <w:rsid w:val="49CF703C"/>
    <w:rsid w:val="49D17085"/>
    <w:rsid w:val="49D1729B"/>
    <w:rsid w:val="49D52195"/>
    <w:rsid w:val="49DB2AA1"/>
    <w:rsid w:val="49DC328E"/>
    <w:rsid w:val="49DC7715"/>
    <w:rsid w:val="49DD372C"/>
    <w:rsid w:val="49DE69A4"/>
    <w:rsid w:val="49E41095"/>
    <w:rsid w:val="49E63451"/>
    <w:rsid w:val="49EB0181"/>
    <w:rsid w:val="49EC40FC"/>
    <w:rsid w:val="49ED730A"/>
    <w:rsid w:val="49F216EF"/>
    <w:rsid w:val="49F6200C"/>
    <w:rsid w:val="49F77823"/>
    <w:rsid w:val="49FA564E"/>
    <w:rsid w:val="4A023139"/>
    <w:rsid w:val="4A086A00"/>
    <w:rsid w:val="4A1041B5"/>
    <w:rsid w:val="4A1043EB"/>
    <w:rsid w:val="4A122186"/>
    <w:rsid w:val="4A12596F"/>
    <w:rsid w:val="4A15569E"/>
    <w:rsid w:val="4A1560C9"/>
    <w:rsid w:val="4A1D6F1C"/>
    <w:rsid w:val="4A1D75CD"/>
    <w:rsid w:val="4A1E0602"/>
    <w:rsid w:val="4A1F6C19"/>
    <w:rsid w:val="4A1F7F17"/>
    <w:rsid w:val="4A291E1C"/>
    <w:rsid w:val="4A2B1597"/>
    <w:rsid w:val="4A2C1D18"/>
    <w:rsid w:val="4A2E6034"/>
    <w:rsid w:val="4A3414F2"/>
    <w:rsid w:val="4A365E4E"/>
    <w:rsid w:val="4A395864"/>
    <w:rsid w:val="4A3F2031"/>
    <w:rsid w:val="4A426F7C"/>
    <w:rsid w:val="4A437899"/>
    <w:rsid w:val="4A49082D"/>
    <w:rsid w:val="4A4A6C8A"/>
    <w:rsid w:val="4A536F95"/>
    <w:rsid w:val="4A55356F"/>
    <w:rsid w:val="4A57312F"/>
    <w:rsid w:val="4A5A4FB8"/>
    <w:rsid w:val="4A5A5816"/>
    <w:rsid w:val="4A5E146B"/>
    <w:rsid w:val="4A64080D"/>
    <w:rsid w:val="4A657EA5"/>
    <w:rsid w:val="4A670F74"/>
    <w:rsid w:val="4A693FDC"/>
    <w:rsid w:val="4A7A4F03"/>
    <w:rsid w:val="4A7B576F"/>
    <w:rsid w:val="4A80557D"/>
    <w:rsid w:val="4A824840"/>
    <w:rsid w:val="4A835D61"/>
    <w:rsid w:val="4A850940"/>
    <w:rsid w:val="4A872B11"/>
    <w:rsid w:val="4A8C3930"/>
    <w:rsid w:val="4A8C3A1A"/>
    <w:rsid w:val="4A8E3931"/>
    <w:rsid w:val="4A907528"/>
    <w:rsid w:val="4A9356CA"/>
    <w:rsid w:val="4A9412BC"/>
    <w:rsid w:val="4A982C38"/>
    <w:rsid w:val="4A9B5727"/>
    <w:rsid w:val="4AA37863"/>
    <w:rsid w:val="4AA43E62"/>
    <w:rsid w:val="4AA81958"/>
    <w:rsid w:val="4AAD7429"/>
    <w:rsid w:val="4AB03364"/>
    <w:rsid w:val="4AB80E24"/>
    <w:rsid w:val="4AB84A4C"/>
    <w:rsid w:val="4ABB578F"/>
    <w:rsid w:val="4ABF4A2E"/>
    <w:rsid w:val="4AC06F51"/>
    <w:rsid w:val="4AC3550E"/>
    <w:rsid w:val="4AC360F8"/>
    <w:rsid w:val="4AC6203F"/>
    <w:rsid w:val="4ACE2433"/>
    <w:rsid w:val="4ADD11BD"/>
    <w:rsid w:val="4AE93791"/>
    <w:rsid w:val="4AEE0934"/>
    <w:rsid w:val="4AF52C6B"/>
    <w:rsid w:val="4AF561A9"/>
    <w:rsid w:val="4AFA1729"/>
    <w:rsid w:val="4AFE61CA"/>
    <w:rsid w:val="4B005C75"/>
    <w:rsid w:val="4B0A7F5A"/>
    <w:rsid w:val="4B0B32FB"/>
    <w:rsid w:val="4B0D735E"/>
    <w:rsid w:val="4B0F32DE"/>
    <w:rsid w:val="4B174237"/>
    <w:rsid w:val="4B193B16"/>
    <w:rsid w:val="4B1B3CD1"/>
    <w:rsid w:val="4B1D6CE7"/>
    <w:rsid w:val="4B1F5270"/>
    <w:rsid w:val="4B2032A7"/>
    <w:rsid w:val="4B265266"/>
    <w:rsid w:val="4B2F73DE"/>
    <w:rsid w:val="4B311276"/>
    <w:rsid w:val="4B3A08F8"/>
    <w:rsid w:val="4B3F5E23"/>
    <w:rsid w:val="4B4436EC"/>
    <w:rsid w:val="4B477F57"/>
    <w:rsid w:val="4B4D3396"/>
    <w:rsid w:val="4B514C06"/>
    <w:rsid w:val="4B557CE9"/>
    <w:rsid w:val="4B587D9B"/>
    <w:rsid w:val="4B596A50"/>
    <w:rsid w:val="4B5C3DEF"/>
    <w:rsid w:val="4B5D54F5"/>
    <w:rsid w:val="4B5F0D7F"/>
    <w:rsid w:val="4B6F0F7D"/>
    <w:rsid w:val="4B6F5AF2"/>
    <w:rsid w:val="4B703E41"/>
    <w:rsid w:val="4B711D31"/>
    <w:rsid w:val="4B7421E4"/>
    <w:rsid w:val="4B777FE6"/>
    <w:rsid w:val="4B7E62AE"/>
    <w:rsid w:val="4B82366D"/>
    <w:rsid w:val="4B840650"/>
    <w:rsid w:val="4B8C2111"/>
    <w:rsid w:val="4B915FE0"/>
    <w:rsid w:val="4B9A1009"/>
    <w:rsid w:val="4B9C41DA"/>
    <w:rsid w:val="4B9D28D6"/>
    <w:rsid w:val="4BA37974"/>
    <w:rsid w:val="4BA541FE"/>
    <w:rsid w:val="4BA86503"/>
    <w:rsid w:val="4BAB1C93"/>
    <w:rsid w:val="4BAC0A2C"/>
    <w:rsid w:val="4BB351C4"/>
    <w:rsid w:val="4BB671EC"/>
    <w:rsid w:val="4BBD538D"/>
    <w:rsid w:val="4BC2238C"/>
    <w:rsid w:val="4BC272F5"/>
    <w:rsid w:val="4BC4659A"/>
    <w:rsid w:val="4BCC2ADB"/>
    <w:rsid w:val="4BD765DC"/>
    <w:rsid w:val="4BD91283"/>
    <w:rsid w:val="4BDC09B1"/>
    <w:rsid w:val="4BDC7222"/>
    <w:rsid w:val="4BE12420"/>
    <w:rsid w:val="4BE7644A"/>
    <w:rsid w:val="4BE81BB6"/>
    <w:rsid w:val="4BED2F72"/>
    <w:rsid w:val="4BF32D38"/>
    <w:rsid w:val="4BFA4F91"/>
    <w:rsid w:val="4BFC65E4"/>
    <w:rsid w:val="4C006F8F"/>
    <w:rsid w:val="4C02109A"/>
    <w:rsid w:val="4C051275"/>
    <w:rsid w:val="4C064202"/>
    <w:rsid w:val="4C0C7639"/>
    <w:rsid w:val="4C146DF2"/>
    <w:rsid w:val="4C1B5005"/>
    <w:rsid w:val="4C263B85"/>
    <w:rsid w:val="4C265B41"/>
    <w:rsid w:val="4C2779D8"/>
    <w:rsid w:val="4C2A3236"/>
    <w:rsid w:val="4C2B5CE5"/>
    <w:rsid w:val="4C312F94"/>
    <w:rsid w:val="4C3B2B60"/>
    <w:rsid w:val="4C3E024A"/>
    <w:rsid w:val="4C415CBC"/>
    <w:rsid w:val="4C42124D"/>
    <w:rsid w:val="4C4549F3"/>
    <w:rsid w:val="4C4A0649"/>
    <w:rsid w:val="4C4C0B59"/>
    <w:rsid w:val="4C4F44E0"/>
    <w:rsid w:val="4C51295E"/>
    <w:rsid w:val="4C5B19F2"/>
    <w:rsid w:val="4C5E075F"/>
    <w:rsid w:val="4C610C40"/>
    <w:rsid w:val="4C642A9C"/>
    <w:rsid w:val="4C655C38"/>
    <w:rsid w:val="4C672CA1"/>
    <w:rsid w:val="4C763395"/>
    <w:rsid w:val="4C7E5ECA"/>
    <w:rsid w:val="4C7F6D5F"/>
    <w:rsid w:val="4C8228EC"/>
    <w:rsid w:val="4C8342D6"/>
    <w:rsid w:val="4C876AA5"/>
    <w:rsid w:val="4C8A393F"/>
    <w:rsid w:val="4C8A6D01"/>
    <w:rsid w:val="4C8C48AD"/>
    <w:rsid w:val="4C8D4C83"/>
    <w:rsid w:val="4C8E4DE0"/>
    <w:rsid w:val="4C9C1E00"/>
    <w:rsid w:val="4CA31A1F"/>
    <w:rsid w:val="4CA403A5"/>
    <w:rsid w:val="4CA50795"/>
    <w:rsid w:val="4CA65B7C"/>
    <w:rsid w:val="4CA7133A"/>
    <w:rsid w:val="4CB26EC3"/>
    <w:rsid w:val="4CB42BA3"/>
    <w:rsid w:val="4CB8781C"/>
    <w:rsid w:val="4CBA6F6F"/>
    <w:rsid w:val="4CBB676B"/>
    <w:rsid w:val="4CBD1537"/>
    <w:rsid w:val="4CBF1816"/>
    <w:rsid w:val="4CC11AAC"/>
    <w:rsid w:val="4CC629E0"/>
    <w:rsid w:val="4CC66A0B"/>
    <w:rsid w:val="4CCB0B1D"/>
    <w:rsid w:val="4CCD47B3"/>
    <w:rsid w:val="4CD06463"/>
    <w:rsid w:val="4CD2278F"/>
    <w:rsid w:val="4CD67149"/>
    <w:rsid w:val="4CDA1F39"/>
    <w:rsid w:val="4CDA3C16"/>
    <w:rsid w:val="4CDD6F9E"/>
    <w:rsid w:val="4CE02E68"/>
    <w:rsid w:val="4CE3352B"/>
    <w:rsid w:val="4CE62BE1"/>
    <w:rsid w:val="4CE6632A"/>
    <w:rsid w:val="4CE870B0"/>
    <w:rsid w:val="4CE96BB4"/>
    <w:rsid w:val="4CEF69D2"/>
    <w:rsid w:val="4CF229BF"/>
    <w:rsid w:val="4CF275F0"/>
    <w:rsid w:val="4CF31A5F"/>
    <w:rsid w:val="4CF77375"/>
    <w:rsid w:val="4CFE5958"/>
    <w:rsid w:val="4D071DCE"/>
    <w:rsid w:val="4D094532"/>
    <w:rsid w:val="4D0A28DB"/>
    <w:rsid w:val="4D0E00FB"/>
    <w:rsid w:val="4D12731A"/>
    <w:rsid w:val="4D13016D"/>
    <w:rsid w:val="4D164B46"/>
    <w:rsid w:val="4D176606"/>
    <w:rsid w:val="4D1D37EB"/>
    <w:rsid w:val="4D230C3D"/>
    <w:rsid w:val="4D25512D"/>
    <w:rsid w:val="4D277824"/>
    <w:rsid w:val="4D290C8C"/>
    <w:rsid w:val="4D2D6B6E"/>
    <w:rsid w:val="4D2E3BB4"/>
    <w:rsid w:val="4D3207A6"/>
    <w:rsid w:val="4D3444B9"/>
    <w:rsid w:val="4D374DF4"/>
    <w:rsid w:val="4D3B2C88"/>
    <w:rsid w:val="4D3E3BEE"/>
    <w:rsid w:val="4D433C4F"/>
    <w:rsid w:val="4D44211D"/>
    <w:rsid w:val="4D5643CD"/>
    <w:rsid w:val="4D67101A"/>
    <w:rsid w:val="4D6A1485"/>
    <w:rsid w:val="4D6C2E2E"/>
    <w:rsid w:val="4D6D36E9"/>
    <w:rsid w:val="4D6D4152"/>
    <w:rsid w:val="4D70000B"/>
    <w:rsid w:val="4D70745F"/>
    <w:rsid w:val="4D76412C"/>
    <w:rsid w:val="4D765225"/>
    <w:rsid w:val="4D7C61D4"/>
    <w:rsid w:val="4D7D7417"/>
    <w:rsid w:val="4D7F788D"/>
    <w:rsid w:val="4D817CCC"/>
    <w:rsid w:val="4D830A1B"/>
    <w:rsid w:val="4D897143"/>
    <w:rsid w:val="4D8E5932"/>
    <w:rsid w:val="4D9A2D85"/>
    <w:rsid w:val="4DA00147"/>
    <w:rsid w:val="4DA003AF"/>
    <w:rsid w:val="4DA22937"/>
    <w:rsid w:val="4DA31C02"/>
    <w:rsid w:val="4DC056FF"/>
    <w:rsid w:val="4DC1786F"/>
    <w:rsid w:val="4DC27573"/>
    <w:rsid w:val="4DC869F7"/>
    <w:rsid w:val="4DCA39F0"/>
    <w:rsid w:val="4DCD13BE"/>
    <w:rsid w:val="4DCD2B04"/>
    <w:rsid w:val="4DD150D4"/>
    <w:rsid w:val="4DD54F78"/>
    <w:rsid w:val="4DD63225"/>
    <w:rsid w:val="4DDC1915"/>
    <w:rsid w:val="4DE26AF9"/>
    <w:rsid w:val="4DE45F87"/>
    <w:rsid w:val="4DE82331"/>
    <w:rsid w:val="4DE92789"/>
    <w:rsid w:val="4DEC4FB0"/>
    <w:rsid w:val="4DF01514"/>
    <w:rsid w:val="4DF55085"/>
    <w:rsid w:val="4E0054FA"/>
    <w:rsid w:val="4E006F7A"/>
    <w:rsid w:val="4E020C57"/>
    <w:rsid w:val="4E041183"/>
    <w:rsid w:val="4E075D8A"/>
    <w:rsid w:val="4E0841DF"/>
    <w:rsid w:val="4E085CB3"/>
    <w:rsid w:val="4E0C6079"/>
    <w:rsid w:val="4E1327CB"/>
    <w:rsid w:val="4E1776FB"/>
    <w:rsid w:val="4E18191E"/>
    <w:rsid w:val="4E1A3B2A"/>
    <w:rsid w:val="4E1B76AC"/>
    <w:rsid w:val="4E1C5E23"/>
    <w:rsid w:val="4E1C7699"/>
    <w:rsid w:val="4E2329ED"/>
    <w:rsid w:val="4E280576"/>
    <w:rsid w:val="4E2810AA"/>
    <w:rsid w:val="4E2D0677"/>
    <w:rsid w:val="4E2E7513"/>
    <w:rsid w:val="4E303A42"/>
    <w:rsid w:val="4E342A8F"/>
    <w:rsid w:val="4E364870"/>
    <w:rsid w:val="4E38652B"/>
    <w:rsid w:val="4E3E763A"/>
    <w:rsid w:val="4E49005E"/>
    <w:rsid w:val="4E4B27D1"/>
    <w:rsid w:val="4E53751B"/>
    <w:rsid w:val="4E5D6C06"/>
    <w:rsid w:val="4E5F401B"/>
    <w:rsid w:val="4E60594F"/>
    <w:rsid w:val="4E623711"/>
    <w:rsid w:val="4E6B6C74"/>
    <w:rsid w:val="4E6E23F5"/>
    <w:rsid w:val="4E6F1974"/>
    <w:rsid w:val="4E736FC3"/>
    <w:rsid w:val="4E7D47E5"/>
    <w:rsid w:val="4E870219"/>
    <w:rsid w:val="4E8B70EE"/>
    <w:rsid w:val="4E8E32B9"/>
    <w:rsid w:val="4E976105"/>
    <w:rsid w:val="4E9B2A7A"/>
    <w:rsid w:val="4E9B3ECA"/>
    <w:rsid w:val="4E9C134D"/>
    <w:rsid w:val="4E9E573D"/>
    <w:rsid w:val="4EA535DF"/>
    <w:rsid w:val="4EA71915"/>
    <w:rsid w:val="4EA807AC"/>
    <w:rsid w:val="4EA90CE2"/>
    <w:rsid w:val="4EA937DE"/>
    <w:rsid w:val="4EAA474F"/>
    <w:rsid w:val="4EB40028"/>
    <w:rsid w:val="4EB93C84"/>
    <w:rsid w:val="4EBF3CB1"/>
    <w:rsid w:val="4EC00FAD"/>
    <w:rsid w:val="4EC17F78"/>
    <w:rsid w:val="4EC45292"/>
    <w:rsid w:val="4ECB199B"/>
    <w:rsid w:val="4ECD40A0"/>
    <w:rsid w:val="4ECF70DF"/>
    <w:rsid w:val="4ED545EC"/>
    <w:rsid w:val="4ED56A88"/>
    <w:rsid w:val="4EDA66E7"/>
    <w:rsid w:val="4EE04253"/>
    <w:rsid w:val="4EE51C05"/>
    <w:rsid w:val="4EE93BAA"/>
    <w:rsid w:val="4EEA4583"/>
    <w:rsid w:val="4EEB3BF4"/>
    <w:rsid w:val="4EF0704B"/>
    <w:rsid w:val="4EF31387"/>
    <w:rsid w:val="4EF82820"/>
    <w:rsid w:val="4EFB1D77"/>
    <w:rsid w:val="4F0B091D"/>
    <w:rsid w:val="4F0C2EB2"/>
    <w:rsid w:val="4F0E52B7"/>
    <w:rsid w:val="4F0F1A6F"/>
    <w:rsid w:val="4F110362"/>
    <w:rsid w:val="4F1749C5"/>
    <w:rsid w:val="4F175E0F"/>
    <w:rsid w:val="4F1B45F6"/>
    <w:rsid w:val="4F1C1CCB"/>
    <w:rsid w:val="4F1D4706"/>
    <w:rsid w:val="4F1E5D85"/>
    <w:rsid w:val="4F1E7268"/>
    <w:rsid w:val="4F21562B"/>
    <w:rsid w:val="4F240D56"/>
    <w:rsid w:val="4F243C2B"/>
    <w:rsid w:val="4F246131"/>
    <w:rsid w:val="4F281EA7"/>
    <w:rsid w:val="4F2E460C"/>
    <w:rsid w:val="4F3126A1"/>
    <w:rsid w:val="4F371226"/>
    <w:rsid w:val="4F3B0740"/>
    <w:rsid w:val="4F3C4504"/>
    <w:rsid w:val="4F3E34F4"/>
    <w:rsid w:val="4F4A0CC0"/>
    <w:rsid w:val="4F4B1EF9"/>
    <w:rsid w:val="4F561667"/>
    <w:rsid w:val="4F5A3967"/>
    <w:rsid w:val="4F5C3BD8"/>
    <w:rsid w:val="4F61489E"/>
    <w:rsid w:val="4F68356C"/>
    <w:rsid w:val="4F684DB3"/>
    <w:rsid w:val="4F700875"/>
    <w:rsid w:val="4F714D9B"/>
    <w:rsid w:val="4F7347E5"/>
    <w:rsid w:val="4F8435A8"/>
    <w:rsid w:val="4F872771"/>
    <w:rsid w:val="4F8D4870"/>
    <w:rsid w:val="4F8F7B3A"/>
    <w:rsid w:val="4F906B6D"/>
    <w:rsid w:val="4F98008D"/>
    <w:rsid w:val="4F9824AC"/>
    <w:rsid w:val="4F9843DC"/>
    <w:rsid w:val="4F995B28"/>
    <w:rsid w:val="4F9D2142"/>
    <w:rsid w:val="4F9D355B"/>
    <w:rsid w:val="4FA047FB"/>
    <w:rsid w:val="4FA133FA"/>
    <w:rsid w:val="4FA261B4"/>
    <w:rsid w:val="4FA32251"/>
    <w:rsid w:val="4FA465D8"/>
    <w:rsid w:val="4FA809F3"/>
    <w:rsid w:val="4FA91BA6"/>
    <w:rsid w:val="4FAF6DAA"/>
    <w:rsid w:val="4FB44FB9"/>
    <w:rsid w:val="4FB55222"/>
    <w:rsid w:val="4FB67E80"/>
    <w:rsid w:val="4FBA63ED"/>
    <w:rsid w:val="4FC62A8C"/>
    <w:rsid w:val="4FCC4187"/>
    <w:rsid w:val="4FD415F1"/>
    <w:rsid w:val="4FD8340A"/>
    <w:rsid w:val="4FD97E04"/>
    <w:rsid w:val="4FDB2EDE"/>
    <w:rsid w:val="4FDF404A"/>
    <w:rsid w:val="4FE20F0D"/>
    <w:rsid w:val="4FE51552"/>
    <w:rsid w:val="4FEF177D"/>
    <w:rsid w:val="4FF75DFC"/>
    <w:rsid w:val="50014AB4"/>
    <w:rsid w:val="50027115"/>
    <w:rsid w:val="500F7776"/>
    <w:rsid w:val="50132E04"/>
    <w:rsid w:val="50145693"/>
    <w:rsid w:val="501529A5"/>
    <w:rsid w:val="5019686E"/>
    <w:rsid w:val="50221CB6"/>
    <w:rsid w:val="50224F60"/>
    <w:rsid w:val="50233B50"/>
    <w:rsid w:val="5030354D"/>
    <w:rsid w:val="50351442"/>
    <w:rsid w:val="5038249C"/>
    <w:rsid w:val="504A2F29"/>
    <w:rsid w:val="504E2F30"/>
    <w:rsid w:val="50504C4B"/>
    <w:rsid w:val="5059731D"/>
    <w:rsid w:val="505E74A4"/>
    <w:rsid w:val="50614F17"/>
    <w:rsid w:val="506345C4"/>
    <w:rsid w:val="5064190D"/>
    <w:rsid w:val="50661BDD"/>
    <w:rsid w:val="50770842"/>
    <w:rsid w:val="507725BE"/>
    <w:rsid w:val="50786E12"/>
    <w:rsid w:val="507B1928"/>
    <w:rsid w:val="507F38B0"/>
    <w:rsid w:val="50871235"/>
    <w:rsid w:val="508C0313"/>
    <w:rsid w:val="50957594"/>
    <w:rsid w:val="50970C85"/>
    <w:rsid w:val="509C6E7C"/>
    <w:rsid w:val="509D462C"/>
    <w:rsid w:val="509E1863"/>
    <w:rsid w:val="50A73E15"/>
    <w:rsid w:val="50A850CD"/>
    <w:rsid w:val="50AE7ED9"/>
    <w:rsid w:val="50B07801"/>
    <w:rsid w:val="50B947D7"/>
    <w:rsid w:val="50C269D9"/>
    <w:rsid w:val="50C624C3"/>
    <w:rsid w:val="50C65AAC"/>
    <w:rsid w:val="50C839C4"/>
    <w:rsid w:val="50CB29D1"/>
    <w:rsid w:val="50CD664D"/>
    <w:rsid w:val="50D07F53"/>
    <w:rsid w:val="50D26DA4"/>
    <w:rsid w:val="50D675CF"/>
    <w:rsid w:val="50D81C62"/>
    <w:rsid w:val="50DB045C"/>
    <w:rsid w:val="50DD6BA7"/>
    <w:rsid w:val="50E203EF"/>
    <w:rsid w:val="50E2662B"/>
    <w:rsid w:val="50E51D41"/>
    <w:rsid w:val="50E706DB"/>
    <w:rsid w:val="50E71DBC"/>
    <w:rsid w:val="50E8047A"/>
    <w:rsid w:val="50EB03D3"/>
    <w:rsid w:val="50EB10B2"/>
    <w:rsid w:val="50F12F67"/>
    <w:rsid w:val="50F377EA"/>
    <w:rsid w:val="50F5696E"/>
    <w:rsid w:val="50F65E14"/>
    <w:rsid w:val="50FA0156"/>
    <w:rsid w:val="510104A3"/>
    <w:rsid w:val="510A716E"/>
    <w:rsid w:val="51120A52"/>
    <w:rsid w:val="51193CF0"/>
    <w:rsid w:val="511A0D9D"/>
    <w:rsid w:val="511E0F83"/>
    <w:rsid w:val="512050FB"/>
    <w:rsid w:val="51205639"/>
    <w:rsid w:val="51210B95"/>
    <w:rsid w:val="5123249B"/>
    <w:rsid w:val="51254D46"/>
    <w:rsid w:val="512B5C23"/>
    <w:rsid w:val="512D59EA"/>
    <w:rsid w:val="51354F2C"/>
    <w:rsid w:val="513A2893"/>
    <w:rsid w:val="513C75D0"/>
    <w:rsid w:val="513D7522"/>
    <w:rsid w:val="51425DA9"/>
    <w:rsid w:val="51575E88"/>
    <w:rsid w:val="51587412"/>
    <w:rsid w:val="515E5643"/>
    <w:rsid w:val="5162104E"/>
    <w:rsid w:val="516E7ABE"/>
    <w:rsid w:val="517102DD"/>
    <w:rsid w:val="51732904"/>
    <w:rsid w:val="51787B6B"/>
    <w:rsid w:val="51794FA5"/>
    <w:rsid w:val="517A30B0"/>
    <w:rsid w:val="517A469D"/>
    <w:rsid w:val="517D55EF"/>
    <w:rsid w:val="518103F1"/>
    <w:rsid w:val="51835A1E"/>
    <w:rsid w:val="51905073"/>
    <w:rsid w:val="51944018"/>
    <w:rsid w:val="51964C5C"/>
    <w:rsid w:val="5197045F"/>
    <w:rsid w:val="51981DC6"/>
    <w:rsid w:val="51997FE5"/>
    <w:rsid w:val="519B3EB3"/>
    <w:rsid w:val="51A30030"/>
    <w:rsid w:val="51A9496B"/>
    <w:rsid w:val="51AC0F9A"/>
    <w:rsid w:val="51AF1F38"/>
    <w:rsid w:val="51AF57E0"/>
    <w:rsid w:val="51B25E57"/>
    <w:rsid w:val="51B55246"/>
    <w:rsid w:val="51B61442"/>
    <w:rsid w:val="51BA5686"/>
    <w:rsid w:val="51BB59B3"/>
    <w:rsid w:val="51BB6F11"/>
    <w:rsid w:val="51BF0F24"/>
    <w:rsid w:val="51C77546"/>
    <w:rsid w:val="51CD518E"/>
    <w:rsid w:val="51CE7763"/>
    <w:rsid w:val="51D03124"/>
    <w:rsid w:val="51D20344"/>
    <w:rsid w:val="51D941EE"/>
    <w:rsid w:val="51E71FA8"/>
    <w:rsid w:val="51EC39E2"/>
    <w:rsid w:val="51ED6DA6"/>
    <w:rsid w:val="51F0148A"/>
    <w:rsid w:val="51F03471"/>
    <w:rsid w:val="51F92D0A"/>
    <w:rsid w:val="51F93441"/>
    <w:rsid w:val="51FA329D"/>
    <w:rsid w:val="51FC3F76"/>
    <w:rsid w:val="51FE6EC3"/>
    <w:rsid w:val="52004117"/>
    <w:rsid w:val="52005C07"/>
    <w:rsid w:val="52015D95"/>
    <w:rsid w:val="520430FE"/>
    <w:rsid w:val="52053C01"/>
    <w:rsid w:val="52092143"/>
    <w:rsid w:val="52122545"/>
    <w:rsid w:val="52133B8F"/>
    <w:rsid w:val="5214472C"/>
    <w:rsid w:val="52170846"/>
    <w:rsid w:val="52171811"/>
    <w:rsid w:val="52185DCE"/>
    <w:rsid w:val="521879E2"/>
    <w:rsid w:val="522310FD"/>
    <w:rsid w:val="522A15C8"/>
    <w:rsid w:val="522D4BCF"/>
    <w:rsid w:val="52312223"/>
    <w:rsid w:val="52325AC3"/>
    <w:rsid w:val="52333E73"/>
    <w:rsid w:val="5235217E"/>
    <w:rsid w:val="52402EF5"/>
    <w:rsid w:val="524740D0"/>
    <w:rsid w:val="52555994"/>
    <w:rsid w:val="52597CC5"/>
    <w:rsid w:val="525A6C46"/>
    <w:rsid w:val="525D0830"/>
    <w:rsid w:val="525E26FA"/>
    <w:rsid w:val="52617C8C"/>
    <w:rsid w:val="526A0296"/>
    <w:rsid w:val="52706B47"/>
    <w:rsid w:val="527A7A16"/>
    <w:rsid w:val="528D4686"/>
    <w:rsid w:val="528E711F"/>
    <w:rsid w:val="528F04E7"/>
    <w:rsid w:val="52980326"/>
    <w:rsid w:val="529E1E64"/>
    <w:rsid w:val="52A74EC5"/>
    <w:rsid w:val="52AA3CD7"/>
    <w:rsid w:val="52AB27FB"/>
    <w:rsid w:val="52B517FA"/>
    <w:rsid w:val="52C248EA"/>
    <w:rsid w:val="52C428C2"/>
    <w:rsid w:val="52C71105"/>
    <w:rsid w:val="52D2541E"/>
    <w:rsid w:val="52D4502F"/>
    <w:rsid w:val="52D73B91"/>
    <w:rsid w:val="52DA425F"/>
    <w:rsid w:val="52E30D60"/>
    <w:rsid w:val="52E62750"/>
    <w:rsid w:val="52E71429"/>
    <w:rsid w:val="52E77908"/>
    <w:rsid w:val="52F54378"/>
    <w:rsid w:val="52FD2251"/>
    <w:rsid w:val="52FF378A"/>
    <w:rsid w:val="530522ED"/>
    <w:rsid w:val="5306657D"/>
    <w:rsid w:val="53081A96"/>
    <w:rsid w:val="530F0D59"/>
    <w:rsid w:val="530F4571"/>
    <w:rsid w:val="53124AC6"/>
    <w:rsid w:val="53145C32"/>
    <w:rsid w:val="531763B2"/>
    <w:rsid w:val="531B3D4C"/>
    <w:rsid w:val="531D7509"/>
    <w:rsid w:val="531E24FA"/>
    <w:rsid w:val="531E481E"/>
    <w:rsid w:val="531F7EB7"/>
    <w:rsid w:val="53205B14"/>
    <w:rsid w:val="5324743E"/>
    <w:rsid w:val="53263C8E"/>
    <w:rsid w:val="532F7168"/>
    <w:rsid w:val="53322AE0"/>
    <w:rsid w:val="533849DB"/>
    <w:rsid w:val="533B1E9A"/>
    <w:rsid w:val="533D68F6"/>
    <w:rsid w:val="53405E7F"/>
    <w:rsid w:val="53421337"/>
    <w:rsid w:val="53471169"/>
    <w:rsid w:val="534733B0"/>
    <w:rsid w:val="53496C0B"/>
    <w:rsid w:val="534A715B"/>
    <w:rsid w:val="534B4842"/>
    <w:rsid w:val="534E6C63"/>
    <w:rsid w:val="5351023A"/>
    <w:rsid w:val="53582A51"/>
    <w:rsid w:val="53584455"/>
    <w:rsid w:val="53627AA8"/>
    <w:rsid w:val="53771156"/>
    <w:rsid w:val="537C57E2"/>
    <w:rsid w:val="537E4064"/>
    <w:rsid w:val="538241A4"/>
    <w:rsid w:val="538A1B67"/>
    <w:rsid w:val="538C43C6"/>
    <w:rsid w:val="538F74CD"/>
    <w:rsid w:val="539C7893"/>
    <w:rsid w:val="539E2380"/>
    <w:rsid w:val="53A039CC"/>
    <w:rsid w:val="53A1505A"/>
    <w:rsid w:val="53A22A92"/>
    <w:rsid w:val="53A25814"/>
    <w:rsid w:val="53A633FD"/>
    <w:rsid w:val="53AD3D4A"/>
    <w:rsid w:val="53B06412"/>
    <w:rsid w:val="53B06612"/>
    <w:rsid w:val="53B0719A"/>
    <w:rsid w:val="53BD5D46"/>
    <w:rsid w:val="53C1656B"/>
    <w:rsid w:val="53C17A19"/>
    <w:rsid w:val="53C32121"/>
    <w:rsid w:val="53C62FF3"/>
    <w:rsid w:val="53C90A40"/>
    <w:rsid w:val="53CF0052"/>
    <w:rsid w:val="53CF5F9A"/>
    <w:rsid w:val="53D43CB9"/>
    <w:rsid w:val="53D67A7B"/>
    <w:rsid w:val="53D92A59"/>
    <w:rsid w:val="53DA3C0B"/>
    <w:rsid w:val="53E526FF"/>
    <w:rsid w:val="53E67238"/>
    <w:rsid w:val="53E74F46"/>
    <w:rsid w:val="53EA2BB2"/>
    <w:rsid w:val="53F16546"/>
    <w:rsid w:val="53F27877"/>
    <w:rsid w:val="53F613EC"/>
    <w:rsid w:val="53F829B9"/>
    <w:rsid w:val="53FA1DED"/>
    <w:rsid w:val="540102E7"/>
    <w:rsid w:val="54061654"/>
    <w:rsid w:val="54063E08"/>
    <w:rsid w:val="541320E2"/>
    <w:rsid w:val="54196E94"/>
    <w:rsid w:val="541E3E3D"/>
    <w:rsid w:val="542A6DF5"/>
    <w:rsid w:val="54311775"/>
    <w:rsid w:val="543437E8"/>
    <w:rsid w:val="543842AD"/>
    <w:rsid w:val="543A2C57"/>
    <w:rsid w:val="543E2873"/>
    <w:rsid w:val="54405A15"/>
    <w:rsid w:val="54406108"/>
    <w:rsid w:val="54416B82"/>
    <w:rsid w:val="54436C19"/>
    <w:rsid w:val="544C6E01"/>
    <w:rsid w:val="544F2CCA"/>
    <w:rsid w:val="545A26B2"/>
    <w:rsid w:val="5463387A"/>
    <w:rsid w:val="54647BA1"/>
    <w:rsid w:val="54680AAB"/>
    <w:rsid w:val="546A066B"/>
    <w:rsid w:val="546E3299"/>
    <w:rsid w:val="54717BC8"/>
    <w:rsid w:val="5473324D"/>
    <w:rsid w:val="54751499"/>
    <w:rsid w:val="54782E62"/>
    <w:rsid w:val="547A5DE4"/>
    <w:rsid w:val="547F365F"/>
    <w:rsid w:val="547F7148"/>
    <w:rsid w:val="54805502"/>
    <w:rsid w:val="54812EBD"/>
    <w:rsid w:val="54867F77"/>
    <w:rsid w:val="54890930"/>
    <w:rsid w:val="548D1D82"/>
    <w:rsid w:val="548E4D3E"/>
    <w:rsid w:val="548F772B"/>
    <w:rsid w:val="5491232D"/>
    <w:rsid w:val="54914F10"/>
    <w:rsid w:val="54991F22"/>
    <w:rsid w:val="549B4612"/>
    <w:rsid w:val="549F65AB"/>
    <w:rsid w:val="54A96537"/>
    <w:rsid w:val="54AE4879"/>
    <w:rsid w:val="54AF3FD5"/>
    <w:rsid w:val="54B00613"/>
    <w:rsid w:val="54B14DAC"/>
    <w:rsid w:val="54B95047"/>
    <w:rsid w:val="54B9620F"/>
    <w:rsid w:val="54BF2C4A"/>
    <w:rsid w:val="54C26A6F"/>
    <w:rsid w:val="54C34AC0"/>
    <w:rsid w:val="54C95D11"/>
    <w:rsid w:val="54CA16DC"/>
    <w:rsid w:val="54CE37F4"/>
    <w:rsid w:val="54D61B9A"/>
    <w:rsid w:val="54DC7F65"/>
    <w:rsid w:val="54DD5747"/>
    <w:rsid w:val="54E17D8D"/>
    <w:rsid w:val="54E718B6"/>
    <w:rsid w:val="54E753C7"/>
    <w:rsid w:val="54E937E7"/>
    <w:rsid w:val="54EE756D"/>
    <w:rsid w:val="54EF7E0A"/>
    <w:rsid w:val="54F01130"/>
    <w:rsid w:val="54F1182F"/>
    <w:rsid w:val="54F67D3B"/>
    <w:rsid w:val="54F73313"/>
    <w:rsid w:val="54F80955"/>
    <w:rsid w:val="54F82A53"/>
    <w:rsid w:val="54F93977"/>
    <w:rsid w:val="54FE0FBF"/>
    <w:rsid w:val="550010CC"/>
    <w:rsid w:val="5501219C"/>
    <w:rsid w:val="550673E4"/>
    <w:rsid w:val="55096652"/>
    <w:rsid w:val="550B5ED0"/>
    <w:rsid w:val="550E3538"/>
    <w:rsid w:val="550F099B"/>
    <w:rsid w:val="551340E2"/>
    <w:rsid w:val="55137200"/>
    <w:rsid w:val="551A0D5F"/>
    <w:rsid w:val="55224639"/>
    <w:rsid w:val="55266F51"/>
    <w:rsid w:val="552B2DF9"/>
    <w:rsid w:val="552C431E"/>
    <w:rsid w:val="552D32CE"/>
    <w:rsid w:val="552F5FBB"/>
    <w:rsid w:val="5532218F"/>
    <w:rsid w:val="55327992"/>
    <w:rsid w:val="55374642"/>
    <w:rsid w:val="55375409"/>
    <w:rsid w:val="55391BE2"/>
    <w:rsid w:val="553B570B"/>
    <w:rsid w:val="553C5DCB"/>
    <w:rsid w:val="55411FCA"/>
    <w:rsid w:val="55412BE8"/>
    <w:rsid w:val="554628A2"/>
    <w:rsid w:val="554F1FF8"/>
    <w:rsid w:val="554F789C"/>
    <w:rsid w:val="555170A7"/>
    <w:rsid w:val="555B584C"/>
    <w:rsid w:val="556005A5"/>
    <w:rsid w:val="55621B3B"/>
    <w:rsid w:val="55645897"/>
    <w:rsid w:val="556B46AE"/>
    <w:rsid w:val="556D72CF"/>
    <w:rsid w:val="55732C13"/>
    <w:rsid w:val="557A2155"/>
    <w:rsid w:val="557C3426"/>
    <w:rsid w:val="557D7A5D"/>
    <w:rsid w:val="557F6599"/>
    <w:rsid w:val="55814268"/>
    <w:rsid w:val="55866D39"/>
    <w:rsid w:val="5587536D"/>
    <w:rsid w:val="55884CB8"/>
    <w:rsid w:val="558C29FA"/>
    <w:rsid w:val="55901F65"/>
    <w:rsid w:val="5595018D"/>
    <w:rsid w:val="559755E7"/>
    <w:rsid w:val="559B174B"/>
    <w:rsid w:val="559B7992"/>
    <w:rsid w:val="559E3234"/>
    <w:rsid w:val="559E37F9"/>
    <w:rsid w:val="559F052C"/>
    <w:rsid w:val="55A63311"/>
    <w:rsid w:val="55A80025"/>
    <w:rsid w:val="55A93D73"/>
    <w:rsid w:val="55AC5A57"/>
    <w:rsid w:val="55AD5474"/>
    <w:rsid w:val="55AE6D1A"/>
    <w:rsid w:val="55B00E1F"/>
    <w:rsid w:val="55B072EB"/>
    <w:rsid w:val="55B14535"/>
    <w:rsid w:val="55B15BCA"/>
    <w:rsid w:val="55B16822"/>
    <w:rsid w:val="55B92742"/>
    <w:rsid w:val="55BA3750"/>
    <w:rsid w:val="55BF238C"/>
    <w:rsid w:val="55C1732D"/>
    <w:rsid w:val="55C44ABB"/>
    <w:rsid w:val="55CE0CF4"/>
    <w:rsid w:val="55D27DBD"/>
    <w:rsid w:val="55D95976"/>
    <w:rsid w:val="55F127B3"/>
    <w:rsid w:val="55F20448"/>
    <w:rsid w:val="55F40262"/>
    <w:rsid w:val="55F819B4"/>
    <w:rsid w:val="55F822D9"/>
    <w:rsid w:val="55FB7A8A"/>
    <w:rsid w:val="560246DC"/>
    <w:rsid w:val="56065A95"/>
    <w:rsid w:val="56077205"/>
    <w:rsid w:val="5609510E"/>
    <w:rsid w:val="560B2637"/>
    <w:rsid w:val="56135867"/>
    <w:rsid w:val="56144012"/>
    <w:rsid w:val="5616380D"/>
    <w:rsid w:val="5616566F"/>
    <w:rsid w:val="561B3E7D"/>
    <w:rsid w:val="5622533F"/>
    <w:rsid w:val="56256402"/>
    <w:rsid w:val="562A739A"/>
    <w:rsid w:val="562F08D6"/>
    <w:rsid w:val="5630047A"/>
    <w:rsid w:val="56344B62"/>
    <w:rsid w:val="563B587C"/>
    <w:rsid w:val="564107A2"/>
    <w:rsid w:val="56413A33"/>
    <w:rsid w:val="56432E4F"/>
    <w:rsid w:val="56450E07"/>
    <w:rsid w:val="56460CE0"/>
    <w:rsid w:val="56465603"/>
    <w:rsid w:val="564F75B5"/>
    <w:rsid w:val="56580F9D"/>
    <w:rsid w:val="565D6EE2"/>
    <w:rsid w:val="56681F11"/>
    <w:rsid w:val="566E67EC"/>
    <w:rsid w:val="56727A51"/>
    <w:rsid w:val="567779C7"/>
    <w:rsid w:val="567C76B6"/>
    <w:rsid w:val="567C7943"/>
    <w:rsid w:val="56805227"/>
    <w:rsid w:val="568254F6"/>
    <w:rsid w:val="56850F54"/>
    <w:rsid w:val="56892AF5"/>
    <w:rsid w:val="568A5A30"/>
    <w:rsid w:val="568C6ED1"/>
    <w:rsid w:val="568D462C"/>
    <w:rsid w:val="56971EFE"/>
    <w:rsid w:val="56A11444"/>
    <w:rsid w:val="56A12F18"/>
    <w:rsid w:val="56A30776"/>
    <w:rsid w:val="56A45060"/>
    <w:rsid w:val="56A51A38"/>
    <w:rsid w:val="56A9143D"/>
    <w:rsid w:val="56AA7DA0"/>
    <w:rsid w:val="56AE682E"/>
    <w:rsid w:val="56B073CE"/>
    <w:rsid w:val="56B127A4"/>
    <w:rsid w:val="56B22A9C"/>
    <w:rsid w:val="56B350C6"/>
    <w:rsid w:val="56B355C9"/>
    <w:rsid w:val="56BD7D1E"/>
    <w:rsid w:val="56BF3FDF"/>
    <w:rsid w:val="56C45A7B"/>
    <w:rsid w:val="56C6183C"/>
    <w:rsid w:val="56CC041D"/>
    <w:rsid w:val="56CD2178"/>
    <w:rsid w:val="56CE546B"/>
    <w:rsid w:val="56CF738F"/>
    <w:rsid w:val="56D42285"/>
    <w:rsid w:val="56D46829"/>
    <w:rsid w:val="56D77053"/>
    <w:rsid w:val="56DA57D6"/>
    <w:rsid w:val="56E56F60"/>
    <w:rsid w:val="56E90DA1"/>
    <w:rsid w:val="57013A9F"/>
    <w:rsid w:val="570163D1"/>
    <w:rsid w:val="5704372D"/>
    <w:rsid w:val="57075CD3"/>
    <w:rsid w:val="57090F8F"/>
    <w:rsid w:val="570A7EB1"/>
    <w:rsid w:val="570C4C4A"/>
    <w:rsid w:val="571500B8"/>
    <w:rsid w:val="5718753C"/>
    <w:rsid w:val="571A1004"/>
    <w:rsid w:val="571E2F4F"/>
    <w:rsid w:val="572012E9"/>
    <w:rsid w:val="57223829"/>
    <w:rsid w:val="57235E2D"/>
    <w:rsid w:val="57243509"/>
    <w:rsid w:val="57280E53"/>
    <w:rsid w:val="57296AE5"/>
    <w:rsid w:val="573311C1"/>
    <w:rsid w:val="573528EC"/>
    <w:rsid w:val="573B4EA2"/>
    <w:rsid w:val="57447B6F"/>
    <w:rsid w:val="574A655F"/>
    <w:rsid w:val="5750625C"/>
    <w:rsid w:val="57521CD5"/>
    <w:rsid w:val="575E53B7"/>
    <w:rsid w:val="575F2483"/>
    <w:rsid w:val="576337F3"/>
    <w:rsid w:val="576C3A5E"/>
    <w:rsid w:val="576E2E8A"/>
    <w:rsid w:val="576E35D6"/>
    <w:rsid w:val="576F4B7A"/>
    <w:rsid w:val="5771565F"/>
    <w:rsid w:val="57730EAC"/>
    <w:rsid w:val="5777279F"/>
    <w:rsid w:val="57790C8C"/>
    <w:rsid w:val="577B76BB"/>
    <w:rsid w:val="579C4D4F"/>
    <w:rsid w:val="57A15ACE"/>
    <w:rsid w:val="57A774C0"/>
    <w:rsid w:val="57B01EED"/>
    <w:rsid w:val="57B14FC4"/>
    <w:rsid w:val="57B72A76"/>
    <w:rsid w:val="57C04545"/>
    <w:rsid w:val="57C3407F"/>
    <w:rsid w:val="57C3426C"/>
    <w:rsid w:val="57C81382"/>
    <w:rsid w:val="57C97553"/>
    <w:rsid w:val="57CB1CB6"/>
    <w:rsid w:val="57CE1F93"/>
    <w:rsid w:val="57D34B05"/>
    <w:rsid w:val="57D60B76"/>
    <w:rsid w:val="57D95599"/>
    <w:rsid w:val="57DC3182"/>
    <w:rsid w:val="57E179D0"/>
    <w:rsid w:val="57E51903"/>
    <w:rsid w:val="57EA7A47"/>
    <w:rsid w:val="57EF202F"/>
    <w:rsid w:val="57FD5C32"/>
    <w:rsid w:val="57FE0D60"/>
    <w:rsid w:val="57FE1CB2"/>
    <w:rsid w:val="57FE78C7"/>
    <w:rsid w:val="58070497"/>
    <w:rsid w:val="5813280C"/>
    <w:rsid w:val="581D5816"/>
    <w:rsid w:val="58211A8E"/>
    <w:rsid w:val="58240AF3"/>
    <w:rsid w:val="582430B0"/>
    <w:rsid w:val="582710E7"/>
    <w:rsid w:val="582D1631"/>
    <w:rsid w:val="582D6A09"/>
    <w:rsid w:val="58317392"/>
    <w:rsid w:val="58326754"/>
    <w:rsid w:val="58344C17"/>
    <w:rsid w:val="5837742B"/>
    <w:rsid w:val="583B6314"/>
    <w:rsid w:val="583E5EBD"/>
    <w:rsid w:val="583E6813"/>
    <w:rsid w:val="58435487"/>
    <w:rsid w:val="58457F2E"/>
    <w:rsid w:val="58495960"/>
    <w:rsid w:val="58583E8D"/>
    <w:rsid w:val="58592E2A"/>
    <w:rsid w:val="585D26E6"/>
    <w:rsid w:val="585D6228"/>
    <w:rsid w:val="585D6BE6"/>
    <w:rsid w:val="585D7FBF"/>
    <w:rsid w:val="587477FC"/>
    <w:rsid w:val="587A2C1D"/>
    <w:rsid w:val="587B210B"/>
    <w:rsid w:val="587C1A38"/>
    <w:rsid w:val="588262AD"/>
    <w:rsid w:val="588743D1"/>
    <w:rsid w:val="5887701A"/>
    <w:rsid w:val="588B0478"/>
    <w:rsid w:val="588C1113"/>
    <w:rsid w:val="58952CF6"/>
    <w:rsid w:val="5895613E"/>
    <w:rsid w:val="58960167"/>
    <w:rsid w:val="589804B2"/>
    <w:rsid w:val="58A12FC2"/>
    <w:rsid w:val="58A314F9"/>
    <w:rsid w:val="58A36D96"/>
    <w:rsid w:val="58A529A6"/>
    <w:rsid w:val="58AE2A65"/>
    <w:rsid w:val="58B25BF0"/>
    <w:rsid w:val="58B3486D"/>
    <w:rsid w:val="58B41ABF"/>
    <w:rsid w:val="58B4575A"/>
    <w:rsid w:val="58B738EE"/>
    <w:rsid w:val="58B7674D"/>
    <w:rsid w:val="58B97568"/>
    <w:rsid w:val="58BA2D63"/>
    <w:rsid w:val="58BD4B55"/>
    <w:rsid w:val="58BE5E86"/>
    <w:rsid w:val="58C02180"/>
    <w:rsid w:val="58C36625"/>
    <w:rsid w:val="58C66BE9"/>
    <w:rsid w:val="58CD0954"/>
    <w:rsid w:val="58D0709A"/>
    <w:rsid w:val="58D13AB0"/>
    <w:rsid w:val="58D4063E"/>
    <w:rsid w:val="58D64009"/>
    <w:rsid w:val="58E11CC0"/>
    <w:rsid w:val="58E279DB"/>
    <w:rsid w:val="58E63E8C"/>
    <w:rsid w:val="58E86E51"/>
    <w:rsid w:val="58ED4822"/>
    <w:rsid w:val="58ED510A"/>
    <w:rsid w:val="58EE120B"/>
    <w:rsid w:val="58F1362D"/>
    <w:rsid w:val="58F66355"/>
    <w:rsid w:val="58F867D9"/>
    <w:rsid w:val="58F96E17"/>
    <w:rsid w:val="58FE27EC"/>
    <w:rsid w:val="59021CFB"/>
    <w:rsid w:val="5907190C"/>
    <w:rsid w:val="590E5842"/>
    <w:rsid w:val="59115027"/>
    <w:rsid w:val="591242A9"/>
    <w:rsid w:val="59143B30"/>
    <w:rsid w:val="592144A1"/>
    <w:rsid w:val="592341B0"/>
    <w:rsid w:val="59243FB4"/>
    <w:rsid w:val="592676D5"/>
    <w:rsid w:val="592A4D82"/>
    <w:rsid w:val="592B1416"/>
    <w:rsid w:val="592C4F24"/>
    <w:rsid w:val="5930391D"/>
    <w:rsid w:val="5933094E"/>
    <w:rsid w:val="593514BE"/>
    <w:rsid w:val="593B3633"/>
    <w:rsid w:val="593D7B27"/>
    <w:rsid w:val="593E5411"/>
    <w:rsid w:val="59427939"/>
    <w:rsid w:val="5944378D"/>
    <w:rsid w:val="59445835"/>
    <w:rsid w:val="59460902"/>
    <w:rsid w:val="595511F8"/>
    <w:rsid w:val="59652384"/>
    <w:rsid w:val="596E710D"/>
    <w:rsid w:val="59707991"/>
    <w:rsid w:val="5974138F"/>
    <w:rsid w:val="59744FE6"/>
    <w:rsid w:val="597B6F40"/>
    <w:rsid w:val="5980517E"/>
    <w:rsid w:val="598249CD"/>
    <w:rsid w:val="59851812"/>
    <w:rsid w:val="59864A61"/>
    <w:rsid w:val="5989320D"/>
    <w:rsid w:val="598B513F"/>
    <w:rsid w:val="598B5805"/>
    <w:rsid w:val="598C7F85"/>
    <w:rsid w:val="598D12ED"/>
    <w:rsid w:val="59925961"/>
    <w:rsid w:val="599334AD"/>
    <w:rsid w:val="59937F29"/>
    <w:rsid w:val="59962872"/>
    <w:rsid w:val="59976106"/>
    <w:rsid w:val="599A68E3"/>
    <w:rsid w:val="599B5CBF"/>
    <w:rsid w:val="599C0B7F"/>
    <w:rsid w:val="59A06DD2"/>
    <w:rsid w:val="59A866B7"/>
    <w:rsid w:val="59AB6460"/>
    <w:rsid w:val="59B33C49"/>
    <w:rsid w:val="59B375BE"/>
    <w:rsid w:val="59B95DC3"/>
    <w:rsid w:val="59BA707E"/>
    <w:rsid w:val="59C0439F"/>
    <w:rsid w:val="59CC5DB7"/>
    <w:rsid w:val="59CF6499"/>
    <w:rsid w:val="59D36AEF"/>
    <w:rsid w:val="59D4325A"/>
    <w:rsid w:val="59D44D2B"/>
    <w:rsid w:val="59D527AB"/>
    <w:rsid w:val="59D95229"/>
    <w:rsid w:val="59DE28E5"/>
    <w:rsid w:val="59E016BF"/>
    <w:rsid w:val="59E87F31"/>
    <w:rsid w:val="59E9791C"/>
    <w:rsid w:val="59F01481"/>
    <w:rsid w:val="59F121F3"/>
    <w:rsid w:val="59F95577"/>
    <w:rsid w:val="59FA4D3B"/>
    <w:rsid w:val="59FA5D89"/>
    <w:rsid w:val="59FB7852"/>
    <w:rsid w:val="59FC0AF4"/>
    <w:rsid w:val="59FC2994"/>
    <w:rsid w:val="59FE346F"/>
    <w:rsid w:val="5A0334FF"/>
    <w:rsid w:val="5A081B8D"/>
    <w:rsid w:val="5A0A3C87"/>
    <w:rsid w:val="5A0E7E8A"/>
    <w:rsid w:val="5A1700A0"/>
    <w:rsid w:val="5A1714B2"/>
    <w:rsid w:val="5A1934AD"/>
    <w:rsid w:val="5A224A1D"/>
    <w:rsid w:val="5A234C7D"/>
    <w:rsid w:val="5A290597"/>
    <w:rsid w:val="5A304C9A"/>
    <w:rsid w:val="5A342C6F"/>
    <w:rsid w:val="5A357003"/>
    <w:rsid w:val="5A37356B"/>
    <w:rsid w:val="5A380583"/>
    <w:rsid w:val="5A38654E"/>
    <w:rsid w:val="5A391FC3"/>
    <w:rsid w:val="5A4416A1"/>
    <w:rsid w:val="5A446866"/>
    <w:rsid w:val="5A554F6E"/>
    <w:rsid w:val="5A5662C9"/>
    <w:rsid w:val="5A5F4374"/>
    <w:rsid w:val="5A613757"/>
    <w:rsid w:val="5A64485F"/>
    <w:rsid w:val="5A69466F"/>
    <w:rsid w:val="5A6A787B"/>
    <w:rsid w:val="5A6C57EE"/>
    <w:rsid w:val="5A6F6290"/>
    <w:rsid w:val="5A733E5E"/>
    <w:rsid w:val="5A7B1342"/>
    <w:rsid w:val="5A7E379C"/>
    <w:rsid w:val="5A7E73FE"/>
    <w:rsid w:val="5A7F735A"/>
    <w:rsid w:val="5A80314F"/>
    <w:rsid w:val="5A890C17"/>
    <w:rsid w:val="5A8C0EB5"/>
    <w:rsid w:val="5A981AF3"/>
    <w:rsid w:val="5A9B1133"/>
    <w:rsid w:val="5AA038A2"/>
    <w:rsid w:val="5AB3045E"/>
    <w:rsid w:val="5ABE2233"/>
    <w:rsid w:val="5AC0163B"/>
    <w:rsid w:val="5AC101A0"/>
    <w:rsid w:val="5ACB333C"/>
    <w:rsid w:val="5AD407F8"/>
    <w:rsid w:val="5ADD1440"/>
    <w:rsid w:val="5ADE7195"/>
    <w:rsid w:val="5AE33902"/>
    <w:rsid w:val="5AE578C3"/>
    <w:rsid w:val="5AF10532"/>
    <w:rsid w:val="5AF20B1C"/>
    <w:rsid w:val="5AF43245"/>
    <w:rsid w:val="5AF81104"/>
    <w:rsid w:val="5AF97709"/>
    <w:rsid w:val="5B037673"/>
    <w:rsid w:val="5B0E7B29"/>
    <w:rsid w:val="5B0F2C89"/>
    <w:rsid w:val="5B111887"/>
    <w:rsid w:val="5B137B0C"/>
    <w:rsid w:val="5B1571AC"/>
    <w:rsid w:val="5B1626F4"/>
    <w:rsid w:val="5B173B3B"/>
    <w:rsid w:val="5B1E6285"/>
    <w:rsid w:val="5B27163A"/>
    <w:rsid w:val="5B2A585C"/>
    <w:rsid w:val="5B31535B"/>
    <w:rsid w:val="5B33088F"/>
    <w:rsid w:val="5B332C74"/>
    <w:rsid w:val="5B387C01"/>
    <w:rsid w:val="5B39224A"/>
    <w:rsid w:val="5B393D67"/>
    <w:rsid w:val="5B3D3390"/>
    <w:rsid w:val="5B3E784D"/>
    <w:rsid w:val="5B3F785F"/>
    <w:rsid w:val="5B405A46"/>
    <w:rsid w:val="5B4578CB"/>
    <w:rsid w:val="5B4B765B"/>
    <w:rsid w:val="5B586399"/>
    <w:rsid w:val="5B5D37A6"/>
    <w:rsid w:val="5B5F5E61"/>
    <w:rsid w:val="5B6066CB"/>
    <w:rsid w:val="5B610E0C"/>
    <w:rsid w:val="5B652DB7"/>
    <w:rsid w:val="5B6654C7"/>
    <w:rsid w:val="5B671467"/>
    <w:rsid w:val="5B6D7C56"/>
    <w:rsid w:val="5B727ED3"/>
    <w:rsid w:val="5B7E0E9F"/>
    <w:rsid w:val="5B7E7F25"/>
    <w:rsid w:val="5B8566B5"/>
    <w:rsid w:val="5B857096"/>
    <w:rsid w:val="5B9073F7"/>
    <w:rsid w:val="5B942FD5"/>
    <w:rsid w:val="5B9C1856"/>
    <w:rsid w:val="5B9C1A96"/>
    <w:rsid w:val="5BA63169"/>
    <w:rsid w:val="5BB219FD"/>
    <w:rsid w:val="5BB257E3"/>
    <w:rsid w:val="5BB84B84"/>
    <w:rsid w:val="5BBB0BEB"/>
    <w:rsid w:val="5BBD7AD8"/>
    <w:rsid w:val="5BBE508C"/>
    <w:rsid w:val="5BC8082A"/>
    <w:rsid w:val="5BCA772D"/>
    <w:rsid w:val="5BDD7ECD"/>
    <w:rsid w:val="5BDF5D95"/>
    <w:rsid w:val="5BE11EB1"/>
    <w:rsid w:val="5BE67451"/>
    <w:rsid w:val="5BF8406D"/>
    <w:rsid w:val="5BFC02B0"/>
    <w:rsid w:val="5BFC4709"/>
    <w:rsid w:val="5BFD2B6E"/>
    <w:rsid w:val="5BFE7528"/>
    <w:rsid w:val="5C070506"/>
    <w:rsid w:val="5C095CE8"/>
    <w:rsid w:val="5C0C38D5"/>
    <w:rsid w:val="5C0F1E74"/>
    <w:rsid w:val="5C165D0D"/>
    <w:rsid w:val="5C187B8B"/>
    <w:rsid w:val="5C1A1C2D"/>
    <w:rsid w:val="5C1B136E"/>
    <w:rsid w:val="5C20679F"/>
    <w:rsid w:val="5C231F9E"/>
    <w:rsid w:val="5C2422B9"/>
    <w:rsid w:val="5C324CEB"/>
    <w:rsid w:val="5C3260C9"/>
    <w:rsid w:val="5C337D7A"/>
    <w:rsid w:val="5C337F16"/>
    <w:rsid w:val="5C3F5899"/>
    <w:rsid w:val="5C443123"/>
    <w:rsid w:val="5C4545E0"/>
    <w:rsid w:val="5C4764BB"/>
    <w:rsid w:val="5C4E6531"/>
    <w:rsid w:val="5C59090F"/>
    <w:rsid w:val="5C5D232A"/>
    <w:rsid w:val="5C5D5AA6"/>
    <w:rsid w:val="5C5F1B67"/>
    <w:rsid w:val="5C6253C1"/>
    <w:rsid w:val="5C63767D"/>
    <w:rsid w:val="5C6502E0"/>
    <w:rsid w:val="5C667EDC"/>
    <w:rsid w:val="5C676DC3"/>
    <w:rsid w:val="5C6A1101"/>
    <w:rsid w:val="5C6D1A4D"/>
    <w:rsid w:val="5C721EF3"/>
    <w:rsid w:val="5C724681"/>
    <w:rsid w:val="5C754B05"/>
    <w:rsid w:val="5C7630F9"/>
    <w:rsid w:val="5C7C2DE9"/>
    <w:rsid w:val="5C950BF8"/>
    <w:rsid w:val="5C993C00"/>
    <w:rsid w:val="5C9A607E"/>
    <w:rsid w:val="5CA13C1B"/>
    <w:rsid w:val="5CA40AE5"/>
    <w:rsid w:val="5CA60064"/>
    <w:rsid w:val="5CA87218"/>
    <w:rsid w:val="5CAC71BA"/>
    <w:rsid w:val="5CB2507A"/>
    <w:rsid w:val="5CB903E6"/>
    <w:rsid w:val="5CBF78BC"/>
    <w:rsid w:val="5CC80DA2"/>
    <w:rsid w:val="5CDB71D8"/>
    <w:rsid w:val="5CDF313D"/>
    <w:rsid w:val="5CE23178"/>
    <w:rsid w:val="5CE54845"/>
    <w:rsid w:val="5CE9546A"/>
    <w:rsid w:val="5CEA4A3B"/>
    <w:rsid w:val="5CEB1F0A"/>
    <w:rsid w:val="5CEB1F43"/>
    <w:rsid w:val="5CED4263"/>
    <w:rsid w:val="5CEF46AA"/>
    <w:rsid w:val="5CF11FB1"/>
    <w:rsid w:val="5CF53372"/>
    <w:rsid w:val="5D0062B5"/>
    <w:rsid w:val="5D017AB6"/>
    <w:rsid w:val="5D041AA2"/>
    <w:rsid w:val="5D0A1E09"/>
    <w:rsid w:val="5D0B4222"/>
    <w:rsid w:val="5D0D2C14"/>
    <w:rsid w:val="5D0F4695"/>
    <w:rsid w:val="5D1F4B78"/>
    <w:rsid w:val="5D1F660E"/>
    <w:rsid w:val="5D204922"/>
    <w:rsid w:val="5D2B60D7"/>
    <w:rsid w:val="5D33494A"/>
    <w:rsid w:val="5D34624D"/>
    <w:rsid w:val="5D356DC6"/>
    <w:rsid w:val="5D3C6580"/>
    <w:rsid w:val="5D3F258D"/>
    <w:rsid w:val="5D4353DE"/>
    <w:rsid w:val="5D442EEA"/>
    <w:rsid w:val="5D457961"/>
    <w:rsid w:val="5D460D47"/>
    <w:rsid w:val="5D476BEC"/>
    <w:rsid w:val="5D4A0409"/>
    <w:rsid w:val="5D4B3502"/>
    <w:rsid w:val="5D610545"/>
    <w:rsid w:val="5D613C59"/>
    <w:rsid w:val="5D643F9C"/>
    <w:rsid w:val="5D665FFA"/>
    <w:rsid w:val="5D6A0E18"/>
    <w:rsid w:val="5D6C0454"/>
    <w:rsid w:val="5D6C4A19"/>
    <w:rsid w:val="5D6D7BE0"/>
    <w:rsid w:val="5D717AAF"/>
    <w:rsid w:val="5D786A4F"/>
    <w:rsid w:val="5D7F397A"/>
    <w:rsid w:val="5D801B27"/>
    <w:rsid w:val="5D811D3B"/>
    <w:rsid w:val="5D86058E"/>
    <w:rsid w:val="5D872B0E"/>
    <w:rsid w:val="5D8A2AC9"/>
    <w:rsid w:val="5D8B717C"/>
    <w:rsid w:val="5D8C10B3"/>
    <w:rsid w:val="5D967172"/>
    <w:rsid w:val="5D9B16C2"/>
    <w:rsid w:val="5D9D0F3B"/>
    <w:rsid w:val="5DA51CAB"/>
    <w:rsid w:val="5DAF4F1D"/>
    <w:rsid w:val="5DB20328"/>
    <w:rsid w:val="5DB22EC8"/>
    <w:rsid w:val="5DB90BBE"/>
    <w:rsid w:val="5DC03442"/>
    <w:rsid w:val="5DC2166D"/>
    <w:rsid w:val="5DC253DC"/>
    <w:rsid w:val="5DD17ACA"/>
    <w:rsid w:val="5DD8402B"/>
    <w:rsid w:val="5DE5075F"/>
    <w:rsid w:val="5DE5625E"/>
    <w:rsid w:val="5DE6486C"/>
    <w:rsid w:val="5DE925E2"/>
    <w:rsid w:val="5DF54D4D"/>
    <w:rsid w:val="5DF568BA"/>
    <w:rsid w:val="5DFB28E9"/>
    <w:rsid w:val="5DFD5609"/>
    <w:rsid w:val="5E01571A"/>
    <w:rsid w:val="5E0A30AF"/>
    <w:rsid w:val="5E116FD9"/>
    <w:rsid w:val="5E14407C"/>
    <w:rsid w:val="5E177ABE"/>
    <w:rsid w:val="5E1F7A85"/>
    <w:rsid w:val="5E207BFE"/>
    <w:rsid w:val="5E224EBD"/>
    <w:rsid w:val="5E2467F1"/>
    <w:rsid w:val="5E256D80"/>
    <w:rsid w:val="5E293585"/>
    <w:rsid w:val="5E3236B9"/>
    <w:rsid w:val="5E332257"/>
    <w:rsid w:val="5E351F3A"/>
    <w:rsid w:val="5E3B7E9C"/>
    <w:rsid w:val="5E452B59"/>
    <w:rsid w:val="5E456FDD"/>
    <w:rsid w:val="5E552F34"/>
    <w:rsid w:val="5E59021C"/>
    <w:rsid w:val="5E5D270C"/>
    <w:rsid w:val="5E5E7F6D"/>
    <w:rsid w:val="5E6342A8"/>
    <w:rsid w:val="5E637013"/>
    <w:rsid w:val="5E7639B6"/>
    <w:rsid w:val="5E832E65"/>
    <w:rsid w:val="5E864B68"/>
    <w:rsid w:val="5E8A0C84"/>
    <w:rsid w:val="5E9D791B"/>
    <w:rsid w:val="5EA635C7"/>
    <w:rsid w:val="5EA771B6"/>
    <w:rsid w:val="5EBA04EF"/>
    <w:rsid w:val="5EBA2FF6"/>
    <w:rsid w:val="5EBC4B42"/>
    <w:rsid w:val="5EBC6FD3"/>
    <w:rsid w:val="5EBD4E42"/>
    <w:rsid w:val="5EC02FD2"/>
    <w:rsid w:val="5EC2349B"/>
    <w:rsid w:val="5EC54196"/>
    <w:rsid w:val="5ECD16DE"/>
    <w:rsid w:val="5ECD6F09"/>
    <w:rsid w:val="5ED337B5"/>
    <w:rsid w:val="5ED77EE2"/>
    <w:rsid w:val="5ED80DA1"/>
    <w:rsid w:val="5ED84E0A"/>
    <w:rsid w:val="5ED863E3"/>
    <w:rsid w:val="5EDC29B1"/>
    <w:rsid w:val="5EDE2B1E"/>
    <w:rsid w:val="5EED7AFD"/>
    <w:rsid w:val="5EF8670E"/>
    <w:rsid w:val="5EF86E54"/>
    <w:rsid w:val="5F056921"/>
    <w:rsid w:val="5F056B4E"/>
    <w:rsid w:val="5F08398D"/>
    <w:rsid w:val="5F0A79AE"/>
    <w:rsid w:val="5F1A2B43"/>
    <w:rsid w:val="5F1B6BCE"/>
    <w:rsid w:val="5F1E1EA7"/>
    <w:rsid w:val="5F220128"/>
    <w:rsid w:val="5F284436"/>
    <w:rsid w:val="5F2B45FD"/>
    <w:rsid w:val="5F2B7072"/>
    <w:rsid w:val="5F2F6690"/>
    <w:rsid w:val="5F30459B"/>
    <w:rsid w:val="5F314375"/>
    <w:rsid w:val="5F343F58"/>
    <w:rsid w:val="5F351EAA"/>
    <w:rsid w:val="5F3B7687"/>
    <w:rsid w:val="5F3C2C04"/>
    <w:rsid w:val="5F3C3659"/>
    <w:rsid w:val="5F3E6BEA"/>
    <w:rsid w:val="5F3F7E47"/>
    <w:rsid w:val="5F462F20"/>
    <w:rsid w:val="5F4B0238"/>
    <w:rsid w:val="5F5009F2"/>
    <w:rsid w:val="5F552D69"/>
    <w:rsid w:val="5F5A4D92"/>
    <w:rsid w:val="5F624D3F"/>
    <w:rsid w:val="5F694D9A"/>
    <w:rsid w:val="5F696516"/>
    <w:rsid w:val="5F72146F"/>
    <w:rsid w:val="5F744A3C"/>
    <w:rsid w:val="5F7A02DD"/>
    <w:rsid w:val="5F8227DD"/>
    <w:rsid w:val="5F8603EA"/>
    <w:rsid w:val="5F863E26"/>
    <w:rsid w:val="5F8A70B1"/>
    <w:rsid w:val="5F8B4AEA"/>
    <w:rsid w:val="5F8D64D6"/>
    <w:rsid w:val="5F972D57"/>
    <w:rsid w:val="5F994287"/>
    <w:rsid w:val="5F9B65EB"/>
    <w:rsid w:val="5FA03052"/>
    <w:rsid w:val="5FA24E26"/>
    <w:rsid w:val="5FA35766"/>
    <w:rsid w:val="5FA57D88"/>
    <w:rsid w:val="5FB07C72"/>
    <w:rsid w:val="5FB45ECB"/>
    <w:rsid w:val="5FB60BF9"/>
    <w:rsid w:val="5FB837BB"/>
    <w:rsid w:val="5FB92DEE"/>
    <w:rsid w:val="5FBD3A56"/>
    <w:rsid w:val="5FC03227"/>
    <w:rsid w:val="5FC27F40"/>
    <w:rsid w:val="5FC32748"/>
    <w:rsid w:val="5FCC028D"/>
    <w:rsid w:val="5FCF19EB"/>
    <w:rsid w:val="5FD34BCA"/>
    <w:rsid w:val="5FD42441"/>
    <w:rsid w:val="5FDC1CF6"/>
    <w:rsid w:val="5FDD57FB"/>
    <w:rsid w:val="5FE5356E"/>
    <w:rsid w:val="5FE63122"/>
    <w:rsid w:val="5FE64D40"/>
    <w:rsid w:val="5FE947D9"/>
    <w:rsid w:val="5FF5166F"/>
    <w:rsid w:val="5FF81D9E"/>
    <w:rsid w:val="5FFB0E33"/>
    <w:rsid w:val="5FFF271D"/>
    <w:rsid w:val="60032348"/>
    <w:rsid w:val="6004333F"/>
    <w:rsid w:val="600868F1"/>
    <w:rsid w:val="600A0899"/>
    <w:rsid w:val="600F3D7D"/>
    <w:rsid w:val="60112DA0"/>
    <w:rsid w:val="60130D45"/>
    <w:rsid w:val="601677C4"/>
    <w:rsid w:val="601A7015"/>
    <w:rsid w:val="6020572B"/>
    <w:rsid w:val="60276FEC"/>
    <w:rsid w:val="60303C27"/>
    <w:rsid w:val="60336573"/>
    <w:rsid w:val="603C3C97"/>
    <w:rsid w:val="60406A37"/>
    <w:rsid w:val="604364E6"/>
    <w:rsid w:val="6046362C"/>
    <w:rsid w:val="604739AD"/>
    <w:rsid w:val="605A2C86"/>
    <w:rsid w:val="605A7FD1"/>
    <w:rsid w:val="605B7717"/>
    <w:rsid w:val="605E1109"/>
    <w:rsid w:val="605E24FA"/>
    <w:rsid w:val="6068487B"/>
    <w:rsid w:val="60687BD3"/>
    <w:rsid w:val="60732002"/>
    <w:rsid w:val="60822A6A"/>
    <w:rsid w:val="60892219"/>
    <w:rsid w:val="608E186D"/>
    <w:rsid w:val="60912C0A"/>
    <w:rsid w:val="60947D65"/>
    <w:rsid w:val="609C428A"/>
    <w:rsid w:val="60A152DB"/>
    <w:rsid w:val="60A40EE0"/>
    <w:rsid w:val="60A86DCA"/>
    <w:rsid w:val="60A9059F"/>
    <w:rsid w:val="60AA32DE"/>
    <w:rsid w:val="60B0265B"/>
    <w:rsid w:val="60B253E0"/>
    <w:rsid w:val="60B83F6F"/>
    <w:rsid w:val="60BD52D6"/>
    <w:rsid w:val="60C84AED"/>
    <w:rsid w:val="60CA6297"/>
    <w:rsid w:val="60CB03A0"/>
    <w:rsid w:val="60CC1669"/>
    <w:rsid w:val="60CC405A"/>
    <w:rsid w:val="60CE23AE"/>
    <w:rsid w:val="60CF2A68"/>
    <w:rsid w:val="60D17027"/>
    <w:rsid w:val="60D755BC"/>
    <w:rsid w:val="60D97D25"/>
    <w:rsid w:val="60E27273"/>
    <w:rsid w:val="60E61722"/>
    <w:rsid w:val="60E87F3A"/>
    <w:rsid w:val="60F9129C"/>
    <w:rsid w:val="61020DDB"/>
    <w:rsid w:val="61087243"/>
    <w:rsid w:val="610B3223"/>
    <w:rsid w:val="61106B4E"/>
    <w:rsid w:val="6111327D"/>
    <w:rsid w:val="61173055"/>
    <w:rsid w:val="61193F38"/>
    <w:rsid w:val="611A647D"/>
    <w:rsid w:val="61206C73"/>
    <w:rsid w:val="61226FB6"/>
    <w:rsid w:val="612F19C3"/>
    <w:rsid w:val="6137116E"/>
    <w:rsid w:val="61377E98"/>
    <w:rsid w:val="61382BF5"/>
    <w:rsid w:val="613D2A65"/>
    <w:rsid w:val="613F093E"/>
    <w:rsid w:val="61481F2B"/>
    <w:rsid w:val="614E14F3"/>
    <w:rsid w:val="61554DB4"/>
    <w:rsid w:val="61596128"/>
    <w:rsid w:val="615C2A07"/>
    <w:rsid w:val="61614568"/>
    <w:rsid w:val="61677A0D"/>
    <w:rsid w:val="616C19F7"/>
    <w:rsid w:val="616E6097"/>
    <w:rsid w:val="61733170"/>
    <w:rsid w:val="617514A3"/>
    <w:rsid w:val="617679E5"/>
    <w:rsid w:val="617B16AD"/>
    <w:rsid w:val="617B34F7"/>
    <w:rsid w:val="617D0DDD"/>
    <w:rsid w:val="618261CC"/>
    <w:rsid w:val="61837E1E"/>
    <w:rsid w:val="61884FE8"/>
    <w:rsid w:val="618B4E3A"/>
    <w:rsid w:val="618F0F4E"/>
    <w:rsid w:val="61905CC4"/>
    <w:rsid w:val="619A1091"/>
    <w:rsid w:val="619C172B"/>
    <w:rsid w:val="619F22A7"/>
    <w:rsid w:val="61A14A61"/>
    <w:rsid w:val="61A602C3"/>
    <w:rsid w:val="61A625E1"/>
    <w:rsid w:val="61A929B4"/>
    <w:rsid w:val="61AD5495"/>
    <w:rsid w:val="61AE48AE"/>
    <w:rsid w:val="61B320AE"/>
    <w:rsid w:val="61B87CC1"/>
    <w:rsid w:val="61B957FC"/>
    <w:rsid w:val="61BE4F7F"/>
    <w:rsid w:val="61C500C2"/>
    <w:rsid w:val="61C95D8D"/>
    <w:rsid w:val="61C967ED"/>
    <w:rsid w:val="61D65DF8"/>
    <w:rsid w:val="61D94E1B"/>
    <w:rsid w:val="61DD78E1"/>
    <w:rsid w:val="61E215D8"/>
    <w:rsid w:val="61FA75FD"/>
    <w:rsid w:val="61FB248B"/>
    <w:rsid w:val="61FD5206"/>
    <w:rsid w:val="6200621B"/>
    <w:rsid w:val="62033EAA"/>
    <w:rsid w:val="6206330C"/>
    <w:rsid w:val="620D6C7A"/>
    <w:rsid w:val="62147C59"/>
    <w:rsid w:val="621A3E52"/>
    <w:rsid w:val="621B3775"/>
    <w:rsid w:val="62204244"/>
    <w:rsid w:val="6221106C"/>
    <w:rsid w:val="622123AC"/>
    <w:rsid w:val="622A210F"/>
    <w:rsid w:val="622B7BE2"/>
    <w:rsid w:val="622E53C4"/>
    <w:rsid w:val="623340A1"/>
    <w:rsid w:val="6236358E"/>
    <w:rsid w:val="62364782"/>
    <w:rsid w:val="623A152B"/>
    <w:rsid w:val="623A7C76"/>
    <w:rsid w:val="623D70CD"/>
    <w:rsid w:val="623E604B"/>
    <w:rsid w:val="623F2804"/>
    <w:rsid w:val="62480247"/>
    <w:rsid w:val="624A1DCA"/>
    <w:rsid w:val="624A618F"/>
    <w:rsid w:val="624A7460"/>
    <w:rsid w:val="62540A17"/>
    <w:rsid w:val="62590593"/>
    <w:rsid w:val="625F42F0"/>
    <w:rsid w:val="62642448"/>
    <w:rsid w:val="626D1838"/>
    <w:rsid w:val="627134A5"/>
    <w:rsid w:val="62742AE3"/>
    <w:rsid w:val="627C1279"/>
    <w:rsid w:val="6287516F"/>
    <w:rsid w:val="628C53C9"/>
    <w:rsid w:val="628D321E"/>
    <w:rsid w:val="628D3FF9"/>
    <w:rsid w:val="628F4E4B"/>
    <w:rsid w:val="62901119"/>
    <w:rsid w:val="62930144"/>
    <w:rsid w:val="629B446B"/>
    <w:rsid w:val="629B511A"/>
    <w:rsid w:val="62A036B1"/>
    <w:rsid w:val="62A40E93"/>
    <w:rsid w:val="62A91C50"/>
    <w:rsid w:val="62AF6B72"/>
    <w:rsid w:val="62B117AC"/>
    <w:rsid w:val="62B3180C"/>
    <w:rsid w:val="62B43081"/>
    <w:rsid w:val="62B75D87"/>
    <w:rsid w:val="62B95F41"/>
    <w:rsid w:val="62BC2639"/>
    <w:rsid w:val="62BF12B0"/>
    <w:rsid w:val="62C95C43"/>
    <w:rsid w:val="62CC4C87"/>
    <w:rsid w:val="62CC6958"/>
    <w:rsid w:val="62D11108"/>
    <w:rsid w:val="62D36532"/>
    <w:rsid w:val="62DF0315"/>
    <w:rsid w:val="62E22116"/>
    <w:rsid w:val="62EC4BAE"/>
    <w:rsid w:val="62F15E43"/>
    <w:rsid w:val="62F272DC"/>
    <w:rsid w:val="62F51F80"/>
    <w:rsid w:val="63017DD3"/>
    <w:rsid w:val="63073F41"/>
    <w:rsid w:val="630A3F5D"/>
    <w:rsid w:val="630E3CC7"/>
    <w:rsid w:val="6312145C"/>
    <w:rsid w:val="63122134"/>
    <w:rsid w:val="63162FE4"/>
    <w:rsid w:val="631B0F5B"/>
    <w:rsid w:val="631B7E99"/>
    <w:rsid w:val="631E2458"/>
    <w:rsid w:val="631F3D2E"/>
    <w:rsid w:val="632351DE"/>
    <w:rsid w:val="632C5B06"/>
    <w:rsid w:val="63320EE6"/>
    <w:rsid w:val="633730ED"/>
    <w:rsid w:val="633E056B"/>
    <w:rsid w:val="633E4129"/>
    <w:rsid w:val="633F0233"/>
    <w:rsid w:val="63444FA2"/>
    <w:rsid w:val="63457F15"/>
    <w:rsid w:val="6347098F"/>
    <w:rsid w:val="63485738"/>
    <w:rsid w:val="634D5B7F"/>
    <w:rsid w:val="634F20FA"/>
    <w:rsid w:val="63564170"/>
    <w:rsid w:val="635B15BE"/>
    <w:rsid w:val="635F4925"/>
    <w:rsid w:val="63602F96"/>
    <w:rsid w:val="63611F3B"/>
    <w:rsid w:val="63613A06"/>
    <w:rsid w:val="636656D8"/>
    <w:rsid w:val="636C38A8"/>
    <w:rsid w:val="636D6724"/>
    <w:rsid w:val="636E31D6"/>
    <w:rsid w:val="63795414"/>
    <w:rsid w:val="637A2761"/>
    <w:rsid w:val="63806669"/>
    <w:rsid w:val="6387684B"/>
    <w:rsid w:val="638E1155"/>
    <w:rsid w:val="638E504D"/>
    <w:rsid w:val="638E55C1"/>
    <w:rsid w:val="638F26E8"/>
    <w:rsid w:val="6393480A"/>
    <w:rsid w:val="639425BA"/>
    <w:rsid w:val="6394356A"/>
    <w:rsid w:val="639D4FF6"/>
    <w:rsid w:val="63A0622B"/>
    <w:rsid w:val="63A71552"/>
    <w:rsid w:val="63A8405D"/>
    <w:rsid w:val="63A91251"/>
    <w:rsid w:val="63AA216D"/>
    <w:rsid w:val="63AB221F"/>
    <w:rsid w:val="63AB2736"/>
    <w:rsid w:val="63AD6313"/>
    <w:rsid w:val="63AE3260"/>
    <w:rsid w:val="63AF1C1F"/>
    <w:rsid w:val="63B3649F"/>
    <w:rsid w:val="63B40A55"/>
    <w:rsid w:val="63B53874"/>
    <w:rsid w:val="63B63820"/>
    <w:rsid w:val="63B804AE"/>
    <w:rsid w:val="63BB3A8A"/>
    <w:rsid w:val="63BC7F4D"/>
    <w:rsid w:val="63C61B2C"/>
    <w:rsid w:val="63CA0EF6"/>
    <w:rsid w:val="63D2355B"/>
    <w:rsid w:val="63D40BE9"/>
    <w:rsid w:val="63D70D7E"/>
    <w:rsid w:val="63D871BF"/>
    <w:rsid w:val="63E025F8"/>
    <w:rsid w:val="63EB31DE"/>
    <w:rsid w:val="63EB6D58"/>
    <w:rsid w:val="63EE7FBA"/>
    <w:rsid w:val="63F147D0"/>
    <w:rsid w:val="63F34F87"/>
    <w:rsid w:val="64014E9B"/>
    <w:rsid w:val="64042B05"/>
    <w:rsid w:val="64052F09"/>
    <w:rsid w:val="6405736D"/>
    <w:rsid w:val="640B39B0"/>
    <w:rsid w:val="640D6E48"/>
    <w:rsid w:val="64102431"/>
    <w:rsid w:val="64115F72"/>
    <w:rsid w:val="641218DE"/>
    <w:rsid w:val="641332EF"/>
    <w:rsid w:val="64146353"/>
    <w:rsid w:val="641B3919"/>
    <w:rsid w:val="641E0C79"/>
    <w:rsid w:val="64215B16"/>
    <w:rsid w:val="642C090A"/>
    <w:rsid w:val="6432670F"/>
    <w:rsid w:val="64371128"/>
    <w:rsid w:val="6437615F"/>
    <w:rsid w:val="64385940"/>
    <w:rsid w:val="64411C3B"/>
    <w:rsid w:val="644B6F0F"/>
    <w:rsid w:val="645534CA"/>
    <w:rsid w:val="64591E73"/>
    <w:rsid w:val="64603199"/>
    <w:rsid w:val="6462033E"/>
    <w:rsid w:val="646F73CF"/>
    <w:rsid w:val="64703370"/>
    <w:rsid w:val="64797643"/>
    <w:rsid w:val="647C58DF"/>
    <w:rsid w:val="647F4617"/>
    <w:rsid w:val="647F4AB9"/>
    <w:rsid w:val="648614DE"/>
    <w:rsid w:val="64861E20"/>
    <w:rsid w:val="648746C6"/>
    <w:rsid w:val="648A5C60"/>
    <w:rsid w:val="648B3A5F"/>
    <w:rsid w:val="648D1BAA"/>
    <w:rsid w:val="64916B0F"/>
    <w:rsid w:val="64A25BE9"/>
    <w:rsid w:val="64A5243A"/>
    <w:rsid w:val="64AA2ADB"/>
    <w:rsid w:val="64AB2745"/>
    <w:rsid w:val="64AC5300"/>
    <w:rsid w:val="64B95B73"/>
    <w:rsid w:val="64BF2A54"/>
    <w:rsid w:val="64C92D65"/>
    <w:rsid w:val="64E00CC9"/>
    <w:rsid w:val="64E12AB9"/>
    <w:rsid w:val="64E21F78"/>
    <w:rsid w:val="64EC4C1A"/>
    <w:rsid w:val="64F531DE"/>
    <w:rsid w:val="64F919E6"/>
    <w:rsid w:val="64FE1F7D"/>
    <w:rsid w:val="64FE5D2F"/>
    <w:rsid w:val="65004B52"/>
    <w:rsid w:val="65043759"/>
    <w:rsid w:val="65053876"/>
    <w:rsid w:val="6509385A"/>
    <w:rsid w:val="651412A1"/>
    <w:rsid w:val="65165A3E"/>
    <w:rsid w:val="651F790D"/>
    <w:rsid w:val="65212F5E"/>
    <w:rsid w:val="65282725"/>
    <w:rsid w:val="652D79C6"/>
    <w:rsid w:val="652E73E4"/>
    <w:rsid w:val="652F5E7D"/>
    <w:rsid w:val="65373578"/>
    <w:rsid w:val="653C2C54"/>
    <w:rsid w:val="653C5BF7"/>
    <w:rsid w:val="653F35EC"/>
    <w:rsid w:val="65432D62"/>
    <w:rsid w:val="65493FD2"/>
    <w:rsid w:val="655017D7"/>
    <w:rsid w:val="6558075C"/>
    <w:rsid w:val="655D5F94"/>
    <w:rsid w:val="655F1FBD"/>
    <w:rsid w:val="6561686C"/>
    <w:rsid w:val="65622354"/>
    <w:rsid w:val="656B2226"/>
    <w:rsid w:val="656E079C"/>
    <w:rsid w:val="6577588C"/>
    <w:rsid w:val="6579647F"/>
    <w:rsid w:val="657B0E01"/>
    <w:rsid w:val="657D0064"/>
    <w:rsid w:val="65836F6A"/>
    <w:rsid w:val="6585177D"/>
    <w:rsid w:val="65856995"/>
    <w:rsid w:val="65877856"/>
    <w:rsid w:val="659A0250"/>
    <w:rsid w:val="659D0A26"/>
    <w:rsid w:val="65A74B5A"/>
    <w:rsid w:val="65A86741"/>
    <w:rsid w:val="65AB37BC"/>
    <w:rsid w:val="65AC16A4"/>
    <w:rsid w:val="65B00109"/>
    <w:rsid w:val="65B21B71"/>
    <w:rsid w:val="65B56593"/>
    <w:rsid w:val="65BB0430"/>
    <w:rsid w:val="65C01964"/>
    <w:rsid w:val="65C17A74"/>
    <w:rsid w:val="65C468F1"/>
    <w:rsid w:val="65C46E89"/>
    <w:rsid w:val="65C858AE"/>
    <w:rsid w:val="65C90FA6"/>
    <w:rsid w:val="65CD2A63"/>
    <w:rsid w:val="65D02D49"/>
    <w:rsid w:val="65D03001"/>
    <w:rsid w:val="65D034A1"/>
    <w:rsid w:val="65D20384"/>
    <w:rsid w:val="65D53CE4"/>
    <w:rsid w:val="65D63A96"/>
    <w:rsid w:val="65D8172C"/>
    <w:rsid w:val="65D8415B"/>
    <w:rsid w:val="65D86ABA"/>
    <w:rsid w:val="65DB034A"/>
    <w:rsid w:val="65E23613"/>
    <w:rsid w:val="65E23EE5"/>
    <w:rsid w:val="65E9533C"/>
    <w:rsid w:val="65F07FB0"/>
    <w:rsid w:val="65F207EB"/>
    <w:rsid w:val="66014DE1"/>
    <w:rsid w:val="66037271"/>
    <w:rsid w:val="660757F3"/>
    <w:rsid w:val="660768E4"/>
    <w:rsid w:val="660A099D"/>
    <w:rsid w:val="660C1029"/>
    <w:rsid w:val="661525F0"/>
    <w:rsid w:val="66153DAA"/>
    <w:rsid w:val="662258A9"/>
    <w:rsid w:val="66231B0A"/>
    <w:rsid w:val="662C2601"/>
    <w:rsid w:val="66320E1A"/>
    <w:rsid w:val="6639484A"/>
    <w:rsid w:val="66407FC1"/>
    <w:rsid w:val="66416A88"/>
    <w:rsid w:val="66431D77"/>
    <w:rsid w:val="66447BD4"/>
    <w:rsid w:val="664614B9"/>
    <w:rsid w:val="664A35CF"/>
    <w:rsid w:val="664A3674"/>
    <w:rsid w:val="66537B59"/>
    <w:rsid w:val="665706B9"/>
    <w:rsid w:val="6659588B"/>
    <w:rsid w:val="665A245C"/>
    <w:rsid w:val="665D66C9"/>
    <w:rsid w:val="66604890"/>
    <w:rsid w:val="66607458"/>
    <w:rsid w:val="66652A3C"/>
    <w:rsid w:val="6673341A"/>
    <w:rsid w:val="66752718"/>
    <w:rsid w:val="66773D33"/>
    <w:rsid w:val="667C4AAD"/>
    <w:rsid w:val="667D204E"/>
    <w:rsid w:val="667E7F6C"/>
    <w:rsid w:val="66864C5F"/>
    <w:rsid w:val="668A0C4A"/>
    <w:rsid w:val="668C4E50"/>
    <w:rsid w:val="668C75CD"/>
    <w:rsid w:val="668C77FE"/>
    <w:rsid w:val="668D1D38"/>
    <w:rsid w:val="66953659"/>
    <w:rsid w:val="66965613"/>
    <w:rsid w:val="66A4436D"/>
    <w:rsid w:val="66AC45FE"/>
    <w:rsid w:val="66AC4864"/>
    <w:rsid w:val="66AD34AE"/>
    <w:rsid w:val="66B17BAC"/>
    <w:rsid w:val="66BA7631"/>
    <w:rsid w:val="66C14EB0"/>
    <w:rsid w:val="66C602E6"/>
    <w:rsid w:val="66C81B0F"/>
    <w:rsid w:val="66CB5527"/>
    <w:rsid w:val="66CC7135"/>
    <w:rsid w:val="66CE65B4"/>
    <w:rsid w:val="66D05FB7"/>
    <w:rsid w:val="66D81703"/>
    <w:rsid w:val="66D977D7"/>
    <w:rsid w:val="66E42D35"/>
    <w:rsid w:val="66E66A72"/>
    <w:rsid w:val="66E867B2"/>
    <w:rsid w:val="66E87349"/>
    <w:rsid w:val="66F53F43"/>
    <w:rsid w:val="66F63B82"/>
    <w:rsid w:val="66F76AFF"/>
    <w:rsid w:val="66F830A2"/>
    <w:rsid w:val="66FB0684"/>
    <w:rsid w:val="66FB7EEA"/>
    <w:rsid w:val="66FC03FC"/>
    <w:rsid w:val="66FE39C0"/>
    <w:rsid w:val="66FE56DB"/>
    <w:rsid w:val="67027975"/>
    <w:rsid w:val="67093416"/>
    <w:rsid w:val="671643E5"/>
    <w:rsid w:val="67174AB8"/>
    <w:rsid w:val="671C39D8"/>
    <w:rsid w:val="671D23E3"/>
    <w:rsid w:val="671F124A"/>
    <w:rsid w:val="67214DBD"/>
    <w:rsid w:val="67222EE9"/>
    <w:rsid w:val="672424B7"/>
    <w:rsid w:val="672B1B55"/>
    <w:rsid w:val="672B201F"/>
    <w:rsid w:val="672B3CC0"/>
    <w:rsid w:val="672D0910"/>
    <w:rsid w:val="67305AA7"/>
    <w:rsid w:val="673155A8"/>
    <w:rsid w:val="67325C2C"/>
    <w:rsid w:val="67332027"/>
    <w:rsid w:val="67387E91"/>
    <w:rsid w:val="673A15BD"/>
    <w:rsid w:val="67414F36"/>
    <w:rsid w:val="674956CA"/>
    <w:rsid w:val="675225D2"/>
    <w:rsid w:val="675564D7"/>
    <w:rsid w:val="67583DE2"/>
    <w:rsid w:val="67592A88"/>
    <w:rsid w:val="675950D6"/>
    <w:rsid w:val="675A286C"/>
    <w:rsid w:val="675A3958"/>
    <w:rsid w:val="675C05F6"/>
    <w:rsid w:val="675C62DB"/>
    <w:rsid w:val="67606E6A"/>
    <w:rsid w:val="67615FB7"/>
    <w:rsid w:val="67661256"/>
    <w:rsid w:val="67667ACD"/>
    <w:rsid w:val="67686E63"/>
    <w:rsid w:val="677469E9"/>
    <w:rsid w:val="67763C86"/>
    <w:rsid w:val="677A33C6"/>
    <w:rsid w:val="677B3A23"/>
    <w:rsid w:val="677B5F4C"/>
    <w:rsid w:val="67853B90"/>
    <w:rsid w:val="67876DC5"/>
    <w:rsid w:val="678C0E02"/>
    <w:rsid w:val="678F5239"/>
    <w:rsid w:val="67A04331"/>
    <w:rsid w:val="67A715F0"/>
    <w:rsid w:val="67B15D5C"/>
    <w:rsid w:val="67B62DDC"/>
    <w:rsid w:val="67B6493C"/>
    <w:rsid w:val="67C07968"/>
    <w:rsid w:val="67C85EF8"/>
    <w:rsid w:val="67CA1E9A"/>
    <w:rsid w:val="67CE637F"/>
    <w:rsid w:val="67CF6950"/>
    <w:rsid w:val="67CF762A"/>
    <w:rsid w:val="67D379A2"/>
    <w:rsid w:val="67D6116D"/>
    <w:rsid w:val="67DA01DA"/>
    <w:rsid w:val="67DA3C49"/>
    <w:rsid w:val="67DF5796"/>
    <w:rsid w:val="67E97955"/>
    <w:rsid w:val="67EB226B"/>
    <w:rsid w:val="67F04953"/>
    <w:rsid w:val="67F364D2"/>
    <w:rsid w:val="67F37C6A"/>
    <w:rsid w:val="67F61F9D"/>
    <w:rsid w:val="67F63D23"/>
    <w:rsid w:val="67FC0B72"/>
    <w:rsid w:val="67FF5C29"/>
    <w:rsid w:val="6806774A"/>
    <w:rsid w:val="68080315"/>
    <w:rsid w:val="68096656"/>
    <w:rsid w:val="6810454C"/>
    <w:rsid w:val="68115934"/>
    <w:rsid w:val="68122D52"/>
    <w:rsid w:val="681625D6"/>
    <w:rsid w:val="681C264E"/>
    <w:rsid w:val="681F2ED7"/>
    <w:rsid w:val="681F6961"/>
    <w:rsid w:val="68205CF6"/>
    <w:rsid w:val="6823648A"/>
    <w:rsid w:val="682372DC"/>
    <w:rsid w:val="68244B8E"/>
    <w:rsid w:val="682E6B37"/>
    <w:rsid w:val="683128C7"/>
    <w:rsid w:val="68321B3A"/>
    <w:rsid w:val="683C4F6E"/>
    <w:rsid w:val="6841237A"/>
    <w:rsid w:val="684423F9"/>
    <w:rsid w:val="68442B2D"/>
    <w:rsid w:val="68463A1A"/>
    <w:rsid w:val="68471389"/>
    <w:rsid w:val="68477386"/>
    <w:rsid w:val="684A444A"/>
    <w:rsid w:val="68541A6A"/>
    <w:rsid w:val="68587417"/>
    <w:rsid w:val="685A19F5"/>
    <w:rsid w:val="685C1899"/>
    <w:rsid w:val="685D3DB1"/>
    <w:rsid w:val="685E1895"/>
    <w:rsid w:val="68610A2F"/>
    <w:rsid w:val="68627156"/>
    <w:rsid w:val="686457E7"/>
    <w:rsid w:val="6865242C"/>
    <w:rsid w:val="68671A2A"/>
    <w:rsid w:val="68680DFA"/>
    <w:rsid w:val="68693764"/>
    <w:rsid w:val="687265A0"/>
    <w:rsid w:val="6873383D"/>
    <w:rsid w:val="68737677"/>
    <w:rsid w:val="68751265"/>
    <w:rsid w:val="687F72DE"/>
    <w:rsid w:val="68805514"/>
    <w:rsid w:val="688557E9"/>
    <w:rsid w:val="68860EA4"/>
    <w:rsid w:val="68871C46"/>
    <w:rsid w:val="68912473"/>
    <w:rsid w:val="689C624A"/>
    <w:rsid w:val="689D54BE"/>
    <w:rsid w:val="689F42FF"/>
    <w:rsid w:val="68A547FE"/>
    <w:rsid w:val="68A7638A"/>
    <w:rsid w:val="68A912C7"/>
    <w:rsid w:val="68AA1C8F"/>
    <w:rsid w:val="68B34D05"/>
    <w:rsid w:val="68B72DDC"/>
    <w:rsid w:val="68C1751B"/>
    <w:rsid w:val="68C2279A"/>
    <w:rsid w:val="68C26FAB"/>
    <w:rsid w:val="68C44CBA"/>
    <w:rsid w:val="68C67829"/>
    <w:rsid w:val="68C8728A"/>
    <w:rsid w:val="68CF2B78"/>
    <w:rsid w:val="68D1062E"/>
    <w:rsid w:val="68D275E3"/>
    <w:rsid w:val="68D51FDF"/>
    <w:rsid w:val="68D94ABB"/>
    <w:rsid w:val="68DA2668"/>
    <w:rsid w:val="68DB3573"/>
    <w:rsid w:val="68DB508A"/>
    <w:rsid w:val="68FA3035"/>
    <w:rsid w:val="68FB6C7D"/>
    <w:rsid w:val="690B0DD1"/>
    <w:rsid w:val="690B6FCD"/>
    <w:rsid w:val="690F1D46"/>
    <w:rsid w:val="690F348E"/>
    <w:rsid w:val="69104DA2"/>
    <w:rsid w:val="69130372"/>
    <w:rsid w:val="6916402F"/>
    <w:rsid w:val="691D088F"/>
    <w:rsid w:val="69203A40"/>
    <w:rsid w:val="69270F8E"/>
    <w:rsid w:val="692B1300"/>
    <w:rsid w:val="692F7D31"/>
    <w:rsid w:val="69316E2F"/>
    <w:rsid w:val="69323FC5"/>
    <w:rsid w:val="69372C08"/>
    <w:rsid w:val="693C360E"/>
    <w:rsid w:val="693D1395"/>
    <w:rsid w:val="693F5D69"/>
    <w:rsid w:val="69403407"/>
    <w:rsid w:val="69407C33"/>
    <w:rsid w:val="69437CAE"/>
    <w:rsid w:val="69466FBD"/>
    <w:rsid w:val="694C02B6"/>
    <w:rsid w:val="694D4BAD"/>
    <w:rsid w:val="694E2071"/>
    <w:rsid w:val="694E7EB5"/>
    <w:rsid w:val="6950256C"/>
    <w:rsid w:val="695B7806"/>
    <w:rsid w:val="69645F93"/>
    <w:rsid w:val="696C103E"/>
    <w:rsid w:val="696D6E79"/>
    <w:rsid w:val="696F22C5"/>
    <w:rsid w:val="69722574"/>
    <w:rsid w:val="69766163"/>
    <w:rsid w:val="69777FBA"/>
    <w:rsid w:val="697A3B33"/>
    <w:rsid w:val="69815514"/>
    <w:rsid w:val="698232BE"/>
    <w:rsid w:val="698557C7"/>
    <w:rsid w:val="6989164F"/>
    <w:rsid w:val="698936AD"/>
    <w:rsid w:val="698D27FF"/>
    <w:rsid w:val="699141E2"/>
    <w:rsid w:val="69914C7F"/>
    <w:rsid w:val="69934F64"/>
    <w:rsid w:val="69A42BAA"/>
    <w:rsid w:val="69A51756"/>
    <w:rsid w:val="69A51C46"/>
    <w:rsid w:val="69A64540"/>
    <w:rsid w:val="69A807B8"/>
    <w:rsid w:val="69AD0842"/>
    <w:rsid w:val="69AD11B9"/>
    <w:rsid w:val="69B06F28"/>
    <w:rsid w:val="69B3279E"/>
    <w:rsid w:val="69B87609"/>
    <w:rsid w:val="69BB48FA"/>
    <w:rsid w:val="69C01148"/>
    <w:rsid w:val="69C17436"/>
    <w:rsid w:val="69C64960"/>
    <w:rsid w:val="69C84F52"/>
    <w:rsid w:val="69CA5C23"/>
    <w:rsid w:val="69D44760"/>
    <w:rsid w:val="69D921E8"/>
    <w:rsid w:val="69DC0A3A"/>
    <w:rsid w:val="69DE5769"/>
    <w:rsid w:val="69E30071"/>
    <w:rsid w:val="69E44782"/>
    <w:rsid w:val="69E60D34"/>
    <w:rsid w:val="69EF18B3"/>
    <w:rsid w:val="69FA02E5"/>
    <w:rsid w:val="69FE1345"/>
    <w:rsid w:val="6A033B61"/>
    <w:rsid w:val="6A034715"/>
    <w:rsid w:val="6A0C067A"/>
    <w:rsid w:val="6A101445"/>
    <w:rsid w:val="6A107BB9"/>
    <w:rsid w:val="6A1335DE"/>
    <w:rsid w:val="6A164BEB"/>
    <w:rsid w:val="6A1A6DD3"/>
    <w:rsid w:val="6A1B270F"/>
    <w:rsid w:val="6A1C43A5"/>
    <w:rsid w:val="6A21578F"/>
    <w:rsid w:val="6A241D4D"/>
    <w:rsid w:val="6A25731B"/>
    <w:rsid w:val="6A27015D"/>
    <w:rsid w:val="6A28783B"/>
    <w:rsid w:val="6A3234D8"/>
    <w:rsid w:val="6A390298"/>
    <w:rsid w:val="6A3E6340"/>
    <w:rsid w:val="6A43672E"/>
    <w:rsid w:val="6A463347"/>
    <w:rsid w:val="6A4D536E"/>
    <w:rsid w:val="6A5020BF"/>
    <w:rsid w:val="6A520EC7"/>
    <w:rsid w:val="6A573E29"/>
    <w:rsid w:val="6A591675"/>
    <w:rsid w:val="6A5A51AB"/>
    <w:rsid w:val="6A5C103B"/>
    <w:rsid w:val="6A617CA0"/>
    <w:rsid w:val="6A626787"/>
    <w:rsid w:val="6A6A01E2"/>
    <w:rsid w:val="6A6A0728"/>
    <w:rsid w:val="6A6F47D9"/>
    <w:rsid w:val="6A700EAC"/>
    <w:rsid w:val="6A785430"/>
    <w:rsid w:val="6A7A3D25"/>
    <w:rsid w:val="6A8146E4"/>
    <w:rsid w:val="6A85547B"/>
    <w:rsid w:val="6A855B9F"/>
    <w:rsid w:val="6A864C1D"/>
    <w:rsid w:val="6A8B3E00"/>
    <w:rsid w:val="6A8F682D"/>
    <w:rsid w:val="6A911564"/>
    <w:rsid w:val="6A952164"/>
    <w:rsid w:val="6A955516"/>
    <w:rsid w:val="6A976000"/>
    <w:rsid w:val="6A9B15FD"/>
    <w:rsid w:val="6A9B6B20"/>
    <w:rsid w:val="6A9C0E18"/>
    <w:rsid w:val="6A9F1D2B"/>
    <w:rsid w:val="6AB520A6"/>
    <w:rsid w:val="6ABB7B4F"/>
    <w:rsid w:val="6ABF541F"/>
    <w:rsid w:val="6AC019BF"/>
    <w:rsid w:val="6AC33C5F"/>
    <w:rsid w:val="6ACB4B84"/>
    <w:rsid w:val="6ACB7680"/>
    <w:rsid w:val="6ACF6350"/>
    <w:rsid w:val="6AD00F5D"/>
    <w:rsid w:val="6AD55D1D"/>
    <w:rsid w:val="6AD56C31"/>
    <w:rsid w:val="6AD94282"/>
    <w:rsid w:val="6AE604B3"/>
    <w:rsid w:val="6AE66FF6"/>
    <w:rsid w:val="6AE77B4D"/>
    <w:rsid w:val="6AE972DF"/>
    <w:rsid w:val="6AF36D62"/>
    <w:rsid w:val="6AF60466"/>
    <w:rsid w:val="6AF87E20"/>
    <w:rsid w:val="6AF9239F"/>
    <w:rsid w:val="6AFC1FA1"/>
    <w:rsid w:val="6B092D4A"/>
    <w:rsid w:val="6B1313AB"/>
    <w:rsid w:val="6B180DB7"/>
    <w:rsid w:val="6B1C0415"/>
    <w:rsid w:val="6B1C1E6F"/>
    <w:rsid w:val="6B1D5E8D"/>
    <w:rsid w:val="6B221FF3"/>
    <w:rsid w:val="6B22631A"/>
    <w:rsid w:val="6B24273B"/>
    <w:rsid w:val="6B2458E6"/>
    <w:rsid w:val="6B252FDC"/>
    <w:rsid w:val="6B25664A"/>
    <w:rsid w:val="6B26703B"/>
    <w:rsid w:val="6B322639"/>
    <w:rsid w:val="6B36546C"/>
    <w:rsid w:val="6B39755F"/>
    <w:rsid w:val="6B3B1A03"/>
    <w:rsid w:val="6B3D25E4"/>
    <w:rsid w:val="6B41334F"/>
    <w:rsid w:val="6B431757"/>
    <w:rsid w:val="6B435BCF"/>
    <w:rsid w:val="6B460C71"/>
    <w:rsid w:val="6B48699F"/>
    <w:rsid w:val="6B4D0A9D"/>
    <w:rsid w:val="6B675EA3"/>
    <w:rsid w:val="6B6806B9"/>
    <w:rsid w:val="6B685284"/>
    <w:rsid w:val="6B6A0E35"/>
    <w:rsid w:val="6B6A5242"/>
    <w:rsid w:val="6B6B1B9B"/>
    <w:rsid w:val="6B6C1DCA"/>
    <w:rsid w:val="6B6C6044"/>
    <w:rsid w:val="6B705943"/>
    <w:rsid w:val="6B752D1C"/>
    <w:rsid w:val="6B793759"/>
    <w:rsid w:val="6B7D390A"/>
    <w:rsid w:val="6B7E45CE"/>
    <w:rsid w:val="6B7E573E"/>
    <w:rsid w:val="6B874CB6"/>
    <w:rsid w:val="6B892141"/>
    <w:rsid w:val="6B8B37B8"/>
    <w:rsid w:val="6B8F46D5"/>
    <w:rsid w:val="6B911BB0"/>
    <w:rsid w:val="6B933E9C"/>
    <w:rsid w:val="6B940C39"/>
    <w:rsid w:val="6B945469"/>
    <w:rsid w:val="6BA327AC"/>
    <w:rsid w:val="6BA87C27"/>
    <w:rsid w:val="6BB24EEC"/>
    <w:rsid w:val="6BB428DA"/>
    <w:rsid w:val="6BBD6E19"/>
    <w:rsid w:val="6BBE5CA7"/>
    <w:rsid w:val="6BC7290C"/>
    <w:rsid w:val="6BCD5D3C"/>
    <w:rsid w:val="6BD51359"/>
    <w:rsid w:val="6BD66124"/>
    <w:rsid w:val="6BD7179C"/>
    <w:rsid w:val="6BDD590E"/>
    <w:rsid w:val="6BDE1970"/>
    <w:rsid w:val="6BE97F3E"/>
    <w:rsid w:val="6BF35400"/>
    <w:rsid w:val="6BF617AA"/>
    <w:rsid w:val="6BFC4226"/>
    <w:rsid w:val="6BFC5BBF"/>
    <w:rsid w:val="6BFD6E53"/>
    <w:rsid w:val="6C0A6933"/>
    <w:rsid w:val="6C0D1C5B"/>
    <w:rsid w:val="6C0E45A9"/>
    <w:rsid w:val="6C1060C2"/>
    <w:rsid w:val="6C15390E"/>
    <w:rsid w:val="6C1621BD"/>
    <w:rsid w:val="6C172AA1"/>
    <w:rsid w:val="6C195743"/>
    <w:rsid w:val="6C1A059A"/>
    <w:rsid w:val="6C293857"/>
    <w:rsid w:val="6C2A0DF0"/>
    <w:rsid w:val="6C2D0250"/>
    <w:rsid w:val="6C2E54FC"/>
    <w:rsid w:val="6C333883"/>
    <w:rsid w:val="6C3752DF"/>
    <w:rsid w:val="6C3B1E82"/>
    <w:rsid w:val="6C3C07B4"/>
    <w:rsid w:val="6C3C0B65"/>
    <w:rsid w:val="6C3C3E74"/>
    <w:rsid w:val="6C3D46B5"/>
    <w:rsid w:val="6C4014DD"/>
    <w:rsid w:val="6C4171F1"/>
    <w:rsid w:val="6C505E43"/>
    <w:rsid w:val="6C5133D1"/>
    <w:rsid w:val="6C516484"/>
    <w:rsid w:val="6C5447D1"/>
    <w:rsid w:val="6C566A20"/>
    <w:rsid w:val="6C636C38"/>
    <w:rsid w:val="6C7567F5"/>
    <w:rsid w:val="6C7C0BFE"/>
    <w:rsid w:val="6C7E0CCB"/>
    <w:rsid w:val="6C84124B"/>
    <w:rsid w:val="6C883F2D"/>
    <w:rsid w:val="6C930AC8"/>
    <w:rsid w:val="6C9C78DD"/>
    <w:rsid w:val="6C9E61B4"/>
    <w:rsid w:val="6CA015FA"/>
    <w:rsid w:val="6CA1418E"/>
    <w:rsid w:val="6CA40144"/>
    <w:rsid w:val="6CA66B0B"/>
    <w:rsid w:val="6CA948B5"/>
    <w:rsid w:val="6CAB7B3D"/>
    <w:rsid w:val="6CAE1A37"/>
    <w:rsid w:val="6CAE5146"/>
    <w:rsid w:val="6CB84CF0"/>
    <w:rsid w:val="6CB96FA7"/>
    <w:rsid w:val="6CBD1075"/>
    <w:rsid w:val="6CC174E4"/>
    <w:rsid w:val="6CC87BE3"/>
    <w:rsid w:val="6CCB1940"/>
    <w:rsid w:val="6CCC3218"/>
    <w:rsid w:val="6CCF227D"/>
    <w:rsid w:val="6CD400F9"/>
    <w:rsid w:val="6CD53106"/>
    <w:rsid w:val="6CD715E4"/>
    <w:rsid w:val="6CDE2989"/>
    <w:rsid w:val="6CE3638F"/>
    <w:rsid w:val="6CE376B8"/>
    <w:rsid w:val="6CE42BB1"/>
    <w:rsid w:val="6CEA6B52"/>
    <w:rsid w:val="6CEB45EE"/>
    <w:rsid w:val="6CEC7E95"/>
    <w:rsid w:val="6CEE529B"/>
    <w:rsid w:val="6CF4259D"/>
    <w:rsid w:val="6CF847A3"/>
    <w:rsid w:val="6CFD2835"/>
    <w:rsid w:val="6CFD2E70"/>
    <w:rsid w:val="6CFD6522"/>
    <w:rsid w:val="6D064D4A"/>
    <w:rsid w:val="6D076681"/>
    <w:rsid w:val="6D0A04D8"/>
    <w:rsid w:val="6D0F4B9C"/>
    <w:rsid w:val="6D113236"/>
    <w:rsid w:val="6D146601"/>
    <w:rsid w:val="6D1873F1"/>
    <w:rsid w:val="6D1B559C"/>
    <w:rsid w:val="6D2178F0"/>
    <w:rsid w:val="6D2314EB"/>
    <w:rsid w:val="6D2944C0"/>
    <w:rsid w:val="6D32235C"/>
    <w:rsid w:val="6D3971EC"/>
    <w:rsid w:val="6D3B7154"/>
    <w:rsid w:val="6D3C0D89"/>
    <w:rsid w:val="6D3C731B"/>
    <w:rsid w:val="6D3F0FE6"/>
    <w:rsid w:val="6D473778"/>
    <w:rsid w:val="6D481897"/>
    <w:rsid w:val="6D503A81"/>
    <w:rsid w:val="6D5166BC"/>
    <w:rsid w:val="6D5D5309"/>
    <w:rsid w:val="6D5E393B"/>
    <w:rsid w:val="6D640369"/>
    <w:rsid w:val="6D6430C1"/>
    <w:rsid w:val="6D663D47"/>
    <w:rsid w:val="6D66428F"/>
    <w:rsid w:val="6D6A50E1"/>
    <w:rsid w:val="6D6B47DE"/>
    <w:rsid w:val="6D6C302A"/>
    <w:rsid w:val="6D7A362E"/>
    <w:rsid w:val="6D7A4B02"/>
    <w:rsid w:val="6D7D3037"/>
    <w:rsid w:val="6D814712"/>
    <w:rsid w:val="6D837B6D"/>
    <w:rsid w:val="6D860472"/>
    <w:rsid w:val="6D8703C9"/>
    <w:rsid w:val="6D8C2C73"/>
    <w:rsid w:val="6D92693D"/>
    <w:rsid w:val="6D963CB8"/>
    <w:rsid w:val="6D9B4AA9"/>
    <w:rsid w:val="6D9B53F2"/>
    <w:rsid w:val="6DA144A9"/>
    <w:rsid w:val="6DA64783"/>
    <w:rsid w:val="6DB34098"/>
    <w:rsid w:val="6DB545B6"/>
    <w:rsid w:val="6DBF41D9"/>
    <w:rsid w:val="6DC0741C"/>
    <w:rsid w:val="6DC25F3C"/>
    <w:rsid w:val="6DC37D50"/>
    <w:rsid w:val="6DC81A8D"/>
    <w:rsid w:val="6DD650E8"/>
    <w:rsid w:val="6DD812A7"/>
    <w:rsid w:val="6DD92BEF"/>
    <w:rsid w:val="6DD96D2A"/>
    <w:rsid w:val="6DDF0A62"/>
    <w:rsid w:val="6DE02FB4"/>
    <w:rsid w:val="6DE04083"/>
    <w:rsid w:val="6DE512C2"/>
    <w:rsid w:val="6DE73EE8"/>
    <w:rsid w:val="6DF36C07"/>
    <w:rsid w:val="6DF37421"/>
    <w:rsid w:val="6DF5393E"/>
    <w:rsid w:val="6DF54368"/>
    <w:rsid w:val="6DF57B57"/>
    <w:rsid w:val="6DF84982"/>
    <w:rsid w:val="6E0203F9"/>
    <w:rsid w:val="6E102BEF"/>
    <w:rsid w:val="6E12210F"/>
    <w:rsid w:val="6E151D24"/>
    <w:rsid w:val="6E152E01"/>
    <w:rsid w:val="6E1616A4"/>
    <w:rsid w:val="6E1F538F"/>
    <w:rsid w:val="6E204E9F"/>
    <w:rsid w:val="6E3F66B3"/>
    <w:rsid w:val="6E4123B1"/>
    <w:rsid w:val="6E452473"/>
    <w:rsid w:val="6E497091"/>
    <w:rsid w:val="6E4B7548"/>
    <w:rsid w:val="6E4E6808"/>
    <w:rsid w:val="6E510E33"/>
    <w:rsid w:val="6E514CED"/>
    <w:rsid w:val="6E581917"/>
    <w:rsid w:val="6E5854D8"/>
    <w:rsid w:val="6E5A419D"/>
    <w:rsid w:val="6E5A4562"/>
    <w:rsid w:val="6E5F77A0"/>
    <w:rsid w:val="6E623997"/>
    <w:rsid w:val="6E672607"/>
    <w:rsid w:val="6E6B25C6"/>
    <w:rsid w:val="6E7143CE"/>
    <w:rsid w:val="6E733FFB"/>
    <w:rsid w:val="6E786561"/>
    <w:rsid w:val="6E7B6BBF"/>
    <w:rsid w:val="6E7E2564"/>
    <w:rsid w:val="6E85621C"/>
    <w:rsid w:val="6E8A36B4"/>
    <w:rsid w:val="6E8C3710"/>
    <w:rsid w:val="6E9237B3"/>
    <w:rsid w:val="6E9A2DC7"/>
    <w:rsid w:val="6E9C0F6B"/>
    <w:rsid w:val="6E9F3BEF"/>
    <w:rsid w:val="6EAA3900"/>
    <w:rsid w:val="6EAE23E8"/>
    <w:rsid w:val="6EB1109E"/>
    <w:rsid w:val="6EB1698B"/>
    <w:rsid w:val="6EB462C6"/>
    <w:rsid w:val="6EB501B9"/>
    <w:rsid w:val="6EB563D5"/>
    <w:rsid w:val="6EB64C56"/>
    <w:rsid w:val="6EB81256"/>
    <w:rsid w:val="6EBA0081"/>
    <w:rsid w:val="6EBA224B"/>
    <w:rsid w:val="6EBB50A7"/>
    <w:rsid w:val="6EBF0A05"/>
    <w:rsid w:val="6EC30839"/>
    <w:rsid w:val="6ECA7440"/>
    <w:rsid w:val="6ED01259"/>
    <w:rsid w:val="6ED1421F"/>
    <w:rsid w:val="6ED31291"/>
    <w:rsid w:val="6ED63F70"/>
    <w:rsid w:val="6ED92677"/>
    <w:rsid w:val="6EDA46EE"/>
    <w:rsid w:val="6EDA533D"/>
    <w:rsid w:val="6EDB701E"/>
    <w:rsid w:val="6EDE5A29"/>
    <w:rsid w:val="6EE42C82"/>
    <w:rsid w:val="6EEA14CD"/>
    <w:rsid w:val="6EEA6EA1"/>
    <w:rsid w:val="6EEA6EB7"/>
    <w:rsid w:val="6EEB5614"/>
    <w:rsid w:val="6EEB764D"/>
    <w:rsid w:val="6EEE6141"/>
    <w:rsid w:val="6EF416CD"/>
    <w:rsid w:val="6EF744EB"/>
    <w:rsid w:val="6EF96624"/>
    <w:rsid w:val="6EFC19D6"/>
    <w:rsid w:val="6F004C6E"/>
    <w:rsid w:val="6F0924AF"/>
    <w:rsid w:val="6F147855"/>
    <w:rsid w:val="6F15079C"/>
    <w:rsid w:val="6F225983"/>
    <w:rsid w:val="6F330F78"/>
    <w:rsid w:val="6F3407A5"/>
    <w:rsid w:val="6F34594A"/>
    <w:rsid w:val="6F352C8D"/>
    <w:rsid w:val="6F37529B"/>
    <w:rsid w:val="6F3C4669"/>
    <w:rsid w:val="6F3C712E"/>
    <w:rsid w:val="6F3F3F12"/>
    <w:rsid w:val="6F3F635C"/>
    <w:rsid w:val="6F44001C"/>
    <w:rsid w:val="6F4525D2"/>
    <w:rsid w:val="6F493589"/>
    <w:rsid w:val="6F5162CB"/>
    <w:rsid w:val="6F554BFE"/>
    <w:rsid w:val="6F580332"/>
    <w:rsid w:val="6F5F5139"/>
    <w:rsid w:val="6F631F74"/>
    <w:rsid w:val="6F6E507C"/>
    <w:rsid w:val="6F81344B"/>
    <w:rsid w:val="6F8544D8"/>
    <w:rsid w:val="6F887CFE"/>
    <w:rsid w:val="6F925308"/>
    <w:rsid w:val="6F927108"/>
    <w:rsid w:val="6F9623C2"/>
    <w:rsid w:val="6F976ADF"/>
    <w:rsid w:val="6F9C4275"/>
    <w:rsid w:val="6F9F2C3B"/>
    <w:rsid w:val="6FA04B88"/>
    <w:rsid w:val="6FA25576"/>
    <w:rsid w:val="6FA31661"/>
    <w:rsid w:val="6FA57076"/>
    <w:rsid w:val="6FA752CA"/>
    <w:rsid w:val="6FA95F02"/>
    <w:rsid w:val="6FAD2629"/>
    <w:rsid w:val="6FAE5230"/>
    <w:rsid w:val="6FAE5273"/>
    <w:rsid w:val="6FB36B67"/>
    <w:rsid w:val="6FB57266"/>
    <w:rsid w:val="6FB8264E"/>
    <w:rsid w:val="6FBA5BB2"/>
    <w:rsid w:val="6FCB5E03"/>
    <w:rsid w:val="6FCB7F38"/>
    <w:rsid w:val="6FCD7DB2"/>
    <w:rsid w:val="6FCF162D"/>
    <w:rsid w:val="6FD16E2C"/>
    <w:rsid w:val="6FD72C01"/>
    <w:rsid w:val="6FE21981"/>
    <w:rsid w:val="6FE5143F"/>
    <w:rsid w:val="6FE74090"/>
    <w:rsid w:val="6FEA7A99"/>
    <w:rsid w:val="6FEF5B96"/>
    <w:rsid w:val="6FEF6F51"/>
    <w:rsid w:val="6FF13F7E"/>
    <w:rsid w:val="6FF26C2A"/>
    <w:rsid w:val="6FFA16FA"/>
    <w:rsid w:val="6FFC0820"/>
    <w:rsid w:val="6FFC5590"/>
    <w:rsid w:val="7003706C"/>
    <w:rsid w:val="70050BA9"/>
    <w:rsid w:val="7007081A"/>
    <w:rsid w:val="70070E3C"/>
    <w:rsid w:val="70087680"/>
    <w:rsid w:val="700B213D"/>
    <w:rsid w:val="701979CF"/>
    <w:rsid w:val="701C6C66"/>
    <w:rsid w:val="7029583C"/>
    <w:rsid w:val="702D1857"/>
    <w:rsid w:val="70316D2F"/>
    <w:rsid w:val="70340330"/>
    <w:rsid w:val="703A79BD"/>
    <w:rsid w:val="703E5266"/>
    <w:rsid w:val="70421BFC"/>
    <w:rsid w:val="704539A2"/>
    <w:rsid w:val="70453A40"/>
    <w:rsid w:val="704A350B"/>
    <w:rsid w:val="704E003B"/>
    <w:rsid w:val="704F306B"/>
    <w:rsid w:val="705D5998"/>
    <w:rsid w:val="705D7A41"/>
    <w:rsid w:val="70687FF2"/>
    <w:rsid w:val="706D1DD0"/>
    <w:rsid w:val="70722310"/>
    <w:rsid w:val="70764410"/>
    <w:rsid w:val="70780F66"/>
    <w:rsid w:val="707D1998"/>
    <w:rsid w:val="707D6748"/>
    <w:rsid w:val="70802194"/>
    <w:rsid w:val="70825D01"/>
    <w:rsid w:val="70856B87"/>
    <w:rsid w:val="708761E3"/>
    <w:rsid w:val="708B0EA4"/>
    <w:rsid w:val="7090594E"/>
    <w:rsid w:val="70A04D88"/>
    <w:rsid w:val="70AB0C7B"/>
    <w:rsid w:val="70AC7379"/>
    <w:rsid w:val="70B14B4E"/>
    <w:rsid w:val="70B14EB3"/>
    <w:rsid w:val="70B40FB5"/>
    <w:rsid w:val="70B42BAC"/>
    <w:rsid w:val="70BF5A4D"/>
    <w:rsid w:val="70C02364"/>
    <w:rsid w:val="70C546D7"/>
    <w:rsid w:val="70C628EA"/>
    <w:rsid w:val="70C76EC0"/>
    <w:rsid w:val="70C80A7B"/>
    <w:rsid w:val="70CB1AB4"/>
    <w:rsid w:val="70D12749"/>
    <w:rsid w:val="70D220A6"/>
    <w:rsid w:val="70D527EE"/>
    <w:rsid w:val="70D5589B"/>
    <w:rsid w:val="70D63810"/>
    <w:rsid w:val="70D7197D"/>
    <w:rsid w:val="70DC1449"/>
    <w:rsid w:val="70DD62FA"/>
    <w:rsid w:val="70DD73B4"/>
    <w:rsid w:val="70E13085"/>
    <w:rsid w:val="70E456FF"/>
    <w:rsid w:val="70ED6604"/>
    <w:rsid w:val="70EE5333"/>
    <w:rsid w:val="70F6045A"/>
    <w:rsid w:val="70F96197"/>
    <w:rsid w:val="70FB7F27"/>
    <w:rsid w:val="70FC50DF"/>
    <w:rsid w:val="70FF4C7E"/>
    <w:rsid w:val="71145679"/>
    <w:rsid w:val="71154711"/>
    <w:rsid w:val="71164838"/>
    <w:rsid w:val="71190D13"/>
    <w:rsid w:val="711A2445"/>
    <w:rsid w:val="71210768"/>
    <w:rsid w:val="71296178"/>
    <w:rsid w:val="712B11AF"/>
    <w:rsid w:val="712D7082"/>
    <w:rsid w:val="71330BAD"/>
    <w:rsid w:val="71366294"/>
    <w:rsid w:val="713C7566"/>
    <w:rsid w:val="7141103A"/>
    <w:rsid w:val="71447649"/>
    <w:rsid w:val="71447EB3"/>
    <w:rsid w:val="71451943"/>
    <w:rsid w:val="714637C6"/>
    <w:rsid w:val="71466D55"/>
    <w:rsid w:val="71474EA4"/>
    <w:rsid w:val="714A4BE1"/>
    <w:rsid w:val="714A6ECF"/>
    <w:rsid w:val="715953BC"/>
    <w:rsid w:val="715A7A5E"/>
    <w:rsid w:val="715B5300"/>
    <w:rsid w:val="715E6B54"/>
    <w:rsid w:val="716225A2"/>
    <w:rsid w:val="716352D2"/>
    <w:rsid w:val="716659E0"/>
    <w:rsid w:val="716B7343"/>
    <w:rsid w:val="716E215E"/>
    <w:rsid w:val="716E468A"/>
    <w:rsid w:val="71712106"/>
    <w:rsid w:val="71724933"/>
    <w:rsid w:val="71766898"/>
    <w:rsid w:val="71794687"/>
    <w:rsid w:val="717D3102"/>
    <w:rsid w:val="71832207"/>
    <w:rsid w:val="71882F20"/>
    <w:rsid w:val="71893ABD"/>
    <w:rsid w:val="718B4385"/>
    <w:rsid w:val="718B7B9F"/>
    <w:rsid w:val="718D3DCF"/>
    <w:rsid w:val="718D70F0"/>
    <w:rsid w:val="718D75BE"/>
    <w:rsid w:val="718F1B7C"/>
    <w:rsid w:val="71903329"/>
    <w:rsid w:val="71915ED4"/>
    <w:rsid w:val="7191753F"/>
    <w:rsid w:val="71931891"/>
    <w:rsid w:val="7193621D"/>
    <w:rsid w:val="7195497C"/>
    <w:rsid w:val="71A011C4"/>
    <w:rsid w:val="71A10B14"/>
    <w:rsid w:val="71AD4B10"/>
    <w:rsid w:val="71B44E5E"/>
    <w:rsid w:val="71B76A7A"/>
    <w:rsid w:val="71BE2AB0"/>
    <w:rsid w:val="71C0419E"/>
    <w:rsid w:val="71C07DC6"/>
    <w:rsid w:val="71C66C74"/>
    <w:rsid w:val="71C759B5"/>
    <w:rsid w:val="71CB0350"/>
    <w:rsid w:val="71CD7190"/>
    <w:rsid w:val="71D27F8A"/>
    <w:rsid w:val="71D6760E"/>
    <w:rsid w:val="71D8486D"/>
    <w:rsid w:val="71D96E9B"/>
    <w:rsid w:val="71DA6029"/>
    <w:rsid w:val="71DA69C0"/>
    <w:rsid w:val="71DB7FEC"/>
    <w:rsid w:val="71DC22BA"/>
    <w:rsid w:val="71DE7638"/>
    <w:rsid w:val="71E150A5"/>
    <w:rsid w:val="71E7766B"/>
    <w:rsid w:val="71ED1BF0"/>
    <w:rsid w:val="71ED5D58"/>
    <w:rsid w:val="71EF7E98"/>
    <w:rsid w:val="71F0046F"/>
    <w:rsid w:val="71F936E8"/>
    <w:rsid w:val="71F93AF3"/>
    <w:rsid w:val="71FB3C3E"/>
    <w:rsid w:val="72005235"/>
    <w:rsid w:val="72006239"/>
    <w:rsid w:val="7204272E"/>
    <w:rsid w:val="720D4670"/>
    <w:rsid w:val="720F638A"/>
    <w:rsid w:val="72117B2B"/>
    <w:rsid w:val="72117B49"/>
    <w:rsid w:val="72154EE4"/>
    <w:rsid w:val="721862E6"/>
    <w:rsid w:val="72194350"/>
    <w:rsid w:val="721B23CA"/>
    <w:rsid w:val="721E18A0"/>
    <w:rsid w:val="722A6238"/>
    <w:rsid w:val="722E428E"/>
    <w:rsid w:val="722F06C3"/>
    <w:rsid w:val="723300A4"/>
    <w:rsid w:val="72371BF9"/>
    <w:rsid w:val="723725A0"/>
    <w:rsid w:val="723C168B"/>
    <w:rsid w:val="723D2789"/>
    <w:rsid w:val="723D5C3D"/>
    <w:rsid w:val="7244648A"/>
    <w:rsid w:val="724604E2"/>
    <w:rsid w:val="724627EB"/>
    <w:rsid w:val="724F3B64"/>
    <w:rsid w:val="72504693"/>
    <w:rsid w:val="72553024"/>
    <w:rsid w:val="72560581"/>
    <w:rsid w:val="72570029"/>
    <w:rsid w:val="725D2182"/>
    <w:rsid w:val="72616909"/>
    <w:rsid w:val="72622217"/>
    <w:rsid w:val="72653985"/>
    <w:rsid w:val="72724524"/>
    <w:rsid w:val="72735A73"/>
    <w:rsid w:val="72755AD1"/>
    <w:rsid w:val="727607D2"/>
    <w:rsid w:val="72777AE4"/>
    <w:rsid w:val="72782482"/>
    <w:rsid w:val="7279412B"/>
    <w:rsid w:val="727A6725"/>
    <w:rsid w:val="727E5EC1"/>
    <w:rsid w:val="72810EB9"/>
    <w:rsid w:val="72812BDA"/>
    <w:rsid w:val="7285263A"/>
    <w:rsid w:val="728C7D92"/>
    <w:rsid w:val="7293650C"/>
    <w:rsid w:val="72985D2C"/>
    <w:rsid w:val="729906DF"/>
    <w:rsid w:val="729B4225"/>
    <w:rsid w:val="72A52B8F"/>
    <w:rsid w:val="72AB4A64"/>
    <w:rsid w:val="72AC3AF0"/>
    <w:rsid w:val="72B01C5D"/>
    <w:rsid w:val="72B0397D"/>
    <w:rsid w:val="72C2112C"/>
    <w:rsid w:val="72C25DF2"/>
    <w:rsid w:val="72C5521B"/>
    <w:rsid w:val="72CD52C5"/>
    <w:rsid w:val="72CE6C09"/>
    <w:rsid w:val="72D84B59"/>
    <w:rsid w:val="72D97DD0"/>
    <w:rsid w:val="72DF601E"/>
    <w:rsid w:val="72E13952"/>
    <w:rsid w:val="72E35772"/>
    <w:rsid w:val="72E43C99"/>
    <w:rsid w:val="72E615F9"/>
    <w:rsid w:val="72E762FB"/>
    <w:rsid w:val="72EA214B"/>
    <w:rsid w:val="72EF5B31"/>
    <w:rsid w:val="72FC3436"/>
    <w:rsid w:val="72FE2C23"/>
    <w:rsid w:val="73097069"/>
    <w:rsid w:val="73122968"/>
    <w:rsid w:val="731D02CE"/>
    <w:rsid w:val="731F5D5E"/>
    <w:rsid w:val="733206C1"/>
    <w:rsid w:val="73340863"/>
    <w:rsid w:val="73367421"/>
    <w:rsid w:val="73477E1E"/>
    <w:rsid w:val="734E76D4"/>
    <w:rsid w:val="735902CF"/>
    <w:rsid w:val="735C68C9"/>
    <w:rsid w:val="735C77AF"/>
    <w:rsid w:val="735F0395"/>
    <w:rsid w:val="73601482"/>
    <w:rsid w:val="73675574"/>
    <w:rsid w:val="736845EB"/>
    <w:rsid w:val="736E0CB4"/>
    <w:rsid w:val="737C45F9"/>
    <w:rsid w:val="737F2991"/>
    <w:rsid w:val="737F4E97"/>
    <w:rsid w:val="73802FBA"/>
    <w:rsid w:val="73852C96"/>
    <w:rsid w:val="738639DD"/>
    <w:rsid w:val="73867D7B"/>
    <w:rsid w:val="738728DC"/>
    <w:rsid w:val="738930E1"/>
    <w:rsid w:val="738B2A2C"/>
    <w:rsid w:val="73905132"/>
    <w:rsid w:val="73927681"/>
    <w:rsid w:val="739770E2"/>
    <w:rsid w:val="7398729F"/>
    <w:rsid w:val="739876AA"/>
    <w:rsid w:val="73993837"/>
    <w:rsid w:val="73995F12"/>
    <w:rsid w:val="73A95F7C"/>
    <w:rsid w:val="73AE4805"/>
    <w:rsid w:val="73B11165"/>
    <w:rsid w:val="73B17FEB"/>
    <w:rsid w:val="73B216E4"/>
    <w:rsid w:val="73B96283"/>
    <w:rsid w:val="73BC18F8"/>
    <w:rsid w:val="73BD2C4C"/>
    <w:rsid w:val="73BD3651"/>
    <w:rsid w:val="73BE4F44"/>
    <w:rsid w:val="73C3600A"/>
    <w:rsid w:val="73C51AD5"/>
    <w:rsid w:val="73C76CBF"/>
    <w:rsid w:val="73C85A4E"/>
    <w:rsid w:val="73CA68AB"/>
    <w:rsid w:val="73D0035E"/>
    <w:rsid w:val="73D84B4B"/>
    <w:rsid w:val="73DA00CB"/>
    <w:rsid w:val="73E953FF"/>
    <w:rsid w:val="73EA2859"/>
    <w:rsid w:val="73F6171C"/>
    <w:rsid w:val="73F77BA3"/>
    <w:rsid w:val="73FF3BFC"/>
    <w:rsid w:val="74010AD9"/>
    <w:rsid w:val="74065233"/>
    <w:rsid w:val="74092331"/>
    <w:rsid w:val="740943F1"/>
    <w:rsid w:val="7409587C"/>
    <w:rsid w:val="740D7615"/>
    <w:rsid w:val="7411410B"/>
    <w:rsid w:val="741210AB"/>
    <w:rsid w:val="74123A1D"/>
    <w:rsid w:val="74134F42"/>
    <w:rsid w:val="74164197"/>
    <w:rsid w:val="74171E0C"/>
    <w:rsid w:val="741B3F4F"/>
    <w:rsid w:val="741E793C"/>
    <w:rsid w:val="74200242"/>
    <w:rsid w:val="74241431"/>
    <w:rsid w:val="74292B65"/>
    <w:rsid w:val="742D0D44"/>
    <w:rsid w:val="7431488C"/>
    <w:rsid w:val="743B156D"/>
    <w:rsid w:val="744144FB"/>
    <w:rsid w:val="7444481D"/>
    <w:rsid w:val="74452454"/>
    <w:rsid w:val="744D652F"/>
    <w:rsid w:val="744F2440"/>
    <w:rsid w:val="74557F3C"/>
    <w:rsid w:val="74563A25"/>
    <w:rsid w:val="745A3963"/>
    <w:rsid w:val="745E3944"/>
    <w:rsid w:val="746277E3"/>
    <w:rsid w:val="746365E8"/>
    <w:rsid w:val="746E3E75"/>
    <w:rsid w:val="746F119E"/>
    <w:rsid w:val="74740D3A"/>
    <w:rsid w:val="747A0AC2"/>
    <w:rsid w:val="747A0EDE"/>
    <w:rsid w:val="747C4A9E"/>
    <w:rsid w:val="747D1B61"/>
    <w:rsid w:val="74813942"/>
    <w:rsid w:val="74862C75"/>
    <w:rsid w:val="7488614D"/>
    <w:rsid w:val="748E22D1"/>
    <w:rsid w:val="749508C2"/>
    <w:rsid w:val="74970881"/>
    <w:rsid w:val="74AB2219"/>
    <w:rsid w:val="74B30AE4"/>
    <w:rsid w:val="74B3784E"/>
    <w:rsid w:val="74B76803"/>
    <w:rsid w:val="74BD2DBF"/>
    <w:rsid w:val="74BF2A3E"/>
    <w:rsid w:val="74C1355A"/>
    <w:rsid w:val="74C470D0"/>
    <w:rsid w:val="74D2652D"/>
    <w:rsid w:val="74D56710"/>
    <w:rsid w:val="74D62BA0"/>
    <w:rsid w:val="74E03218"/>
    <w:rsid w:val="74E423CE"/>
    <w:rsid w:val="74F80D8A"/>
    <w:rsid w:val="74FD31ED"/>
    <w:rsid w:val="74FE09F3"/>
    <w:rsid w:val="75043F1D"/>
    <w:rsid w:val="750557AD"/>
    <w:rsid w:val="750D65CB"/>
    <w:rsid w:val="750E4357"/>
    <w:rsid w:val="750E4B6A"/>
    <w:rsid w:val="75150FBA"/>
    <w:rsid w:val="751A69F4"/>
    <w:rsid w:val="752370D1"/>
    <w:rsid w:val="752744A2"/>
    <w:rsid w:val="752D663F"/>
    <w:rsid w:val="752F1E67"/>
    <w:rsid w:val="752F7561"/>
    <w:rsid w:val="75311735"/>
    <w:rsid w:val="7533406C"/>
    <w:rsid w:val="753D689F"/>
    <w:rsid w:val="753F129F"/>
    <w:rsid w:val="75422D81"/>
    <w:rsid w:val="754A1F5C"/>
    <w:rsid w:val="754B0F70"/>
    <w:rsid w:val="754C3A5D"/>
    <w:rsid w:val="754D79E8"/>
    <w:rsid w:val="75500DAD"/>
    <w:rsid w:val="755707CB"/>
    <w:rsid w:val="75581213"/>
    <w:rsid w:val="75610621"/>
    <w:rsid w:val="7568763E"/>
    <w:rsid w:val="756A40A3"/>
    <w:rsid w:val="756B1C2D"/>
    <w:rsid w:val="756B4033"/>
    <w:rsid w:val="756F05D2"/>
    <w:rsid w:val="75790D02"/>
    <w:rsid w:val="757C37DA"/>
    <w:rsid w:val="757D2AA6"/>
    <w:rsid w:val="758076F3"/>
    <w:rsid w:val="75813401"/>
    <w:rsid w:val="75833890"/>
    <w:rsid w:val="75875E96"/>
    <w:rsid w:val="75900979"/>
    <w:rsid w:val="75916BFD"/>
    <w:rsid w:val="75920F19"/>
    <w:rsid w:val="759534EF"/>
    <w:rsid w:val="75965E66"/>
    <w:rsid w:val="75970FBF"/>
    <w:rsid w:val="75A15AB0"/>
    <w:rsid w:val="75AC6BB6"/>
    <w:rsid w:val="75AD230E"/>
    <w:rsid w:val="75B05B2F"/>
    <w:rsid w:val="75B5007F"/>
    <w:rsid w:val="75BB7D3D"/>
    <w:rsid w:val="75C02CB0"/>
    <w:rsid w:val="75C97905"/>
    <w:rsid w:val="75CB23A2"/>
    <w:rsid w:val="75CF00A1"/>
    <w:rsid w:val="75CF5605"/>
    <w:rsid w:val="75D13481"/>
    <w:rsid w:val="75D76779"/>
    <w:rsid w:val="75D9339C"/>
    <w:rsid w:val="75DE63FC"/>
    <w:rsid w:val="75DF036B"/>
    <w:rsid w:val="75DF1E5C"/>
    <w:rsid w:val="75E1213E"/>
    <w:rsid w:val="75E81789"/>
    <w:rsid w:val="75EA1A61"/>
    <w:rsid w:val="75F02CC8"/>
    <w:rsid w:val="75F0444F"/>
    <w:rsid w:val="75F72BE0"/>
    <w:rsid w:val="75F8662F"/>
    <w:rsid w:val="75FA47B9"/>
    <w:rsid w:val="75FA4CA8"/>
    <w:rsid w:val="75FD2789"/>
    <w:rsid w:val="75FD49CB"/>
    <w:rsid w:val="75FE2168"/>
    <w:rsid w:val="76021410"/>
    <w:rsid w:val="76024F93"/>
    <w:rsid w:val="76037203"/>
    <w:rsid w:val="76037668"/>
    <w:rsid w:val="76061DD0"/>
    <w:rsid w:val="760A3FF5"/>
    <w:rsid w:val="760A4828"/>
    <w:rsid w:val="760D111F"/>
    <w:rsid w:val="760E2C06"/>
    <w:rsid w:val="76174476"/>
    <w:rsid w:val="761C3A61"/>
    <w:rsid w:val="762071CB"/>
    <w:rsid w:val="76214950"/>
    <w:rsid w:val="76340C4F"/>
    <w:rsid w:val="7635099D"/>
    <w:rsid w:val="76385CAD"/>
    <w:rsid w:val="763A1211"/>
    <w:rsid w:val="76417C7B"/>
    <w:rsid w:val="76425868"/>
    <w:rsid w:val="764C4905"/>
    <w:rsid w:val="76524464"/>
    <w:rsid w:val="765C6F26"/>
    <w:rsid w:val="765D120C"/>
    <w:rsid w:val="765E7F91"/>
    <w:rsid w:val="766D0B57"/>
    <w:rsid w:val="766D7137"/>
    <w:rsid w:val="766E121E"/>
    <w:rsid w:val="766E7B49"/>
    <w:rsid w:val="766F1A3F"/>
    <w:rsid w:val="76740039"/>
    <w:rsid w:val="767B7D11"/>
    <w:rsid w:val="767C39BF"/>
    <w:rsid w:val="767C7FB0"/>
    <w:rsid w:val="768047F4"/>
    <w:rsid w:val="76806313"/>
    <w:rsid w:val="768531E4"/>
    <w:rsid w:val="768E1060"/>
    <w:rsid w:val="768F2E38"/>
    <w:rsid w:val="76937400"/>
    <w:rsid w:val="7698638B"/>
    <w:rsid w:val="769902AB"/>
    <w:rsid w:val="7699793D"/>
    <w:rsid w:val="769F68D1"/>
    <w:rsid w:val="769F6E02"/>
    <w:rsid w:val="76A854C8"/>
    <w:rsid w:val="76AC3628"/>
    <w:rsid w:val="76AE21E2"/>
    <w:rsid w:val="76B22EAF"/>
    <w:rsid w:val="76BA5809"/>
    <w:rsid w:val="76BC0C46"/>
    <w:rsid w:val="76BC1560"/>
    <w:rsid w:val="76BC1FED"/>
    <w:rsid w:val="76C10DCE"/>
    <w:rsid w:val="76C12340"/>
    <w:rsid w:val="76C557C0"/>
    <w:rsid w:val="76CC7293"/>
    <w:rsid w:val="76CF04E2"/>
    <w:rsid w:val="76DA4522"/>
    <w:rsid w:val="76E408A1"/>
    <w:rsid w:val="76E55D90"/>
    <w:rsid w:val="76E663D5"/>
    <w:rsid w:val="76E9371D"/>
    <w:rsid w:val="76EB3512"/>
    <w:rsid w:val="76F07D89"/>
    <w:rsid w:val="76FA373F"/>
    <w:rsid w:val="76FB7A78"/>
    <w:rsid w:val="770D3F38"/>
    <w:rsid w:val="77112EBE"/>
    <w:rsid w:val="771C5BE2"/>
    <w:rsid w:val="77266E7A"/>
    <w:rsid w:val="7727772B"/>
    <w:rsid w:val="77317987"/>
    <w:rsid w:val="7732382D"/>
    <w:rsid w:val="7739409A"/>
    <w:rsid w:val="773C4380"/>
    <w:rsid w:val="773E175D"/>
    <w:rsid w:val="77433990"/>
    <w:rsid w:val="77434EBC"/>
    <w:rsid w:val="774D7EFA"/>
    <w:rsid w:val="775838EB"/>
    <w:rsid w:val="775A1339"/>
    <w:rsid w:val="776B056F"/>
    <w:rsid w:val="777137CE"/>
    <w:rsid w:val="77752F3B"/>
    <w:rsid w:val="77762421"/>
    <w:rsid w:val="77776A97"/>
    <w:rsid w:val="77793355"/>
    <w:rsid w:val="777A578A"/>
    <w:rsid w:val="7781092A"/>
    <w:rsid w:val="778171BE"/>
    <w:rsid w:val="7782292D"/>
    <w:rsid w:val="77874E78"/>
    <w:rsid w:val="77884D4E"/>
    <w:rsid w:val="778A7E46"/>
    <w:rsid w:val="779059C3"/>
    <w:rsid w:val="77917966"/>
    <w:rsid w:val="779965AC"/>
    <w:rsid w:val="779C7A05"/>
    <w:rsid w:val="77A009DB"/>
    <w:rsid w:val="77A1338A"/>
    <w:rsid w:val="77A713E6"/>
    <w:rsid w:val="77AB7402"/>
    <w:rsid w:val="77AF1C05"/>
    <w:rsid w:val="77B329D2"/>
    <w:rsid w:val="77B56B1F"/>
    <w:rsid w:val="77B62308"/>
    <w:rsid w:val="77B6702D"/>
    <w:rsid w:val="77B82C49"/>
    <w:rsid w:val="77B85450"/>
    <w:rsid w:val="77B919F5"/>
    <w:rsid w:val="77BC65E9"/>
    <w:rsid w:val="77BD1209"/>
    <w:rsid w:val="77C211CF"/>
    <w:rsid w:val="77C370C2"/>
    <w:rsid w:val="77CE4E55"/>
    <w:rsid w:val="77CF407B"/>
    <w:rsid w:val="77D176EC"/>
    <w:rsid w:val="77D20A73"/>
    <w:rsid w:val="77DC119F"/>
    <w:rsid w:val="77DD2F9F"/>
    <w:rsid w:val="77E42B5D"/>
    <w:rsid w:val="77E94D4F"/>
    <w:rsid w:val="77F006E6"/>
    <w:rsid w:val="77F6123B"/>
    <w:rsid w:val="77F750F8"/>
    <w:rsid w:val="77F7791E"/>
    <w:rsid w:val="780362FC"/>
    <w:rsid w:val="780522F4"/>
    <w:rsid w:val="7806421A"/>
    <w:rsid w:val="780661D7"/>
    <w:rsid w:val="78073BE5"/>
    <w:rsid w:val="78095AE9"/>
    <w:rsid w:val="780C7911"/>
    <w:rsid w:val="780D59B9"/>
    <w:rsid w:val="780D7CA0"/>
    <w:rsid w:val="780F09F4"/>
    <w:rsid w:val="7811604C"/>
    <w:rsid w:val="78135DDF"/>
    <w:rsid w:val="781B7D94"/>
    <w:rsid w:val="78206148"/>
    <w:rsid w:val="78253484"/>
    <w:rsid w:val="78256BDC"/>
    <w:rsid w:val="782815D9"/>
    <w:rsid w:val="78291C84"/>
    <w:rsid w:val="782D38DC"/>
    <w:rsid w:val="782D708E"/>
    <w:rsid w:val="782E52D3"/>
    <w:rsid w:val="783A0425"/>
    <w:rsid w:val="783C6271"/>
    <w:rsid w:val="783F24B7"/>
    <w:rsid w:val="783F7E9C"/>
    <w:rsid w:val="78416377"/>
    <w:rsid w:val="784251F9"/>
    <w:rsid w:val="78427550"/>
    <w:rsid w:val="784452B8"/>
    <w:rsid w:val="7848096D"/>
    <w:rsid w:val="78492B48"/>
    <w:rsid w:val="784B15FD"/>
    <w:rsid w:val="784B7071"/>
    <w:rsid w:val="784D3AFA"/>
    <w:rsid w:val="784D7322"/>
    <w:rsid w:val="78503E7A"/>
    <w:rsid w:val="785A4B8A"/>
    <w:rsid w:val="785B2764"/>
    <w:rsid w:val="785C5A51"/>
    <w:rsid w:val="7862106D"/>
    <w:rsid w:val="786661E2"/>
    <w:rsid w:val="78671B8E"/>
    <w:rsid w:val="78684400"/>
    <w:rsid w:val="786B1E85"/>
    <w:rsid w:val="786C6555"/>
    <w:rsid w:val="7872594D"/>
    <w:rsid w:val="78746B6D"/>
    <w:rsid w:val="78773A82"/>
    <w:rsid w:val="787821E3"/>
    <w:rsid w:val="787A6E6C"/>
    <w:rsid w:val="787B7A3B"/>
    <w:rsid w:val="788168D2"/>
    <w:rsid w:val="7883171E"/>
    <w:rsid w:val="788408C6"/>
    <w:rsid w:val="78884C6E"/>
    <w:rsid w:val="789355CA"/>
    <w:rsid w:val="78957EF3"/>
    <w:rsid w:val="78963F38"/>
    <w:rsid w:val="7899030D"/>
    <w:rsid w:val="789E081E"/>
    <w:rsid w:val="789F0107"/>
    <w:rsid w:val="789F6DB5"/>
    <w:rsid w:val="78A043D4"/>
    <w:rsid w:val="78A67AAF"/>
    <w:rsid w:val="78A90480"/>
    <w:rsid w:val="78AB5B17"/>
    <w:rsid w:val="78B04737"/>
    <w:rsid w:val="78B33AEC"/>
    <w:rsid w:val="78B71DBE"/>
    <w:rsid w:val="78BC5636"/>
    <w:rsid w:val="78C10FDF"/>
    <w:rsid w:val="78C453C8"/>
    <w:rsid w:val="78C93C75"/>
    <w:rsid w:val="78CD058F"/>
    <w:rsid w:val="78CD0D55"/>
    <w:rsid w:val="78D77D9D"/>
    <w:rsid w:val="78DD2E8D"/>
    <w:rsid w:val="78E12F29"/>
    <w:rsid w:val="78E77D17"/>
    <w:rsid w:val="78F35FE6"/>
    <w:rsid w:val="78F45409"/>
    <w:rsid w:val="78F9104B"/>
    <w:rsid w:val="78FB76D3"/>
    <w:rsid w:val="79016ABB"/>
    <w:rsid w:val="79017969"/>
    <w:rsid w:val="79063E51"/>
    <w:rsid w:val="7907206A"/>
    <w:rsid w:val="790D38EC"/>
    <w:rsid w:val="790D7633"/>
    <w:rsid w:val="790E1EC3"/>
    <w:rsid w:val="790F35DA"/>
    <w:rsid w:val="790F75C8"/>
    <w:rsid w:val="791107A5"/>
    <w:rsid w:val="791637B1"/>
    <w:rsid w:val="791F4351"/>
    <w:rsid w:val="791F6801"/>
    <w:rsid w:val="79213C6B"/>
    <w:rsid w:val="79216FD7"/>
    <w:rsid w:val="79227F6B"/>
    <w:rsid w:val="792617C4"/>
    <w:rsid w:val="79265F9D"/>
    <w:rsid w:val="792F3117"/>
    <w:rsid w:val="79334AE3"/>
    <w:rsid w:val="793444F7"/>
    <w:rsid w:val="79350EA9"/>
    <w:rsid w:val="79351074"/>
    <w:rsid w:val="79370638"/>
    <w:rsid w:val="7937249E"/>
    <w:rsid w:val="793B7440"/>
    <w:rsid w:val="793C578F"/>
    <w:rsid w:val="79432014"/>
    <w:rsid w:val="794432DE"/>
    <w:rsid w:val="794B7055"/>
    <w:rsid w:val="79563AF7"/>
    <w:rsid w:val="795916FB"/>
    <w:rsid w:val="795A097C"/>
    <w:rsid w:val="79663901"/>
    <w:rsid w:val="796904F7"/>
    <w:rsid w:val="796B2565"/>
    <w:rsid w:val="796B2C6D"/>
    <w:rsid w:val="796C2CAA"/>
    <w:rsid w:val="79756338"/>
    <w:rsid w:val="79757B30"/>
    <w:rsid w:val="797615FE"/>
    <w:rsid w:val="79770C8A"/>
    <w:rsid w:val="797725B3"/>
    <w:rsid w:val="7979249B"/>
    <w:rsid w:val="797C794A"/>
    <w:rsid w:val="797D6CAD"/>
    <w:rsid w:val="79815276"/>
    <w:rsid w:val="79833C59"/>
    <w:rsid w:val="79881837"/>
    <w:rsid w:val="798A4834"/>
    <w:rsid w:val="798F40F4"/>
    <w:rsid w:val="798F7833"/>
    <w:rsid w:val="799146FB"/>
    <w:rsid w:val="79996925"/>
    <w:rsid w:val="799B5DA8"/>
    <w:rsid w:val="799D1544"/>
    <w:rsid w:val="799F690D"/>
    <w:rsid w:val="79AE0E2B"/>
    <w:rsid w:val="79B576B5"/>
    <w:rsid w:val="79B7276C"/>
    <w:rsid w:val="79BC3A2F"/>
    <w:rsid w:val="79BE0456"/>
    <w:rsid w:val="79C24B09"/>
    <w:rsid w:val="79C24CF0"/>
    <w:rsid w:val="79CA3F5C"/>
    <w:rsid w:val="79CC24FF"/>
    <w:rsid w:val="79D10C0C"/>
    <w:rsid w:val="79D16592"/>
    <w:rsid w:val="79D86D82"/>
    <w:rsid w:val="79DB163F"/>
    <w:rsid w:val="79DD08F3"/>
    <w:rsid w:val="79DD6FD3"/>
    <w:rsid w:val="79E23B2F"/>
    <w:rsid w:val="79E72824"/>
    <w:rsid w:val="79F121E5"/>
    <w:rsid w:val="79FE37CF"/>
    <w:rsid w:val="7A0B3D82"/>
    <w:rsid w:val="7A0B73BF"/>
    <w:rsid w:val="7A0D1B62"/>
    <w:rsid w:val="7A1012B1"/>
    <w:rsid w:val="7A117801"/>
    <w:rsid w:val="7A152194"/>
    <w:rsid w:val="7A1A0650"/>
    <w:rsid w:val="7A202029"/>
    <w:rsid w:val="7A2350B0"/>
    <w:rsid w:val="7A246086"/>
    <w:rsid w:val="7A275E80"/>
    <w:rsid w:val="7A290573"/>
    <w:rsid w:val="7A321D99"/>
    <w:rsid w:val="7A3245DB"/>
    <w:rsid w:val="7A355F96"/>
    <w:rsid w:val="7A364017"/>
    <w:rsid w:val="7A3B4F14"/>
    <w:rsid w:val="7A3C155F"/>
    <w:rsid w:val="7A3C7A52"/>
    <w:rsid w:val="7A3F63B0"/>
    <w:rsid w:val="7A441762"/>
    <w:rsid w:val="7A451C19"/>
    <w:rsid w:val="7A581679"/>
    <w:rsid w:val="7A601DAB"/>
    <w:rsid w:val="7A613254"/>
    <w:rsid w:val="7A6266FB"/>
    <w:rsid w:val="7A634BE2"/>
    <w:rsid w:val="7A6709C1"/>
    <w:rsid w:val="7A6B3FDE"/>
    <w:rsid w:val="7A6C5CEE"/>
    <w:rsid w:val="7A743DBB"/>
    <w:rsid w:val="7A7B0CA3"/>
    <w:rsid w:val="7A7C0770"/>
    <w:rsid w:val="7A8265E1"/>
    <w:rsid w:val="7A843B2D"/>
    <w:rsid w:val="7A8619F1"/>
    <w:rsid w:val="7A8D4039"/>
    <w:rsid w:val="7A911B88"/>
    <w:rsid w:val="7A930DD0"/>
    <w:rsid w:val="7A932A26"/>
    <w:rsid w:val="7A961682"/>
    <w:rsid w:val="7A975E3E"/>
    <w:rsid w:val="7A9B26D7"/>
    <w:rsid w:val="7A9D41F3"/>
    <w:rsid w:val="7AA60813"/>
    <w:rsid w:val="7AAD5AE0"/>
    <w:rsid w:val="7AB064E9"/>
    <w:rsid w:val="7AB14E93"/>
    <w:rsid w:val="7AB76DC9"/>
    <w:rsid w:val="7ABA63B2"/>
    <w:rsid w:val="7AC05033"/>
    <w:rsid w:val="7AC35CCE"/>
    <w:rsid w:val="7AC720F7"/>
    <w:rsid w:val="7AC74A62"/>
    <w:rsid w:val="7AC91DFB"/>
    <w:rsid w:val="7AC95372"/>
    <w:rsid w:val="7ACE6F92"/>
    <w:rsid w:val="7AD62AD2"/>
    <w:rsid w:val="7AD64746"/>
    <w:rsid w:val="7ADC0269"/>
    <w:rsid w:val="7ADC0609"/>
    <w:rsid w:val="7ADC4D45"/>
    <w:rsid w:val="7ADD6AAB"/>
    <w:rsid w:val="7AE63445"/>
    <w:rsid w:val="7AE77164"/>
    <w:rsid w:val="7AEB296D"/>
    <w:rsid w:val="7AEB73D0"/>
    <w:rsid w:val="7AF545E2"/>
    <w:rsid w:val="7AF566F7"/>
    <w:rsid w:val="7B0559ED"/>
    <w:rsid w:val="7B06109C"/>
    <w:rsid w:val="7B0E328D"/>
    <w:rsid w:val="7B0E7C05"/>
    <w:rsid w:val="7B1114CA"/>
    <w:rsid w:val="7B154329"/>
    <w:rsid w:val="7B172086"/>
    <w:rsid w:val="7B1A285A"/>
    <w:rsid w:val="7B20371A"/>
    <w:rsid w:val="7B254D39"/>
    <w:rsid w:val="7B2A5AD8"/>
    <w:rsid w:val="7B2D4520"/>
    <w:rsid w:val="7B3C518D"/>
    <w:rsid w:val="7B4007F9"/>
    <w:rsid w:val="7B4B2079"/>
    <w:rsid w:val="7B4C3805"/>
    <w:rsid w:val="7B4D4A0E"/>
    <w:rsid w:val="7B5660A2"/>
    <w:rsid w:val="7B576C3E"/>
    <w:rsid w:val="7B5A46BB"/>
    <w:rsid w:val="7B5C108C"/>
    <w:rsid w:val="7B603CEB"/>
    <w:rsid w:val="7B611A2F"/>
    <w:rsid w:val="7B686D42"/>
    <w:rsid w:val="7B757BEE"/>
    <w:rsid w:val="7B797066"/>
    <w:rsid w:val="7B7B2B25"/>
    <w:rsid w:val="7B7D1DDA"/>
    <w:rsid w:val="7B840B4E"/>
    <w:rsid w:val="7B8411C4"/>
    <w:rsid w:val="7B841746"/>
    <w:rsid w:val="7B844503"/>
    <w:rsid w:val="7B8630D2"/>
    <w:rsid w:val="7B8B2E6A"/>
    <w:rsid w:val="7B900B59"/>
    <w:rsid w:val="7B933D51"/>
    <w:rsid w:val="7B961FD3"/>
    <w:rsid w:val="7B963281"/>
    <w:rsid w:val="7B982C2B"/>
    <w:rsid w:val="7B996115"/>
    <w:rsid w:val="7BA275BE"/>
    <w:rsid w:val="7BA367D5"/>
    <w:rsid w:val="7BA719C4"/>
    <w:rsid w:val="7BAC7139"/>
    <w:rsid w:val="7BB27E09"/>
    <w:rsid w:val="7BB81C01"/>
    <w:rsid w:val="7BBF0E14"/>
    <w:rsid w:val="7BC76BFC"/>
    <w:rsid w:val="7BCB2293"/>
    <w:rsid w:val="7BD26CF0"/>
    <w:rsid w:val="7BD94B7A"/>
    <w:rsid w:val="7BD95101"/>
    <w:rsid w:val="7BE63D3C"/>
    <w:rsid w:val="7BE671C2"/>
    <w:rsid w:val="7BE8193C"/>
    <w:rsid w:val="7BE831F4"/>
    <w:rsid w:val="7BEA22C0"/>
    <w:rsid w:val="7BEC212A"/>
    <w:rsid w:val="7BED32AA"/>
    <w:rsid w:val="7BF51C71"/>
    <w:rsid w:val="7BF6336A"/>
    <w:rsid w:val="7BFC76F8"/>
    <w:rsid w:val="7BFC77C9"/>
    <w:rsid w:val="7BFD01A7"/>
    <w:rsid w:val="7C0A0A3F"/>
    <w:rsid w:val="7C0D75D8"/>
    <w:rsid w:val="7C1300FB"/>
    <w:rsid w:val="7C147B14"/>
    <w:rsid w:val="7C152DCD"/>
    <w:rsid w:val="7C153D07"/>
    <w:rsid w:val="7C165FD4"/>
    <w:rsid w:val="7C170844"/>
    <w:rsid w:val="7C1A252F"/>
    <w:rsid w:val="7C1B2526"/>
    <w:rsid w:val="7C1B6354"/>
    <w:rsid w:val="7C1B6D04"/>
    <w:rsid w:val="7C1F70E2"/>
    <w:rsid w:val="7C201451"/>
    <w:rsid w:val="7C2116C5"/>
    <w:rsid w:val="7C247011"/>
    <w:rsid w:val="7C261428"/>
    <w:rsid w:val="7C2922F1"/>
    <w:rsid w:val="7C2924E2"/>
    <w:rsid w:val="7C2A7292"/>
    <w:rsid w:val="7C2B12D6"/>
    <w:rsid w:val="7C2C2D4B"/>
    <w:rsid w:val="7C2D3855"/>
    <w:rsid w:val="7C3B78AA"/>
    <w:rsid w:val="7C434404"/>
    <w:rsid w:val="7C492D03"/>
    <w:rsid w:val="7C4A795F"/>
    <w:rsid w:val="7C4B260A"/>
    <w:rsid w:val="7C4B798F"/>
    <w:rsid w:val="7C507E82"/>
    <w:rsid w:val="7C5206DF"/>
    <w:rsid w:val="7C535046"/>
    <w:rsid w:val="7C54363D"/>
    <w:rsid w:val="7C5D4212"/>
    <w:rsid w:val="7C620925"/>
    <w:rsid w:val="7C64086B"/>
    <w:rsid w:val="7C644C6B"/>
    <w:rsid w:val="7C6564B1"/>
    <w:rsid w:val="7C676F44"/>
    <w:rsid w:val="7C6943F8"/>
    <w:rsid w:val="7C6948D2"/>
    <w:rsid w:val="7C6C5AC7"/>
    <w:rsid w:val="7C701DE8"/>
    <w:rsid w:val="7C736111"/>
    <w:rsid w:val="7C7A0336"/>
    <w:rsid w:val="7C7D7721"/>
    <w:rsid w:val="7C87721B"/>
    <w:rsid w:val="7C880C61"/>
    <w:rsid w:val="7C88331D"/>
    <w:rsid w:val="7C8A1EF6"/>
    <w:rsid w:val="7C9048CD"/>
    <w:rsid w:val="7C922CE5"/>
    <w:rsid w:val="7C957ABA"/>
    <w:rsid w:val="7C97344A"/>
    <w:rsid w:val="7C97698A"/>
    <w:rsid w:val="7C9B462E"/>
    <w:rsid w:val="7C9F5B7B"/>
    <w:rsid w:val="7C9F6D42"/>
    <w:rsid w:val="7CA601F0"/>
    <w:rsid w:val="7CAE5792"/>
    <w:rsid w:val="7CAE7763"/>
    <w:rsid w:val="7CAF0C22"/>
    <w:rsid w:val="7CB87DEB"/>
    <w:rsid w:val="7CC17F64"/>
    <w:rsid w:val="7CC40521"/>
    <w:rsid w:val="7CC5308F"/>
    <w:rsid w:val="7CC650F5"/>
    <w:rsid w:val="7CC6544B"/>
    <w:rsid w:val="7CCB69D0"/>
    <w:rsid w:val="7CCE2BF9"/>
    <w:rsid w:val="7CCE3C43"/>
    <w:rsid w:val="7CD42941"/>
    <w:rsid w:val="7CDA71C2"/>
    <w:rsid w:val="7CDF146D"/>
    <w:rsid w:val="7CE3335F"/>
    <w:rsid w:val="7CE36FBA"/>
    <w:rsid w:val="7CE654A2"/>
    <w:rsid w:val="7CEC4FC3"/>
    <w:rsid w:val="7CEC558C"/>
    <w:rsid w:val="7CF16337"/>
    <w:rsid w:val="7CFD317D"/>
    <w:rsid w:val="7D0239FF"/>
    <w:rsid w:val="7D036802"/>
    <w:rsid w:val="7D060032"/>
    <w:rsid w:val="7D06468D"/>
    <w:rsid w:val="7D0B531C"/>
    <w:rsid w:val="7D1978A9"/>
    <w:rsid w:val="7D1B1EFF"/>
    <w:rsid w:val="7D1E2E62"/>
    <w:rsid w:val="7D1F218A"/>
    <w:rsid w:val="7D234083"/>
    <w:rsid w:val="7D285375"/>
    <w:rsid w:val="7D2E4299"/>
    <w:rsid w:val="7D38369C"/>
    <w:rsid w:val="7D396D8B"/>
    <w:rsid w:val="7D3D29C6"/>
    <w:rsid w:val="7D3F2A8A"/>
    <w:rsid w:val="7D432A95"/>
    <w:rsid w:val="7D433C52"/>
    <w:rsid w:val="7D4C60C0"/>
    <w:rsid w:val="7D4E1F15"/>
    <w:rsid w:val="7D4E39E5"/>
    <w:rsid w:val="7D517E02"/>
    <w:rsid w:val="7D524CF9"/>
    <w:rsid w:val="7D59570F"/>
    <w:rsid w:val="7D5E40CD"/>
    <w:rsid w:val="7D672699"/>
    <w:rsid w:val="7D69649B"/>
    <w:rsid w:val="7D7768DA"/>
    <w:rsid w:val="7D784EB8"/>
    <w:rsid w:val="7D79124A"/>
    <w:rsid w:val="7D7E10F5"/>
    <w:rsid w:val="7D7E38A1"/>
    <w:rsid w:val="7D805E8B"/>
    <w:rsid w:val="7D8644EF"/>
    <w:rsid w:val="7D8F627A"/>
    <w:rsid w:val="7D9140D2"/>
    <w:rsid w:val="7D9169E5"/>
    <w:rsid w:val="7D9566FE"/>
    <w:rsid w:val="7DA266B9"/>
    <w:rsid w:val="7DA65D18"/>
    <w:rsid w:val="7DAE10DC"/>
    <w:rsid w:val="7DAE416E"/>
    <w:rsid w:val="7DAE7E8B"/>
    <w:rsid w:val="7DB757D3"/>
    <w:rsid w:val="7DBD4A07"/>
    <w:rsid w:val="7DC274E3"/>
    <w:rsid w:val="7DC97EED"/>
    <w:rsid w:val="7DCD56F2"/>
    <w:rsid w:val="7DCF72CD"/>
    <w:rsid w:val="7DD14EBC"/>
    <w:rsid w:val="7DD26F87"/>
    <w:rsid w:val="7DD50ED5"/>
    <w:rsid w:val="7DD577E0"/>
    <w:rsid w:val="7DD957EF"/>
    <w:rsid w:val="7DE04CFF"/>
    <w:rsid w:val="7DE24F11"/>
    <w:rsid w:val="7DE47A63"/>
    <w:rsid w:val="7DE5343C"/>
    <w:rsid w:val="7DE55762"/>
    <w:rsid w:val="7DE960D1"/>
    <w:rsid w:val="7DEB0133"/>
    <w:rsid w:val="7DF204CB"/>
    <w:rsid w:val="7DF73B54"/>
    <w:rsid w:val="7DFA2341"/>
    <w:rsid w:val="7E063874"/>
    <w:rsid w:val="7E085E58"/>
    <w:rsid w:val="7E091A2C"/>
    <w:rsid w:val="7E094254"/>
    <w:rsid w:val="7E096F59"/>
    <w:rsid w:val="7E0D04CB"/>
    <w:rsid w:val="7E0F16D4"/>
    <w:rsid w:val="7E1638CD"/>
    <w:rsid w:val="7E236BD3"/>
    <w:rsid w:val="7E2C2FC3"/>
    <w:rsid w:val="7E2D2C2A"/>
    <w:rsid w:val="7E312C98"/>
    <w:rsid w:val="7E357608"/>
    <w:rsid w:val="7E3754E4"/>
    <w:rsid w:val="7E385882"/>
    <w:rsid w:val="7E3B4F0A"/>
    <w:rsid w:val="7E3E319D"/>
    <w:rsid w:val="7E3E7AB4"/>
    <w:rsid w:val="7E3F35A8"/>
    <w:rsid w:val="7E447A93"/>
    <w:rsid w:val="7E455998"/>
    <w:rsid w:val="7E4F114D"/>
    <w:rsid w:val="7E526C52"/>
    <w:rsid w:val="7E545E71"/>
    <w:rsid w:val="7E587B94"/>
    <w:rsid w:val="7E5B1B9E"/>
    <w:rsid w:val="7E5B3B67"/>
    <w:rsid w:val="7E5F2B7E"/>
    <w:rsid w:val="7E612468"/>
    <w:rsid w:val="7E643652"/>
    <w:rsid w:val="7E6D2EB8"/>
    <w:rsid w:val="7E6D3542"/>
    <w:rsid w:val="7E753008"/>
    <w:rsid w:val="7E755B98"/>
    <w:rsid w:val="7E7C1D51"/>
    <w:rsid w:val="7E7E58D2"/>
    <w:rsid w:val="7E823202"/>
    <w:rsid w:val="7E8A7BDB"/>
    <w:rsid w:val="7E9348B7"/>
    <w:rsid w:val="7E9B0A45"/>
    <w:rsid w:val="7E9E0000"/>
    <w:rsid w:val="7EA00669"/>
    <w:rsid w:val="7EA210DC"/>
    <w:rsid w:val="7EA332A5"/>
    <w:rsid w:val="7EB05686"/>
    <w:rsid w:val="7EB263E1"/>
    <w:rsid w:val="7EB8229D"/>
    <w:rsid w:val="7EB8781F"/>
    <w:rsid w:val="7EBD2CE1"/>
    <w:rsid w:val="7EBF097A"/>
    <w:rsid w:val="7EBF322B"/>
    <w:rsid w:val="7EBF7E44"/>
    <w:rsid w:val="7EC627C0"/>
    <w:rsid w:val="7ECF3B58"/>
    <w:rsid w:val="7ED134E3"/>
    <w:rsid w:val="7ED230D7"/>
    <w:rsid w:val="7ED31F7E"/>
    <w:rsid w:val="7ED36050"/>
    <w:rsid w:val="7ED42CAC"/>
    <w:rsid w:val="7ED66F62"/>
    <w:rsid w:val="7ED77E3A"/>
    <w:rsid w:val="7EDF05DC"/>
    <w:rsid w:val="7EE031D1"/>
    <w:rsid w:val="7EED0F80"/>
    <w:rsid w:val="7EF9120D"/>
    <w:rsid w:val="7EFB445F"/>
    <w:rsid w:val="7EFC6B92"/>
    <w:rsid w:val="7F001CE7"/>
    <w:rsid w:val="7F012E6C"/>
    <w:rsid w:val="7F0134CC"/>
    <w:rsid w:val="7F0346CD"/>
    <w:rsid w:val="7F0A5CC9"/>
    <w:rsid w:val="7F0C5F68"/>
    <w:rsid w:val="7F0F2255"/>
    <w:rsid w:val="7F1246F8"/>
    <w:rsid w:val="7F125932"/>
    <w:rsid w:val="7F18389D"/>
    <w:rsid w:val="7F1B3DCE"/>
    <w:rsid w:val="7F21452F"/>
    <w:rsid w:val="7F2665DB"/>
    <w:rsid w:val="7F266B37"/>
    <w:rsid w:val="7F2766E4"/>
    <w:rsid w:val="7F284C40"/>
    <w:rsid w:val="7F2926DD"/>
    <w:rsid w:val="7F2A2D0C"/>
    <w:rsid w:val="7F2D4D65"/>
    <w:rsid w:val="7F390DEA"/>
    <w:rsid w:val="7F3C41C8"/>
    <w:rsid w:val="7F3F09A7"/>
    <w:rsid w:val="7F3F1940"/>
    <w:rsid w:val="7F400956"/>
    <w:rsid w:val="7F40534B"/>
    <w:rsid w:val="7F455A16"/>
    <w:rsid w:val="7F492058"/>
    <w:rsid w:val="7F537C77"/>
    <w:rsid w:val="7F5926B4"/>
    <w:rsid w:val="7F5D39E5"/>
    <w:rsid w:val="7F5E63B5"/>
    <w:rsid w:val="7F5F2EE6"/>
    <w:rsid w:val="7F666C8D"/>
    <w:rsid w:val="7F68740A"/>
    <w:rsid w:val="7F6D5EE9"/>
    <w:rsid w:val="7F6F24FD"/>
    <w:rsid w:val="7F72299E"/>
    <w:rsid w:val="7F72333B"/>
    <w:rsid w:val="7F776241"/>
    <w:rsid w:val="7F777B8C"/>
    <w:rsid w:val="7F851157"/>
    <w:rsid w:val="7F854CD4"/>
    <w:rsid w:val="7F861C8E"/>
    <w:rsid w:val="7F877629"/>
    <w:rsid w:val="7F885857"/>
    <w:rsid w:val="7F892CAB"/>
    <w:rsid w:val="7F8C1375"/>
    <w:rsid w:val="7F9665E4"/>
    <w:rsid w:val="7F9A3E55"/>
    <w:rsid w:val="7F9E0107"/>
    <w:rsid w:val="7FA46DD9"/>
    <w:rsid w:val="7FA8117A"/>
    <w:rsid w:val="7FAA06E6"/>
    <w:rsid w:val="7FB149D7"/>
    <w:rsid w:val="7FB410A7"/>
    <w:rsid w:val="7FBA227E"/>
    <w:rsid w:val="7FC5583E"/>
    <w:rsid w:val="7FC7233C"/>
    <w:rsid w:val="7FD333C4"/>
    <w:rsid w:val="7FD42615"/>
    <w:rsid w:val="7FD43BDD"/>
    <w:rsid w:val="7FD96A9C"/>
    <w:rsid w:val="7FDA39B9"/>
    <w:rsid w:val="7FE176BA"/>
    <w:rsid w:val="7FE47E50"/>
    <w:rsid w:val="7FEC1257"/>
    <w:rsid w:val="7FEC30F5"/>
    <w:rsid w:val="7FEE2DB2"/>
    <w:rsid w:val="7FF11041"/>
    <w:rsid w:val="7FF4624C"/>
    <w:rsid w:val="7FF775AB"/>
    <w:rsid w:val="7FFA4D5A"/>
    <w:rsid w:val="7FFB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locked/>
    <w:uiPriority w:val="0"/>
    <w:pPr>
      <w:ind w:firstLine="420" w:firstLineChars="200"/>
    </w:pPr>
    <w:rPr>
      <w:szCs w:val="21"/>
    </w:rPr>
  </w:style>
  <w:style w:type="paragraph" w:styleId="4">
    <w:name w:val="annotation text"/>
    <w:basedOn w:val="1"/>
    <w:link w:val="64"/>
    <w:qFormat/>
    <w:uiPriority w:val="99"/>
    <w:pPr>
      <w:jc w:val="left"/>
    </w:pPr>
    <w:rPr>
      <w:kern w:val="0"/>
      <w:sz w:val="24"/>
      <w:szCs w:val="20"/>
    </w:rPr>
  </w:style>
  <w:style w:type="paragraph" w:styleId="5">
    <w:name w:val="Body Text"/>
    <w:basedOn w:val="1"/>
    <w:next w:val="1"/>
    <w:link w:val="32"/>
    <w:qFormat/>
    <w:uiPriority w:val="0"/>
    <w:pPr>
      <w:widowControl/>
      <w:snapToGrid w:val="0"/>
      <w:spacing w:before="60" w:after="160" w:line="259" w:lineRule="auto"/>
      <w:ind w:right="113"/>
    </w:pPr>
    <w:rPr>
      <w:kern w:val="0"/>
      <w:sz w:val="18"/>
      <w:szCs w:val="20"/>
    </w:rPr>
  </w:style>
  <w:style w:type="paragraph" w:styleId="6">
    <w:name w:val="Body Text Indent"/>
    <w:basedOn w:val="1"/>
    <w:next w:val="5"/>
    <w:link w:val="44"/>
    <w:qFormat/>
    <w:uiPriority w:val="0"/>
    <w:pPr>
      <w:spacing w:after="120"/>
      <w:ind w:left="420" w:leftChars="200"/>
    </w:pPr>
    <w:rPr>
      <w:kern w:val="0"/>
      <w:sz w:val="24"/>
      <w:szCs w:val="20"/>
    </w:rPr>
  </w:style>
  <w:style w:type="paragraph" w:styleId="7">
    <w:name w:val="Block Text"/>
    <w:basedOn w:val="1"/>
    <w:next w:val="1"/>
    <w:qFormat/>
    <w:locked/>
    <w:uiPriority w:val="0"/>
    <w:pPr>
      <w:snapToGrid w:val="0"/>
      <w:ind w:left="-108" w:right="-30"/>
      <w:jc w:val="center"/>
    </w:pPr>
    <w:rPr>
      <w:rFonts w:hint="eastAsia" w:ascii="宋体"/>
      <w:sz w:val="24"/>
    </w:rPr>
  </w:style>
  <w:style w:type="paragraph" w:styleId="8">
    <w:name w:val="Plain Text"/>
    <w:basedOn w:val="1"/>
    <w:link w:val="57"/>
    <w:unhideWhenUsed/>
    <w:qFormat/>
    <w:locked/>
    <w:uiPriority w:val="99"/>
    <w:rPr>
      <w:rFonts w:ascii="宋体" w:hAnsi="Courier New"/>
    </w:rPr>
  </w:style>
  <w:style w:type="paragraph" w:styleId="9">
    <w:name w:val="List Bullet 5"/>
    <w:basedOn w:val="1"/>
    <w:qFormat/>
    <w:locked/>
    <w:uiPriority w:val="0"/>
    <w:pPr>
      <w:numPr>
        <w:ilvl w:val="0"/>
        <w:numId w:val="1"/>
      </w:numPr>
    </w:pPr>
  </w:style>
  <w:style w:type="paragraph" w:styleId="10">
    <w:name w:val="Date"/>
    <w:basedOn w:val="1"/>
    <w:next w:val="1"/>
    <w:link w:val="58"/>
    <w:qFormat/>
    <w:uiPriority w:val="0"/>
    <w:pPr>
      <w:ind w:left="100" w:leftChars="2500"/>
    </w:pPr>
    <w:rPr>
      <w:kern w:val="0"/>
      <w:sz w:val="24"/>
      <w:szCs w:val="20"/>
    </w:rPr>
  </w:style>
  <w:style w:type="paragraph" w:styleId="11">
    <w:name w:val="Balloon Text"/>
    <w:basedOn w:val="1"/>
    <w:link w:val="33"/>
    <w:semiHidden/>
    <w:qFormat/>
    <w:uiPriority w:val="0"/>
    <w:rPr>
      <w:kern w:val="0"/>
      <w:sz w:val="18"/>
      <w:szCs w:val="20"/>
    </w:rPr>
  </w:style>
  <w:style w:type="paragraph" w:styleId="12">
    <w:name w:val="footer"/>
    <w:basedOn w:val="1"/>
    <w:link w:val="23"/>
    <w:qFormat/>
    <w:uiPriority w:val="99"/>
    <w:pPr>
      <w:tabs>
        <w:tab w:val="center" w:pos="4153"/>
        <w:tab w:val="right" w:pos="8306"/>
      </w:tabs>
      <w:snapToGrid w:val="0"/>
      <w:jc w:val="left"/>
    </w:pPr>
    <w:rPr>
      <w:kern w:val="0"/>
      <w:sz w:val="18"/>
      <w:szCs w:val="20"/>
    </w:rPr>
  </w:style>
  <w:style w:type="paragraph" w:styleId="13">
    <w:name w:val="header"/>
    <w:basedOn w:val="1"/>
    <w:link w:val="55"/>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4"/>
    <w:next w:val="4"/>
    <w:link w:val="42"/>
    <w:semiHidden/>
    <w:qFormat/>
    <w:uiPriority w:val="0"/>
    <w:rPr>
      <w:b/>
    </w:rPr>
  </w:style>
  <w:style w:type="paragraph" w:styleId="17">
    <w:name w:val="Body Text First Indent"/>
    <w:basedOn w:val="5"/>
    <w:qFormat/>
    <w:locked/>
    <w:uiPriority w:val="0"/>
    <w:pPr>
      <w:spacing w:line="240" w:lineRule="atLeast"/>
      <w:ind w:firstLine="567" w:firstLineChars="200"/>
    </w:pPr>
    <w:rPr>
      <w:bCs/>
      <w:color w:val="FF0000"/>
      <w:sz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locked/>
    <w:uiPriority w:val="0"/>
  </w:style>
  <w:style w:type="character" w:styleId="22">
    <w:name w:val="annotation reference"/>
    <w:semiHidden/>
    <w:qFormat/>
    <w:uiPriority w:val="0"/>
    <w:rPr>
      <w:sz w:val="21"/>
    </w:rPr>
  </w:style>
  <w:style w:type="character" w:customStyle="1" w:styleId="23">
    <w:name w:val="页脚 字符1"/>
    <w:link w:val="12"/>
    <w:qFormat/>
    <w:locked/>
    <w:uiPriority w:val="99"/>
    <w:rPr>
      <w:sz w:val="18"/>
    </w:rPr>
  </w:style>
  <w:style w:type="character" w:customStyle="1" w:styleId="24">
    <w:name w:val="表格 Char"/>
    <w:link w:val="25"/>
    <w:qFormat/>
    <w:locked/>
    <w:uiPriority w:val="0"/>
    <w:rPr>
      <w:rFonts w:ascii="宋体"/>
      <w:sz w:val="21"/>
    </w:rPr>
  </w:style>
  <w:style w:type="paragraph" w:customStyle="1" w:styleId="25">
    <w:name w:val="表格"/>
    <w:basedOn w:val="1"/>
    <w:next w:val="1"/>
    <w:link w:val="24"/>
    <w:qFormat/>
    <w:uiPriority w:val="0"/>
    <w:pPr>
      <w:adjustRightInd w:val="0"/>
      <w:snapToGrid w:val="0"/>
      <w:spacing w:beforeLines="10" w:afterLines="10" w:line="259" w:lineRule="auto"/>
      <w:jc w:val="center"/>
    </w:pPr>
    <w:rPr>
      <w:rFonts w:ascii="宋体"/>
      <w:kern w:val="0"/>
      <w:szCs w:val="20"/>
    </w:rPr>
  </w:style>
  <w:style w:type="character" w:customStyle="1" w:styleId="26">
    <w:name w:val="表格标题1 Char"/>
    <w:link w:val="27"/>
    <w:qFormat/>
    <w:uiPriority w:val="0"/>
    <w:rPr>
      <w:rFonts w:eastAsia="黑体"/>
      <w:kern w:val="2"/>
      <w:sz w:val="24"/>
      <w:szCs w:val="21"/>
    </w:rPr>
  </w:style>
  <w:style w:type="paragraph" w:customStyle="1" w:styleId="27">
    <w:name w:val="表格标题1"/>
    <w:basedOn w:val="1"/>
    <w:link w:val="26"/>
    <w:qFormat/>
    <w:uiPriority w:val="0"/>
    <w:pPr>
      <w:numPr>
        <w:ilvl w:val="0"/>
        <w:numId w:val="2"/>
      </w:numPr>
      <w:adjustRightInd w:val="0"/>
      <w:snapToGrid w:val="0"/>
    </w:pPr>
    <w:rPr>
      <w:rFonts w:eastAsia="黑体"/>
      <w:sz w:val="24"/>
      <w:szCs w:val="21"/>
    </w:rPr>
  </w:style>
  <w:style w:type="character" w:customStyle="1" w:styleId="28">
    <w:name w:val="批注文字 字符"/>
    <w:qFormat/>
    <w:locked/>
    <w:uiPriority w:val="99"/>
    <w:rPr>
      <w:rFonts w:ascii="Times New Roman" w:hAnsi="Times New Roman" w:eastAsia="宋体"/>
      <w:sz w:val="24"/>
    </w:rPr>
  </w:style>
  <w:style w:type="character" w:customStyle="1" w:styleId="29">
    <w:name w:val="fontstyle31"/>
    <w:qFormat/>
    <w:uiPriority w:val="0"/>
    <w:rPr>
      <w:rFonts w:hint="eastAsia" w:ascii="宋体" w:hAnsi="宋体" w:eastAsia="宋体"/>
      <w:color w:val="000000"/>
      <w:sz w:val="28"/>
      <w:szCs w:val="28"/>
    </w:rPr>
  </w:style>
  <w:style w:type="character" w:customStyle="1" w:styleId="30">
    <w:name w:val="表格1 Char"/>
    <w:link w:val="31"/>
    <w:qFormat/>
    <w:locked/>
    <w:uiPriority w:val="0"/>
    <w:rPr>
      <w:sz w:val="21"/>
      <w:szCs w:val="24"/>
    </w:rPr>
  </w:style>
  <w:style w:type="paragraph" w:customStyle="1" w:styleId="31">
    <w:name w:val="表格1"/>
    <w:basedOn w:val="1"/>
    <w:link w:val="30"/>
    <w:qFormat/>
    <w:uiPriority w:val="0"/>
    <w:pPr>
      <w:adjustRightInd w:val="0"/>
      <w:snapToGrid w:val="0"/>
      <w:spacing w:line="240" w:lineRule="exact"/>
      <w:jc w:val="center"/>
    </w:pPr>
    <w:rPr>
      <w:kern w:val="0"/>
    </w:rPr>
  </w:style>
  <w:style w:type="character" w:customStyle="1" w:styleId="32">
    <w:name w:val="正文文本 字符2"/>
    <w:link w:val="5"/>
    <w:qFormat/>
    <w:locked/>
    <w:uiPriority w:val="0"/>
    <w:rPr>
      <w:sz w:val="18"/>
    </w:rPr>
  </w:style>
  <w:style w:type="character" w:customStyle="1" w:styleId="33">
    <w:name w:val="批注框文本 字符"/>
    <w:link w:val="11"/>
    <w:semiHidden/>
    <w:qFormat/>
    <w:locked/>
    <w:uiPriority w:val="0"/>
    <w:rPr>
      <w:rFonts w:ascii="Times New Roman" w:hAnsi="Times New Roman" w:eastAsia="宋体"/>
      <w:sz w:val="18"/>
    </w:rPr>
  </w:style>
  <w:style w:type="character" w:customStyle="1" w:styleId="34">
    <w:name w:val="unnamed1"/>
    <w:qFormat/>
    <w:uiPriority w:val="0"/>
  </w:style>
  <w:style w:type="character" w:customStyle="1" w:styleId="35">
    <w:name w:val="0表头智汇元 Char"/>
    <w:link w:val="36"/>
    <w:qFormat/>
    <w:uiPriority w:val="0"/>
    <w:rPr>
      <w:rFonts w:eastAsia="黑体"/>
      <w:sz w:val="24"/>
      <w:szCs w:val="21"/>
      <w:lang w:bidi="en-US"/>
    </w:rPr>
  </w:style>
  <w:style w:type="paragraph" w:customStyle="1" w:styleId="36">
    <w:name w:val="0表头智汇元"/>
    <w:link w:val="35"/>
    <w:qFormat/>
    <w:uiPriority w:val="0"/>
    <w:pPr>
      <w:spacing w:line="360" w:lineRule="auto"/>
      <w:jc w:val="center"/>
    </w:pPr>
    <w:rPr>
      <w:rFonts w:ascii="Times New Roman" w:hAnsi="Times New Roman" w:eastAsia="黑体" w:cs="Times New Roman"/>
      <w:sz w:val="24"/>
      <w:szCs w:val="21"/>
      <w:lang w:val="en-US" w:eastAsia="zh-CN" w:bidi="en-US"/>
    </w:rPr>
  </w:style>
  <w:style w:type="character" w:customStyle="1" w:styleId="37">
    <w:name w:val="表格内容5号 Char"/>
    <w:link w:val="38"/>
    <w:qFormat/>
    <w:uiPriority w:val="0"/>
    <w:rPr>
      <w:kern w:val="2"/>
      <w:sz w:val="21"/>
      <w:szCs w:val="24"/>
    </w:rPr>
  </w:style>
  <w:style w:type="paragraph" w:customStyle="1" w:styleId="38">
    <w:name w:val="表格内容5号"/>
    <w:link w:val="37"/>
    <w:qFormat/>
    <w:uiPriority w:val="0"/>
    <w:pPr>
      <w:widowControl w:val="0"/>
      <w:snapToGrid w:val="0"/>
      <w:spacing w:line="240" w:lineRule="atLeast"/>
      <w:jc w:val="center"/>
    </w:pPr>
    <w:rPr>
      <w:rFonts w:ascii="Times New Roman" w:hAnsi="Times New Roman" w:eastAsia="宋体" w:cs="Times New Roman"/>
      <w:kern w:val="2"/>
      <w:sz w:val="21"/>
      <w:szCs w:val="24"/>
      <w:lang w:val="en-US" w:eastAsia="zh-CN" w:bidi="ar-SA"/>
    </w:rPr>
  </w:style>
  <w:style w:type="character" w:customStyle="1" w:styleId="39">
    <w:name w:val="正文文本缩进 字符"/>
    <w:semiHidden/>
    <w:qFormat/>
    <w:locked/>
    <w:uiPriority w:val="0"/>
    <w:rPr>
      <w:rFonts w:ascii="Times New Roman" w:hAnsi="Times New Roman" w:eastAsia="宋体"/>
      <w:sz w:val="24"/>
    </w:rPr>
  </w:style>
  <w:style w:type="character" w:customStyle="1" w:styleId="40">
    <w:name w:val="fontstyle21"/>
    <w:qFormat/>
    <w:uiPriority w:val="0"/>
    <w:rPr>
      <w:rFonts w:hint="eastAsia" w:ascii="仿宋_GB2312" w:eastAsia="仿宋_GB2312"/>
      <w:color w:val="000000"/>
      <w:sz w:val="32"/>
      <w:szCs w:val="32"/>
    </w:rPr>
  </w:style>
  <w:style w:type="character" w:customStyle="1" w:styleId="41">
    <w:name w:val="普通(网站) 字符"/>
    <w:link w:val="15"/>
    <w:qFormat/>
    <w:locked/>
    <w:uiPriority w:val="0"/>
    <w:rPr>
      <w:rFonts w:ascii="宋体" w:hAnsi="宋体" w:eastAsia="宋体"/>
      <w:sz w:val="24"/>
    </w:rPr>
  </w:style>
  <w:style w:type="character" w:customStyle="1" w:styleId="42">
    <w:name w:val="批注主题 字符"/>
    <w:link w:val="16"/>
    <w:semiHidden/>
    <w:qFormat/>
    <w:locked/>
    <w:uiPriority w:val="0"/>
    <w:rPr>
      <w:rFonts w:ascii="Times New Roman" w:hAnsi="Times New Roman" w:eastAsia="宋体"/>
      <w:b/>
      <w:kern w:val="2"/>
      <w:sz w:val="24"/>
    </w:rPr>
  </w:style>
  <w:style w:type="character" w:customStyle="1" w:styleId="43">
    <w:name w:val="页脚 字符"/>
    <w:qFormat/>
    <w:uiPriority w:val="99"/>
  </w:style>
  <w:style w:type="character" w:customStyle="1" w:styleId="44">
    <w:name w:val="正文文本缩进 字符1"/>
    <w:link w:val="6"/>
    <w:semiHidden/>
    <w:qFormat/>
    <w:locked/>
    <w:uiPriority w:val="0"/>
    <w:rPr>
      <w:rFonts w:ascii="Times New Roman" w:hAnsi="Times New Roman" w:eastAsia="宋体"/>
      <w:sz w:val="24"/>
    </w:rPr>
  </w:style>
  <w:style w:type="character" w:customStyle="1" w:styleId="45">
    <w:name w:val="常用正文样式 Char1"/>
    <w:link w:val="46"/>
    <w:qFormat/>
    <w:locked/>
    <w:uiPriority w:val="0"/>
    <w:rPr>
      <w:rFonts w:ascii="宋体" w:hAnsi="宋体"/>
      <w:kern w:val="28"/>
      <w:sz w:val="24"/>
    </w:rPr>
  </w:style>
  <w:style w:type="paragraph" w:customStyle="1" w:styleId="46">
    <w:name w:val="常用正文样式"/>
    <w:basedOn w:val="1"/>
    <w:link w:val="45"/>
    <w:qFormat/>
    <w:uiPriority w:val="0"/>
    <w:pPr>
      <w:spacing w:line="360" w:lineRule="auto"/>
      <w:ind w:firstLine="480" w:firstLineChars="200"/>
    </w:pPr>
    <w:rPr>
      <w:rFonts w:ascii="宋体" w:hAnsi="宋体"/>
      <w:kern w:val="28"/>
      <w:sz w:val="24"/>
      <w:szCs w:val="20"/>
    </w:rPr>
  </w:style>
  <w:style w:type="character" w:customStyle="1" w:styleId="47">
    <w:name w:val="正文文本 Char1"/>
    <w:qFormat/>
    <w:locked/>
    <w:uiPriority w:val="0"/>
    <w:rPr>
      <w:sz w:val="18"/>
    </w:rPr>
  </w:style>
  <w:style w:type="character" w:customStyle="1" w:styleId="48">
    <w:name w:val="正文文本 Char"/>
    <w:qFormat/>
    <w:locked/>
    <w:uiPriority w:val="0"/>
    <w:rPr>
      <w:sz w:val="18"/>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日期 字符"/>
    <w:semiHidden/>
    <w:qFormat/>
    <w:uiPriority w:val="0"/>
    <w:rPr>
      <w:rFonts w:ascii="Times New Roman" w:hAnsi="Times New Roman" w:eastAsia="宋体"/>
      <w:sz w:val="24"/>
    </w:rPr>
  </w:style>
  <w:style w:type="character" w:customStyle="1" w:styleId="51">
    <w:name w:val="表头字 Char"/>
    <w:link w:val="52"/>
    <w:qFormat/>
    <w:uiPriority w:val="0"/>
    <w:rPr>
      <w:rFonts w:eastAsia="黑体"/>
      <w:kern w:val="2"/>
      <w:sz w:val="21"/>
      <w:szCs w:val="21"/>
    </w:rPr>
  </w:style>
  <w:style w:type="paragraph" w:customStyle="1" w:styleId="52">
    <w:name w:val="表头字"/>
    <w:basedOn w:val="2"/>
    <w:link w:val="51"/>
    <w:qFormat/>
    <w:uiPriority w:val="0"/>
    <w:pPr>
      <w:spacing w:line="320" w:lineRule="exact"/>
      <w:jc w:val="center"/>
    </w:pPr>
    <w:rPr>
      <w:rFonts w:eastAsia="黑体"/>
    </w:rPr>
  </w:style>
  <w:style w:type="character" w:customStyle="1" w:styleId="53">
    <w:name w:val="正文文本缩进 Char1"/>
    <w:semiHidden/>
    <w:qFormat/>
    <w:locked/>
    <w:uiPriority w:val="0"/>
    <w:rPr>
      <w:rFonts w:ascii="Times New Roman" w:hAnsi="Times New Roman" w:eastAsia="宋体"/>
      <w:sz w:val="24"/>
    </w:rPr>
  </w:style>
  <w:style w:type="character" w:customStyle="1" w:styleId="54">
    <w:name w:val="fontstyle11"/>
    <w:qFormat/>
    <w:uiPriority w:val="0"/>
    <w:rPr>
      <w:rFonts w:hint="eastAsia" w:ascii="仿宋_GB2312" w:eastAsia="仿宋_GB2312"/>
      <w:color w:val="000000"/>
      <w:sz w:val="32"/>
      <w:szCs w:val="32"/>
    </w:rPr>
  </w:style>
  <w:style w:type="character" w:customStyle="1" w:styleId="55">
    <w:name w:val="页眉 字符"/>
    <w:link w:val="13"/>
    <w:qFormat/>
    <w:locked/>
    <w:uiPriority w:val="0"/>
    <w:rPr>
      <w:sz w:val="18"/>
    </w:rPr>
  </w:style>
  <w:style w:type="character" w:customStyle="1" w:styleId="56">
    <w:name w:val="正文文本缩进 Char"/>
    <w:qFormat/>
    <w:locked/>
    <w:uiPriority w:val="0"/>
    <w:rPr>
      <w:rFonts w:ascii="Times New Roman" w:hAnsi="Times New Roman" w:eastAsia="宋体"/>
      <w:sz w:val="24"/>
    </w:rPr>
  </w:style>
  <w:style w:type="character" w:customStyle="1" w:styleId="57">
    <w:name w:val="纯文本 字符"/>
    <w:link w:val="8"/>
    <w:qFormat/>
    <w:uiPriority w:val="99"/>
    <w:rPr>
      <w:rFonts w:ascii="宋体" w:hAnsi="Courier New"/>
      <w:kern w:val="2"/>
      <w:sz w:val="21"/>
      <w:szCs w:val="24"/>
    </w:rPr>
  </w:style>
  <w:style w:type="character" w:customStyle="1" w:styleId="58">
    <w:name w:val="日期 字符1"/>
    <w:link w:val="10"/>
    <w:qFormat/>
    <w:locked/>
    <w:uiPriority w:val="0"/>
    <w:rPr>
      <w:rFonts w:ascii="Times New Roman" w:hAnsi="Times New Roman" w:eastAsia="宋体"/>
      <w:sz w:val="24"/>
    </w:rPr>
  </w:style>
  <w:style w:type="character" w:customStyle="1" w:styleId="59">
    <w:name w:val="正文文本 字符"/>
    <w:qFormat/>
    <w:locked/>
    <w:uiPriority w:val="0"/>
    <w:rPr>
      <w:sz w:val="18"/>
    </w:rPr>
  </w:style>
  <w:style w:type="character" w:customStyle="1" w:styleId="60">
    <w:name w:val="表内字 Char Char"/>
    <w:link w:val="61"/>
    <w:qFormat/>
    <w:locked/>
    <w:uiPriority w:val="0"/>
    <w:rPr>
      <w:rFonts w:ascii="宋体" w:hAnsi="宋体"/>
      <w:szCs w:val="21"/>
    </w:rPr>
  </w:style>
  <w:style w:type="paragraph" w:customStyle="1" w:styleId="61">
    <w:name w:val="表内字"/>
    <w:basedOn w:val="1"/>
    <w:link w:val="60"/>
    <w:qFormat/>
    <w:uiPriority w:val="0"/>
    <w:pPr>
      <w:spacing w:line="300" w:lineRule="exact"/>
      <w:jc w:val="center"/>
    </w:pPr>
    <w:rPr>
      <w:rFonts w:ascii="宋体" w:hAnsi="宋体"/>
      <w:kern w:val="0"/>
      <w:sz w:val="20"/>
      <w:szCs w:val="21"/>
    </w:rPr>
  </w:style>
  <w:style w:type="character" w:customStyle="1" w:styleId="62">
    <w:name w:val="fontstyle01"/>
    <w:qFormat/>
    <w:uiPriority w:val="0"/>
    <w:rPr>
      <w:rFonts w:hint="default" w:ascii="TimesNewRomanPSMT" w:hAnsi="TimesNewRomanPSMT"/>
      <w:color w:val="000000"/>
      <w:sz w:val="32"/>
      <w:szCs w:val="32"/>
    </w:rPr>
  </w:style>
  <w:style w:type="character" w:customStyle="1" w:styleId="63">
    <w:name w:val="批注文字 字符1"/>
    <w:semiHidden/>
    <w:qFormat/>
    <w:uiPriority w:val="0"/>
    <w:rPr>
      <w:rFonts w:ascii="Times New Roman" w:hAnsi="Times New Roman" w:eastAsia="宋体"/>
      <w:sz w:val="24"/>
    </w:rPr>
  </w:style>
  <w:style w:type="character" w:customStyle="1" w:styleId="64">
    <w:name w:val="批注文字 字符2"/>
    <w:link w:val="4"/>
    <w:qFormat/>
    <w:locked/>
    <w:uiPriority w:val="99"/>
    <w:rPr>
      <w:rFonts w:ascii="Times New Roman" w:hAnsi="Times New Roman" w:eastAsia="宋体"/>
      <w:sz w:val="24"/>
    </w:rPr>
  </w:style>
  <w:style w:type="paragraph" w:customStyle="1" w:styleId="65">
    <w:name w:val="Table Paragraph"/>
    <w:basedOn w:val="1"/>
    <w:qFormat/>
    <w:uiPriority w:val="1"/>
    <w:rPr>
      <w:rFonts w:ascii="宋体" w:hAnsi="宋体" w:cs="宋体"/>
      <w:lang w:val="zh-CN" w:bidi="zh-CN"/>
    </w:rPr>
  </w:style>
  <w:style w:type="paragraph" w:customStyle="1" w:styleId="66">
    <w:name w:val="6表内文字 居中"/>
    <w:basedOn w:val="1"/>
    <w:qFormat/>
    <w:uiPriority w:val="0"/>
    <w:pPr>
      <w:adjustRightInd w:val="0"/>
      <w:spacing w:line="340" w:lineRule="exact"/>
      <w:jc w:val="center"/>
      <w:textAlignment w:val="baseline"/>
    </w:pPr>
    <w:rPr>
      <w:snapToGrid w:val="0"/>
      <w:kern w:val="0"/>
    </w:rPr>
  </w:style>
  <w:style w:type="paragraph" w:customStyle="1" w:styleId="67">
    <w:name w:val="刘表格居中"/>
    <w:basedOn w:val="1"/>
    <w:qFormat/>
    <w:uiPriority w:val="0"/>
    <w:pPr>
      <w:jc w:val="center"/>
    </w:pPr>
    <w:rPr>
      <w:color w:val="000000"/>
      <w:szCs w:val="21"/>
    </w:rPr>
  </w:style>
  <w:style w:type="paragraph" w:customStyle="1" w:styleId="6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0">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customStyle="1" w:styleId="71">
    <w:name w:val="表内 定"/>
    <w:basedOn w:val="1"/>
    <w:qFormat/>
    <w:uiPriority w:val="0"/>
    <w:pPr>
      <w:jc w:val="left"/>
    </w:pPr>
    <w:rPr>
      <w:rFonts w:eastAsia="仿宋"/>
      <w:snapToGrid w:val="0"/>
      <w:color w:val="000000"/>
      <w:szCs w:val="22"/>
    </w:rPr>
  </w:style>
  <w:style w:type="paragraph" w:customStyle="1" w:styleId="72">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73">
    <w:name w:val="蓝森正文"/>
    <w:basedOn w:val="1"/>
    <w:next w:val="1"/>
    <w:qFormat/>
    <w:uiPriority w:val="0"/>
    <w:pPr>
      <w:spacing w:line="360" w:lineRule="exact"/>
      <w:jc w:val="center"/>
    </w:pPr>
    <w:rPr>
      <w:bCs/>
      <w:szCs w:val="21"/>
    </w:rPr>
  </w:style>
  <w:style w:type="paragraph" w:customStyle="1" w:styleId="74">
    <w:name w:val="表格文字"/>
    <w:basedOn w:val="1"/>
    <w:next w:val="1"/>
    <w:qFormat/>
    <w:uiPriority w:val="0"/>
    <w:pPr>
      <w:adjustRightInd w:val="0"/>
      <w:spacing w:line="400" w:lineRule="atLeast"/>
      <w:jc w:val="center"/>
    </w:pPr>
    <w:rPr>
      <w:kern w:val="24"/>
      <w:sz w:val="24"/>
    </w:rPr>
  </w:style>
  <w:style w:type="paragraph" w:customStyle="1" w:styleId="75">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76">
    <w:name w:val="刘正文"/>
    <w:basedOn w:val="1"/>
    <w:qFormat/>
    <w:uiPriority w:val="0"/>
    <w:pPr>
      <w:spacing w:line="460" w:lineRule="exact"/>
      <w:ind w:firstLine="480" w:firstLineChars="200"/>
      <w:jc w:val="left"/>
    </w:pPr>
    <w:rPr>
      <w:color w:val="000000"/>
      <w:sz w:val="24"/>
    </w:rPr>
  </w:style>
  <w:style w:type="paragraph" w:customStyle="1" w:styleId="77">
    <w:name w:val="列出段落1"/>
    <w:basedOn w:val="1"/>
    <w:next w:val="1"/>
    <w:qFormat/>
    <w:uiPriority w:val="0"/>
    <w:pPr>
      <w:spacing w:line="200" w:lineRule="atLeast"/>
      <w:jc w:val="center"/>
    </w:pPr>
    <w:rPr>
      <w:szCs w:val="22"/>
    </w:rPr>
  </w:style>
  <w:style w:type="paragraph" w:customStyle="1" w:styleId="78">
    <w:name w:val="普通(网站)2"/>
    <w:basedOn w:val="1"/>
    <w:qFormat/>
    <w:uiPriority w:val="0"/>
    <w:pPr>
      <w:widowControl/>
      <w:spacing w:before="100" w:beforeAutospacing="1" w:after="100" w:afterAutospacing="1"/>
      <w:jc w:val="left"/>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E8876-ED9B-497B-AC3B-69B6DBCABB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24355</Words>
  <Characters>28292</Characters>
  <Lines>236</Lines>
  <Paragraphs>66</Paragraphs>
  <TotalTime>3</TotalTime>
  <ScaleCrop>false</ScaleCrop>
  <LinksUpToDate>false</LinksUpToDate>
  <CharactersWithSpaces>28536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2023-07-05T02:25:00Z</dcterms:created>
  <dc:creator>lhj</dc:creator>
  <cp:lastModifiedBy>未定义</cp:lastModifiedBy>
  <cp:lastPrinted>2022-08-16T05:47:00Z</cp:lastPrinted>
  <dcterms:modified xsi:type="dcterms:W3CDTF">2023-07-25T08:46:11Z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D1F48CA65DB149458B2A0D9B6F46E686_13</vt:lpwstr>
  </property>
</Properties>
</file>