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outlineLvl w:val="0"/>
        <w:rPr>
          <w:rFonts w:ascii="宋体" w:hAnsi="宋体" w:cs="方正小标宋简体"/>
          <w:b/>
          <w:sz w:val="44"/>
          <w:szCs w:val="44"/>
        </w:rPr>
      </w:pPr>
      <w:bookmarkStart w:id="0" w:name="_Toc8657"/>
      <w:bookmarkStart w:id="1" w:name="_Toc76683365"/>
      <w:r>
        <w:rPr>
          <w:rFonts w:hint="eastAsia" w:ascii="宋体" w:hAnsi="宋体"/>
          <w:b/>
          <w:color w:val="000000"/>
          <w:sz w:val="44"/>
          <w:szCs w:val="44"/>
        </w:rPr>
        <w:t>洛阳市</w:t>
      </w:r>
      <w:r>
        <w:rPr>
          <w:rFonts w:ascii="宋体" w:hAnsi="宋体"/>
          <w:b/>
          <w:color w:val="000000"/>
          <w:sz w:val="44"/>
          <w:szCs w:val="44"/>
        </w:rPr>
        <w:t>偃师区</w:t>
      </w:r>
      <w:r>
        <w:rPr>
          <w:rFonts w:hint="eastAsia" w:ascii="宋体" w:hAnsi="宋体" w:cs="方正小标宋简体"/>
          <w:b/>
          <w:sz w:val="44"/>
          <w:szCs w:val="44"/>
        </w:rPr>
        <w:t>市场监督管理局</w:t>
      </w:r>
      <w:bookmarkEnd w:id="0"/>
      <w:bookmarkEnd w:id="1"/>
    </w:p>
    <w:p>
      <w:pPr>
        <w:spacing w:line="560" w:lineRule="exact"/>
        <w:jc w:val="center"/>
        <w:outlineLvl w:val="0"/>
        <w:rPr>
          <w:rFonts w:ascii="宋体" w:hAnsi="宋体" w:cs="Mongolian Baiti"/>
          <w:b/>
          <w:color w:val="000000"/>
          <w:sz w:val="44"/>
          <w:szCs w:val="44"/>
        </w:rPr>
      </w:pPr>
      <w:bookmarkStart w:id="2" w:name="_Toc76683366"/>
      <w:r>
        <w:rPr>
          <w:rFonts w:ascii="宋体" w:hAnsi="宋体" w:cs="Mongolian Baiti"/>
          <w:b/>
          <w:color w:val="000000"/>
          <w:sz w:val="44"/>
          <w:szCs w:val="44"/>
        </w:rPr>
        <w:t>行政处罚决定书</w:t>
      </w:r>
      <w:bookmarkEnd w:id="2"/>
    </w:p>
    <w:p>
      <w:pPr>
        <w:widowControl/>
        <w:snapToGrid w:val="0"/>
        <w:spacing w:line="600" w:lineRule="exact"/>
        <w:ind w:right="55"/>
        <w:jc w:val="center"/>
        <w:rPr>
          <w:rFonts w:ascii="仿宋" w:hAnsi="仿宋" w:eastAsia="仿宋" w:cs="仿宋_GB2312"/>
          <w:bCs/>
          <w:color w:val="000000"/>
          <w:sz w:val="32"/>
          <w:szCs w:val="32"/>
        </w:rPr>
      </w:pPr>
      <w:r>
        <w:rPr>
          <w:rFonts w:ascii="仿宋" w:hAnsi="仿宋" w:eastAsia="仿宋" w:cs="仿宋_GB2312"/>
          <w:bCs/>
          <w:color w:val="000000"/>
          <w:sz w:val="32"/>
          <w:szCs w:val="32"/>
        </w:rPr>
        <w:t>偃</w:t>
      </w:r>
      <w:r>
        <w:rPr>
          <w:rFonts w:hint="eastAsia" w:ascii="仿宋" w:hAnsi="仿宋" w:eastAsia="仿宋" w:cs="仿宋_GB2312"/>
          <w:bCs/>
          <w:color w:val="000000"/>
          <w:sz w:val="32"/>
          <w:szCs w:val="32"/>
        </w:rPr>
        <w:t>市监处罚〔</w:t>
      </w:r>
      <w:r>
        <w:rPr>
          <w:rFonts w:ascii="仿宋" w:hAnsi="仿宋" w:eastAsia="仿宋" w:cs="仿宋_GB2312"/>
          <w:bCs/>
          <w:color w:val="000000"/>
          <w:sz w:val="32"/>
          <w:szCs w:val="32"/>
        </w:rPr>
        <w:t>202</w:t>
      </w:r>
      <w:r>
        <w:rPr>
          <w:rFonts w:hint="eastAsia" w:ascii="仿宋" w:hAnsi="仿宋" w:eastAsia="仿宋" w:cs="仿宋_GB2312"/>
          <w:bCs/>
          <w:color w:val="000000"/>
          <w:sz w:val="32"/>
          <w:szCs w:val="32"/>
        </w:rPr>
        <w:t>2〕2021190号</w:t>
      </w:r>
      <w:r>
        <w:rPr>
          <w:rFonts w:hint="eastAsia" w:ascii="仿宋" w:hAnsi="仿宋" w:eastAsia="仿宋" w:cs="Mongolian Baiti"/>
          <w:color w:val="000000"/>
          <w:sz w:val="32"/>
          <w:szCs w:val="32"/>
        </w:rPr>
        <mc:AlternateContent>
          <mc:Choice Requires="wps">
            <w:drawing>
              <wp:anchor distT="0" distB="0" distL="90805" distR="90805" simplePos="0" relativeHeight="251659264" behindDoc="0" locked="0" layoutInCell="1" allowOverlap="0">
                <wp:simplePos x="0" y="0"/>
                <wp:positionH relativeFrom="column">
                  <wp:posOffset>-38100</wp:posOffset>
                </wp:positionH>
                <wp:positionV relativeFrom="paragraph">
                  <wp:posOffset>20802600</wp:posOffset>
                </wp:positionV>
                <wp:extent cx="5761990" cy="635"/>
                <wp:effectExtent l="0" t="0" r="0" b="0"/>
                <wp:wrapNone/>
                <wp:docPr id="1" name="直接箭头连接符 1"/>
                <wp:cNvGraphicFramePr/>
                <a:graphic xmlns:a="http://schemas.openxmlformats.org/drawingml/2006/main">
                  <a:graphicData uri="http://schemas.microsoft.com/office/word/2010/wordprocessingShape">
                    <wps:wsp>
                      <wps:cNvCnPr/>
                      <wps:spPr>
                        <a:xfrm>
                          <a:off x="1104900" y="22428200"/>
                          <a:ext cx="5761989" cy="762"/>
                        </a:xfrm>
                        <a:prstGeom prst="straightConnector1">
                          <a:avLst/>
                        </a:prstGeom>
                        <a:noFill/>
                        <a:ln w="19050" cap="flat" cmpd="sng">
                          <a:solidFill>
                            <a:srgbClr val="000000"/>
                          </a:solidFill>
                          <a:prstDash val="solid"/>
                          <a:round/>
                        </a:ln>
                      </wps:spPr>
                      <wps:bodyPr/>
                    </wps:wsp>
                  </a:graphicData>
                </a:graphic>
              </wp:anchor>
            </w:drawing>
          </mc:Choice>
          <mc:Fallback>
            <w:pict>
              <v:shape id="_x0000_s1026" o:spid="_x0000_s1026" o:spt="32" type="#_x0000_t32" style="position:absolute;left:0pt;margin-left:-3pt;margin-top:1638pt;height:0.05pt;width:453.7pt;z-index:251659264;mso-width-relative:page;mso-height-relative:page;" filled="f" stroked="t" coordsize="21600,21600" o:allowoverlap="f" o:gfxdata="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LgsV2jXAAAADAEAAA8AAAAAAAAAAQAgAAAAIgAAAGRycy9kb3ducmV2LnhtbFBL&#10;AQIUABQAAAAIAIdO4kDsIjQw9wEAAL0DAAAOAAAAAAAAAAEAIAAAACYBAABkcnMvZTJvRG9jLnht&#10;bFBLBQYAAAAABgAGAFkBAACPBQAAAAA=&#10;">
                <v:fill on="f" focussize="0,0"/>
                <v:stroke weight="1.5pt" color="#000000" joinstyle="round"/>
                <v:imagedata o:title=""/>
                <o:lock v:ext="edit" aspectratio="f"/>
              </v:shape>
            </w:pict>
          </mc:Fallback>
        </mc:AlternateContent>
      </w:r>
    </w:p>
    <w:p>
      <w:pPr>
        <w:spacing w:before="312" w:beforeLines="100" w:line="560" w:lineRule="exact"/>
        <w:ind w:left="142" w:hanging="142"/>
        <w:rPr>
          <w:rFonts w:ascii="仿宋" w:hAnsi="仿宋" w:eastAsia="仿宋" w:cs="Mongolian Baiti"/>
          <w:bCs/>
          <w:sz w:val="32"/>
          <w:szCs w:val="32"/>
        </w:rPr>
      </w:pPr>
      <w:r>
        <w:rPr>
          <w:rFonts w:hint="eastAsia" w:ascii="仿宋" w:hAnsi="仿宋" w:eastAsia="仿宋" w:cs="Mongolian Baiti"/>
          <w:bCs/>
          <w:sz w:val="32"/>
          <w:szCs w:val="32"/>
        </w:rPr>
        <w:t>当事人：牛全超</w:t>
      </w:r>
      <w:r>
        <w:rPr>
          <w:rFonts w:hint="eastAsia" w:ascii="仿宋" w:hAnsi="仿宋" w:eastAsia="仿宋" w:cs="Mongolian Baiti"/>
          <w:sz w:val="32"/>
          <w:szCs w:val="32"/>
        </w:rPr>
        <w:t xml:space="preserve">            </w:t>
      </w:r>
    </w:p>
    <w:p>
      <w:pPr>
        <w:spacing w:line="560" w:lineRule="exact"/>
        <w:rPr>
          <w:rFonts w:ascii="仿宋" w:hAnsi="仿宋" w:eastAsia="仿宋" w:cs="Mongolian Baiti"/>
          <w:sz w:val="32"/>
          <w:szCs w:val="32"/>
        </w:rPr>
      </w:pPr>
      <w:r>
        <w:rPr>
          <w:rFonts w:hint="eastAsia" w:ascii="仿宋" w:hAnsi="仿宋" w:eastAsia="仿宋" w:cs="Mongolian Baiti"/>
          <w:sz w:val="32"/>
          <w:szCs w:val="32"/>
        </w:rPr>
        <w:t>住址：河南省唐河县少拜寺乡南田庄村</w:t>
      </w:r>
      <w:bookmarkStart w:id="6" w:name="_GoBack"/>
      <w:bookmarkEnd w:id="6"/>
      <w:r>
        <w:rPr>
          <w:rFonts w:hint="eastAsia" w:ascii="仿宋" w:hAnsi="仿宋" w:eastAsia="仿宋" w:cs="Mongolian Baiti"/>
          <w:sz w:val="32"/>
          <w:szCs w:val="32"/>
        </w:rPr>
        <w:t xml:space="preserve">               </w:t>
      </w:r>
    </w:p>
    <w:p>
      <w:pPr>
        <w:spacing w:line="560" w:lineRule="exact"/>
        <w:ind w:left="140" w:hanging="140"/>
        <w:rPr>
          <w:rFonts w:ascii="仿宋_GB2312" w:hAnsi="仿宋" w:eastAsia="仿宋_GB2312" w:cs="仿宋"/>
          <w:sz w:val="32"/>
          <w:szCs w:val="32"/>
        </w:rPr>
      </w:pPr>
      <w:r>
        <w:rPr>
          <w:rFonts w:hint="eastAsia" w:ascii="仿宋" w:hAnsi="仿宋" w:eastAsia="仿宋" w:cs="Mongolian Baiti"/>
          <w:sz w:val="32"/>
          <w:szCs w:val="32"/>
        </w:rPr>
        <w:t xml:space="preserve">                               </w:t>
      </w:r>
      <w:bookmarkStart w:id="3" w:name="_Hlk106263934"/>
      <w:r>
        <w:rPr>
          <w:rFonts w:hint="eastAsia" w:ascii="仿宋" w:hAnsi="仿宋" w:eastAsia="仿宋" w:cs="仿宋"/>
          <w:color w:val="000000"/>
          <w:spacing w:val="-2"/>
          <w:sz w:val="32"/>
          <w:szCs w:val="32"/>
        </w:rPr>
        <w:t xml:space="preserve"> </w:t>
      </w:r>
      <w:bookmarkEnd w:id="3"/>
      <w:r>
        <w:rPr>
          <w:rFonts w:hint="eastAsia" w:ascii="仿宋" w:hAnsi="仿宋" w:eastAsia="仿宋" w:cs="仿宋"/>
          <w:color w:val="000000"/>
          <w:spacing w:val="-2"/>
          <w:sz w:val="32"/>
          <w:szCs w:val="32"/>
        </w:rPr>
        <w:t xml:space="preserve">                                    </w:t>
      </w:r>
      <w:r>
        <w:rPr>
          <w:rFonts w:ascii="仿宋" w:hAnsi="仿宋" w:eastAsia="仿宋" w:cs="仿宋"/>
          <w:color w:val="FF0000"/>
        </w:rPr>
        <w:t xml:space="preserve">                </w:t>
      </w:r>
      <w:r>
        <w:rPr>
          <w:rFonts w:hint="eastAsia" w:ascii="仿宋" w:hAnsi="仿宋" w:eastAsia="仿宋" w:cs="仿宋"/>
          <w:color w:val="FF0000"/>
        </w:rPr>
        <w:t xml:space="preserve"> </w:t>
      </w:r>
    </w:p>
    <w:p>
      <w:pPr>
        <w:pStyle w:val="7"/>
        <w:spacing w:line="360" w:lineRule="auto"/>
        <w:ind w:firstLine="640" w:firstLineChars="200"/>
        <w:jc w:val="both"/>
        <w:rPr>
          <w:rFonts w:ascii="仿宋" w:hAnsi="仿宋" w:eastAsia="仿宋" w:cs="仿宋"/>
        </w:rPr>
      </w:pPr>
      <w:r>
        <w:rPr>
          <w:rFonts w:hint="eastAsia" w:ascii="仿宋" w:hAnsi="仿宋" w:eastAsia="仿宋" w:cs="仿宋"/>
          <w:color w:val="000000"/>
        </w:rPr>
        <w:t>2021年12月8日，我局执法人员接</w:t>
      </w:r>
      <w:r>
        <w:rPr>
          <w:rFonts w:hint="eastAsia" w:ascii="仿宋" w:hAnsi="仿宋" w:eastAsia="仿宋" w:cs="仿宋"/>
        </w:rPr>
        <w:t>河南市场监管投诉举报平台的投诉单，</w:t>
      </w:r>
      <w:r>
        <w:rPr>
          <w:rFonts w:hint="eastAsia" w:ascii="仿宋" w:hAnsi="仿宋" w:eastAsia="仿宋" w:cs="仿宋"/>
          <w:color w:val="000000"/>
        </w:rPr>
        <w:t>对原偃师市伊洛街道办张书奶粉孕婴用品店（该店原统一社会信用代码：92410381MA9G0TW195，案件调查期间于2022年4月29日办理注销。）进行检查，发现该店内货架上销售有投诉人投诉的“小乖家”FE+营养饼干（多维多铁）13盒，外包装配料表和营养成分表里均显示有维生素B12，该食品</w:t>
      </w:r>
      <w:r>
        <w:rPr>
          <w:rFonts w:hint="eastAsia" w:ascii="仿宋" w:hAnsi="仿宋" w:eastAsia="仿宋" w:cs="仿宋"/>
        </w:rPr>
        <w:t>涉嫌</w:t>
      </w:r>
      <w:r>
        <w:rPr>
          <w:rFonts w:hint="eastAsia" w:ascii="仿宋" w:hAnsi="仿宋" w:eastAsia="仿宋" w:cs="仿宋"/>
          <w:color w:val="000000"/>
        </w:rPr>
        <w:t>违反了《中华人民共和国食品安全法》的相关规定</w:t>
      </w:r>
      <w:r>
        <w:rPr>
          <w:rFonts w:hint="eastAsia" w:ascii="仿宋" w:hAnsi="仿宋" w:eastAsia="仿宋" w:cs="仿宋"/>
        </w:rPr>
        <w:t xml:space="preserve">。为进一步查清事实，于2021年12月8日报经部门负责人批准立案，通过对当事人进行询问、收集调取相关证据材料等方式进行了案件调查。  </w:t>
      </w:r>
    </w:p>
    <w:p>
      <w:pPr>
        <w:autoSpaceDE w:val="0"/>
        <w:autoSpaceDN w:val="0"/>
        <w:adjustRightInd w:val="0"/>
        <w:spacing w:line="360" w:lineRule="auto"/>
        <w:ind w:firstLine="640" w:firstLineChars="200"/>
        <w:rPr>
          <w:rFonts w:ascii="仿宋" w:hAnsi="仿宋" w:eastAsia="仿宋" w:cs="仿宋"/>
          <w:color w:val="000000"/>
          <w:sz w:val="32"/>
          <w:szCs w:val="32"/>
        </w:rPr>
      </w:pPr>
      <w:r>
        <w:rPr>
          <w:rFonts w:hint="eastAsia" w:ascii="仿宋" w:hAnsi="仿宋" w:eastAsia="仿宋" w:cs="仿宋"/>
          <w:sz w:val="32"/>
          <w:szCs w:val="32"/>
        </w:rPr>
        <w:t>经查，当事人于</w:t>
      </w:r>
      <w:r>
        <w:rPr>
          <w:rFonts w:hint="eastAsia" w:ascii="仿宋" w:hAnsi="仿宋" w:eastAsia="仿宋" w:cs="仿宋"/>
          <w:bCs/>
          <w:color w:val="000000"/>
          <w:sz w:val="32"/>
          <w:szCs w:val="32"/>
        </w:rPr>
        <w:t>2021年9月22日从沈阳毛谷食品有限公司购进一批饼干辅食，并以微信形式扫码付款1357元。</w:t>
      </w:r>
      <w:r>
        <w:rPr>
          <w:rFonts w:hint="eastAsia" w:ascii="仿宋" w:hAnsi="仿宋" w:eastAsia="仿宋" w:cs="仿宋"/>
          <w:bCs/>
          <w:sz w:val="32"/>
          <w:szCs w:val="32"/>
        </w:rPr>
        <w:t>其中包括</w:t>
      </w:r>
      <w:r>
        <w:rPr>
          <w:rFonts w:hint="eastAsia" w:ascii="仿宋" w:hAnsi="仿宋" w:eastAsia="仿宋" w:cs="仿宋"/>
          <w:bCs/>
          <w:color w:val="000000"/>
          <w:sz w:val="32"/>
          <w:szCs w:val="32"/>
        </w:rPr>
        <w:t>“小乖家”营养饼干三个口味（高钙、多维多铁、dha）2箱计48盒，24盒/箱，50克/盒，购进价格6.5元/盒，</w:t>
      </w:r>
      <w:r>
        <w:rPr>
          <w:rFonts w:hint="eastAsia" w:ascii="仿宋" w:hAnsi="仿宋" w:eastAsia="仿宋" w:cs="仿宋"/>
          <w:sz w:val="32"/>
          <w:szCs w:val="32"/>
        </w:rPr>
        <w:t>金额312元。在该312元金额中包括</w:t>
      </w:r>
      <w:r>
        <w:rPr>
          <w:rFonts w:hint="eastAsia" w:ascii="仿宋" w:hAnsi="仿宋" w:eastAsia="仿宋" w:cs="仿宋"/>
          <w:color w:val="000000"/>
          <w:sz w:val="32"/>
          <w:szCs w:val="32"/>
        </w:rPr>
        <w:t>“小乖家”FE+营养饼干（多维多铁）16盒，进价6.5元/盒，金额</w:t>
      </w:r>
      <w:r>
        <w:rPr>
          <w:rFonts w:hint="eastAsia" w:ascii="仿宋" w:hAnsi="仿宋" w:eastAsia="仿宋" w:cs="仿宋"/>
          <w:sz w:val="32"/>
          <w:szCs w:val="32"/>
        </w:rPr>
        <w:t>104元。</w:t>
      </w:r>
      <w:r>
        <w:rPr>
          <w:rFonts w:hint="eastAsia" w:ascii="仿宋" w:hAnsi="仿宋" w:eastAsia="仿宋" w:cs="仿宋"/>
          <w:color w:val="000000" w:themeColor="text1"/>
          <w:sz w:val="32"/>
          <w:szCs w:val="32"/>
          <w14:textFill>
            <w14:solidFill>
              <w14:schemeClr w14:val="tx1"/>
            </w14:solidFill>
          </w14:textFill>
        </w:rPr>
        <w:t>“小乖家”FE+营养饼干（多维多铁）</w:t>
      </w:r>
      <w:r>
        <w:rPr>
          <w:rFonts w:hint="eastAsia" w:ascii="仿宋" w:hAnsi="仿宋" w:eastAsia="仿宋" w:cs="仿宋"/>
          <w:sz w:val="32"/>
          <w:szCs w:val="32"/>
        </w:rPr>
        <w:t>外包装的配料表和营养成分表中均有维生素B12,其执行标准号：GB/T20980；食品生产许可证：SC10635068106024；生产日期：2021.09.03；保质期365天；产地：福建省漳州市；委托方：沈阳毛谷食品有限公司；地址：辽宁省沈阳市大东区南卡门路；联系电话：136-742-88888；受委托方：漳州童世界食品有限公司；地址：福建省龙海市东园镇厚景村双凤341。当事人于2021年11月7日在抖音直播间内以12.9元价格销售“小乖家”FE+营养饼干（多维多铁）1盒，获利6.4元，当事人小孩食用2盒，该批16盒</w:t>
      </w:r>
      <w:r>
        <w:rPr>
          <w:rFonts w:hint="eastAsia" w:ascii="仿宋" w:hAnsi="仿宋" w:eastAsia="仿宋" w:cs="仿宋"/>
          <w:color w:val="000000"/>
          <w:sz w:val="32"/>
          <w:szCs w:val="32"/>
        </w:rPr>
        <w:t>FE+营养饼干（多维多铁）</w:t>
      </w:r>
      <w:r>
        <w:rPr>
          <w:rFonts w:hint="eastAsia" w:ascii="仿宋" w:hAnsi="仿宋" w:eastAsia="仿宋" w:cs="仿宋"/>
          <w:sz w:val="32"/>
          <w:szCs w:val="32"/>
        </w:rPr>
        <w:t>货值206.4元</w:t>
      </w:r>
      <w:r>
        <w:rPr>
          <w:rFonts w:hint="eastAsia" w:ascii="仿宋" w:hAnsi="仿宋" w:eastAsia="仿宋" w:cs="仿宋"/>
          <w:color w:val="000000"/>
          <w:sz w:val="32"/>
          <w:szCs w:val="32"/>
        </w:rPr>
        <w:t>。</w:t>
      </w:r>
    </w:p>
    <w:p>
      <w:pPr>
        <w:autoSpaceDE w:val="0"/>
        <w:autoSpaceDN w:val="0"/>
        <w:adjustRightInd w:val="0"/>
        <w:spacing w:line="360" w:lineRule="auto"/>
        <w:ind w:firstLine="640" w:firstLineChars="200"/>
        <w:rPr>
          <w:rFonts w:ascii="仿宋" w:hAnsi="仿宋" w:eastAsia="仿宋" w:cs="仿宋"/>
          <w:sz w:val="32"/>
          <w:szCs w:val="32"/>
        </w:rPr>
      </w:pPr>
      <w:r>
        <w:rPr>
          <w:rFonts w:hint="eastAsia" w:ascii="仿宋" w:hAnsi="仿宋" w:eastAsia="仿宋" w:cs="仿宋"/>
          <w:color w:val="000000"/>
          <w:sz w:val="32"/>
          <w:szCs w:val="32"/>
        </w:rPr>
        <w:t>另查明，</w:t>
      </w:r>
      <w:r>
        <w:rPr>
          <w:rFonts w:hint="eastAsia" w:ascii="仿宋" w:hAnsi="仿宋" w:eastAsia="仿宋" w:cs="仿宋"/>
          <w:sz w:val="32"/>
          <w:szCs w:val="32"/>
        </w:rPr>
        <w:t>在100克/盒;营养饼干（多维多铁）的</w:t>
      </w:r>
      <w:r>
        <w:rPr>
          <w:rFonts w:hint="eastAsia" w:ascii="仿宋" w:hAnsi="仿宋" w:eastAsia="仿宋" w:cs="仿宋"/>
          <w:color w:val="000000" w:themeColor="text1"/>
          <w:sz w:val="32"/>
          <w:szCs w:val="32"/>
          <w14:textFill>
            <w14:solidFill>
              <w14:schemeClr w14:val="tx1"/>
            </w14:solidFill>
          </w14:textFill>
        </w:rPr>
        <w:t>营养成分</w:t>
      </w:r>
      <w:r>
        <w:rPr>
          <w:rFonts w:hint="eastAsia" w:ascii="仿宋" w:hAnsi="仿宋" w:eastAsia="仿宋" w:cs="仿宋"/>
          <w:sz w:val="32"/>
          <w:szCs w:val="32"/>
        </w:rPr>
        <w:t>表中显示添加0.64ug；维生素B12，该饼干执行标准号：GB/T20980。</w:t>
      </w:r>
    </w:p>
    <w:p>
      <w:pPr>
        <w:autoSpaceDE w:val="0"/>
        <w:autoSpaceDN w:val="0"/>
        <w:adjustRightInd w:val="0"/>
        <w:spacing w:line="360" w:lineRule="auto"/>
        <w:ind w:left="640"/>
        <w:rPr>
          <w:rFonts w:ascii="仿宋" w:hAnsi="仿宋" w:eastAsia="仿宋" w:cs="仿宋"/>
          <w:sz w:val="32"/>
          <w:szCs w:val="32"/>
        </w:rPr>
      </w:pPr>
      <w:r>
        <w:rPr>
          <w:rFonts w:hint="eastAsia" w:ascii="仿宋" w:hAnsi="仿宋" w:eastAsia="仿宋" w:cs="仿宋"/>
          <w:sz w:val="32"/>
          <w:szCs w:val="32"/>
        </w:rPr>
        <w:t xml:space="preserve">1.查询《中华人民共和国国家标准》GB/T20980-2007 </w:t>
      </w:r>
    </w:p>
    <w:p>
      <w:pPr>
        <w:autoSpaceDE w:val="0"/>
        <w:autoSpaceDN w:val="0"/>
        <w:adjustRightInd w:val="0"/>
        <w:spacing w:line="360" w:lineRule="auto"/>
        <w:rPr>
          <w:rFonts w:ascii="仿宋" w:hAnsi="仿宋" w:eastAsia="仿宋" w:cs="仿宋"/>
          <w:sz w:val="32"/>
          <w:szCs w:val="32"/>
        </w:rPr>
      </w:pPr>
      <w:r>
        <w:rPr>
          <w:rFonts w:hint="eastAsia" w:ascii="仿宋" w:hAnsi="仿宋" w:eastAsia="仿宋" w:cs="仿宋"/>
          <w:sz w:val="32"/>
          <w:szCs w:val="32"/>
        </w:rPr>
        <w:t>《饼干（Biscuit）》 中“2 规范性引用文件：GB14880 食品营养强化剂使用卫生标准。</w:t>
      </w:r>
      <w:bookmarkStart w:id="4" w:name="_Hlk99530453"/>
      <w:r>
        <w:rPr>
          <w:rFonts w:hint="eastAsia" w:ascii="仿宋" w:hAnsi="仿宋" w:eastAsia="仿宋" w:cs="仿宋"/>
          <w:sz w:val="32"/>
          <w:szCs w:val="32"/>
        </w:rPr>
        <w:t>”</w:t>
      </w:r>
      <w:bookmarkEnd w:id="4"/>
      <w:r>
        <w:rPr>
          <w:rFonts w:hint="eastAsia" w:ascii="仿宋" w:hAnsi="仿宋" w:eastAsia="仿宋" w:cs="仿宋"/>
          <w:sz w:val="32"/>
          <w:szCs w:val="32"/>
        </w:rPr>
        <w:t>的规定。</w:t>
      </w:r>
    </w:p>
    <w:p>
      <w:pPr>
        <w:autoSpaceDE w:val="0"/>
        <w:autoSpaceDN w:val="0"/>
        <w:adjustRightInd w:val="0"/>
        <w:spacing w:line="360" w:lineRule="auto"/>
        <w:ind w:left="64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sz w:val="32"/>
          <w:szCs w:val="32"/>
        </w:rPr>
        <w:t>2</w:t>
      </w:r>
      <w:r>
        <w:rPr>
          <w:rFonts w:ascii="仿宋" w:hAnsi="仿宋" w:eastAsia="仿宋" w:cs="仿宋"/>
          <w:sz w:val="32"/>
          <w:szCs w:val="32"/>
        </w:rPr>
        <w:t>.</w:t>
      </w:r>
      <w:r>
        <w:rPr>
          <w:rFonts w:hint="eastAsia" w:ascii="仿宋" w:hAnsi="仿宋" w:eastAsia="仿宋" w:cs="仿宋"/>
          <w:sz w:val="32"/>
          <w:szCs w:val="32"/>
        </w:rPr>
        <w:t>查询《中华人民共和国国家标准》</w:t>
      </w:r>
      <w:r>
        <w:rPr>
          <w:rFonts w:hint="eastAsia" w:ascii="仿宋" w:hAnsi="仿宋" w:eastAsia="仿宋" w:cs="仿宋"/>
          <w:color w:val="000000" w:themeColor="text1"/>
          <w:sz w:val="32"/>
          <w:szCs w:val="32"/>
          <w14:textFill>
            <w14:solidFill>
              <w14:schemeClr w14:val="tx1"/>
            </w14:solidFill>
          </w14:textFill>
        </w:rPr>
        <w:t>GB14880-2012 《食</w:t>
      </w:r>
    </w:p>
    <w:p>
      <w:pPr>
        <w:autoSpaceDE w:val="0"/>
        <w:autoSpaceDN w:val="0"/>
        <w:adjustRightInd w:val="0"/>
        <w:spacing w:line="360" w:lineRule="auto"/>
        <w:rPr>
          <w:rFonts w:ascii="仿宋" w:hAnsi="仿宋" w:eastAsia="仿宋" w:cs="仿宋"/>
          <w:sz w:val="32"/>
          <w:szCs w:val="32"/>
        </w:rPr>
      </w:pPr>
      <w:r>
        <w:rPr>
          <w:rFonts w:hint="eastAsia" w:ascii="仿宋" w:hAnsi="仿宋" w:eastAsia="仿宋" w:cs="仿宋"/>
          <w:color w:val="000000" w:themeColor="text1"/>
          <w:sz w:val="32"/>
          <w:szCs w:val="32"/>
          <w14:textFill>
            <w14:solidFill>
              <w14:schemeClr w14:val="tx1"/>
            </w14:solidFill>
          </w14:textFill>
        </w:rPr>
        <w:t>品安全国家标准 食品营养强化剂使用标准》</w:t>
      </w:r>
      <w:r>
        <w:rPr>
          <w:rFonts w:hint="eastAsia" w:ascii="仿宋" w:hAnsi="仿宋" w:eastAsia="仿宋" w:cs="仿宋"/>
          <w:sz w:val="32"/>
          <w:szCs w:val="32"/>
        </w:rPr>
        <w:t>“6 营养强化剂使用规定；6.1 营养强化剂在食品中的使用范围、使用量应符合</w:t>
      </w:r>
      <w:r>
        <w:rPr>
          <w:rFonts w:hint="eastAsia" w:ascii="仿宋" w:hAnsi="仿宋" w:eastAsia="仿宋" w:cs="仿宋"/>
          <w:b/>
          <w:bCs/>
          <w:sz w:val="32"/>
          <w:szCs w:val="32"/>
        </w:rPr>
        <w:t>附录A</w:t>
      </w:r>
      <w:r>
        <w:rPr>
          <w:rFonts w:hint="eastAsia" w:ascii="仿宋" w:hAnsi="仿宋" w:eastAsia="仿宋" w:cs="仿宋"/>
          <w:sz w:val="32"/>
          <w:szCs w:val="32"/>
        </w:rPr>
        <w:t>的要求，允许使用化合物来源应符合</w:t>
      </w:r>
      <w:r>
        <w:rPr>
          <w:rFonts w:hint="eastAsia" w:ascii="仿宋" w:hAnsi="仿宋" w:eastAsia="仿宋" w:cs="仿宋"/>
          <w:b/>
          <w:bCs/>
          <w:sz w:val="32"/>
          <w:szCs w:val="32"/>
        </w:rPr>
        <w:t>附录B</w:t>
      </w:r>
      <w:r>
        <w:rPr>
          <w:rFonts w:hint="eastAsia" w:ascii="仿宋" w:hAnsi="仿宋" w:eastAsia="仿宋" w:cs="仿宋"/>
          <w:sz w:val="32"/>
          <w:szCs w:val="32"/>
        </w:rPr>
        <w:t>的规定。在</w:t>
      </w:r>
      <w:r>
        <w:rPr>
          <w:rFonts w:hint="eastAsia" w:ascii="仿宋" w:hAnsi="仿宋" w:eastAsia="仿宋" w:cs="仿宋"/>
          <w:b/>
          <w:bCs/>
          <w:sz w:val="32"/>
          <w:szCs w:val="32"/>
        </w:rPr>
        <w:t xml:space="preserve">附录A </w:t>
      </w:r>
      <w:r>
        <w:rPr>
          <w:rFonts w:hint="eastAsia" w:ascii="仿宋" w:hAnsi="仿宋" w:eastAsia="仿宋" w:cs="仿宋"/>
          <w:sz w:val="32"/>
          <w:szCs w:val="32"/>
        </w:rPr>
        <w:t>食品营养强化剂使用规定；食品营养强化剂使用规定见表</w:t>
      </w:r>
      <w:r>
        <w:rPr>
          <w:rFonts w:hint="eastAsia" w:ascii="仿宋" w:hAnsi="仿宋" w:eastAsia="仿宋" w:cs="仿宋"/>
          <w:b/>
          <w:bCs/>
          <w:sz w:val="32"/>
          <w:szCs w:val="32"/>
        </w:rPr>
        <w:t>A.1</w:t>
      </w:r>
      <w:r>
        <w:rPr>
          <w:rFonts w:hint="eastAsia" w:ascii="仿宋" w:hAnsi="仿宋" w:eastAsia="仿宋" w:cs="仿宋"/>
          <w:sz w:val="32"/>
          <w:szCs w:val="32"/>
        </w:rPr>
        <w:t>。表</w:t>
      </w:r>
      <w:r>
        <w:rPr>
          <w:rFonts w:hint="eastAsia" w:ascii="仿宋" w:hAnsi="仿宋" w:eastAsia="仿宋" w:cs="仿宋"/>
          <w:b/>
          <w:bCs/>
          <w:sz w:val="32"/>
          <w:szCs w:val="32"/>
        </w:rPr>
        <w:t xml:space="preserve">A.1 </w:t>
      </w:r>
      <w:r>
        <w:rPr>
          <w:rFonts w:hint="eastAsia" w:ascii="仿宋" w:hAnsi="仿宋" w:eastAsia="仿宋" w:cs="仿宋"/>
          <w:sz w:val="32"/>
          <w:szCs w:val="32"/>
        </w:rPr>
        <w:t>营养强化剂的允许使用品种、使用范围及使用量；表</w:t>
      </w:r>
      <w:r>
        <w:rPr>
          <w:rFonts w:hint="eastAsia" w:ascii="仿宋" w:hAnsi="仿宋" w:eastAsia="仿宋" w:cs="仿宋"/>
          <w:b/>
          <w:bCs/>
          <w:sz w:val="32"/>
          <w:szCs w:val="32"/>
        </w:rPr>
        <w:t>A.1（续）</w:t>
      </w:r>
      <w:r>
        <w:rPr>
          <w:rFonts w:hint="eastAsia" w:ascii="仿宋" w:hAnsi="仿宋" w:eastAsia="仿宋" w:cs="仿宋"/>
          <w:sz w:val="32"/>
          <w:szCs w:val="32"/>
        </w:rPr>
        <w:t>表格中营养强化剂 维生素B12 ”的规定，维生素B12做为营养强化剂添加的食品类别（名称）中无饼干一项。</w:t>
      </w:r>
    </w:p>
    <w:p>
      <w:pPr>
        <w:autoSpaceDE w:val="0"/>
        <w:autoSpaceDN w:val="0"/>
        <w:adjustRightInd w:val="0"/>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2022年5月13日，我局分别给沈阳市大东区市场监督管理局及该饼干的委托生产方（当事人供货方</w:t>
      </w:r>
      <w:bookmarkStart w:id="5" w:name="_Hlk108598474"/>
      <w:r>
        <w:rPr>
          <w:rFonts w:hint="eastAsia" w:ascii="仿宋" w:hAnsi="仿宋" w:eastAsia="仿宋" w:cs="仿宋"/>
          <w:sz w:val="32"/>
          <w:szCs w:val="32"/>
        </w:rPr>
        <w:t>沈阳毛谷食品有限公司</w:t>
      </w:r>
      <w:bookmarkEnd w:id="5"/>
      <w:r>
        <w:rPr>
          <w:rFonts w:hint="eastAsia" w:ascii="仿宋" w:hAnsi="仿宋" w:eastAsia="仿宋" w:cs="仿宋"/>
          <w:sz w:val="32"/>
          <w:szCs w:val="32"/>
        </w:rPr>
        <w:t>）和漳州市龙海区市场监督管理局及受委托生产方（漳州童世界食品有限公司）邮寄送达（偃市监协查（2022）2021190-1号、2021190-3号）和（偃市监协查（2022）2021190-2号、2021190-4号）《协助调查函》，协助调查了解该饼干添加维生素B12的添加依据及检测报告。在委托方沈阳毛谷食品有限公司和漳州市龙海区市场监督管理局及受委托方漳州童世界食品有限公司回复函资料中标明：“该饼干配料表中添加维生素B12是依据《GB2760-2014 食品安全国家标准 食品添加剂使用标准》，该标准显示</w:t>
      </w:r>
      <w:r>
        <w:rPr>
          <w:rFonts w:hint="eastAsia" w:ascii="仿宋" w:hAnsi="仿宋" w:eastAsia="仿宋" w:cs="仿宋"/>
          <w:b/>
          <w:bCs/>
          <w:sz w:val="32"/>
          <w:szCs w:val="32"/>
        </w:rPr>
        <w:t>维生素B族</w:t>
      </w:r>
      <w:r>
        <w:rPr>
          <w:rFonts w:hint="eastAsia" w:ascii="仿宋" w:hAnsi="仿宋" w:eastAsia="仿宋" w:cs="仿宋"/>
          <w:sz w:val="32"/>
          <w:szCs w:val="32"/>
        </w:rPr>
        <w:t>可以做为加工助剂使用，其作用是功能是在饼干发酵工艺中作为发酵用营养物质”。在该回复函附有：福建省国鼎监测技术有限公司于2018年06月07日出具的多铁多维饼干检测报告（编号：CTT180592297CN），在该检测报告中显示每100g多维多铁饼干中含有0.64ug的维生素B12。另，漳州市龙海区市场监督管理局回复的（龙）市监协函【2022】011号协查函及受委托生产方漳州童世界食品有限公司提供的情况说明显示，该公司截至2</w:t>
      </w:r>
      <w:r>
        <w:rPr>
          <w:rFonts w:ascii="仿宋" w:hAnsi="仿宋" w:eastAsia="仿宋" w:cs="仿宋"/>
          <w:sz w:val="32"/>
          <w:szCs w:val="32"/>
        </w:rPr>
        <w:t>021</w:t>
      </w:r>
      <w:r>
        <w:rPr>
          <w:rFonts w:hint="eastAsia" w:ascii="仿宋" w:hAnsi="仿宋" w:eastAsia="仿宋" w:cs="仿宋"/>
          <w:sz w:val="32"/>
          <w:szCs w:val="32"/>
        </w:rPr>
        <w:t>年1</w:t>
      </w:r>
      <w:r>
        <w:rPr>
          <w:rFonts w:ascii="仿宋" w:hAnsi="仿宋" w:eastAsia="仿宋" w:cs="仿宋"/>
          <w:sz w:val="32"/>
          <w:szCs w:val="32"/>
        </w:rPr>
        <w:t>2</w:t>
      </w:r>
      <w:r>
        <w:rPr>
          <w:rFonts w:hint="eastAsia" w:ascii="仿宋" w:hAnsi="仿宋" w:eastAsia="仿宋" w:cs="仿宋"/>
          <w:sz w:val="32"/>
          <w:szCs w:val="32"/>
        </w:rPr>
        <w:t>月1日，已对上述产品配方进行微调，不再使用B</w:t>
      </w:r>
      <w:r>
        <w:rPr>
          <w:rFonts w:ascii="仿宋" w:hAnsi="仿宋" w:eastAsia="仿宋" w:cs="仿宋"/>
          <w:sz w:val="32"/>
          <w:szCs w:val="32"/>
        </w:rPr>
        <w:t>12</w:t>
      </w:r>
      <w:r>
        <w:rPr>
          <w:rFonts w:hint="eastAsia" w:ascii="仿宋" w:hAnsi="仿宋" w:eastAsia="仿宋" w:cs="仿宋"/>
          <w:sz w:val="32"/>
          <w:szCs w:val="32"/>
        </w:rPr>
        <w:t>作为加工助剂，并同步在外包装上删除维生素B</w:t>
      </w:r>
      <w:r>
        <w:rPr>
          <w:rFonts w:ascii="仿宋" w:hAnsi="仿宋" w:eastAsia="仿宋" w:cs="仿宋"/>
          <w:sz w:val="32"/>
          <w:szCs w:val="32"/>
        </w:rPr>
        <w:t>12</w:t>
      </w:r>
      <w:r>
        <w:rPr>
          <w:rFonts w:hint="eastAsia" w:ascii="仿宋" w:hAnsi="仿宋" w:eastAsia="仿宋" w:cs="仿宋"/>
          <w:sz w:val="32"/>
          <w:szCs w:val="32"/>
        </w:rPr>
        <w:t xml:space="preserve">在营养成分表里的标示，并提供有微调后的包装盒。 </w:t>
      </w:r>
      <w:r>
        <w:rPr>
          <w:rFonts w:ascii="仿宋" w:hAnsi="仿宋" w:eastAsia="仿宋" w:cs="仿宋"/>
          <w:sz w:val="32"/>
          <w:szCs w:val="32"/>
        </w:rPr>
        <w:t xml:space="preserve">                                                                    </w:t>
      </w:r>
    </w:p>
    <w:p>
      <w:pPr>
        <w:autoSpaceDE w:val="0"/>
        <w:autoSpaceDN w:val="0"/>
        <w:adjustRightInd w:val="0"/>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经查证GB2760-2014 食品安全国家标准《食品添加剂使用标准》“7 食品工业用加工助剂；食品工业用加工助剂的使用应符合附录 C的规定”，其中附录C《食品工业用加工助剂使用规定》内容含“C.1 食品工业用加工助剂(以下简称“加工助剂”)的使用原则：C.1.2 加工助剂一般应在制成最终成品之前除去,无法完全除去的,应尽可能降低其残留量,其残留量不应对健康产生危害,不应在最终食品中发挥功能作用。”及“表 C.2 食品工业用加工助剂的使用规定：表C.2（续）：序号-62、助剂中文名称-</w:t>
      </w:r>
      <w:r>
        <w:rPr>
          <w:rFonts w:hint="eastAsia" w:ascii="仿宋" w:hAnsi="仿宋" w:eastAsia="仿宋" w:cs="仿宋"/>
          <w:b/>
          <w:bCs/>
          <w:sz w:val="32"/>
          <w:szCs w:val="32"/>
        </w:rPr>
        <w:t>维生素B族</w:t>
      </w:r>
      <w:r>
        <w:rPr>
          <w:rFonts w:hint="eastAsia" w:ascii="仿宋" w:hAnsi="仿宋" w:eastAsia="仿宋" w:cs="仿宋"/>
          <w:sz w:val="32"/>
          <w:szCs w:val="32"/>
        </w:rPr>
        <w:t>、功能-发酵用营养物质，使用范围-发酵工艺”等规定。</w:t>
      </w:r>
    </w:p>
    <w:p>
      <w:pPr>
        <w:spacing w:line="560" w:lineRule="exact"/>
        <w:ind w:firstLine="647"/>
        <w:rPr>
          <w:rFonts w:ascii="仿宋" w:hAnsi="仿宋" w:eastAsia="仿宋" w:cs="仿宋"/>
          <w:color w:val="000000"/>
          <w:spacing w:val="-2"/>
          <w:sz w:val="32"/>
          <w:szCs w:val="32"/>
        </w:rPr>
      </w:pPr>
      <w:r>
        <w:rPr>
          <w:rFonts w:hint="eastAsia" w:ascii="仿宋" w:hAnsi="仿宋" w:eastAsia="仿宋" w:cs="仿宋"/>
          <w:sz w:val="32"/>
          <w:szCs w:val="32"/>
        </w:rPr>
        <w:t>综上所述，该饼干外包装的配料表中有“维生素B12”字样内容，营养成分表中标明“0.64ug/100g；维生素B12”的字样内容，不符合该饼干执行的《中华人民共和国国家标准》GB/T20980-2007 《饼干（Biscuit）》“2 规范性引用文件：GB14880 食品营养强化剂使用卫生标准。”及“《中华人民共和国国家标准》GB14880-2012 《食品安全国家标准 食品营养强化剂使用标准》”的相关使用标准。</w:t>
      </w:r>
      <w:r>
        <w:rPr>
          <w:rFonts w:hint="eastAsia" w:ascii="仿宋" w:hAnsi="仿宋" w:eastAsia="仿宋" w:cs="仿宋"/>
          <w:color w:val="000000"/>
          <w:spacing w:val="-2"/>
          <w:sz w:val="32"/>
          <w:szCs w:val="32"/>
        </w:rPr>
        <w:t xml:space="preserve">                    </w:t>
      </w:r>
    </w:p>
    <w:p>
      <w:pPr>
        <w:spacing w:line="560" w:lineRule="exact"/>
        <w:ind w:left="105" w:firstLine="640" w:firstLineChars="200"/>
        <w:rPr>
          <w:rFonts w:ascii="仿宋" w:hAnsi="仿宋" w:eastAsia="仿宋" w:cs="Mongolian Baiti"/>
          <w:sz w:val="32"/>
          <w:szCs w:val="32"/>
        </w:rPr>
      </w:pPr>
      <w:r>
        <w:rPr>
          <w:rFonts w:hint="eastAsia" w:ascii="仿宋" w:hAnsi="仿宋" w:eastAsia="仿宋" w:cs="Mongolian Baiti"/>
          <w:sz w:val="32"/>
          <w:szCs w:val="32"/>
        </w:rPr>
        <w:t>上述事实，主要有以下证据证明：</w:t>
      </w:r>
    </w:p>
    <w:p>
      <w:pPr>
        <w:tabs>
          <w:tab w:val="left" w:pos="2440"/>
          <w:tab w:val="left" w:pos="3950"/>
          <w:tab w:val="left" w:pos="8964"/>
        </w:tabs>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1.投诉单1张，证明当事人销售涉案食品的事实；</w:t>
      </w:r>
    </w:p>
    <w:p>
      <w:pPr>
        <w:pStyle w:val="7"/>
        <w:tabs>
          <w:tab w:val="left" w:pos="8964"/>
        </w:tabs>
        <w:spacing w:line="360" w:lineRule="auto"/>
        <w:ind w:firstLine="640" w:firstLineChars="200"/>
        <w:jc w:val="both"/>
        <w:rPr>
          <w:rFonts w:ascii="仿宋" w:hAnsi="仿宋" w:eastAsia="仿宋" w:cs="仿宋"/>
        </w:rPr>
      </w:pPr>
      <w:r>
        <w:rPr>
          <w:rFonts w:hint="eastAsia" w:ascii="仿宋" w:hAnsi="仿宋" w:eastAsia="仿宋" w:cs="仿宋"/>
        </w:rPr>
        <w:t>2</w:t>
      </w:r>
      <w:r>
        <w:rPr>
          <w:rFonts w:hint="eastAsia" w:ascii="仿宋" w:hAnsi="仿宋" w:eastAsia="仿宋" w:cs="仿宋"/>
          <w:i/>
        </w:rPr>
        <w:t>.</w:t>
      </w:r>
      <w:r>
        <w:rPr>
          <w:rFonts w:hint="eastAsia" w:ascii="仿宋" w:hAnsi="仿宋" w:eastAsia="仿宋" w:cs="仿宋"/>
        </w:rPr>
        <w:t>现场检查笔录1份，证明当事人销售有涉案食品情况；</w:t>
      </w:r>
    </w:p>
    <w:p>
      <w:pPr>
        <w:tabs>
          <w:tab w:val="left" w:pos="2440"/>
          <w:tab w:val="left" w:pos="8964"/>
        </w:tabs>
        <w:spacing w:line="360" w:lineRule="auto"/>
        <w:ind w:left="2849" w:leftChars="290" w:hanging="2240" w:hangingChars="700"/>
        <w:rPr>
          <w:rFonts w:ascii="仿宋" w:hAnsi="仿宋" w:eastAsia="仿宋" w:cs="仿宋"/>
          <w:sz w:val="32"/>
          <w:szCs w:val="32"/>
        </w:rPr>
      </w:pPr>
      <w:r>
        <w:rPr>
          <w:rFonts w:hint="eastAsia" w:ascii="仿宋" w:hAnsi="仿宋" w:eastAsia="仿宋" w:cs="仿宋"/>
          <w:sz w:val="32"/>
          <w:szCs w:val="32"/>
        </w:rPr>
        <w:t>3.现场照片1组9张，证明当事人经营有涉案食品；</w:t>
      </w:r>
    </w:p>
    <w:p>
      <w:pPr>
        <w:tabs>
          <w:tab w:val="left" w:pos="2440"/>
          <w:tab w:val="left" w:pos="5570"/>
          <w:tab w:val="left" w:pos="8964"/>
        </w:tabs>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4</w:t>
      </w:r>
      <w:r>
        <w:rPr>
          <w:rFonts w:hint="eastAsia" w:ascii="仿宋" w:hAnsi="仿宋" w:eastAsia="仿宋" w:cs="仿宋"/>
          <w:i/>
          <w:sz w:val="32"/>
          <w:szCs w:val="32"/>
        </w:rPr>
        <w:t>.</w:t>
      </w:r>
      <w:r>
        <w:rPr>
          <w:rFonts w:hint="eastAsia" w:ascii="仿宋" w:hAnsi="仿宋" w:eastAsia="仿宋" w:cs="仿宋"/>
          <w:sz w:val="32"/>
          <w:szCs w:val="32"/>
        </w:rPr>
        <w:t>实施强制措施决定书1份，证明对当事人经营的涉案食品进行扣押；</w:t>
      </w:r>
    </w:p>
    <w:p>
      <w:pPr>
        <w:tabs>
          <w:tab w:val="left" w:pos="2440"/>
          <w:tab w:val="left" w:pos="3950"/>
          <w:tab w:val="left" w:pos="8964"/>
        </w:tabs>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5.询问笔录1份，证明当事人经营销售涉案食品事实情况；</w:t>
      </w:r>
    </w:p>
    <w:p>
      <w:pPr>
        <w:tabs>
          <w:tab w:val="left" w:pos="2440"/>
          <w:tab w:val="left" w:pos="3950"/>
          <w:tab w:val="left" w:pos="8964"/>
        </w:tabs>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6.涉案饼干的委托生产方和受委托生产方的情况说明材料及检测报告各1份，证明涉案饼干中添加有维生素B12的情况属实；</w:t>
      </w:r>
    </w:p>
    <w:p>
      <w:pPr>
        <w:tabs>
          <w:tab w:val="left" w:pos="2440"/>
          <w:tab w:val="left" w:pos="3950"/>
          <w:tab w:val="left" w:pos="8964"/>
        </w:tabs>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7.《中华人民共和国国家标准》GB/T20980-2007《饼干（Biscuit）》、《中华人民共和国国家标准》GB14880-2012 《食品安全国家标准 食品营养强化剂使用标准》、《GB2760-2014 食品安全国家标准 食品添加剂使用标准》使用标准各1份，证明涉案饼干外包装配料表中有维生素B12不符合相关使用标准；</w:t>
      </w:r>
    </w:p>
    <w:p>
      <w:pPr>
        <w:tabs>
          <w:tab w:val="left" w:pos="2440"/>
          <w:tab w:val="left" w:pos="3950"/>
          <w:tab w:val="left" w:pos="8964"/>
        </w:tabs>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8.当事人身份证及原营业执照、食品经营许可证复印件各1张，证明当事人的身份；</w:t>
      </w:r>
    </w:p>
    <w:p>
      <w:pPr>
        <w:spacing w:line="360" w:lineRule="auto"/>
        <w:ind w:firstLine="640" w:firstLineChars="200"/>
        <w:rPr>
          <w:rFonts w:ascii="仿宋" w:hAnsi="仿宋" w:eastAsia="仿宋" w:cs="仿宋_GB2312"/>
          <w:spacing w:val="-2"/>
          <w:sz w:val="32"/>
          <w:szCs w:val="32"/>
        </w:rPr>
      </w:pPr>
      <w:r>
        <w:rPr>
          <w:rFonts w:hint="eastAsia" w:ascii="仿宋" w:hAnsi="仿宋" w:eastAsia="仿宋" w:cs="仿宋"/>
          <w:sz w:val="32"/>
          <w:szCs w:val="32"/>
        </w:rPr>
        <w:t>9.供货商的营业执照、食品经营许可证、产品出厂检验报告、该批饼干的付款记录和付款收据及该批饼干订货单据，证明当事人履行了</w:t>
      </w:r>
      <w:r>
        <w:rPr>
          <w:rFonts w:ascii="仿宋" w:eastAsia="仿宋" w:cs="仿宋"/>
          <w:color w:val="000000"/>
          <w:spacing w:val="-2"/>
          <w:sz w:val="32"/>
          <w:szCs w:val="32"/>
        </w:rPr>
        <w:t>《中华人民共和国食品安全法》规定的</w:t>
      </w:r>
      <w:r>
        <w:rPr>
          <w:rFonts w:hint="eastAsia" w:ascii="仿宋" w:hAnsi="仿宋" w:eastAsia="仿宋" w:cs="仿宋"/>
          <w:sz w:val="32"/>
          <w:szCs w:val="32"/>
        </w:rPr>
        <w:t xml:space="preserve">进货查验制度。 </w:t>
      </w:r>
      <w:r>
        <w:rPr>
          <w:rFonts w:hint="eastAsia" w:ascii="仿宋" w:hAnsi="仿宋" w:eastAsia="仿宋" w:cs="仿宋_GB2312"/>
          <w:spacing w:val="-2"/>
          <w:sz w:val="32"/>
          <w:szCs w:val="32"/>
        </w:rPr>
        <w:t xml:space="preserve">                              </w:t>
      </w:r>
      <w:r>
        <w:rPr>
          <w:rFonts w:hint="eastAsia" w:ascii="仿宋" w:hAnsi="仿宋" w:eastAsia="仿宋" w:cs="仿宋_GB2312"/>
          <w:color w:val="000000"/>
        </w:rPr>
        <w:t xml:space="preserve">     </w:t>
      </w:r>
    </w:p>
    <w:p>
      <w:pPr>
        <w:pStyle w:val="7"/>
        <w:autoSpaceDN/>
        <w:adjustRightInd/>
        <w:spacing w:line="360" w:lineRule="auto"/>
        <w:ind w:firstLine="640" w:firstLineChars="200"/>
        <w:jc w:val="both"/>
        <w:rPr>
          <w:rFonts w:ascii="仿宋" w:hAnsi="仿宋" w:eastAsia="仿宋" w:cs="仿宋"/>
        </w:rPr>
      </w:pPr>
      <w:r>
        <w:rPr>
          <w:rFonts w:hint="eastAsia" w:ascii="仿宋" w:hAnsi="仿宋" w:eastAsia="仿宋" w:cs="仿宋"/>
        </w:rPr>
        <w:t>2022年7月4日，我局向当事人送达了偃市监罚告</w:t>
      </w:r>
      <w:r>
        <w:rPr>
          <w:rFonts w:hint="eastAsia" w:ascii="仿宋" w:hAnsi="仿宋" w:eastAsia="仿宋" w:cs="仿宋"/>
          <w:bCs/>
        </w:rPr>
        <w:t>〔2022〕</w:t>
      </w:r>
      <w:r>
        <w:rPr>
          <w:rFonts w:hint="eastAsia" w:ascii="仿宋" w:hAnsi="仿宋" w:eastAsia="仿宋" w:cs="仿宋"/>
        </w:rPr>
        <w:t>2021190号《行政处罚告知书》，依据《中华人民共和国行政处罚法》</w:t>
      </w:r>
      <w:r>
        <w:rPr>
          <w:rFonts w:ascii="仿宋" w:hAnsi="仿宋" w:eastAsia="仿宋" w:cs="仿宋"/>
          <w:spacing w:val="-10"/>
        </w:rPr>
        <w:t>第四十四条、第</w:t>
      </w:r>
      <w:r>
        <w:rPr>
          <w:rFonts w:ascii="仿宋" w:hAnsi="仿宋" w:eastAsia="仿宋" w:cs="仿宋"/>
          <w:spacing w:val="-2"/>
        </w:rPr>
        <w:t>四十五条，</w:t>
      </w:r>
      <w:r>
        <w:rPr>
          <w:rFonts w:hint="eastAsia" w:ascii="仿宋" w:hAnsi="仿宋" w:eastAsia="仿宋" w:cs="仿宋"/>
        </w:rPr>
        <w:t>告知当事人我局拟作出行政处罚决定的事实、理由、依据、内容以及当事人依法享有的陈述权、申辩权。</w:t>
      </w:r>
      <w:r>
        <w:rPr>
          <w:rFonts w:hint="eastAsia" w:ascii="仿宋" w:hAnsi="仿宋" w:eastAsia="仿宋" w:cs="仿宋"/>
          <w:color w:val="000000"/>
        </w:rPr>
        <w:t xml:space="preserve">当事人自收到本告知书之日起五个工作日内，未行使陈述、申辩权，视为放弃此权利。                          </w:t>
      </w:r>
    </w:p>
    <w:p>
      <w:pPr>
        <w:widowControl/>
        <w:shd w:val="clear" w:color="auto" w:fill="FFFFFF"/>
        <w:spacing w:line="360" w:lineRule="auto"/>
        <w:ind w:firstLine="632" w:firstLineChars="200"/>
        <w:rPr>
          <w:rFonts w:ascii="仿宋" w:hAnsi="仿宋" w:eastAsia="仿宋" w:cs="仿宋"/>
          <w:color w:val="000000" w:themeColor="text1"/>
          <w:kern w:val="31"/>
          <w:sz w:val="32"/>
          <w:szCs w:val="32"/>
          <w:lang w:bidi="ar"/>
          <w14:textFill>
            <w14:solidFill>
              <w14:schemeClr w14:val="tx1"/>
            </w14:solidFill>
          </w14:textFill>
        </w:rPr>
      </w:pPr>
      <w:r>
        <w:rPr>
          <w:rFonts w:ascii="Times New Roman" w:hAnsi="Times New Roman" w:eastAsia="仿宋_GB2312" w:cs="仿宋_GB2312"/>
          <w:bCs/>
          <w:spacing w:val="-2"/>
          <w:sz w:val="32"/>
          <w:szCs w:val="32"/>
        </w:rPr>
        <w:t>当事人经营</w:t>
      </w:r>
      <w:r>
        <w:rPr>
          <w:rFonts w:hint="eastAsia" w:ascii="仿宋" w:hAnsi="仿宋" w:eastAsia="仿宋" w:cs="仿宋"/>
          <w:sz w:val="32"/>
          <w:szCs w:val="32"/>
        </w:rPr>
        <w:t>超范围、超限量使用食品添加剂的食品</w:t>
      </w:r>
      <w:r>
        <w:rPr>
          <w:rFonts w:ascii="Times New Roman" w:hAnsi="Times New Roman" w:eastAsia="仿宋_GB2312" w:cs="仿宋_GB2312"/>
          <w:bCs/>
          <w:spacing w:val="-2"/>
          <w:sz w:val="32"/>
          <w:szCs w:val="32"/>
        </w:rPr>
        <w:t>的行为，违反了《中华人民共和国食品安全法》第三十四条</w:t>
      </w:r>
      <w:r>
        <w:rPr>
          <w:rFonts w:hint="eastAsia" w:ascii="仿宋" w:hAnsi="仿宋" w:eastAsia="仿宋" w:cs="仿宋"/>
          <w:sz w:val="32"/>
          <w:szCs w:val="32"/>
        </w:rPr>
        <w:t>“禁止生产经营下列食品、食品添加剂、食品相关产品：（四）超范围、超限量使用食品添加剂的食品；”之规定，</w:t>
      </w:r>
      <w:r>
        <w:rPr>
          <w:rFonts w:ascii="Times New Roman" w:hAnsi="Times New Roman" w:eastAsia="仿宋_GB2312" w:cs="仿宋_GB2312"/>
          <w:bCs/>
          <w:spacing w:val="-2"/>
          <w:sz w:val="32"/>
          <w:szCs w:val="32"/>
        </w:rPr>
        <w:t>因</w:t>
      </w:r>
      <w:r>
        <w:rPr>
          <w:rFonts w:ascii="仿宋" w:eastAsia="仿宋" w:cs="仿宋"/>
          <w:spacing w:val="-2"/>
          <w:sz w:val="32"/>
          <w:szCs w:val="32"/>
        </w:rPr>
        <w:t>当事人履行了《中华人民共和国食品安全法》规定的进货查验、食品安全自查、发现不安全食品后执行停止经营等义务，</w:t>
      </w:r>
      <w:r>
        <w:rPr>
          <w:rFonts w:hint="eastAsia" w:ascii="仿宋" w:eastAsia="仿宋" w:cs="仿宋"/>
          <w:spacing w:val="-2"/>
          <w:sz w:val="32"/>
          <w:szCs w:val="32"/>
        </w:rPr>
        <w:t>当事人也是</w:t>
      </w:r>
      <w:r>
        <w:rPr>
          <w:rFonts w:hint="eastAsia" w:ascii="仿宋" w:hAnsi="仿宋" w:eastAsia="仿宋" w:cs="宋体"/>
          <w:spacing w:val="17"/>
          <w:sz w:val="32"/>
          <w:szCs w:val="32"/>
          <w:shd w:val="clear" w:color="auto" w:fill="FFFFFF"/>
        </w:rPr>
        <w:t>初次违法且危害后果轻微并及时改正，</w:t>
      </w:r>
      <w:r>
        <w:rPr>
          <w:rFonts w:ascii="仿宋" w:eastAsia="仿宋" w:cs="仿宋"/>
          <w:spacing w:val="-2"/>
          <w:sz w:val="32"/>
          <w:szCs w:val="32"/>
        </w:rPr>
        <w:t>符合《中华人民共和国食品安全法》第五十三条之规定，且有充分证据证明其不知道所采购的食品不符合食品安全标准，并能说明其进货来源。依据《中华人民共和国食品安全法》第一百三十六条</w:t>
      </w:r>
      <w:r>
        <w:rPr>
          <w:rFonts w:hint="eastAsia" w:ascii="仿宋" w:eastAsia="仿宋" w:cs="仿宋"/>
          <w:spacing w:val="-2"/>
          <w:sz w:val="32"/>
          <w:szCs w:val="32"/>
        </w:rPr>
        <w:t>“食品经营者履行了本法规定的进货查验等义务，有充分证据证明其不知道</w:t>
      </w:r>
      <w:r>
        <w:rPr>
          <w:rFonts w:ascii="仿宋" w:eastAsia="仿宋" w:cs="仿宋"/>
          <w:spacing w:val="-2"/>
          <w:sz w:val="32"/>
          <w:szCs w:val="32"/>
        </w:rPr>
        <w:t>所采购的食品不符合食品安全标准，并能如实说明其进货来源的，可以免予处罚，但应当依法没收其不符合食品安全标准的食品；造成人身、财产或者其他损害的，依法承担赔偿责任。</w:t>
      </w:r>
      <w:r>
        <w:rPr>
          <w:rFonts w:hint="eastAsia" w:ascii="仿宋" w:eastAsia="仿宋" w:cs="仿宋"/>
          <w:spacing w:val="-2"/>
          <w:sz w:val="32"/>
          <w:szCs w:val="32"/>
        </w:rPr>
        <w:t>”之</w:t>
      </w:r>
      <w:r>
        <w:rPr>
          <w:rFonts w:ascii="仿宋" w:eastAsia="仿宋" w:cs="仿宋"/>
          <w:spacing w:val="-2"/>
          <w:sz w:val="32"/>
          <w:szCs w:val="32"/>
        </w:rPr>
        <w:t>规定</w:t>
      </w:r>
      <w:r>
        <w:rPr>
          <w:rFonts w:hint="eastAsia" w:ascii="仿宋" w:eastAsia="仿宋" w:cs="仿宋"/>
          <w:spacing w:val="-2"/>
          <w:sz w:val="32"/>
          <w:szCs w:val="32"/>
        </w:rPr>
        <w:t>和《中华人民共和国行政处罚法》第三十三条第一款</w:t>
      </w:r>
      <w:r>
        <w:rPr>
          <w:rFonts w:hint="eastAsia" w:ascii="仿宋" w:hAnsi="仿宋" w:eastAsia="仿宋" w:cs="宋体"/>
          <w:spacing w:val="17"/>
          <w:sz w:val="32"/>
          <w:szCs w:val="32"/>
          <w:shd w:val="clear" w:color="auto" w:fill="FFFFFF"/>
        </w:rPr>
        <w:t>“违法行为轻微并及时改正，没有造成危害后果的，不予行政处罚。初次违法且危害后果轻微并及时改正的，可以不予行政处罚。”之规定，</w:t>
      </w:r>
      <w:r>
        <w:rPr>
          <w:rFonts w:hint="eastAsia" w:ascii="仿宋" w:hAnsi="仿宋" w:eastAsia="仿宋" w:cs="仿宋"/>
          <w:color w:val="000000" w:themeColor="text1"/>
          <w:kern w:val="31"/>
          <w:sz w:val="32"/>
          <w:szCs w:val="32"/>
          <w:lang w:bidi="ar"/>
          <w14:textFill>
            <w14:solidFill>
              <w14:schemeClr w14:val="tx1"/>
            </w14:solidFill>
          </w14:textFill>
        </w:rPr>
        <w:t>经研究决</w:t>
      </w:r>
    </w:p>
    <w:p>
      <w:pPr>
        <w:widowControl/>
        <w:shd w:val="clear" w:color="auto" w:fill="FFFFFF"/>
        <w:spacing w:line="360" w:lineRule="auto"/>
        <w:rPr>
          <w:rFonts w:hint="eastAsia" w:ascii="仿宋" w:hAnsi="仿宋" w:eastAsia="仿宋" w:cs="仿宋"/>
        </w:rPr>
      </w:pPr>
      <w:r>
        <w:rPr>
          <w:rFonts w:hint="eastAsia" w:ascii="仿宋" w:hAnsi="仿宋" w:eastAsia="仿宋" w:cs="仿宋"/>
          <w:color w:val="000000" w:themeColor="text1"/>
          <w:kern w:val="31"/>
          <w:sz w:val="32"/>
          <w:szCs w:val="32"/>
          <w:lang w:bidi="ar"/>
          <w14:textFill>
            <w14:solidFill>
              <w14:schemeClr w14:val="tx1"/>
            </w14:solidFill>
          </w14:textFill>
        </w:rPr>
        <w:t>定，</w:t>
      </w:r>
      <w:r>
        <w:rPr>
          <w:rFonts w:ascii="仿宋" w:eastAsia="仿宋" w:cs="仿宋"/>
          <w:spacing w:val="-2"/>
          <w:sz w:val="32"/>
          <w:szCs w:val="32"/>
        </w:rPr>
        <w:t>对当事人</w:t>
      </w:r>
      <w:r>
        <w:rPr>
          <w:rFonts w:hint="eastAsia" w:ascii="仿宋" w:eastAsia="仿宋" w:cs="仿宋"/>
          <w:spacing w:val="-2"/>
          <w:sz w:val="32"/>
          <w:szCs w:val="32"/>
        </w:rPr>
        <w:t>免予处罚，</w:t>
      </w:r>
      <w:r>
        <w:rPr>
          <w:rFonts w:hint="eastAsia" w:ascii="仿宋" w:hAnsi="仿宋" w:eastAsia="仿宋" w:cs="仿宋"/>
          <w:sz w:val="32"/>
          <w:szCs w:val="32"/>
        </w:rPr>
        <w:t>没收“小乖家”牌FE+营养饼干（多维多铁）13盒。</w:t>
      </w:r>
      <w:r>
        <w:rPr>
          <w:rFonts w:hint="eastAsia" w:ascii="仿宋" w:hAnsi="仿宋" w:eastAsia="仿宋" w:cs="仿宋"/>
          <w:kern w:val="0"/>
          <w:sz w:val="32"/>
          <w:szCs w:val="32"/>
        </w:rPr>
        <w:t xml:space="preserve">           </w:t>
      </w:r>
    </w:p>
    <w:p>
      <w:pPr>
        <w:tabs>
          <w:tab w:val="left" w:pos="6680"/>
          <w:tab w:val="left" w:pos="8920"/>
        </w:tabs>
        <w:spacing w:line="610" w:lineRule="exact"/>
        <w:ind w:right="162" w:firstLine="640" w:firstLineChars="200"/>
        <w:rPr>
          <w:rFonts w:ascii="仿宋" w:hAnsi="仿宋" w:eastAsia="仿宋" w:cs="仿宋"/>
          <w:color w:val="231F20"/>
          <w:sz w:val="32"/>
          <w:szCs w:val="32"/>
        </w:rPr>
      </w:pPr>
      <w:r>
        <w:rPr>
          <w:rFonts w:hint="eastAsia" w:ascii="仿宋" w:hAnsi="仿宋" w:eastAsia="仿宋" w:cs="仿宋"/>
          <w:kern w:val="0"/>
          <w:sz w:val="32"/>
          <w:szCs w:val="32"/>
        </w:rPr>
        <w:t>如不服本处罚决定，可自接文之日起六十日内向洛阳市偃师区人民政府申请复议，也可于接文之日起六个月内向洛阳市偃师区人民法院提起诉讼。逾期不履行本处罚决定的，我局将依法申请人民法院强制执行。</w:t>
      </w:r>
      <w:r>
        <w:rPr>
          <w:rFonts w:hint="eastAsia" w:ascii="仿宋" w:hAnsi="仿宋" w:eastAsia="仿宋" w:cs="仿宋"/>
          <w:color w:val="000000"/>
          <w:sz w:val="32"/>
          <w:szCs w:val="32"/>
        </w:rPr>
        <w:t xml:space="preserve">    </w:t>
      </w:r>
      <w:r>
        <w:rPr>
          <w:rFonts w:hint="eastAsia" w:ascii="仿宋" w:hAnsi="仿宋" w:eastAsia="仿宋" w:cs="仿宋"/>
          <w:color w:val="231F20"/>
          <w:sz w:val="32"/>
          <w:szCs w:val="32"/>
        </w:rPr>
        <w:t xml:space="preserve">  </w:t>
      </w:r>
    </w:p>
    <w:p>
      <w:pPr>
        <w:spacing w:line="560" w:lineRule="exact"/>
        <w:ind w:right="640" w:firstLine="2880" w:firstLineChars="900"/>
        <w:rPr>
          <w:rFonts w:ascii="仿宋" w:hAnsi="仿宋" w:eastAsia="仿宋" w:cs="仿宋_GB2312"/>
          <w:color w:val="000000"/>
          <w:sz w:val="32"/>
          <w:szCs w:val="32"/>
        </w:rPr>
      </w:pPr>
    </w:p>
    <w:p>
      <w:pPr>
        <w:spacing w:line="560" w:lineRule="exact"/>
        <w:ind w:right="640" w:firstLine="2880" w:firstLineChars="900"/>
        <w:rPr>
          <w:rFonts w:ascii="仿宋" w:hAnsi="仿宋" w:eastAsia="仿宋" w:cs="仿宋_GB2312"/>
          <w:color w:val="000000"/>
          <w:sz w:val="32"/>
          <w:szCs w:val="32"/>
        </w:rPr>
      </w:pPr>
    </w:p>
    <w:p>
      <w:pPr>
        <w:spacing w:line="560" w:lineRule="exact"/>
        <w:ind w:right="640" w:firstLine="2880" w:firstLineChars="900"/>
        <w:rPr>
          <w:rFonts w:ascii="仿宋" w:hAnsi="仿宋" w:eastAsia="仿宋" w:cs="仿宋_GB2312"/>
          <w:color w:val="000000"/>
          <w:sz w:val="32"/>
          <w:szCs w:val="32"/>
        </w:rPr>
      </w:pPr>
    </w:p>
    <w:p>
      <w:pPr>
        <w:spacing w:line="560" w:lineRule="exact"/>
        <w:ind w:right="640" w:firstLine="2880" w:firstLineChars="900"/>
        <w:rPr>
          <w:rFonts w:ascii="仿宋" w:hAnsi="仿宋" w:eastAsia="仿宋" w:cs="仿宋"/>
          <w:color w:val="000000"/>
          <w:sz w:val="32"/>
          <w:szCs w:val="32"/>
        </w:rPr>
      </w:pPr>
      <w:r>
        <w:rPr>
          <w:rFonts w:hint="eastAsia" w:ascii="仿宋" w:hAnsi="仿宋" w:eastAsia="仿宋" w:cs="仿宋_GB2312"/>
          <w:color w:val="000000"/>
          <w:sz w:val="32"/>
          <w:szCs w:val="32"/>
        </w:rPr>
        <w:t>洛阳市偃师区</w:t>
      </w:r>
      <w:r>
        <w:rPr>
          <w:rFonts w:hint="eastAsia" w:ascii="仿宋" w:hAnsi="仿宋" w:eastAsia="仿宋" w:cs="仿宋"/>
          <w:color w:val="000000"/>
          <w:sz w:val="32"/>
          <w:szCs w:val="32"/>
        </w:rPr>
        <w:t xml:space="preserve">市场监督管理局    </w:t>
      </w:r>
    </w:p>
    <w:p>
      <w:pPr>
        <w:spacing w:line="560" w:lineRule="exact"/>
        <w:ind w:right="1280" w:firstLine="3840" w:firstLineChars="1200"/>
        <w:rPr>
          <w:rFonts w:ascii="仿宋" w:hAnsi="仿宋" w:eastAsia="仿宋" w:cs="仿宋"/>
          <w:color w:val="000000"/>
          <w:sz w:val="32"/>
          <w:szCs w:val="32"/>
        </w:rPr>
      </w:pPr>
    </w:p>
    <w:p>
      <w:pPr>
        <w:spacing w:line="560" w:lineRule="exact"/>
        <w:ind w:right="1280" w:firstLine="3840" w:firstLineChars="1200"/>
        <w:rPr>
          <w:rFonts w:ascii="仿宋" w:hAnsi="仿宋" w:eastAsia="仿宋" w:cs="仿宋"/>
          <w:color w:val="000000"/>
          <w:sz w:val="32"/>
          <w:szCs w:val="32"/>
        </w:rPr>
      </w:pPr>
      <w:r>
        <w:rPr>
          <w:rFonts w:hint="eastAsia" w:ascii="仿宋" w:hAnsi="仿宋" w:eastAsia="仿宋" w:cs="仿宋"/>
          <w:color w:val="000000"/>
          <w:sz w:val="32"/>
          <w:szCs w:val="32"/>
        </w:rPr>
        <w:t>2022年7月13日</w:t>
      </w:r>
    </w:p>
    <w:p>
      <w:pPr>
        <w:spacing w:before="1"/>
        <w:rPr>
          <w:rFonts w:ascii="黑体" w:hAnsi="黑体" w:eastAsia="黑体"/>
          <w:color w:val="231F20"/>
          <w:spacing w:val="-16"/>
          <w:sz w:val="32"/>
          <w:szCs w:val="32"/>
        </w:rPr>
      </w:pPr>
    </w:p>
    <w:p>
      <w:pPr>
        <w:pStyle w:val="7"/>
        <w:spacing w:before="1"/>
      </w:pPr>
    </w:p>
    <w:p>
      <w:pPr>
        <w:spacing w:before="1"/>
        <w:rPr>
          <w:rFonts w:ascii="黑体" w:hAnsi="黑体" w:eastAsia="黑体"/>
          <w:color w:val="231F20"/>
          <w:spacing w:val="-16"/>
          <w:sz w:val="32"/>
          <w:szCs w:val="32"/>
        </w:rPr>
      </w:pPr>
    </w:p>
    <w:p>
      <w:pPr>
        <w:spacing w:before="1"/>
        <w:rPr>
          <w:rFonts w:ascii="黑体" w:hAnsi="黑体" w:eastAsia="黑体"/>
          <w:color w:val="231F20"/>
          <w:spacing w:val="-16"/>
          <w:sz w:val="32"/>
          <w:szCs w:val="32"/>
        </w:rPr>
      </w:pPr>
    </w:p>
    <w:p>
      <w:pPr>
        <w:pStyle w:val="2"/>
      </w:pPr>
    </w:p>
    <w:p>
      <w:pPr>
        <w:pStyle w:val="2"/>
      </w:pPr>
    </w:p>
    <w:p>
      <w:pPr>
        <w:pStyle w:val="2"/>
      </w:pPr>
    </w:p>
    <w:p>
      <w:pPr>
        <w:pStyle w:val="2"/>
      </w:pPr>
    </w:p>
    <w:p>
      <w:pPr>
        <w:pStyle w:val="2"/>
      </w:pPr>
    </w:p>
    <w:p>
      <w:pPr>
        <w:pStyle w:val="2"/>
        <w:rPr>
          <w:rFonts w:hint="eastAsia"/>
        </w:rPr>
      </w:pPr>
    </w:p>
    <w:p>
      <w:pPr>
        <w:spacing w:before="1"/>
        <w:rPr>
          <w:rFonts w:ascii="黑体" w:hAnsi="黑体" w:eastAsia="黑体"/>
          <w:color w:val="231F20"/>
          <w:spacing w:val="-16"/>
          <w:sz w:val="32"/>
          <w:szCs w:val="32"/>
        </w:rPr>
      </w:pPr>
    </w:p>
    <w:p>
      <w:pPr>
        <w:spacing w:before="1"/>
        <w:rPr>
          <w:rFonts w:ascii="仿宋" w:hAnsi="仿宋" w:eastAsia="仿宋" w:cs="仿宋"/>
          <w:color w:val="000000"/>
          <w:sz w:val="32"/>
          <w:szCs w:val="32"/>
          <w:u w:val="single"/>
        </w:rPr>
      </w:pPr>
      <w:r>
        <w:rPr>
          <w:rFonts w:hint="eastAsia" w:ascii="仿宋" w:eastAsia="仿宋"/>
          <w:sz w:val="32"/>
        </w:rPr>
        <mc:AlternateContent>
          <mc:Choice Requires="wps">
            <w:drawing>
              <wp:anchor distT="0" distB="0" distL="90805" distR="90805" simplePos="0" relativeHeight="251660288" behindDoc="0" locked="0" layoutInCell="1" allowOverlap="1">
                <wp:simplePos x="0" y="0"/>
                <wp:positionH relativeFrom="column">
                  <wp:posOffset>3175</wp:posOffset>
                </wp:positionH>
                <wp:positionV relativeFrom="paragraph">
                  <wp:posOffset>396875</wp:posOffset>
                </wp:positionV>
                <wp:extent cx="5240655" cy="0"/>
                <wp:effectExtent l="0" t="0" r="0" b="0"/>
                <wp:wrapNone/>
                <wp:docPr id="4" name="直接连接符 2"/>
                <wp:cNvGraphicFramePr/>
                <a:graphic xmlns:a="http://schemas.openxmlformats.org/drawingml/2006/main">
                  <a:graphicData uri="http://schemas.microsoft.com/office/word/2010/wordprocessingShape">
                    <wps:wsp>
                      <wps:cNvCnPr/>
                      <wps:spPr>
                        <a:xfrm>
                          <a:off x="0" y="0"/>
                          <a:ext cx="5240740" cy="0"/>
                        </a:xfrm>
                        <a:prstGeom prst="line">
                          <a:avLst/>
                        </a:prstGeom>
                        <a:noFill/>
                        <a:ln w="15875" cap="flat" cmpd="sng">
                          <a:solidFill>
                            <a:srgbClr val="000000"/>
                          </a:solidFill>
                          <a:prstDash val="solid"/>
                          <a:round/>
                        </a:ln>
                      </wps:spPr>
                      <wps:bodyPr/>
                    </wps:wsp>
                  </a:graphicData>
                </a:graphic>
              </wp:anchor>
            </w:drawing>
          </mc:Choice>
          <mc:Fallback>
            <w:pict>
              <v:line id="直接连接符 2" o:spid="_x0000_s1026" o:spt="20" style="position:absolute;left:0pt;margin-left:0.25pt;margin-top:31.25pt;height:0pt;width:412.65pt;z-index:251660288;mso-width-relative:page;mso-height-relative:page;" filled="f" stroked="t" coordsize="21600,21600" o:gfxdata="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4Wi9g1QAAAAYBAAAPAAAAAAAAAAEAIAAA&#10;ACIAAABkcnMvZG93bnJldi54bWxQSwECFAAUAAAACACHTuJAyGv7xdYBAACaAwAADgAAAAAAAAAB&#10;ACAAAAAkAQAAZHJzL2Uyb0RvYy54bWxQSwUGAAAAAAYABgBZAQAAbAUAAAAA&#10;">
                <v:fill on="f" focussize="0,0"/>
                <v:stroke weight="1.25pt" color="#000000" joinstyle="round"/>
                <v:imagedata o:title=""/>
                <o:lock v:ext="edit" aspectratio="f"/>
              </v:line>
            </w:pict>
          </mc:Fallback>
        </mc:AlternateContent>
      </w:r>
      <w:r>
        <w:rPr>
          <w:rFonts w:hint="eastAsia" w:ascii="黑体" w:hAnsi="黑体" w:eastAsia="黑体"/>
          <w:color w:val="231F20"/>
          <w:spacing w:val="-16"/>
          <w:sz w:val="32"/>
          <w:szCs w:val="32"/>
        </w:rPr>
        <w:t>（市场监督管理部门将依法向社会公开行政处罚决定信息）</w:t>
      </w:r>
    </w:p>
    <w:p>
      <w:pPr>
        <w:spacing w:line="500" w:lineRule="exact"/>
        <w:rPr>
          <w:rFonts w:ascii="仿宋" w:eastAsia="仿宋"/>
        </w:rPr>
      </w:pPr>
      <w:r>
        <w:rPr>
          <w:rFonts w:hint="eastAsia" w:ascii="仿宋" w:eastAsia="仿宋" w:cs="仿宋"/>
          <w:bCs/>
          <w:color w:val="000000"/>
          <w:sz w:val="32"/>
          <w:szCs w:val="32"/>
        </w:rPr>
        <mc:AlternateContent>
          <mc:Choice Requires="wps">
            <w:drawing>
              <wp:anchor distT="0" distB="0" distL="90805" distR="90805" simplePos="0" relativeHeight="251660288" behindDoc="0" locked="0" layoutInCell="1" allowOverlap="1">
                <wp:simplePos x="0" y="0"/>
                <wp:positionH relativeFrom="column">
                  <wp:posOffset>0</wp:posOffset>
                </wp:positionH>
                <wp:positionV relativeFrom="paragraph">
                  <wp:posOffset>20806410</wp:posOffset>
                </wp:positionV>
                <wp:extent cx="5762625" cy="1270"/>
                <wp:effectExtent l="0" t="0" r="0" b="0"/>
                <wp:wrapNone/>
                <wp:docPr id="6" name="直接连接符 3"/>
                <wp:cNvGraphicFramePr/>
                <a:graphic xmlns:a="http://schemas.openxmlformats.org/drawingml/2006/main">
                  <a:graphicData uri="http://schemas.microsoft.com/office/word/2010/wordprocessingShape">
                    <wps:wsp>
                      <wps:cNvCnPr/>
                      <wps:spPr>
                        <a:xfrm>
                          <a:off x="0" y="0"/>
                          <a:ext cx="5762625" cy="1270"/>
                        </a:xfrm>
                        <a:prstGeom prst="line">
                          <a:avLst/>
                        </a:prstGeom>
                        <a:noFill/>
                        <a:ln w="9360" cap="sq" cmpd="sng">
                          <a:solidFill>
                            <a:srgbClr val="000000"/>
                          </a:solidFill>
                          <a:prstDash val="solid"/>
                          <a:round/>
                        </a:ln>
                      </wps:spPr>
                      <wps:bodyPr/>
                    </wps:wsp>
                  </a:graphicData>
                </a:graphic>
              </wp:anchor>
            </w:drawing>
          </mc:Choice>
          <mc:Fallback>
            <w:pict>
              <v:line id="直接连接符 3" o:spid="_x0000_s1026" o:spt="20" style="position:absolute;left:0pt;margin-left:0pt;margin-top:1638.3pt;height:0.1pt;width:453.75pt;z-index:251660288;mso-width-relative:page;mso-height-relative:page;" filled="f" stroked="t" coordsize="21600,21600" o:gfxdata="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xkpnL1wAAAAoBAAAPAAAAAAAA&#10;AAEAIAAAACIAAABkcnMvZG93bnJldi54bWxQSwECFAAUAAAACACHTuJAh1lKfdoBAACaAwAADgAA&#10;AAAAAAABACAAAAAmAQAAZHJzL2Uyb0RvYy54bWxQSwUGAAAAAAYABgBZAQAAcgUAAAAA&#10;">
                <v:fill on="f" focussize="0,0"/>
                <v:stroke weight="0.737007874015748pt" color="#000000" joinstyle="round" endcap="square"/>
                <v:imagedata o:title=""/>
                <o:lock v:ext="edit" aspectratio="f"/>
              </v:line>
            </w:pict>
          </mc:Fallback>
        </mc:AlternateContent>
      </w:r>
      <w:r>
        <w:rPr>
          <w:rFonts w:hint="eastAsia" w:ascii="仿宋" w:eastAsia="仿宋" w:cs="仿宋"/>
          <w:color w:val="000000"/>
          <w:sz w:val="32"/>
          <w:szCs w:val="32"/>
        </w:rPr>
        <w:t>本文书一式</w:t>
      </w:r>
      <w:r>
        <w:rPr>
          <w:rFonts w:hint="eastAsia" w:ascii="仿宋" w:eastAsia="仿宋" w:cs="仿宋"/>
          <w:color w:val="000000"/>
          <w:sz w:val="32"/>
          <w:szCs w:val="32"/>
          <w:u w:val="single"/>
        </w:rPr>
        <w:t>三</w:t>
      </w:r>
      <w:r>
        <w:rPr>
          <w:rFonts w:hint="eastAsia" w:ascii="仿宋" w:eastAsia="仿宋" w:cs="仿宋"/>
          <w:color w:val="000000"/>
          <w:sz w:val="32"/>
          <w:szCs w:val="32"/>
        </w:rPr>
        <w:t>份，</w:t>
      </w:r>
      <w:r>
        <w:rPr>
          <w:rFonts w:hint="eastAsia" w:ascii="仿宋" w:eastAsia="仿宋" w:cs="仿宋"/>
          <w:color w:val="000000"/>
          <w:sz w:val="32"/>
          <w:szCs w:val="32"/>
          <w:u w:val="single"/>
        </w:rPr>
        <w:t>一</w:t>
      </w:r>
      <w:r>
        <w:rPr>
          <w:rFonts w:hint="eastAsia" w:ascii="仿宋" w:eastAsia="仿宋" w:cs="仿宋"/>
          <w:color w:val="000000"/>
          <w:sz w:val="32"/>
          <w:szCs w:val="32"/>
        </w:rPr>
        <w:t>份送达，</w:t>
      </w:r>
      <w:r>
        <w:rPr>
          <w:rFonts w:hint="eastAsia" w:ascii="仿宋" w:eastAsia="仿宋" w:cs="仿宋"/>
          <w:color w:val="000000"/>
          <w:sz w:val="32"/>
          <w:szCs w:val="32"/>
          <w:u w:val="single"/>
        </w:rPr>
        <w:t>一</w:t>
      </w:r>
      <w:r>
        <w:rPr>
          <w:rFonts w:hint="eastAsia" w:ascii="仿宋" w:eastAsia="仿宋" w:cs="仿宋"/>
          <w:color w:val="000000"/>
          <w:sz w:val="32"/>
          <w:szCs w:val="32"/>
        </w:rPr>
        <w:t>份归档，</w:t>
      </w:r>
      <w:r>
        <w:rPr>
          <w:rFonts w:hint="eastAsia" w:ascii="仿宋" w:eastAsia="仿宋" w:cs="仿宋"/>
          <w:color w:val="000000"/>
          <w:sz w:val="32"/>
          <w:szCs w:val="32"/>
          <w:u w:val="single"/>
        </w:rPr>
        <w:t>一份办案机构留存</w:t>
      </w:r>
      <w:r>
        <w:rPr>
          <w:rFonts w:hint="eastAsia" w:ascii="仿宋" w:eastAsia="仿宋" w:cs="仿宋"/>
          <w:color w:val="000000"/>
          <w:sz w:val="32"/>
          <w:szCs w:val="32"/>
        </w:rPr>
        <w:t>。</w: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34398622"/>
    </w:sdtPr>
    <w:sdtContent>
      <w:p>
        <w:pPr>
          <w:pStyle w:val="9"/>
          <w:jc w:val="center"/>
        </w:pPr>
        <w:r>
          <w:fldChar w:fldCharType="begin"/>
        </w:r>
        <w:r>
          <w:instrText xml:space="preserve">PAGE   \* MERGEFORMAT</w:instrText>
        </w:r>
        <w:r>
          <w:fldChar w:fldCharType="separate"/>
        </w:r>
        <w:r>
          <w:rPr>
            <w:lang w:val="zh-CN"/>
          </w:rPr>
          <w:t>2</w:t>
        </w:r>
        <w:r>
          <w:fldChar w:fldCharType="end"/>
        </w:r>
      </w:p>
    </w:sdtContent>
  </w:sdt>
  <w:p>
    <w:pPr>
      <w:pStyle w:val="9"/>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kNzdiMWY1ZWU2ZWU3NmE4ZTUxNGRmYWVhMzdjNDQifQ=="/>
  </w:docVars>
  <w:rsids>
    <w:rsidRoot w:val="004E2075"/>
    <w:rsid w:val="000564C9"/>
    <w:rsid w:val="001D2E0A"/>
    <w:rsid w:val="002F2F8B"/>
    <w:rsid w:val="00377F62"/>
    <w:rsid w:val="004C30D1"/>
    <w:rsid w:val="004E2075"/>
    <w:rsid w:val="00563C1E"/>
    <w:rsid w:val="005A1D77"/>
    <w:rsid w:val="005A5055"/>
    <w:rsid w:val="006A0B80"/>
    <w:rsid w:val="00873729"/>
    <w:rsid w:val="009D0D4D"/>
    <w:rsid w:val="00A53B56"/>
    <w:rsid w:val="00AE22EA"/>
    <w:rsid w:val="00B51775"/>
    <w:rsid w:val="00BF4014"/>
    <w:rsid w:val="00C54A8B"/>
    <w:rsid w:val="10233478"/>
    <w:rsid w:val="1D9A7285"/>
    <w:rsid w:val="2E84453C"/>
    <w:rsid w:val="3B2D0557"/>
    <w:rsid w:val="63AC36E1"/>
    <w:rsid w:val="7FF26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1"/>
    <w:basedOn w:val="1"/>
    <w:next w:val="1"/>
    <w:qFormat/>
    <w:uiPriority w:val="9"/>
    <w:pPr>
      <w:keepNext/>
      <w:keepLines/>
      <w:spacing w:before="340" w:after="330" w:line="578" w:lineRule="auto"/>
      <w:outlineLvl w:val="0"/>
    </w:pPr>
    <w:rPr>
      <w:b/>
      <w:bCs/>
      <w:kern w:val="44"/>
      <w:sz w:val="44"/>
    </w:rPr>
  </w:style>
  <w:style w:type="paragraph" w:styleId="5">
    <w:name w:val="heading 2"/>
    <w:basedOn w:val="1"/>
    <w:next w:val="1"/>
    <w:semiHidden/>
    <w:unhideWhenUsed/>
    <w:qFormat/>
    <w:uiPriority w:val="9"/>
    <w:pPr>
      <w:keepNext/>
      <w:keepLines/>
      <w:spacing w:before="260" w:after="260" w:line="415" w:lineRule="auto"/>
      <w:outlineLvl w:val="1"/>
    </w:pPr>
    <w:rPr>
      <w:rFonts w:ascii="Times New Roman" w:hAnsi="Times New Roman" w:eastAsia="黑体"/>
      <w:b/>
      <w:sz w:val="32"/>
    </w:rPr>
  </w:style>
  <w:style w:type="paragraph" w:styleId="6">
    <w:name w:val="heading 3"/>
    <w:basedOn w:val="1"/>
    <w:next w:val="1"/>
    <w:semiHidden/>
    <w:unhideWhenUsed/>
    <w:qFormat/>
    <w:uiPriority w:val="9"/>
    <w:pPr>
      <w:keepNext/>
      <w:keepLines/>
      <w:spacing w:before="260" w:after="260" w:line="415" w:lineRule="auto"/>
      <w:outlineLvl w:val="2"/>
    </w:pPr>
    <w:rPr>
      <w:b/>
      <w:sz w:val="32"/>
    </w:rPr>
  </w:style>
  <w:style w:type="character" w:default="1" w:styleId="12">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ind w:left="420" w:leftChars="200"/>
    </w:pPr>
  </w:style>
  <w:style w:type="paragraph" w:styleId="7">
    <w:name w:val="Body Text"/>
    <w:basedOn w:val="1"/>
    <w:qFormat/>
    <w:uiPriority w:val="0"/>
    <w:pPr>
      <w:autoSpaceDE w:val="0"/>
      <w:autoSpaceDN w:val="0"/>
      <w:adjustRightInd w:val="0"/>
      <w:jc w:val="left"/>
    </w:pPr>
    <w:rPr>
      <w:rFonts w:ascii="Arial Unicode MS" w:eastAsia="Arial Unicode MS"/>
      <w:kern w:val="0"/>
      <w:sz w:val="32"/>
      <w:szCs w:val="32"/>
    </w:rPr>
  </w:style>
  <w:style w:type="paragraph" w:styleId="8">
    <w:name w:val="Date"/>
    <w:basedOn w:val="1"/>
    <w:next w:val="1"/>
    <w:link w:val="15"/>
    <w:semiHidden/>
    <w:unhideWhenUsed/>
    <w:qFormat/>
    <w:uiPriority w:val="99"/>
    <w:pPr>
      <w:ind w:left="100" w:leftChars="2500"/>
    </w:pPr>
  </w:style>
  <w:style w:type="paragraph" w:styleId="9">
    <w:name w:val="footer"/>
    <w:basedOn w:val="1"/>
    <w:link w:val="14"/>
    <w:unhideWhenUsed/>
    <w:uiPriority w:val="99"/>
    <w:pPr>
      <w:tabs>
        <w:tab w:val="center" w:pos="4153"/>
        <w:tab w:val="right" w:pos="8306"/>
      </w:tabs>
      <w:snapToGrid w:val="0"/>
      <w:jc w:val="left"/>
    </w:pPr>
    <w:rPr>
      <w:sz w:val="18"/>
      <w:szCs w:val="18"/>
    </w:rPr>
  </w:style>
  <w:style w:type="paragraph" w:styleId="10">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3">
    <w:name w:val="页眉 字符"/>
    <w:basedOn w:val="12"/>
    <w:link w:val="10"/>
    <w:uiPriority w:val="99"/>
    <w:rPr>
      <w:rFonts w:ascii="Calibri" w:hAnsi="Calibri"/>
      <w:kern w:val="2"/>
      <w:sz w:val="18"/>
      <w:szCs w:val="18"/>
    </w:rPr>
  </w:style>
  <w:style w:type="character" w:customStyle="1" w:styleId="14">
    <w:name w:val="页脚 字符"/>
    <w:basedOn w:val="12"/>
    <w:link w:val="9"/>
    <w:qFormat/>
    <w:uiPriority w:val="99"/>
    <w:rPr>
      <w:rFonts w:ascii="Calibri" w:hAnsi="Calibri"/>
      <w:kern w:val="2"/>
      <w:sz w:val="18"/>
      <w:szCs w:val="18"/>
    </w:rPr>
  </w:style>
  <w:style w:type="character" w:customStyle="1" w:styleId="15">
    <w:name w:val="日期 字符"/>
    <w:basedOn w:val="12"/>
    <w:link w:val="8"/>
    <w:semiHidden/>
    <w:qFormat/>
    <w:uiPriority w:val="99"/>
    <w:rPr>
      <w:rFonts w:ascii="Calibri" w:hAnsi="Calibri"/>
      <w:kern w:val="2"/>
      <w:sz w:val="21"/>
      <w:szCs w:val="24"/>
    </w:rPr>
  </w:style>
  <w:style w:type="paragraph" w:styleId="16">
    <w:name w:val="List Paragraph"/>
    <w:basedOn w:val="1"/>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591</Words>
  <Characters>3375</Characters>
  <Lines>28</Lines>
  <Paragraphs>7</Paragraphs>
  <TotalTime>2</TotalTime>
  <ScaleCrop>false</ScaleCrop>
  <LinksUpToDate>false</LinksUpToDate>
  <CharactersWithSpaces>3959</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2022-07-13T02:19:00Z</dcterms:created>
  <dc:creator>lenovo</dc:creator>
  <cp:lastModifiedBy>王建清</cp:lastModifiedBy>
  <dcterms:modified xsi:type="dcterms:W3CDTF">2023-07-31T01:06:02Z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56289AB938A8489F8CA1A76056CA1986</vt:lpwstr>
  </property>
</Properties>
</file>