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1259"/>
        </w:tabs>
        <w:spacing w:line="600" w:lineRule="exact"/>
        <w:jc w:val="center"/>
        <w:rPr>
          <w:rFonts w:ascii="宋体" w:hAnsi="宋体" w:eastAsia="宋体" w:cstheme="majorEastAsia"/>
          <w:b/>
          <w:sz w:val="44"/>
          <w:szCs w:val="44"/>
          <w:lang w:eastAsia="zh-CN"/>
        </w:rPr>
      </w:pPr>
      <w:r>
        <w:rPr>
          <w:rFonts w:hint="eastAsia" w:ascii="宋体" w:hAnsi="宋体" w:eastAsia="宋体" w:cstheme="majorEastAsia"/>
          <w:b/>
          <w:sz w:val="44"/>
          <w:szCs w:val="44"/>
          <w:lang w:eastAsia="zh-CN"/>
        </w:rPr>
        <w:t>洛阳市偃师区市场监督管理局</w:t>
      </w:r>
    </w:p>
    <w:p>
      <w:pPr>
        <w:spacing w:line="600" w:lineRule="exact"/>
        <w:jc w:val="center"/>
        <w:rPr>
          <w:rFonts w:ascii="宋体" w:hAnsi="宋体" w:eastAsia="宋体" w:cstheme="majorEastAsia"/>
          <w:b/>
          <w:sz w:val="44"/>
          <w:szCs w:val="44"/>
          <w:lang w:eastAsia="zh-CN"/>
        </w:rPr>
      </w:pPr>
      <w:r>
        <w:rPr>
          <w:rFonts w:hint="eastAsia" w:ascii="宋体" w:hAnsi="宋体" w:eastAsia="宋体" w:cstheme="majorEastAsia"/>
          <w:b/>
          <w:sz w:val="44"/>
          <w:szCs w:val="44"/>
          <w:lang w:eastAsia="zh-CN"/>
        </w:rPr>
        <w:t>行政处罚决定书</w:t>
      </w:r>
    </w:p>
    <w:p>
      <w:pPr>
        <w:pStyle w:val="3"/>
        <w:tabs>
          <w:tab w:val="left" w:pos="319"/>
          <w:tab w:val="left" w:pos="1486"/>
          <w:tab w:val="left" w:pos="2353"/>
          <w:tab w:val="left" w:pos="3199"/>
        </w:tabs>
        <w:spacing w:line="600" w:lineRule="exact"/>
        <w:ind w:left="0" w:firstLine="2560" w:firstLineChars="800"/>
        <w:jc w:val="both"/>
        <w:rPr>
          <w:rFonts w:ascii="仿宋" w:hAnsi="仿宋" w:eastAsia="仿宋" w:cs="仿宋_GB2312"/>
          <w:b/>
          <w:bCs/>
          <w:lang w:eastAsia="zh-CN"/>
        </w:rPr>
      </w:pPr>
      <w:r>
        <w:rPr>
          <w:rFonts w:hint="eastAsia" w:ascii="仿宋" w:hAnsi="仿宋" w:eastAsia="仿宋" w:cs="仿宋_GB2312"/>
          <w:lang w:eastAsia="zh-CN"/>
        </w:rPr>
        <w:t>偃市监处罚</w:t>
      </w:r>
      <w:bookmarkStart w:id="0" w:name="_Hlk108775811"/>
      <w:r>
        <w:rPr>
          <w:rFonts w:hint="eastAsia" w:ascii="仿宋" w:hAnsi="仿宋" w:eastAsia="仿宋" w:cs="仿宋_GB2312"/>
          <w:lang w:eastAsia="zh-CN"/>
        </w:rPr>
        <w:t>〔2022〕</w:t>
      </w:r>
      <w:bookmarkEnd w:id="0"/>
      <w:r>
        <w:rPr>
          <w:rFonts w:hint="eastAsia" w:ascii="仿宋" w:hAnsi="仿宋" w:eastAsia="仿宋" w:cs="仿宋_GB2312"/>
          <w:lang w:eastAsia="zh-CN"/>
        </w:rPr>
        <w:t>63号</w:t>
      </w:r>
    </w:p>
    <w:p>
      <w:pPr>
        <w:pStyle w:val="3"/>
        <w:tabs>
          <w:tab w:val="left" w:pos="4440"/>
          <w:tab w:val="left" w:pos="8920"/>
        </w:tabs>
        <w:spacing w:line="600" w:lineRule="exact"/>
        <w:ind w:left="0" w:right="118"/>
        <w:jc w:val="both"/>
        <w:rPr>
          <w:rFonts w:ascii="仿宋" w:hAnsi="仿宋" w:eastAsia="仿宋" w:cs="仿宋_GB2312"/>
          <w:b/>
          <w:bCs/>
          <w:lang w:eastAsia="zh-CN"/>
        </w:rPr>
      </w:pPr>
    </w:p>
    <w:p>
      <w:pPr>
        <w:pStyle w:val="3"/>
        <w:tabs>
          <w:tab w:val="left" w:pos="4440"/>
          <w:tab w:val="left" w:pos="8920"/>
        </w:tabs>
        <w:spacing w:line="600" w:lineRule="exact"/>
        <w:ind w:left="0" w:right="118"/>
        <w:jc w:val="both"/>
        <w:rPr>
          <w:rFonts w:ascii="仿宋" w:hAnsi="仿宋" w:eastAsia="仿宋" w:cs="仿宋_GB2312"/>
          <w:lang w:eastAsia="zh-CN"/>
        </w:rPr>
      </w:pPr>
      <w:r>
        <w:rPr>
          <w:rFonts w:hint="eastAsia" w:ascii="仿宋" w:hAnsi="仿宋" w:eastAsia="仿宋" w:cs="仿宋_GB2312"/>
          <w:lang w:eastAsia="zh-CN"/>
        </w:rPr>
        <w:t>当事人：洛阳尚腾电子科技有限公司</w:t>
      </w:r>
    </w:p>
    <w:p>
      <w:pPr>
        <w:pStyle w:val="3"/>
        <w:tabs>
          <w:tab w:val="left" w:pos="3785"/>
          <w:tab w:val="left" w:pos="8920"/>
        </w:tabs>
        <w:spacing w:line="600" w:lineRule="exact"/>
        <w:ind w:left="0" w:right="118"/>
        <w:jc w:val="both"/>
        <w:rPr>
          <w:rFonts w:ascii="仿宋" w:hAnsi="仿宋" w:eastAsia="仿宋" w:cs="仿宋_GB2312"/>
          <w:lang w:eastAsia="zh-CN"/>
        </w:rPr>
      </w:pPr>
      <w:r>
        <w:rPr>
          <w:rFonts w:hint="eastAsia" w:ascii="仿宋" w:hAnsi="仿宋" w:eastAsia="仿宋" w:cs="仿宋_GB2312"/>
          <w:lang w:eastAsia="zh-CN"/>
        </w:rPr>
        <w:t>主体资格证照名称：营业执照</w:t>
      </w:r>
    </w:p>
    <w:p>
      <w:pPr>
        <w:pStyle w:val="3"/>
        <w:tabs>
          <w:tab w:val="left" w:pos="3785"/>
          <w:tab w:val="left" w:pos="8920"/>
        </w:tabs>
        <w:spacing w:line="600" w:lineRule="exact"/>
        <w:ind w:left="0" w:right="118"/>
        <w:jc w:val="both"/>
        <w:rPr>
          <w:rFonts w:ascii="仿宋" w:hAnsi="仿宋" w:eastAsia="仿宋" w:cs="仿宋_GB2312"/>
          <w:color w:val="000000"/>
          <w:lang w:eastAsia="zh-CN"/>
        </w:rPr>
      </w:pPr>
      <w:r>
        <w:rPr>
          <w:rFonts w:hint="eastAsia" w:ascii="仿宋" w:hAnsi="仿宋" w:eastAsia="仿宋" w:cs="仿宋_GB2312"/>
          <w:lang w:eastAsia="zh-CN"/>
        </w:rPr>
        <w:t>统一社会信用代码：</w:t>
      </w:r>
      <w:r>
        <w:rPr>
          <w:rFonts w:hint="eastAsia" w:ascii="仿宋" w:hAnsi="仿宋" w:eastAsia="仿宋" w:cs="仿宋_GB2312"/>
          <w:color w:val="000000"/>
          <w:lang w:eastAsia="zh-CN"/>
        </w:rPr>
        <w:t>91410381MA4717GX73</w:t>
      </w:r>
    </w:p>
    <w:p>
      <w:pPr>
        <w:pStyle w:val="3"/>
        <w:tabs>
          <w:tab w:val="left" w:pos="3785"/>
          <w:tab w:val="left" w:pos="8920"/>
        </w:tabs>
        <w:spacing w:line="600" w:lineRule="exact"/>
        <w:ind w:left="0" w:right="118"/>
        <w:jc w:val="both"/>
        <w:rPr>
          <w:rFonts w:ascii="仿宋" w:hAnsi="仿宋" w:eastAsia="仿宋" w:cs="仿宋_GB2312"/>
          <w:lang w:eastAsia="zh-CN"/>
        </w:rPr>
      </w:pPr>
      <w:r>
        <w:rPr>
          <w:rFonts w:hint="eastAsia" w:ascii="仿宋" w:hAnsi="仿宋" w:eastAsia="仿宋" w:cs="仿宋_GB2312"/>
          <w:lang w:eastAsia="zh-CN"/>
        </w:rPr>
        <w:t>住址：</w:t>
      </w:r>
      <w:r>
        <w:rPr>
          <w:rFonts w:hint="eastAsia" w:ascii="仿宋" w:hAnsi="仿宋" w:eastAsia="仿宋" w:cs="仿宋_GB2312"/>
          <w:color w:val="000000"/>
          <w:lang w:eastAsia="zh-CN"/>
        </w:rPr>
        <w:t>河南省洛阳市偃师市顾县镇西宫底村四组</w:t>
      </w:r>
    </w:p>
    <w:p>
      <w:pPr>
        <w:pStyle w:val="3"/>
        <w:tabs>
          <w:tab w:val="left" w:pos="3785"/>
          <w:tab w:val="left" w:pos="8920"/>
        </w:tabs>
        <w:spacing w:line="600" w:lineRule="exact"/>
        <w:ind w:left="0" w:right="118"/>
        <w:jc w:val="both"/>
        <w:rPr>
          <w:rFonts w:ascii="仿宋" w:hAnsi="仿宋" w:eastAsia="仿宋" w:cs="仿宋_GB2312"/>
          <w:lang w:eastAsia="zh-CN"/>
        </w:rPr>
      </w:pPr>
      <w:r>
        <w:rPr>
          <w:rFonts w:hint="eastAsia" w:ascii="仿宋" w:hAnsi="仿宋" w:eastAsia="仿宋" w:cs="仿宋_GB2312"/>
          <w:lang w:eastAsia="zh-CN"/>
        </w:rPr>
        <w:t>法定代表人：</w:t>
      </w:r>
      <w:r>
        <w:rPr>
          <w:rFonts w:hint="eastAsia" w:ascii="仿宋" w:hAnsi="仿宋" w:eastAsia="仿宋" w:cs="仿宋_GB2312"/>
          <w:color w:val="000000"/>
          <w:lang w:eastAsia="zh-CN"/>
        </w:rPr>
        <w:t>曲冰洋</w:t>
      </w:r>
    </w:p>
    <w:p>
      <w:pPr>
        <w:spacing w:line="600" w:lineRule="exact"/>
        <w:ind w:firstLine="640" w:firstLineChars="200"/>
        <w:jc w:val="both"/>
        <w:rPr>
          <w:rFonts w:ascii="仿宋" w:hAnsi="仿宋" w:eastAsia="仿宋" w:cs="仿宋_GB2312"/>
          <w:sz w:val="32"/>
          <w:szCs w:val="32"/>
          <w:lang w:eastAsia="zh-CN"/>
        </w:rPr>
      </w:pPr>
      <w:bookmarkStart w:id="1" w:name="_Hlk19868228"/>
      <w:bookmarkStart w:id="4" w:name="_GoBack"/>
      <w:bookmarkEnd w:id="4"/>
      <w:r>
        <w:rPr>
          <w:rFonts w:hint="eastAsia" w:ascii="仿宋" w:hAnsi="仿宋" w:eastAsia="仿宋" w:cs="仿宋_GB2312"/>
          <w:sz w:val="32"/>
          <w:szCs w:val="32"/>
          <w:lang w:eastAsia="zh-CN"/>
        </w:rPr>
        <w:t>2022年4月26日，我局执法人员对</w:t>
      </w:r>
      <w:r>
        <w:rPr>
          <w:rFonts w:hint="eastAsia" w:ascii="仿宋" w:hAnsi="仿宋" w:eastAsia="仿宋" w:cs="仿宋_GB2312"/>
          <w:bCs/>
          <w:sz w:val="32"/>
          <w:szCs w:val="32"/>
          <w:lang w:eastAsia="zh-CN"/>
        </w:rPr>
        <w:t>当事人</w:t>
      </w:r>
      <w:r>
        <w:rPr>
          <w:rFonts w:hint="eastAsia" w:ascii="仿宋" w:hAnsi="仿宋" w:eastAsia="仿宋" w:cs="仿宋_GB2312"/>
          <w:sz w:val="32"/>
          <w:szCs w:val="32"/>
          <w:lang w:eastAsia="zh-CN"/>
        </w:rPr>
        <w:t>进行安全检查，发现当事人正在使用的特种设备（2台叉车：</w:t>
      </w:r>
      <w:r>
        <w:rPr>
          <w:rFonts w:hint="eastAsia" w:ascii="仿宋" w:hAnsi="仿宋" w:eastAsia="仿宋" w:cs="仿宋_GB2312"/>
          <w:bCs/>
          <w:sz w:val="32"/>
          <w:szCs w:val="32"/>
          <w:lang w:eastAsia="zh-CN"/>
        </w:rPr>
        <w:t>编号为豫C-02377、豫C-02378，</w:t>
      </w:r>
      <w:r>
        <w:rPr>
          <w:rFonts w:hint="eastAsia" w:ascii="仿宋" w:hAnsi="仿宋" w:eastAsia="仿宋" w:cs="仿宋_GB2312"/>
          <w:sz w:val="32"/>
          <w:szCs w:val="32"/>
          <w:lang w:eastAsia="zh-CN"/>
        </w:rPr>
        <w:t>2022年4月21日已经检验到期）检验超期使用。执法人员当场对当事人送达特种设备安全监查指令书，</w:t>
      </w:r>
      <w:r>
        <w:rPr>
          <w:rFonts w:hint="eastAsia" w:ascii="仿宋" w:hAnsi="仿宋" w:eastAsia="仿宋" w:cs="仿宋_GB2312"/>
          <w:bCs/>
          <w:sz w:val="32"/>
          <w:szCs w:val="32"/>
          <w:lang w:eastAsia="zh-CN"/>
        </w:rPr>
        <w:t>责令当事人于2022年5月9日前予以改正并消除事故隐患（1、责令停止使用</w:t>
      </w:r>
      <w:r>
        <w:rPr>
          <w:rFonts w:hint="eastAsia" w:ascii="仿宋" w:hAnsi="仿宋" w:eastAsia="仿宋" w:cs="仿宋_GB2312"/>
          <w:sz w:val="32"/>
          <w:szCs w:val="32"/>
          <w:lang w:eastAsia="zh-CN"/>
        </w:rPr>
        <w:t>特种设备（2台叉车）</w:t>
      </w:r>
      <w:r>
        <w:rPr>
          <w:rFonts w:hint="eastAsia" w:ascii="仿宋" w:hAnsi="仿宋" w:eastAsia="仿宋" w:cs="仿宋_GB2312"/>
          <w:bCs/>
          <w:sz w:val="32"/>
          <w:szCs w:val="32"/>
          <w:lang w:eastAsia="zh-CN"/>
        </w:rPr>
        <w:t>；2检验合格后方能使用）。</w:t>
      </w:r>
      <w:r>
        <w:rPr>
          <w:rFonts w:hint="eastAsia" w:ascii="仿宋" w:hAnsi="仿宋" w:eastAsia="仿宋" w:cs="仿宋_GB2312"/>
          <w:sz w:val="32"/>
          <w:szCs w:val="32"/>
          <w:lang w:eastAsia="zh-CN"/>
        </w:rPr>
        <w:t>2022年5月10日，我局执法人员对</w:t>
      </w:r>
      <w:r>
        <w:rPr>
          <w:rFonts w:hint="eastAsia" w:ascii="仿宋" w:hAnsi="仿宋" w:eastAsia="仿宋" w:cs="仿宋_GB2312"/>
          <w:bCs/>
          <w:sz w:val="32"/>
          <w:szCs w:val="32"/>
          <w:lang w:eastAsia="zh-CN"/>
        </w:rPr>
        <w:t>当事人</w:t>
      </w:r>
      <w:r>
        <w:rPr>
          <w:rFonts w:hint="eastAsia" w:ascii="仿宋" w:hAnsi="仿宋" w:eastAsia="仿宋" w:cs="仿宋_GB2312"/>
          <w:sz w:val="32"/>
          <w:szCs w:val="32"/>
          <w:lang w:eastAsia="zh-CN"/>
        </w:rPr>
        <w:t xml:space="preserve">再次进行安全检查时，发现当事人正在使用的特种设备（2台叉车）仍未按照规定进行检验。           </w:t>
      </w:r>
    </w:p>
    <w:bookmarkEnd w:id="1"/>
    <w:p>
      <w:pPr>
        <w:spacing w:line="600" w:lineRule="exact"/>
        <w:ind w:firstLine="640" w:firstLineChars="200"/>
        <w:rPr>
          <w:rFonts w:ascii="仿宋" w:hAnsi="仿宋" w:eastAsia="仿宋" w:cs="仿宋_GB2312"/>
          <w:sz w:val="32"/>
          <w:szCs w:val="32"/>
          <w:lang w:eastAsia="zh-CN"/>
        </w:rPr>
      </w:pPr>
      <w:r>
        <w:rPr>
          <w:rFonts w:hint="eastAsia" w:ascii="仿宋" w:hAnsi="仿宋" w:eastAsia="仿宋" w:cs="仿宋_GB2312"/>
          <w:sz w:val="32"/>
          <w:szCs w:val="32"/>
          <w:lang w:eastAsia="zh-CN"/>
        </w:rPr>
        <w:t>上述事实，主要有以下证据证明：</w:t>
      </w:r>
    </w:p>
    <w:p>
      <w:pPr>
        <w:numPr>
          <w:ilvl w:val="0"/>
          <w:numId w:val="1"/>
        </w:numPr>
        <w:spacing w:line="600" w:lineRule="exact"/>
        <w:rPr>
          <w:rFonts w:ascii="仿宋" w:hAnsi="仿宋" w:eastAsia="仿宋" w:cs="仿宋_GB2312"/>
          <w:sz w:val="32"/>
          <w:szCs w:val="32"/>
          <w:lang w:eastAsia="zh-CN"/>
        </w:rPr>
      </w:pPr>
      <w:r>
        <w:rPr>
          <w:rFonts w:hint="eastAsia" w:ascii="仿宋" w:hAnsi="仿宋" w:eastAsia="仿宋" w:cs="仿宋_GB2312"/>
          <w:sz w:val="32"/>
          <w:szCs w:val="32"/>
          <w:lang w:eastAsia="zh-CN"/>
        </w:rPr>
        <w:t xml:space="preserve">营业执照复印件，证明当事人营业执照登记注册情况；       </w:t>
      </w:r>
    </w:p>
    <w:p>
      <w:pPr>
        <w:numPr>
          <w:ilvl w:val="0"/>
          <w:numId w:val="1"/>
        </w:numPr>
        <w:spacing w:line="600" w:lineRule="exact"/>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特种设备现场安全监督检查记录2份，证明当事人正在</w:t>
      </w:r>
    </w:p>
    <w:p>
      <w:pPr>
        <w:spacing w:line="600" w:lineRule="exact"/>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 xml:space="preserve">使用的特种设备（2台叉车：编号分别为豫C-02377、豫C-02378）检验超期；                                         </w:t>
      </w:r>
    </w:p>
    <w:p>
      <w:pPr>
        <w:spacing w:line="600" w:lineRule="exact"/>
        <w:ind w:firstLine="643" w:firstLineChars="200"/>
        <w:jc w:val="both"/>
        <w:rPr>
          <w:rFonts w:ascii="仿宋" w:hAnsi="仿宋" w:eastAsia="仿宋" w:cs="仿宋_GB2312"/>
          <w:sz w:val="32"/>
          <w:szCs w:val="32"/>
          <w:lang w:eastAsia="zh-CN"/>
        </w:rPr>
      </w:pPr>
      <w:r>
        <w:rPr>
          <w:rFonts w:hint="eastAsia" w:ascii="仿宋" w:hAnsi="仿宋" w:eastAsia="仿宋" w:cs="仿宋_GB2312"/>
          <w:b/>
          <w:bCs/>
          <w:sz w:val="32"/>
          <w:szCs w:val="32"/>
          <w:lang w:eastAsia="zh-CN"/>
        </w:rPr>
        <w:t>3．</w:t>
      </w:r>
      <w:r>
        <w:rPr>
          <w:rFonts w:hint="eastAsia" w:ascii="仿宋" w:hAnsi="仿宋" w:eastAsia="仿宋" w:cs="仿宋_GB2312"/>
          <w:sz w:val="32"/>
          <w:szCs w:val="32"/>
          <w:lang w:eastAsia="zh-CN"/>
        </w:rPr>
        <w:t xml:space="preserve">特种设备安全监察指令书，证明责令当事人于2022年5月9日前予以改正消除事故隐患（1、责令停止使用；2检验合格方能使用）；                                          </w:t>
      </w:r>
    </w:p>
    <w:p>
      <w:pPr>
        <w:spacing w:line="600" w:lineRule="exact"/>
        <w:ind w:firstLine="643" w:firstLineChars="200"/>
        <w:jc w:val="both"/>
        <w:rPr>
          <w:rFonts w:ascii="仿宋" w:hAnsi="仿宋" w:eastAsia="仿宋" w:cs="仿宋_GB2312"/>
          <w:sz w:val="32"/>
          <w:szCs w:val="32"/>
          <w:lang w:eastAsia="zh-CN"/>
        </w:rPr>
      </w:pPr>
      <w:r>
        <w:rPr>
          <w:rFonts w:hint="eastAsia" w:ascii="仿宋" w:hAnsi="仿宋" w:eastAsia="仿宋" w:cs="仿宋_GB2312"/>
          <w:b/>
          <w:bCs/>
          <w:sz w:val="32"/>
          <w:szCs w:val="32"/>
          <w:lang w:eastAsia="zh-CN"/>
        </w:rPr>
        <w:t>4.</w:t>
      </w:r>
      <w:r>
        <w:rPr>
          <w:rFonts w:hint="eastAsia" w:ascii="仿宋" w:hAnsi="仿宋" w:eastAsia="仿宋" w:cs="仿宋_GB2312"/>
          <w:sz w:val="32"/>
          <w:szCs w:val="32"/>
          <w:lang w:eastAsia="zh-CN"/>
        </w:rPr>
        <w:t>询问笔录1份，证明正在使用的</w:t>
      </w:r>
      <w:bookmarkStart w:id="2" w:name="_Hlk19868363"/>
      <w:r>
        <w:rPr>
          <w:rFonts w:hint="eastAsia" w:ascii="仿宋" w:hAnsi="仿宋" w:eastAsia="仿宋" w:cs="仿宋_GB2312"/>
          <w:sz w:val="32"/>
          <w:szCs w:val="32"/>
          <w:lang w:eastAsia="zh-CN"/>
        </w:rPr>
        <w:t>特种设备（2台叉车）</w:t>
      </w:r>
      <w:bookmarkEnd w:id="2"/>
      <w:r>
        <w:rPr>
          <w:rFonts w:hint="eastAsia" w:ascii="仿宋" w:hAnsi="仿宋" w:eastAsia="仿宋" w:cs="仿宋_GB2312"/>
          <w:sz w:val="32"/>
          <w:szCs w:val="32"/>
          <w:lang w:eastAsia="zh-CN"/>
        </w:rPr>
        <w:t xml:space="preserve">检验超期后未按照规定及时申报并接受检验；                       </w:t>
      </w:r>
    </w:p>
    <w:p>
      <w:pPr>
        <w:spacing w:line="600" w:lineRule="exact"/>
        <w:ind w:firstLine="643" w:firstLineChars="200"/>
        <w:jc w:val="both"/>
        <w:rPr>
          <w:rFonts w:ascii="仿宋" w:hAnsi="仿宋" w:eastAsia="仿宋" w:cs="仿宋_GB2312"/>
          <w:sz w:val="32"/>
          <w:szCs w:val="32"/>
          <w:lang w:eastAsia="zh-CN"/>
        </w:rPr>
      </w:pPr>
      <w:r>
        <w:rPr>
          <w:rFonts w:hint="eastAsia" w:ascii="仿宋" w:hAnsi="仿宋" w:eastAsia="仿宋" w:cs="仿宋_GB2312"/>
          <w:b/>
          <w:bCs/>
          <w:sz w:val="32"/>
          <w:szCs w:val="32"/>
          <w:lang w:eastAsia="zh-CN"/>
        </w:rPr>
        <w:t>5.</w:t>
      </w:r>
      <w:r>
        <w:rPr>
          <w:rFonts w:hint="eastAsia" w:ascii="仿宋" w:hAnsi="仿宋" w:eastAsia="仿宋" w:cs="仿宋_GB2312"/>
          <w:sz w:val="32"/>
          <w:szCs w:val="32"/>
          <w:lang w:eastAsia="zh-CN"/>
        </w:rPr>
        <w:t>授权委托书，证明当事人授权</w:t>
      </w:r>
      <w:r>
        <w:rPr>
          <w:rFonts w:hint="eastAsia" w:ascii="仿宋" w:hAnsi="仿宋" w:eastAsia="仿宋" w:cs="仿宋_GB2312"/>
          <w:color w:val="000000"/>
          <w:sz w:val="32"/>
          <w:szCs w:val="32"/>
          <w:lang w:eastAsia="zh-CN"/>
        </w:rPr>
        <w:t>曲现国</w:t>
      </w:r>
      <w:r>
        <w:rPr>
          <w:rFonts w:hint="eastAsia" w:ascii="仿宋" w:hAnsi="仿宋" w:eastAsia="仿宋" w:cs="仿宋_GB2312"/>
          <w:sz w:val="32"/>
          <w:szCs w:val="32"/>
          <w:lang w:eastAsia="zh-CN"/>
        </w:rPr>
        <w:t>全权处理该公司在用的特种设备</w:t>
      </w:r>
      <w:bookmarkStart w:id="3" w:name="_Hlk19868547"/>
      <w:r>
        <w:rPr>
          <w:rFonts w:hint="eastAsia" w:ascii="仿宋" w:hAnsi="仿宋" w:eastAsia="仿宋" w:cs="仿宋_GB2312"/>
          <w:sz w:val="32"/>
          <w:szCs w:val="32"/>
          <w:lang w:eastAsia="zh-CN"/>
        </w:rPr>
        <w:t>（2台叉车）</w:t>
      </w:r>
      <w:bookmarkEnd w:id="3"/>
      <w:r>
        <w:rPr>
          <w:rFonts w:hint="eastAsia" w:ascii="仿宋" w:hAnsi="仿宋" w:eastAsia="仿宋" w:cs="仿宋_GB2312"/>
          <w:sz w:val="32"/>
          <w:szCs w:val="32"/>
          <w:lang w:eastAsia="zh-CN"/>
        </w:rPr>
        <w:t xml:space="preserve">检验超期案；   </w:t>
      </w:r>
    </w:p>
    <w:p>
      <w:pPr>
        <w:spacing w:line="600" w:lineRule="exact"/>
        <w:ind w:firstLine="643" w:firstLineChars="200"/>
        <w:rPr>
          <w:rFonts w:ascii="仿宋" w:hAnsi="仿宋" w:eastAsia="仿宋" w:cs="仿宋_GB2312"/>
          <w:sz w:val="32"/>
          <w:szCs w:val="32"/>
          <w:lang w:eastAsia="zh-CN"/>
        </w:rPr>
      </w:pPr>
      <w:r>
        <w:rPr>
          <w:rFonts w:hint="eastAsia" w:ascii="仿宋" w:hAnsi="仿宋" w:eastAsia="仿宋" w:cs="仿宋_GB2312"/>
          <w:b/>
          <w:bCs/>
          <w:sz w:val="32"/>
          <w:szCs w:val="32"/>
          <w:lang w:eastAsia="zh-CN"/>
        </w:rPr>
        <w:t>6．</w:t>
      </w:r>
      <w:r>
        <w:rPr>
          <w:rFonts w:hint="eastAsia" w:ascii="仿宋" w:hAnsi="仿宋" w:eastAsia="仿宋" w:cs="仿宋_GB2312"/>
          <w:bCs/>
          <w:sz w:val="32"/>
          <w:szCs w:val="32"/>
          <w:lang w:eastAsia="zh-CN"/>
        </w:rPr>
        <w:t>机动工业车辆（叉车）检验报告2份，</w:t>
      </w:r>
      <w:r>
        <w:rPr>
          <w:rFonts w:hint="eastAsia" w:ascii="仿宋" w:hAnsi="仿宋" w:eastAsia="仿宋" w:cs="仿宋_GB2312"/>
          <w:sz w:val="32"/>
          <w:szCs w:val="32"/>
          <w:lang w:eastAsia="zh-CN"/>
        </w:rPr>
        <w:t>证明当事人</w:t>
      </w:r>
      <w:r>
        <w:rPr>
          <w:rFonts w:hint="eastAsia" w:ascii="仿宋" w:hAnsi="仿宋" w:eastAsia="仿宋" w:cs="仿宋_GB2312"/>
          <w:bCs/>
          <w:sz w:val="32"/>
          <w:szCs w:val="32"/>
          <w:lang w:eastAsia="zh-CN"/>
        </w:rPr>
        <w:t>在用的</w:t>
      </w:r>
      <w:r>
        <w:rPr>
          <w:rFonts w:hint="eastAsia" w:ascii="仿宋" w:hAnsi="仿宋" w:eastAsia="仿宋" w:cs="仿宋_GB2312"/>
          <w:sz w:val="32"/>
          <w:szCs w:val="32"/>
          <w:lang w:eastAsia="zh-CN"/>
        </w:rPr>
        <w:t>特种设备（2台叉车：编号分别为豫C-02377、豫C-02378）2022年4月21日已经检验到期。</w:t>
      </w:r>
    </w:p>
    <w:p>
      <w:pPr>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color w:val="000000" w:themeColor="text1"/>
          <w:sz w:val="32"/>
          <w:szCs w:val="32"/>
          <w:lang w:eastAsia="zh-CN"/>
          <w14:textFill>
            <w14:solidFill>
              <w14:schemeClr w14:val="tx1"/>
            </w14:solidFill>
          </w14:textFill>
        </w:rPr>
        <w:t>我局于2022年6月22日向当事人送达了偃市监罚告〔</w:t>
      </w:r>
      <w:r>
        <w:rPr>
          <w:rFonts w:ascii="仿宋" w:hAnsi="仿宋" w:eastAsia="仿宋" w:cs="仿宋_GB2312"/>
          <w:color w:val="000000" w:themeColor="text1"/>
          <w:sz w:val="32"/>
          <w:szCs w:val="32"/>
          <w:lang w:eastAsia="zh-CN"/>
          <w14:textFill>
            <w14:solidFill>
              <w14:schemeClr w14:val="tx1"/>
            </w14:solidFill>
          </w14:textFill>
        </w:rPr>
        <w:t>2022</w:t>
      </w:r>
      <w:r>
        <w:rPr>
          <w:rFonts w:hint="eastAsia" w:ascii="仿宋" w:hAnsi="仿宋" w:eastAsia="仿宋" w:cs="仿宋_GB2312"/>
          <w:color w:val="000000" w:themeColor="text1"/>
          <w:sz w:val="32"/>
          <w:szCs w:val="32"/>
          <w:lang w:eastAsia="zh-CN"/>
          <w14:textFill>
            <w14:solidFill>
              <w14:schemeClr w14:val="tx1"/>
            </w14:solidFill>
          </w14:textFill>
        </w:rPr>
        <w:t>〕</w:t>
      </w:r>
      <w:r>
        <w:rPr>
          <w:rFonts w:ascii="仿宋" w:hAnsi="仿宋" w:eastAsia="仿宋" w:cs="仿宋_GB2312"/>
          <w:color w:val="000000" w:themeColor="text1"/>
          <w:sz w:val="32"/>
          <w:szCs w:val="32"/>
          <w:lang w:eastAsia="zh-CN"/>
          <w14:textFill>
            <w14:solidFill>
              <w14:schemeClr w14:val="tx1"/>
            </w14:solidFill>
          </w14:textFill>
        </w:rPr>
        <w:t>63</w:t>
      </w:r>
      <w:r>
        <w:rPr>
          <w:rFonts w:hint="eastAsia" w:ascii="仿宋" w:hAnsi="仿宋" w:eastAsia="仿宋" w:cs="仿宋_GB2312"/>
          <w:color w:val="000000" w:themeColor="text1"/>
          <w:sz w:val="32"/>
          <w:szCs w:val="32"/>
          <w:lang w:eastAsia="zh-CN"/>
          <w14:textFill>
            <w14:solidFill>
              <w14:schemeClr w14:val="tx1"/>
            </w14:solidFill>
          </w14:textFill>
        </w:rPr>
        <w:t xml:space="preserve">号《洛阳市偃师区市场监督管理局行政处罚告知书》，告知当事人我局作出行政处罚决定的事实、理由、依据、内容以及当事人依法享有的陈述权、申辩权，当事人在法定期限内未提出陈述、申辩意见。                   </w:t>
      </w:r>
      <w:r>
        <w:rPr>
          <w:rFonts w:hint="eastAsia" w:ascii="仿宋" w:hAnsi="仿宋" w:eastAsia="仿宋" w:cs="仿宋_GB2312"/>
          <w:sz w:val="32"/>
          <w:szCs w:val="32"/>
          <w:lang w:eastAsia="zh-CN"/>
        </w:rPr>
        <w:t xml:space="preserve">             </w:t>
      </w:r>
    </w:p>
    <w:p>
      <w:pPr>
        <w:spacing w:line="600" w:lineRule="exact"/>
        <w:ind w:firstLine="640" w:firstLineChars="200"/>
        <w:jc w:val="both"/>
        <w:rPr>
          <w:rFonts w:ascii="仿宋" w:hAnsi="仿宋" w:eastAsia="仿宋" w:cs="仿宋_GB2312"/>
          <w:bCs/>
          <w:sz w:val="32"/>
          <w:szCs w:val="32"/>
          <w:lang w:eastAsia="zh-CN"/>
        </w:rPr>
      </w:pPr>
      <w:r>
        <w:rPr>
          <w:rFonts w:hint="eastAsia" w:ascii="仿宋" w:hAnsi="仿宋" w:eastAsia="仿宋" w:cs="仿宋_GB2312"/>
          <w:bCs/>
          <w:sz w:val="32"/>
          <w:szCs w:val="32"/>
          <w:lang w:eastAsia="zh-CN"/>
        </w:rPr>
        <w:t>当事人未按照安全技术规范的要求及时申报并接受检验的违法行为，持续时间（2022年4月21日至立案2022年5月10日）不超过一个月，根据其违法的事实、性质、情节，其行为属于较轻违法，应给予从轻处罚。</w:t>
      </w:r>
    </w:p>
    <w:p>
      <w:pPr>
        <w:spacing w:line="600" w:lineRule="exact"/>
        <w:ind w:firstLine="640" w:firstLineChars="200"/>
        <w:jc w:val="both"/>
        <w:rPr>
          <w:rFonts w:ascii="仿宋" w:hAnsi="仿宋" w:eastAsia="仿宋" w:cs="仿宋_GB2312"/>
          <w:bCs/>
          <w:sz w:val="32"/>
          <w:szCs w:val="32"/>
          <w:lang w:eastAsia="zh-CN"/>
        </w:rPr>
      </w:pPr>
      <w:r>
        <w:rPr>
          <w:rFonts w:hint="eastAsia" w:ascii="仿宋" w:hAnsi="仿宋" w:eastAsia="仿宋" w:cs="仿宋_GB2312"/>
          <w:bCs/>
          <w:sz w:val="32"/>
          <w:szCs w:val="32"/>
          <w:lang w:eastAsia="zh-CN"/>
        </w:rPr>
        <w:t>综上，当事人的行为违反了《中华人民共和国特种设备安全法》第四十条“特种设备使用单位应当按照安全技术规范的要求，在检验合格有效期届满前一个月向特种设备检验机构提出定期检验要求。”的规定，依据《中华人民共和国特种设备安全法》第八十三条“违反本法规定，特种设备使用单位有下列行为之一的责令限期改正；逾期未改正的，责令停止使用有关特种设备，处一万元以上十万元以下罚款；（四）未按照安全技术规范的要求及时申报并接受检验的。”之规定，责令当事人停止使用有关特种设备（2台叉车：编号分别为豫C-02377、豫C-02378），处10000元罚款。</w:t>
      </w:r>
    </w:p>
    <w:p>
      <w:pPr>
        <w:spacing w:line="600" w:lineRule="exact"/>
        <w:ind w:firstLine="640" w:firstLineChars="200"/>
        <w:jc w:val="both"/>
        <w:rPr>
          <w:rFonts w:ascii="仿宋" w:hAnsi="仿宋" w:eastAsia="仿宋" w:cs="仿宋_GB2312"/>
          <w:bCs/>
          <w:sz w:val="32"/>
          <w:szCs w:val="32"/>
          <w:lang w:eastAsia="zh-CN"/>
        </w:rPr>
      </w:pPr>
      <w:r>
        <w:rPr>
          <w:rFonts w:hint="eastAsia" w:ascii="仿宋" w:hAnsi="仿宋" w:eastAsia="仿宋" w:cs="仿宋_GB2312"/>
          <w:bCs/>
          <w:sz w:val="32"/>
          <w:szCs w:val="32"/>
          <w:lang w:eastAsia="zh-CN"/>
        </w:rPr>
        <w:t>当事人收到本处罚决定之日起15日内，缴清上述罚款。（当事人可选择以下银行缴纳罚款：1.农行偃师市支行，户名：洛阳市偃师区财政局财政专户，账号：16129101040000020；2.工行银行偃师市支行，户名：洛阳市偃师区财政局财政专户，账号：1705027009064004971；3.中国银行偃师市支行，户名：洛阳市偃师区财政局财政专户，账号：00000249407156581；4.农商银行偃师营业部，户名：洛阳市偃师区财政局财政专户，账号：00000005583396678012；5.建设银行偃师支行，户名：洛阳市偃师区财政局财政专户，账号：41001591110058000003；6.洛阳银行偃师市支行，户名：洛阳市偃师区财政局财政专户，账号：67161090000000753。）</w:t>
      </w:r>
    </w:p>
    <w:p>
      <w:pPr>
        <w:spacing w:line="600" w:lineRule="exact"/>
        <w:ind w:firstLine="640" w:firstLineChars="200"/>
        <w:jc w:val="both"/>
        <w:rPr>
          <w:rFonts w:ascii="仿宋" w:hAnsi="仿宋" w:eastAsia="仿宋" w:cs="仿宋_GB2312"/>
          <w:bCs/>
          <w:sz w:val="32"/>
          <w:szCs w:val="32"/>
          <w:lang w:eastAsia="zh-CN"/>
        </w:rPr>
      </w:pPr>
      <w:r>
        <w:rPr>
          <w:rFonts w:hint="eastAsia" w:ascii="仿宋" w:hAnsi="仿宋" w:eastAsia="仿宋" w:cs="仿宋_GB2312"/>
          <w:bCs/>
          <w:sz w:val="32"/>
          <w:szCs w:val="32"/>
          <w:lang w:eastAsia="zh-CN"/>
        </w:rPr>
        <w:t>根据《中华人民共和国行政处罚法》第七十二条之规定，当事人逾期不履行行政处罚决定的，本机关可以采取以下措施：（一）到期不缴纳罚款的，每日按罚款数额的百分之三加处罚款；（二）申请人民法院强制执行。</w:t>
      </w:r>
    </w:p>
    <w:p>
      <w:pPr>
        <w:spacing w:line="600" w:lineRule="exact"/>
        <w:ind w:firstLine="640" w:firstLineChars="200"/>
        <w:jc w:val="both"/>
        <w:rPr>
          <w:rFonts w:ascii="仿宋_GB2312" w:hAnsi="仿宋_GB2312" w:eastAsia="仿宋_GB2312" w:cs="仿宋_GB2312"/>
          <w:bCs/>
          <w:sz w:val="32"/>
          <w:szCs w:val="32"/>
          <w:lang w:eastAsia="zh-CN"/>
        </w:rPr>
      </w:pPr>
      <w:r>
        <w:rPr>
          <w:rFonts w:hint="eastAsia" w:ascii="仿宋" w:hAnsi="仿宋" w:eastAsia="仿宋" w:cs="仿宋_GB2312"/>
          <w:bCs/>
          <w:sz w:val="32"/>
          <w:szCs w:val="32"/>
          <w:lang w:eastAsia="zh-CN"/>
        </w:rPr>
        <w:t>如不服本处罚决定，可自接文之日起六十日内向洛阳市偃师区人民政府申请复议，也可于接文之日起六个月内向洛阳市偃师区人民法院提起诉讼。逾期不履行本处罚决定，我局将依法申请人民法院强制执行。</w:t>
      </w:r>
    </w:p>
    <w:p>
      <w:pPr>
        <w:spacing w:line="600" w:lineRule="exact"/>
        <w:ind w:left="5760" w:hanging="5760" w:hangingChars="1800"/>
        <w:rPr>
          <w:rFonts w:ascii="仿宋_GB2312" w:hAnsi="仿宋_GB2312" w:eastAsia="仿宋_GB2312" w:cs="仿宋_GB2312"/>
          <w:bCs/>
          <w:sz w:val="32"/>
          <w:szCs w:val="32"/>
          <w:lang w:eastAsia="zh-CN"/>
        </w:rPr>
      </w:pPr>
      <w:r>
        <w:rPr>
          <w:rFonts w:hint="eastAsia" w:ascii="仿宋_GB2312" w:hAnsi="仿宋_GB2312" w:eastAsia="仿宋_GB2312" w:cs="仿宋_GB2312"/>
          <w:bCs/>
          <w:color w:val="000000"/>
          <w:sz w:val="32"/>
          <w:szCs w:val="32"/>
          <w:lang w:eastAsia="zh-CN"/>
        </w:rPr>
        <w:t xml:space="preserve">  </w:t>
      </w:r>
      <w:r>
        <w:rPr>
          <w:rFonts w:hint="eastAsia" w:ascii="仿宋_GB2312" w:hAnsi="仿宋_GB2312" w:eastAsia="仿宋_GB2312" w:cs="仿宋_GB2312"/>
          <w:bCs/>
          <w:sz w:val="32"/>
          <w:szCs w:val="32"/>
          <w:lang w:eastAsia="zh-CN"/>
        </w:rPr>
        <w:t xml:space="preserve">                          </w:t>
      </w:r>
    </w:p>
    <w:p>
      <w:pPr>
        <w:spacing w:line="600" w:lineRule="exact"/>
        <w:ind w:firstLine="3520" w:firstLineChars="1100"/>
        <w:rPr>
          <w:rFonts w:ascii="仿宋_GB2312" w:hAnsi="仿宋_GB2312" w:eastAsia="仿宋_GB2312" w:cs="仿宋_GB2312"/>
          <w:bCs/>
          <w:sz w:val="32"/>
          <w:szCs w:val="32"/>
          <w:lang w:eastAsia="zh-CN"/>
        </w:rPr>
      </w:pPr>
    </w:p>
    <w:p>
      <w:pPr>
        <w:spacing w:line="600" w:lineRule="exact"/>
        <w:ind w:firstLine="3520" w:firstLineChars="1100"/>
        <w:rPr>
          <w:rFonts w:ascii="仿宋_GB2312" w:hAnsi="仿宋_GB2312" w:eastAsia="仿宋_GB2312" w:cs="仿宋_GB2312"/>
          <w:bCs/>
          <w:sz w:val="32"/>
          <w:szCs w:val="32"/>
          <w:lang w:eastAsia="zh-CN"/>
        </w:rPr>
      </w:pPr>
    </w:p>
    <w:p>
      <w:pPr>
        <w:spacing w:line="600" w:lineRule="exact"/>
        <w:ind w:firstLine="3520" w:firstLineChars="1100"/>
        <w:rPr>
          <w:rFonts w:ascii="仿宋_GB2312" w:hAnsi="仿宋_GB2312" w:eastAsia="仿宋_GB2312" w:cs="仿宋_GB2312"/>
          <w:sz w:val="32"/>
          <w:szCs w:val="32"/>
          <w:lang w:eastAsia="zh-CN"/>
        </w:rPr>
      </w:pPr>
      <w:r>
        <w:rPr>
          <w:rFonts w:hint="eastAsia" w:ascii="仿宋_GB2312" w:hAnsi="仿宋_GB2312" w:eastAsia="仿宋_GB2312" w:cs="仿宋_GB2312"/>
          <w:bCs/>
          <w:sz w:val="32"/>
          <w:szCs w:val="32"/>
          <w:lang w:eastAsia="zh-CN"/>
        </w:rPr>
        <w:t>洛阳市</w:t>
      </w:r>
      <w:r>
        <w:rPr>
          <w:rFonts w:hint="eastAsia" w:ascii="仿宋_GB2312" w:hAnsi="仿宋_GB2312" w:eastAsia="仿宋_GB2312" w:cs="仿宋_GB2312"/>
          <w:sz w:val="32"/>
          <w:szCs w:val="32"/>
          <w:lang w:eastAsia="zh-CN"/>
        </w:rPr>
        <w:t>偃师区市场监督管理局</w:t>
      </w:r>
    </w:p>
    <w:p>
      <w:pPr>
        <w:spacing w:line="600" w:lineRule="exact"/>
        <w:ind w:firstLine="4480" w:firstLineChars="1400"/>
        <w:rPr>
          <w:rFonts w:ascii="仿宋_GB2312" w:hAnsi="仿宋_GB2312" w:eastAsia="仿宋_GB2312" w:cs="仿宋_GB2312"/>
          <w:sz w:val="32"/>
          <w:szCs w:val="32"/>
          <w:lang w:eastAsia="zh-CN"/>
        </w:rPr>
      </w:pPr>
    </w:p>
    <w:p>
      <w:pPr>
        <w:spacing w:line="600" w:lineRule="exact"/>
        <w:ind w:firstLine="4480" w:firstLineChars="140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2022年</w:t>
      </w:r>
      <w:r>
        <w:rPr>
          <w:rFonts w:ascii="仿宋_GB2312" w:hAnsi="仿宋_GB2312" w:eastAsia="仿宋_GB2312" w:cs="仿宋_GB2312"/>
          <w:sz w:val="32"/>
          <w:szCs w:val="32"/>
          <w:lang w:eastAsia="zh-CN"/>
        </w:rPr>
        <w:t>7</w:t>
      </w:r>
      <w:r>
        <w:rPr>
          <w:rFonts w:hint="eastAsia" w:ascii="仿宋_GB2312" w:hAnsi="仿宋_GB2312" w:eastAsia="仿宋_GB2312" w:cs="仿宋_GB2312"/>
          <w:sz w:val="32"/>
          <w:szCs w:val="32"/>
          <w:lang w:eastAsia="zh-CN"/>
        </w:rPr>
        <w:t>月</w:t>
      </w:r>
      <w:r>
        <w:rPr>
          <w:rFonts w:ascii="仿宋_GB2312" w:hAnsi="仿宋_GB2312" w:eastAsia="仿宋_GB2312" w:cs="仿宋_GB2312"/>
          <w:sz w:val="32"/>
          <w:szCs w:val="32"/>
          <w:lang w:eastAsia="zh-CN"/>
        </w:rPr>
        <w:t>18</w:t>
      </w:r>
      <w:r>
        <w:rPr>
          <w:rFonts w:hint="eastAsia" w:ascii="仿宋_GB2312" w:hAnsi="仿宋_GB2312" w:eastAsia="仿宋_GB2312" w:cs="仿宋_GB2312"/>
          <w:sz w:val="32"/>
          <w:szCs w:val="32"/>
          <w:lang w:eastAsia="zh-CN"/>
        </w:rPr>
        <w:t>日</w:t>
      </w:r>
    </w:p>
    <w:p>
      <w:pPr>
        <w:spacing w:line="600" w:lineRule="exact"/>
        <w:rPr>
          <w:rFonts w:ascii="仿宋_GB2312" w:hAnsi="仿宋" w:eastAsia="仿宋_GB2312" w:cs="仿宋"/>
          <w:sz w:val="32"/>
          <w:szCs w:val="32"/>
          <w:lang w:eastAsia="zh-CN"/>
        </w:rPr>
      </w:pPr>
    </w:p>
    <w:p>
      <w:pPr>
        <w:tabs>
          <w:tab w:val="left" w:pos="2440"/>
          <w:tab w:val="left" w:pos="8964"/>
        </w:tabs>
        <w:spacing w:line="600" w:lineRule="exact"/>
        <w:jc w:val="both"/>
        <w:rPr>
          <w:rFonts w:ascii="仿宋_GB2312" w:hAnsi="仿宋_GB2312" w:eastAsia="仿宋_GB2312" w:cs="仿宋_GB2312"/>
          <w:sz w:val="32"/>
          <w:szCs w:val="32"/>
          <w:lang w:eastAsia="zh-CN"/>
        </w:rPr>
      </w:pPr>
    </w:p>
    <w:p>
      <w:pPr>
        <w:tabs>
          <w:tab w:val="left" w:pos="2440"/>
          <w:tab w:val="left" w:pos="8964"/>
        </w:tabs>
        <w:spacing w:line="600" w:lineRule="exact"/>
        <w:jc w:val="both"/>
        <w:rPr>
          <w:rFonts w:ascii="仿宋_GB2312" w:hAnsi="仿宋_GB2312" w:eastAsia="仿宋_GB2312" w:cs="仿宋_GB2312"/>
          <w:sz w:val="32"/>
          <w:szCs w:val="32"/>
          <w:lang w:eastAsia="zh-CN"/>
        </w:rPr>
      </w:pPr>
    </w:p>
    <w:p>
      <w:pPr>
        <w:tabs>
          <w:tab w:val="left" w:pos="2440"/>
          <w:tab w:val="left" w:pos="8964"/>
        </w:tabs>
        <w:spacing w:line="600" w:lineRule="exact"/>
        <w:jc w:val="both"/>
        <w:rPr>
          <w:rFonts w:ascii="仿宋_GB2312" w:hAnsi="仿宋_GB2312" w:eastAsia="仿宋_GB2312" w:cs="仿宋_GB2312"/>
          <w:sz w:val="32"/>
          <w:szCs w:val="32"/>
          <w:lang w:eastAsia="zh-CN"/>
        </w:rPr>
      </w:pPr>
    </w:p>
    <w:p>
      <w:pPr>
        <w:tabs>
          <w:tab w:val="left" w:pos="2440"/>
          <w:tab w:val="left" w:pos="8964"/>
        </w:tabs>
        <w:spacing w:line="600" w:lineRule="exact"/>
        <w:jc w:val="both"/>
        <w:rPr>
          <w:rFonts w:ascii="仿宋_GB2312" w:hAnsi="仿宋_GB2312" w:eastAsia="仿宋_GB2312" w:cs="仿宋_GB2312"/>
          <w:sz w:val="32"/>
          <w:szCs w:val="32"/>
          <w:lang w:eastAsia="zh-CN"/>
        </w:rPr>
      </w:pPr>
    </w:p>
    <w:p>
      <w:pPr>
        <w:tabs>
          <w:tab w:val="left" w:pos="2440"/>
          <w:tab w:val="left" w:pos="8964"/>
        </w:tabs>
        <w:spacing w:line="600" w:lineRule="exact"/>
        <w:jc w:val="both"/>
        <w:rPr>
          <w:rFonts w:ascii="仿宋_GB2312" w:hAnsi="仿宋_GB2312" w:eastAsia="仿宋_GB2312" w:cs="仿宋_GB2312"/>
          <w:sz w:val="32"/>
          <w:szCs w:val="32"/>
          <w:lang w:eastAsia="zh-CN"/>
        </w:rPr>
      </w:pPr>
    </w:p>
    <w:p>
      <w:pPr>
        <w:tabs>
          <w:tab w:val="left" w:pos="2440"/>
          <w:tab w:val="left" w:pos="8964"/>
        </w:tabs>
        <w:spacing w:line="600" w:lineRule="exact"/>
        <w:jc w:val="both"/>
        <w:rPr>
          <w:rFonts w:ascii="仿宋_GB2312" w:hAnsi="仿宋_GB2312" w:eastAsia="仿宋_GB2312" w:cs="仿宋_GB2312"/>
          <w:sz w:val="32"/>
          <w:szCs w:val="32"/>
          <w:lang w:eastAsia="zh-CN"/>
        </w:rPr>
      </w:pPr>
    </w:p>
    <w:p>
      <w:pPr>
        <w:tabs>
          <w:tab w:val="left" w:pos="2440"/>
          <w:tab w:val="left" w:pos="8964"/>
        </w:tabs>
        <w:spacing w:line="600" w:lineRule="exact"/>
        <w:jc w:val="both"/>
        <w:rPr>
          <w:rFonts w:ascii="仿宋_GB2312" w:hAnsi="仿宋_GB2312" w:eastAsia="仿宋_GB2312" w:cs="仿宋_GB2312"/>
          <w:sz w:val="32"/>
          <w:szCs w:val="32"/>
          <w:lang w:eastAsia="zh-CN"/>
        </w:rPr>
      </w:pPr>
    </w:p>
    <w:p>
      <w:pPr>
        <w:tabs>
          <w:tab w:val="left" w:pos="2440"/>
          <w:tab w:val="left" w:pos="8964"/>
        </w:tabs>
        <w:spacing w:line="600" w:lineRule="exact"/>
        <w:jc w:val="both"/>
        <w:rPr>
          <w:rFonts w:ascii="仿宋_GB2312" w:hAnsi="仿宋_GB2312" w:eastAsia="仿宋_GB2312" w:cs="仿宋_GB2312"/>
          <w:sz w:val="32"/>
          <w:szCs w:val="32"/>
          <w:lang w:eastAsia="zh-CN"/>
        </w:rPr>
      </w:pPr>
    </w:p>
    <w:p>
      <w:pPr>
        <w:tabs>
          <w:tab w:val="left" w:pos="2440"/>
          <w:tab w:val="left" w:pos="8964"/>
        </w:tabs>
        <w:spacing w:line="600" w:lineRule="exact"/>
        <w:jc w:val="both"/>
        <w:rPr>
          <w:rFonts w:ascii="仿宋_GB2312" w:hAnsi="仿宋_GB2312" w:eastAsia="仿宋_GB2312" w:cs="仿宋_GB2312"/>
          <w:sz w:val="32"/>
          <w:szCs w:val="32"/>
          <w:lang w:eastAsia="zh-CN"/>
        </w:rPr>
      </w:pPr>
    </w:p>
    <w:p>
      <w:pPr>
        <w:tabs>
          <w:tab w:val="left" w:pos="2440"/>
          <w:tab w:val="left" w:pos="8964"/>
        </w:tabs>
        <w:spacing w:line="600" w:lineRule="exact"/>
        <w:jc w:val="both"/>
        <w:rPr>
          <w:rFonts w:hint="eastAsia" w:ascii="仿宋_GB2312" w:hAnsi="仿宋_GB2312" w:eastAsia="仿宋_GB2312" w:cs="仿宋_GB2312"/>
          <w:sz w:val="32"/>
          <w:szCs w:val="32"/>
          <w:lang w:eastAsia="zh-CN"/>
        </w:rPr>
      </w:pPr>
    </w:p>
    <w:p>
      <w:pPr>
        <w:tabs>
          <w:tab w:val="left" w:pos="2440"/>
          <w:tab w:val="left" w:pos="8964"/>
        </w:tabs>
        <w:spacing w:line="600" w:lineRule="exact"/>
        <w:jc w:val="both"/>
        <w:rPr>
          <w:rFonts w:ascii="仿宋_GB2312" w:hAnsi="仿宋_GB2312" w:eastAsia="仿宋_GB2312" w:cs="仿宋_GB2312"/>
          <w:sz w:val="32"/>
          <w:szCs w:val="32"/>
          <w:lang w:eastAsia="zh-CN"/>
        </w:rPr>
      </w:pPr>
    </w:p>
    <w:p>
      <w:pPr>
        <w:tabs>
          <w:tab w:val="left" w:pos="2440"/>
          <w:tab w:val="left" w:pos="8964"/>
        </w:tabs>
        <w:spacing w:line="600" w:lineRule="exact"/>
        <w:jc w:val="both"/>
        <w:rPr>
          <w:rFonts w:ascii="仿宋_GB2312" w:hAnsi="仿宋_GB2312" w:eastAsia="仿宋_GB2312" w:cs="仿宋_GB2312"/>
          <w:sz w:val="32"/>
          <w:szCs w:val="32"/>
          <w:lang w:eastAsia="zh-CN"/>
        </w:rPr>
      </w:pPr>
    </w:p>
    <w:p>
      <w:pPr>
        <w:tabs>
          <w:tab w:val="left" w:pos="2440"/>
          <w:tab w:val="left" w:pos="8964"/>
        </w:tabs>
        <w:spacing w:line="600" w:lineRule="exact"/>
        <w:ind w:left="-554" w:leftChars="-252" w:firstLine="321" w:firstLineChars="100"/>
        <w:textAlignment w:val="baseline"/>
        <w:rPr>
          <w:rFonts w:ascii="仿宋" w:hAnsi="仿宋" w:eastAsia="仿宋" w:cs="仿宋"/>
          <w:sz w:val="32"/>
          <w:szCs w:val="32"/>
          <w:lang w:eastAsia="zh-CN"/>
        </w:rPr>
      </w:pPr>
      <w:r>
        <w:rPr>
          <w:rFonts w:ascii="仿宋" w:hAnsi="仿宋" w:eastAsia="仿宋" w:cs="仿宋"/>
          <w:b/>
          <w:bCs/>
          <w:sz w:val="32"/>
          <w:szCs w:val="32"/>
        </w:rPr>
        <mc:AlternateContent>
          <mc:Choice Requires="wps">
            <w:drawing>
              <wp:anchor distT="0" distB="0" distL="114300" distR="114300" simplePos="0" relativeHeight="251659264" behindDoc="0" locked="0" layoutInCell="1" allowOverlap="1">
                <wp:simplePos x="0" y="0"/>
                <wp:positionH relativeFrom="column">
                  <wp:posOffset>-161925</wp:posOffset>
                </wp:positionH>
                <wp:positionV relativeFrom="paragraph">
                  <wp:posOffset>361950</wp:posOffset>
                </wp:positionV>
                <wp:extent cx="5434330" cy="26035"/>
                <wp:effectExtent l="0" t="0" r="14605" b="31115"/>
                <wp:wrapNone/>
                <wp:docPr id="6" name="直接连接符 1"/>
                <wp:cNvGraphicFramePr/>
                <a:graphic xmlns:a="http://schemas.openxmlformats.org/drawingml/2006/main">
                  <a:graphicData uri="http://schemas.microsoft.com/office/word/2010/wordprocessingShape">
                    <wps:wsp>
                      <wps:cNvCnPr/>
                      <wps:spPr>
                        <a:xfrm>
                          <a:off x="0" y="0"/>
                          <a:ext cx="5434013" cy="26035"/>
                        </a:xfrm>
                        <a:prstGeom prst="line">
                          <a:avLst/>
                        </a:prstGeom>
                        <a:ln w="12700" cap="flat" cmpd="sng">
                          <a:solidFill>
                            <a:srgbClr val="000000"/>
                          </a:solidFill>
                          <a:prstDash val="solid"/>
                          <a:bevel/>
                          <a:headEnd type="none" w="med" len="med"/>
                          <a:tailEnd type="none" w="med" len="med"/>
                        </a:ln>
                        <a:effectLst/>
                      </wps:spPr>
                      <wps:bodyPr/>
                    </wps:wsp>
                  </a:graphicData>
                </a:graphic>
              </wp:anchor>
            </w:drawing>
          </mc:Choice>
          <mc:Fallback>
            <w:pict>
              <v:line id="直接连接符 1" o:spid="_x0000_s1026" o:spt="20" style="position:absolute;left:0pt;margin-left:-12.75pt;margin-top:28.5pt;height:2.05pt;width:427.9pt;z-index:251659264;mso-width-relative:page;mso-height-relative:page;" filled="f" stroked="t" coordsize="21600,21600" o:gfxdata="UEsDBAoAAAAAAIdO4kAAAAAAAAAAAAAAAAAEAAAAZHJzL1BLAwQUAAAACACHTuJAmbz259kAAAAJ&#10;AQAADwAAAGRycy9kb3ducmV2LnhtbE2PwU7DMBBE70j8g7VI3Fo7rVJCGqcHJAQnRNNKXN3YJGnj&#10;dWQ7TcvXs5zocbVPM2+KzcX27Gx86BxKSOYCmMHa6Q4bCfvd6ywDFqJCrXqHRsLVBNiU93eFyrWb&#10;cGvOVWwYhWDIlYQ2xiHnPNStsSrM3WCQft/OWxXp9A3XXk0Ubnu+EGLFreqQGlo1mJfW1KdqtBI+&#10;Mr8/Vm9T+rPdXT/j1zN/P45cyseHRKyBRXOJ/zD86ZM6lOR0cCPqwHoJs0WaEiohfaJNBGRLsQR2&#10;kLBKEuBlwW8XlL9QSwMEFAAAAAgAh07iQLHBtkH6AQAA9QMAAA4AAABkcnMvZTJvRG9jLnhtbK1T&#10;zY7TMBC+I/EOlu80abtbUNR0D1uWC4JKwAO4zqSx5D95vE37ErwAEjc4ceTO2+zyGIydUJbl0gM5&#10;ODOe8TfzfR4vrw5Gsz0EVM7WfDopOQMrXaPsruYf3t88e8EZRmEboZ2Fmh8B+dXq6ZNl7yuYuc7p&#10;BgIjEItV72vexeirokDZgRE4cR4sBVsXjIjkhl3RBNETutHFrCwXRe9C44OTgEi76yHIR8RwDqBr&#10;WyVh7eStARsH1ABaRKKEnfLIV7nbtgUZ37YtQmS65sQ05pWKkL1Na7FaimoXhO+UHFsQ57TwiJMR&#10;ylLRE9RaRMFug/oHyigZHLo2TqQzxUAkK0IspuUjbd51wkPmQlKjP4mO/w9WvtlvAlNNzRecWWHo&#10;wu8/fb/7+OXnj8+03n/7yqZJpN5jRbnXdhNGD/0mJMaHNpj0Jy7skIU9noSFQ2SSNi8v5hfldM6Z&#10;pNhsUc4vE2bx57APGF+BMywZNdfKJt6iEvvXGIfU3ylpW1vW0+zOnpd0j1LQFLZ0+2QaT0zQ7vJh&#10;dFo1N0rrdATDbnutA9uLNAn5G3v4Ky1VWQvshrwcSmmi2sIedLY6EM1L27B49KSWpUfCUzcGGs40&#10;0JtKVs6MQulzMkkIbVMRyBM7Uk6SDyIna+uaY9a+SB5NQ9ZvnNw0bg99sh++1tU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mbz259kAAAAJAQAADwAAAAAAAAABACAAAAAiAAAAZHJzL2Rvd25yZXYu&#10;eG1sUEsBAhQAFAAAAAgAh07iQLHBtkH6AQAA9QMAAA4AAAAAAAAAAQAgAAAAKAEAAGRycy9lMm9E&#10;b2MueG1sUEsFBgAAAAAGAAYAWQEAAJQFAAAAAA==&#10;">
                <v:fill on="f" focussize="0,0"/>
                <v:stroke weight="1pt" color="#000000" joinstyle="bevel"/>
                <v:imagedata o:title=""/>
                <o:lock v:ext="edit" aspectratio="f"/>
              </v:line>
            </w:pict>
          </mc:Fallback>
        </mc:AlternateContent>
      </w:r>
      <w:r>
        <w:rPr>
          <w:rFonts w:hint="eastAsia" w:ascii="仿宋" w:hAnsi="仿宋" w:eastAsia="仿宋" w:cs="仿宋"/>
          <w:sz w:val="32"/>
          <w:szCs w:val="32"/>
          <w:lang w:eastAsia="zh-CN"/>
        </w:rPr>
        <w:t>（市场监督管理部门将依法向社会公示本行政处罚决定信息）</w:t>
      </w:r>
    </w:p>
    <w:p>
      <w:pPr>
        <w:tabs>
          <w:tab w:val="left" w:pos="2440"/>
          <w:tab w:val="left" w:pos="8964"/>
        </w:tabs>
        <w:spacing w:line="600" w:lineRule="exact"/>
        <w:ind w:left="-554" w:leftChars="-252" w:firstLine="320" w:firstLineChars="100"/>
        <w:textAlignment w:val="baseline"/>
        <w:rPr>
          <w:rFonts w:ascii="仿宋" w:hAnsi="仿宋" w:eastAsia="仿宋" w:cs="仿宋"/>
          <w:sz w:val="32"/>
          <w:szCs w:val="32"/>
          <w:lang w:eastAsia="zh-CN"/>
        </w:rPr>
      </w:pPr>
      <w:r>
        <w:rPr>
          <w:rFonts w:hint="eastAsia" w:ascii="仿宋" w:hAnsi="仿宋" w:eastAsia="仿宋" w:cs="仿宋"/>
          <w:bCs/>
          <w:color w:val="231F20"/>
          <w:sz w:val="32"/>
          <w:szCs w:val="32"/>
          <w:lang w:eastAsia="zh-CN"/>
        </w:rPr>
        <w:t>本文书一式</w:t>
      </w:r>
      <w:r>
        <w:rPr>
          <w:rFonts w:hint="eastAsia" w:ascii="仿宋" w:hAnsi="仿宋" w:eastAsia="仿宋" w:cs="仿宋"/>
          <w:bCs/>
          <w:color w:val="231F20"/>
          <w:sz w:val="32"/>
          <w:szCs w:val="32"/>
          <w:u w:val="single" w:color="231F20"/>
          <w:lang w:eastAsia="zh-CN"/>
        </w:rPr>
        <w:t>三</w:t>
      </w:r>
      <w:r>
        <w:rPr>
          <w:rFonts w:hint="eastAsia" w:ascii="仿宋" w:hAnsi="仿宋" w:eastAsia="仿宋" w:cs="仿宋"/>
          <w:bCs/>
          <w:color w:val="231F20"/>
          <w:w w:val="95"/>
          <w:sz w:val="32"/>
          <w:szCs w:val="32"/>
          <w:lang w:eastAsia="zh-CN"/>
        </w:rPr>
        <w:t>份，</w:t>
      </w:r>
      <w:r>
        <w:rPr>
          <w:rFonts w:hint="eastAsia" w:ascii="仿宋" w:hAnsi="仿宋" w:eastAsia="仿宋" w:cs="仿宋"/>
          <w:bCs/>
          <w:color w:val="231F20"/>
          <w:w w:val="95"/>
          <w:sz w:val="32"/>
          <w:szCs w:val="32"/>
          <w:u w:val="single" w:color="231F20"/>
          <w:lang w:eastAsia="zh-CN"/>
        </w:rPr>
        <w:t>一</w:t>
      </w:r>
      <w:r>
        <w:rPr>
          <w:rFonts w:hint="eastAsia" w:ascii="仿宋" w:hAnsi="仿宋" w:eastAsia="仿宋" w:cs="仿宋"/>
          <w:bCs/>
          <w:color w:val="231F20"/>
          <w:sz w:val="32"/>
          <w:szCs w:val="32"/>
          <w:lang w:eastAsia="zh-CN"/>
        </w:rPr>
        <w:t>份送达，</w:t>
      </w:r>
      <w:r>
        <w:rPr>
          <w:rFonts w:hint="eastAsia" w:ascii="仿宋" w:hAnsi="仿宋" w:eastAsia="仿宋" w:cs="仿宋"/>
          <w:bCs/>
          <w:color w:val="231F20"/>
          <w:sz w:val="32"/>
          <w:szCs w:val="32"/>
          <w:u w:val="single" w:color="231F20"/>
          <w:lang w:eastAsia="zh-CN"/>
        </w:rPr>
        <w:t>一</w:t>
      </w:r>
      <w:r>
        <w:rPr>
          <w:rFonts w:hint="eastAsia" w:ascii="仿宋" w:hAnsi="仿宋" w:eastAsia="仿宋" w:cs="仿宋"/>
          <w:bCs/>
          <w:color w:val="231F20"/>
          <w:sz w:val="32"/>
          <w:szCs w:val="32"/>
          <w:lang w:eastAsia="zh-CN"/>
        </w:rPr>
        <w:t>份归档，一份办案机构留存。</w:t>
      </w:r>
    </w:p>
    <w:sectPr>
      <w:footerReference r:id="rId3" w:type="default"/>
      <w:pgSz w:w="11906" w:h="16838"/>
      <w:pgMar w:top="1440" w:right="1474" w:bottom="1440"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_GB2312">
    <w:altName w:val="Times New Roman"/>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4"/>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3</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pPr>
                      <w:pStyle w:val="4"/>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3</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BA59B1"/>
    <w:multiLevelType w:val="multilevel"/>
    <w:tmpl w:val="69BA59B1"/>
    <w:lvl w:ilvl="0" w:tentative="0">
      <w:start w:val="1"/>
      <w:numFmt w:val="decimal"/>
      <w:lvlText w:val="%1."/>
      <w:lvlJc w:val="left"/>
      <w:pPr>
        <w:ind w:left="1036" w:hanging="396"/>
      </w:pPr>
      <w:rPr>
        <w:rFonts w:hint="default" w:ascii="Times New Roman" w:hAnsi="Times New Roman" w:cs="??_GB2312"/>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00172A27"/>
    <w:rsid w:val="000727EE"/>
    <w:rsid w:val="000A39B1"/>
    <w:rsid w:val="000C4ADB"/>
    <w:rsid w:val="00172A27"/>
    <w:rsid w:val="0041166D"/>
    <w:rsid w:val="004E3534"/>
    <w:rsid w:val="004E457A"/>
    <w:rsid w:val="00593102"/>
    <w:rsid w:val="005945B3"/>
    <w:rsid w:val="005A6254"/>
    <w:rsid w:val="005E531F"/>
    <w:rsid w:val="0065674C"/>
    <w:rsid w:val="006A2350"/>
    <w:rsid w:val="00875852"/>
    <w:rsid w:val="0098681A"/>
    <w:rsid w:val="009E02D6"/>
    <w:rsid w:val="009F7CF7"/>
    <w:rsid w:val="00A07637"/>
    <w:rsid w:val="00A171E9"/>
    <w:rsid w:val="00A71735"/>
    <w:rsid w:val="00A94890"/>
    <w:rsid w:val="00AA2B15"/>
    <w:rsid w:val="00AF53BF"/>
    <w:rsid w:val="00B30A39"/>
    <w:rsid w:val="00B31DBD"/>
    <w:rsid w:val="00B57614"/>
    <w:rsid w:val="00B77F1A"/>
    <w:rsid w:val="00CE5F0C"/>
    <w:rsid w:val="00D40502"/>
    <w:rsid w:val="00E2119A"/>
    <w:rsid w:val="00F17F52"/>
    <w:rsid w:val="00F4722D"/>
    <w:rsid w:val="00FA3362"/>
    <w:rsid w:val="06C468A8"/>
    <w:rsid w:val="08F97F60"/>
    <w:rsid w:val="0A4362B6"/>
    <w:rsid w:val="0CDC29B1"/>
    <w:rsid w:val="0EC460F5"/>
    <w:rsid w:val="13D83E73"/>
    <w:rsid w:val="150670EA"/>
    <w:rsid w:val="17474D65"/>
    <w:rsid w:val="188A2F5C"/>
    <w:rsid w:val="190C430D"/>
    <w:rsid w:val="1AE375CD"/>
    <w:rsid w:val="1BCD1D00"/>
    <w:rsid w:val="1CC82EF6"/>
    <w:rsid w:val="1D4D5164"/>
    <w:rsid w:val="1E3B46C9"/>
    <w:rsid w:val="1EAB31E7"/>
    <w:rsid w:val="1F770D39"/>
    <w:rsid w:val="1FE35A80"/>
    <w:rsid w:val="1FFA4D89"/>
    <w:rsid w:val="204D633B"/>
    <w:rsid w:val="21390A86"/>
    <w:rsid w:val="21A74F97"/>
    <w:rsid w:val="22343900"/>
    <w:rsid w:val="223B6B45"/>
    <w:rsid w:val="22984E0B"/>
    <w:rsid w:val="23E800B8"/>
    <w:rsid w:val="26B46F94"/>
    <w:rsid w:val="270F1A48"/>
    <w:rsid w:val="281E56BB"/>
    <w:rsid w:val="284353E7"/>
    <w:rsid w:val="2B6C1D0F"/>
    <w:rsid w:val="2D803F29"/>
    <w:rsid w:val="317457C1"/>
    <w:rsid w:val="31F46D18"/>
    <w:rsid w:val="331C1E7F"/>
    <w:rsid w:val="33A45639"/>
    <w:rsid w:val="37062E78"/>
    <w:rsid w:val="38B162ED"/>
    <w:rsid w:val="415C5D4C"/>
    <w:rsid w:val="43673129"/>
    <w:rsid w:val="44177331"/>
    <w:rsid w:val="44925D0C"/>
    <w:rsid w:val="463F02CC"/>
    <w:rsid w:val="4AD57CB9"/>
    <w:rsid w:val="4ADB5648"/>
    <w:rsid w:val="4CE84A37"/>
    <w:rsid w:val="4D04658D"/>
    <w:rsid w:val="4E082AC3"/>
    <w:rsid w:val="4E924F98"/>
    <w:rsid w:val="512A1260"/>
    <w:rsid w:val="53222229"/>
    <w:rsid w:val="56226EDC"/>
    <w:rsid w:val="57812A7B"/>
    <w:rsid w:val="58A233B0"/>
    <w:rsid w:val="5907456E"/>
    <w:rsid w:val="5F3F03D6"/>
    <w:rsid w:val="5F3F4AD4"/>
    <w:rsid w:val="61FD27F8"/>
    <w:rsid w:val="620E15C8"/>
    <w:rsid w:val="627B1E96"/>
    <w:rsid w:val="62C7775A"/>
    <w:rsid w:val="679E6AE7"/>
    <w:rsid w:val="6AD342E0"/>
    <w:rsid w:val="6D012AFF"/>
    <w:rsid w:val="6DFE22E0"/>
    <w:rsid w:val="6E1A4824"/>
    <w:rsid w:val="6EF745C7"/>
    <w:rsid w:val="70B23038"/>
    <w:rsid w:val="70CC6E53"/>
    <w:rsid w:val="72B8691A"/>
    <w:rsid w:val="72BF117A"/>
    <w:rsid w:val="742028A9"/>
    <w:rsid w:val="74213FF1"/>
    <w:rsid w:val="77BE06A3"/>
    <w:rsid w:val="78297D3A"/>
    <w:rsid w:val="78B54769"/>
    <w:rsid w:val="79BF0334"/>
    <w:rsid w:val="7A5E47FE"/>
    <w:rsid w:val="7F7C7D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Calibri" w:hAnsi="Calibri" w:eastAsia="Calibri" w:cs="Times New Roman"/>
      <w:sz w:val="22"/>
      <w:szCs w:val="22"/>
      <w:lang w:val="en-US" w:eastAsia="en-US" w:bidi="ar-SA"/>
    </w:rPr>
  </w:style>
  <w:style w:type="paragraph" w:styleId="2">
    <w:name w:val="heading 1"/>
    <w:basedOn w:val="1"/>
    <w:next w:val="1"/>
    <w:qFormat/>
    <w:uiPriority w:val="1"/>
    <w:pPr>
      <w:outlineLvl w:val="0"/>
    </w:pPr>
    <w:rPr>
      <w:rFonts w:ascii="Arial Unicode MS" w:hAnsi="Arial Unicode MS" w:eastAsia="Arial Unicode MS"/>
      <w:sz w:val="42"/>
      <w:szCs w:val="42"/>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ody Text"/>
    <w:basedOn w:val="1"/>
    <w:qFormat/>
    <w:uiPriority w:val="1"/>
    <w:pPr>
      <w:ind w:left="220"/>
    </w:pPr>
    <w:rPr>
      <w:rFonts w:ascii="Arial Unicode MS" w:hAnsi="Arial Unicode MS" w:eastAsia="Arial Unicode MS"/>
      <w:sz w:val="32"/>
      <w:szCs w:val="32"/>
    </w:rPr>
  </w:style>
  <w:style w:type="paragraph" w:styleId="4">
    <w:name w:val="footer"/>
    <w:basedOn w:val="1"/>
    <w:qFormat/>
    <w:uiPriority w:val="0"/>
    <w:pPr>
      <w:tabs>
        <w:tab w:val="center" w:pos="4153"/>
        <w:tab w:val="right" w:pos="8306"/>
      </w:tabs>
      <w:snapToGrid w:val="0"/>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6">
    <w:name w:val="Normal (Web)"/>
    <w:basedOn w:val="1"/>
    <w:qFormat/>
    <w:uiPriority w:val="0"/>
    <w:pPr>
      <w:widowControl/>
      <w:spacing w:before="100" w:beforeAutospacing="1" w:after="100" w:afterAutospacing="1"/>
    </w:pPr>
    <w:rPr>
      <w:rFonts w:ascii="宋体" w:hAnsi="宋体" w:eastAsia="宋体" w:cs="宋体"/>
      <w:sz w:val="24"/>
      <w:szCs w:val="24"/>
      <w:lang w:eastAsia="zh-CN"/>
    </w:rPr>
  </w:style>
  <w:style w:type="paragraph" w:styleId="9">
    <w:name w:val="List Paragraph"/>
    <w:basedOn w:val="1"/>
    <w:qFormat/>
    <w:uiPriority w:val="34"/>
    <w:pPr>
      <w:ind w:firstLine="420" w:firstLineChars="200"/>
      <w:jc w:val="both"/>
    </w:pPr>
    <w:rPr>
      <w:rFonts w:eastAsia="宋体"/>
      <w:kern w:val="2"/>
      <w:sz w:val="21"/>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C4C656-A7E8-4C07-B8BD-E82A77A35A4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305</Words>
  <Characters>1744</Characters>
  <Lines>14</Lines>
  <Paragraphs>4</Paragraphs>
  <TotalTime>4</TotalTime>
  <ScaleCrop>false</ScaleCrop>
  <LinksUpToDate>false</LinksUpToDate>
  <CharactersWithSpaces>2045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2022-07-15T03:14:00Z</dcterms:created>
  <dc:creator>欧阳广华</dc:creator>
  <cp:lastModifiedBy>王建清</cp:lastModifiedBy>
  <cp:lastPrinted>2022-07-15T03:17:00Z</cp:lastPrinted>
  <dcterms:modified xsi:type="dcterms:W3CDTF">2023-07-31T01:05:06Z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19D1497A40F040F7B88590BAC4D6C4BF</vt:lpwstr>
  </property>
</Properties>
</file>