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ascii="宋体" w:hAnsi="宋体" w:cs="宋体"/>
          <w:b/>
          <w:bCs/>
          <w:sz w:val="44"/>
          <w:szCs w:val="44"/>
        </w:rPr>
      </w:pPr>
      <w:bookmarkStart w:id="0" w:name="_Toc27865"/>
      <w:bookmarkStart w:id="1" w:name="_Toc76683363"/>
      <w:r>
        <w:rPr>
          <w:rFonts w:hint="eastAsia" w:ascii="仿宋_GB2312" w:hAnsi="仿宋_GB2312" w:eastAsia="仿宋_GB2312" w:cs="仿宋_GB2312"/>
          <w:color w:val="000000"/>
          <w:sz w:val="32"/>
          <w:szCs w:val="32"/>
        </w:rPr>
        <w:t xml:space="preserve"> </w:t>
      </w:r>
      <w:r>
        <w:rPr>
          <w:rFonts w:hint="eastAsia" w:ascii="宋体" w:hAnsi="宋体" w:cs="宋体"/>
          <w:b/>
          <w:bCs/>
          <w:color w:val="000000"/>
          <w:sz w:val="44"/>
          <w:szCs w:val="44"/>
        </w:rPr>
        <w:t>洛阳市偃师区</w:t>
      </w:r>
      <w:r>
        <w:rPr>
          <w:rFonts w:hint="eastAsia" w:ascii="宋体" w:hAnsi="宋体" w:cs="宋体"/>
          <w:b/>
          <w:bCs/>
          <w:sz w:val="44"/>
          <w:szCs w:val="44"/>
        </w:rPr>
        <w:t>市场监督管理局</w:t>
      </w:r>
      <w:bookmarkEnd w:id="0"/>
      <w:bookmarkEnd w:id="1"/>
    </w:p>
    <w:p>
      <w:pPr>
        <w:spacing w:line="560" w:lineRule="exact"/>
        <w:jc w:val="center"/>
        <w:outlineLvl w:val="0"/>
        <w:rPr>
          <w:rFonts w:ascii="宋体" w:hAnsi="宋体" w:cs="宋体"/>
          <w:b/>
          <w:bCs/>
          <w:color w:val="000000"/>
          <w:sz w:val="44"/>
          <w:szCs w:val="44"/>
        </w:rPr>
      </w:pPr>
      <w:bookmarkStart w:id="2" w:name="_Toc76683364"/>
      <w:r>
        <w:rPr>
          <w:rFonts w:hint="eastAsia" w:ascii="宋体" w:hAnsi="宋体" w:cs="宋体"/>
          <w:b/>
          <w:bCs/>
          <w:color w:val="000000"/>
          <w:sz w:val="44"/>
          <w:szCs w:val="44"/>
        </w:rPr>
        <w:t>行政处罚决定书</w:t>
      </w:r>
      <w:bookmarkEnd w:id="2"/>
    </w:p>
    <w:p>
      <w:pPr>
        <w:widowControl/>
        <w:snapToGrid w:val="0"/>
        <w:spacing w:line="600" w:lineRule="exact"/>
        <w:ind w:right="55"/>
        <w:jc w:val="center"/>
        <w:outlineLvl w:val="1"/>
        <w:rPr>
          <w:rFonts w:hint="eastAsia" w:ascii="仿宋" w:hAnsi="仿宋" w:eastAsia="仿宋" w:cs="仿宋"/>
          <w:bCs/>
          <w:color w:val="000000"/>
          <w:sz w:val="32"/>
          <w:szCs w:val="32"/>
        </w:rPr>
      </w:pPr>
      <w:r>
        <w:rPr>
          <w:rFonts w:hint="eastAsia" w:ascii="仿宋" w:hAnsi="仿宋" w:eastAsia="仿宋" w:cs="仿宋"/>
          <w:bCs/>
          <w:color w:val="000000"/>
          <w:sz w:val="32"/>
          <w:szCs w:val="32"/>
        </w:rPr>
        <w:t>偃市监处罚</w:t>
      </w:r>
      <w:bookmarkStart w:id="3" w:name="_Hlk107906150"/>
      <w:r>
        <w:rPr>
          <w:rFonts w:hint="eastAsia" w:ascii="仿宋" w:hAnsi="仿宋" w:eastAsia="仿宋" w:cs="仿宋"/>
          <w:bCs/>
          <w:color w:val="000000"/>
          <w:sz w:val="32"/>
          <w:szCs w:val="32"/>
        </w:rPr>
        <w:t>〔2022〕70号</w:t>
      </w:r>
      <w:bookmarkEnd w:id="3"/>
      <w:r>
        <w:rPr>
          <w:rFonts w:hint="eastAsia" w:ascii="仿宋" w:hAnsi="仿宋" w:eastAsia="仿宋" w:cs="仿宋"/>
          <w:color w:val="000000"/>
          <w:sz w:val="32"/>
          <w:szCs w:val="32"/>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20802600</wp:posOffset>
                </wp:positionV>
                <wp:extent cx="5761990" cy="0"/>
                <wp:effectExtent l="0" t="9525" r="3810" b="15875"/>
                <wp:wrapNone/>
                <wp:docPr id="3" name="直接箭头连接符 3"/>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pt;margin-top:1638pt;height:0pt;width:453.7pt;z-index:251659264;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4Ky1v9YAAAAMAQAADwAAAAAAAAABACAAAAAiAAAAZHJzL2Rvd25yZXYu&#10;eG1sUEsBAhQAFAAAAAgAh07iQFXqW5X9AQAA7QMAAA4AAAAAAAAAAQAgAAAAJQEAAGRycy9lMm9E&#10;b2MueG1sUEsFBgAAAAAGAAYAWQEAAJQFAAAAAA==&#10;">
                <v:fill on="f" focussize="0,0"/>
                <v:stroke weight="1.5pt" color="#000000" joinstyle="round"/>
                <v:imagedata o:title=""/>
                <o:lock v:ext="edit" aspectratio="f"/>
              </v:shape>
            </w:pict>
          </mc:Fallback>
        </mc:AlternateContent>
      </w:r>
    </w:p>
    <w:p>
      <w:pPr>
        <w:spacing w:line="600" w:lineRule="exact"/>
        <w:ind w:left="140" w:hanging="140"/>
        <w:jc w:val="left"/>
        <w:rPr>
          <w:rFonts w:ascii="仿宋" w:hAnsi="仿宋" w:eastAsia="仿宋" w:cs="仿宋_GB2312"/>
          <w:bCs/>
          <w:kern w:val="1"/>
          <w:sz w:val="32"/>
          <w:szCs w:val="32"/>
        </w:rPr>
      </w:pPr>
    </w:p>
    <w:p>
      <w:pPr>
        <w:spacing w:line="600" w:lineRule="exact"/>
        <w:ind w:left="140" w:hanging="140"/>
        <w:jc w:val="left"/>
        <w:rPr>
          <w:rFonts w:ascii="仿宋" w:hAnsi="仿宋" w:eastAsia="仿宋" w:cs="仿宋_GB2312"/>
          <w:kern w:val="1"/>
          <w:sz w:val="32"/>
          <w:szCs w:val="32"/>
        </w:rPr>
      </w:pPr>
      <w:r>
        <w:rPr>
          <w:rFonts w:hint="eastAsia" w:ascii="仿宋" w:hAnsi="仿宋" w:eastAsia="仿宋" w:cs="仿宋_GB2312"/>
          <w:bCs/>
          <w:kern w:val="1"/>
          <w:sz w:val="32"/>
          <w:szCs w:val="32"/>
        </w:rPr>
        <w:t>当事人：</w:t>
      </w:r>
      <w:r>
        <w:rPr>
          <w:rFonts w:hint="eastAsia" w:ascii="仿宋" w:hAnsi="仿宋" w:eastAsia="仿宋" w:cs="仿宋_GB2312"/>
          <w:kern w:val="1"/>
          <w:sz w:val="32"/>
          <w:szCs w:val="32"/>
        </w:rPr>
        <w:t xml:space="preserve">偃师市伊洛街道办事处田园副食超市                              </w:t>
      </w:r>
    </w:p>
    <w:p>
      <w:pPr>
        <w:spacing w:line="600" w:lineRule="exact"/>
        <w:ind w:left="140" w:hanging="140"/>
        <w:jc w:val="left"/>
        <w:rPr>
          <w:rFonts w:ascii="仿宋" w:hAnsi="仿宋" w:eastAsia="仿宋" w:cs="仿宋_GB2312"/>
          <w:kern w:val="1"/>
          <w:sz w:val="32"/>
          <w:szCs w:val="32"/>
        </w:rPr>
      </w:pPr>
      <w:r>
        <w:rPr>
          <w:rFonts w:hint="eastAsia" w:ascii="仿宋" w:hAnsi="仿宋" w:eastAsia="仿宋" w:cs="仿宋_GB2312"/>
          <w:kern w:val="1"/>
          <w:sz w:val="32"/>
          <w:szCs w:val="32"/>
        </w:rPr>
        <w:t xml:space="preserve">主体资格证照名称：营业执照                              </w:t>
      </w:r>
    </w:p>
    <w:p>
      <w:pPr>
        <w:spacing w:line="600" w:lineRule="exact"/>
        <w:ind w:left="140" w:hanging="140"/>
        <w:jc w:val="left"/>
        <w:rPr>
          <w:rFonts w:ascii="仿宋" w:hAnsi="仿宋" w:eastAsia="仿宋" w:cs="仿宋_GB2312"/>
          <w:kern w:val="1"/>
          <w:sz w:val="32"/>
          <w:szCs w:val="32"/>
        </w:rPr>
      </w:pPr>
      <w:r>
        <w:rPr>
          <w:rFonts w:hint="eastAsia" w:ascii="仿宋" w:hAnsi="仿宋" w:eastAsia="仿宋" w:cs="仿宋_GB2312"/>
          <w:kern w:val="1"/>
          <w:sz w:val="32"/>
          <w:szCs w:val="32"/>
        </w:rPr>
        <w:t xml:space="preserve">统一社会信用代码：92410381MA40XE1GXT                       </w:t>
      </w:r>
    </w:p>
    <w:p>
      <w:pPr>
        <w:spacing w:line="600" w:lineRule="exact"/>
        <w:ind w:left="140" w:hanging="140"/>
        <w:jc w:val="left"/>
        <w:rPr>
          <w:rFonts w:ascii="仿宋" w:hAnsi="仿宋" w:eastAsia="仿宋" w:cs="仿宋_GB2312"/>
          <w:kern w:val="1"/>
          <w:sz w:val="32"/>
          <w:szCs w:val="32"/>
        </w:rPr>
      </w:pPr>
      <w:r>
        <w:rPr>
          <w:rFonts w:hint="eastAsia" w:ascii="仿宋" w:hAnsi="仿宋" w:eastAsia="仿宋" w:cs="仿宋_GB2312"/>
          <w:kern w:val="1"/>
          <w:sz w:val="32"/>
          <w:szCs w:val="32"/>
        </w:rPr>
        <w:t>经营场所：</w:t>
      </w:r>
      <w:r>
        <w:rPr>
          <w:rFonts w:hint="eastAsia" w:ascii="仿宋" w:hAnsi="仿宋" w:eastAsia="仿宋" w:cs="仿宋_GB2312"/>
          <w:w w:val="96"/>
          <w:kern w:val="1"/>
          <w:sz w:val="32"/>
          <w:szCs w:val="32"/>
        </w:rPr>
        <w:t>偃师市伊洛街道办事处首阳路中段（城市花园楼下)</w:t>
      </w:r>
      <w:r>
        <w:rPr>
          <w:rFonts w:hint="eastAsia" w:ascii="仿宋" w:hAnsi="仿宋" w:eastAsia="仿宋" w:cs="仿宋_GB2312"/>
          <w:kern w:val="1"/>
          <w:sz w:val="32"/>
          <w:szCs w:val="32"/>
        </w:rPr>
        <w:t xml:space="preserve">                    </w:t>
      </w:r>
    </w:p>
    <w:p>
      <w:pPr>
        <w:spacing w:line="600" w:lineRule="exact"/>
        <w:ind w:left="140" w:hanging="140"/>
        <w:jc w:val="left"/>
        <w:rPr>
          <w:rFonts w:ascii="仿宋" w:hAnsi="仿宋" w:eastAsia="仿宋" w:cs="仿宋_GB2312"/>
          <w:kern w:val="1"/>
          <w:sz w:val="32"/>
          <w:szCs w:val="32"/>
        </w:rPr>
      </w:pPr>
      <w:r>
        <w:rPr>
          <w:rFonts w:hint="eastAsia" w:ascii="仿宋" w:hAnsi="仿宋" w:eastAsia="仿宋" w:cs="仿宋_GB2312"/>
          <w:kern w:val="1"/>
          <w:sz w:val="32"/>
          <w:szCs w:val="32"/>
        </w:rPr>
        <w:t xml:space="preserve">经营者：高亚可                                           </w:t>
      </w:r>
    </w:p>
    <w:p>
      <w:pPr>
        <w:spacing w:line="600" w:lineRule="exact"/>
        <w:ind w:left="140" w:hanging="140"/>
        <w:jc w:val="left"/>
        <w:rPr>
          <w:rFonts w:ascii="仿宋" w:hAnsi="仿宋" w:eastAsia="仿宋" w:cs="仿宋_GB2312"/>
          <w:kern w:val="1"/>
          <w:sz w:val="32"/>
          <w:szCs w:val="32"/>
        </w:rPr>
      </w:pPr>
      <w:bookmarkStart w:id="4" w:name="_GoBack"/>
      <w:bookmarkEnd w:id="4"/>
      <w:r>
        <w:rPr>
          <w:rFonts w:hint="eastAsia" w:ascii="仿宋" w:hAnsi="仿宋" w:eastAsia="仿宋" w:cs="仿宋_GB2312"/>
          <w:kern w:val="1"/>
          <w:sz w:val="32"/>
          <w:szCs w:val="32"/>
        </w:rPr>
        <w:t xml:space="preserve">                            </w:t>
      </w:r>
    </w:p>
    <w:p>
      <w:pPr>
        <w:pStyle w:val="2"/>
        <w:tabs>
          <w:tab w:val="left" w:pos="9060"/>
        </w:tabs>
        <w:spacing w:line="600" w:lineRule="exact"/>
        <w:ind w:firstLine="640" w:firstLineChars="200"/>
        <w:rPr>
          <w:rFonts w:ascii="仿宋" w:hAnsi="仿宋" w:eastAsia="仿宋" w:cs="仿宋_GB2312"/>
          <w:color w:val="000000"/>
        </w:rPr>
      </w:pPr>
      <w:r>
        <w:rPr>
          <w:rFonts w:hint="eastAsia" w:ascii="仿宋" w:hAnsi="仿宋" w:eastAsia="仿宋" w:cs="仿宋_GB2312"/>
          <w:color w:val="000000"/>
        </w:rPr>
        <w:t>2022年5月23日，我局执法人员对偃师市伊洛街道办事处田园副食超市进行现场检查时,发现当事人超市内经营的剑南春酒（净含量500ML，酒精度52度，四川绵竹剑南春酒厂有限公司）1箱（6瓶/箱）另4瓶，共计10瓶。上述10瓶剑南春酒经厂家专业打假人辨认结论为辨认样品不是其公司生产的产品，侵犯了其公司“剑南春”注册商标专用权。经查，当事人没有执行进销货查验制度，也没有建立台账。据当事人叙述，上述剑南春酒是其2020年12月15日从一陌生人手中购进的，共购进2箱（6瓶/箱），标识为“净含量500ML，酒精度52度，四川绵竹剑南春酒厂有限公司”，共计12瓶，购进价格1800元/箱，计300元/瓶，在当事人超市销售了2瓶，销售价格400元/瓶，总货值4800元。</w:t>
      </w:r>
    </w:p>
    <w:p>
      <w:pPr>
        <w:pStyle w:val="2"/>
        <w:tabs>
          <w:tab w:val="left" w:pos="9060"/>
        </w:tabs>
        <w:spacing w:line="600" w:lineRule="exact"/>
        <w:ind w:firstLine="640" w:firstLineChars="200"/>
        <w:rPr>
          <w:rFonts w:ascii="仿宋" w:hAnsi="仿宋" w:eastAsia="仿宋" w:cs="仿宋_GB2312"/>
          <w:color w:val="000000"/>
        </w:rPr>
      </w:pPr>
      <w:r>
        <w:rPr>
          <w:rFonts w:hint="eastAsia" w:ascii="仿宋" w:hAnsi="仿宋" w:eastAsia="仿宋" w:cs="仿宋_GB2312"/>
          <w:color w:val="000000"/>
        </w:rPr>
        <w:t>上述事实，主要有以下证据证明：</w:t>
      </w:r>
    </w:p>
    <w:p>
      <w:pPr>
        <w:pStyle w:val="2"/>
        <w:tabs>
          <w:tab w:val="left" w:pos="9060"/>
        </w:tabs>
        <w:spacing w:line="600" w:lineRule="exact"/>
        <w:ind w:firstLine="640" w:firstLineChars="200"/>
        <w:rPr>
          <w:rFonts w:ascii="仿宋" w:hAnsi="仿宋" w:eastAsia="仿宋" w:cs="仿宋_GB2312"/>
          <w:color w:val="000000"/>
        </w:rPr>
      </w:pPr>
      <w:r>
        <w:rPr>
          <w:rFonts w:hint="eastAsia" w:ascii="仿宋" w:hAnsi="仿宋" w:eastAsia="仿宋" w:cs="仿宋_GB2312"/>
          <w:color w:val="000000"/>
        </w:rPr>
        <w:t>1．现场笔录1份，证明2022年5月23日执法人员现场检查发现当事人销售侵犯注册商标专用权剑南春酒；</w:t>
      </w:r>
    </w:p>
    <w:p>
      <w:pPr>
        <w:pStyle w:val="2"/>
        <w:tabs>
          <w:tab w:val="left" w:pos="9060"/>
        </w:tabs>
        <w:spacing w:line="600" w:lineRule="exact"/>
        <w:ind w:firstLine="640" w:firstLineChars="200"/>
        <w:rPr>
          <w:rFonts w:ascii="仿宋" w:hAnsi="仿宋" w:eastAsia="仿宋" w:cs="仿宋_GB2312"/>
          <w:color w:val="000000"/>
        </w:rPr>
      </w:pPr>
      <w:r>
        <w:rPr>
          <w:rFonts w:hint="eastAsia" w:ascii="仿宋" w:hAnsi="仿宋" w:eastAsia="仿宋" w:cs="仿宋_GB2312"/>
          <w:color w:val="000000"/>
        </w:rPr>
        <w:t xml:space="preserve">2．询问笔录1份，证明当事人对相关违法行为的陈述；           </w:t>
      </w:r>
    </w:p>
    <w:p>
      <w:pPr>
        <w:pStyle w:val="2"/>
        <w:tabs>
          <w:tab w:val="left" w:pos="9060"/>
        </w:tabs>
        <w:spacing w:line="600" w:lineRule="exact"/>
        <w:ind w:firstLine="640" w:firstLineChars="200"/>
        <w:rPr>
          <w:rFonts w:ascii="仿宋" w:hAnsi="仿宋" w:eastAsia="仿宋" w:cs="仿宋_GB2312"/>
          <w:color w:val="000000"/>
        </w:rPr>
      </w:pPr>
      <w:r>
        <w:rPr>
          <w:rFonts w:hint="eastAsia" w:ascii="仿宋" w:hAnsi="仿宋" w:eastAsia="仿宋" w:cs="仿宋_GB2312"/>
          <w:color w:val="000000"/>
        </w:rPr>
        <w:t>3．营业执照及经营者身份证复印件，证明当事人的登记注册情况及经营者</w:t>
      </w:r>
      <w:r>
        <w:rPr>
          <w:rFonts w:hint="eastAsia" w:ascii="仿宋" w:hAnsi="仿宋" w:eastAsia="仿宋" w:cs="仿宋_GB2312"/>
          <w:kern w:val="1"/>
        </w:rPr>
        <w:t>高亚可</w:t>
      </w:r>
      <w:r>
        <w:rPr>
          <w:rFonts w:hint="eastAsia" w:ascii="仿宋" w:hAnsi="仿宋" w:eastAsia="仿宋" w:cs="仿宋_GB2312"/>
          <w:color w:val="000000"/>
        </w:rPr>
        <w:t>身份；</w:t>
      </w:r>
    </w:p>
    <w:p>
      <w:pPr>
        <w:pStyle w:val="2"/>
        <w:tabs>
          <w:tab w:val="left" w:pos="9060"/>
        </w:tabs>
        <w:spacing w:line="600" w:lineRule="exact"/>
        <w:ind w:firstLine="640" w:firstLineChars="200"/>
        <w:rPr>
          <w:rFonts w:ascii="仿宋" w:hAnsi="仿宋" w:eastAsia="仿宋" w:cs="仿宋_GB2312"/>
          <w:color w:val="000000"/>
        </w:rPr>
      </w:pPr>
      <w:r>
        <w:rPr>
          <w:rFonts w:hint="eastAsia" w:ascii="仿宋" w:hAnsi="仿宋" w:eastAsia="仿宋" w:cs="仿宋_GB2312"/>
          <w:color w:val="000000"/>
        </w:rPr>
        <w:t>4.四川绵竹剑南春酒厂有限公司辨认意见书1份，证明 当事人经营的剑南春酒侵犯了该公司“剑南春”注册商标专用权；</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5．现场照片7张，证明当事人经营侵犯注册商标专用权剑南春酒现场情况；</w:t>
      </w:r>
    </w:p>
    <w:p>
      <w:pPr>
        <w:spacing w:line="600" w:lineRule="exact"/>
        <w:ind w:firstLine="640" w:firstLineChars="200"/>
        <w:rPr>
          <w:rFonts w:ascii="仿宋" w:hAnsi="仿宋" w:eastAsia="仿宋" w:cs="仿宋_GB2312"/>
          <w:sz w:val="32"/>
          <w:szCs w:val="32"/>
          <w:u w:val="single"/>
        </w:rPr>
      </w:pPr>
      <w:r>
        <w:rPr>
          <w:rFonts w:hint="eastAsia" w:ascii="仿宋" w:hAnsi="仿宋" w:eastAsia="仿宋" w:cs="仿宋_GB2312"/>
          <w:sz w:val="32"/>
          <w:szCs w:val="32"/>
        </w:rPr>
        <w:t>6．查封扣押通知书1份，证明现场查封扣押侵犯注册商标专用权剑南春酒情况。</w:t>
      </w:r>
    </w:p>
    <w:p>
      <w:pPr>
        <w:pStyle w:val="2"/>
        <w:tabs>
          <w:tab w:val="left" w:pos="9060"/>
        </w:tabs>
        <w:spacing w:line="600" w:lineRule="exact"/>
        <w:ind w:firstLine="640" w:firstLineChars="200"/>
        <w:rPr>
          <w:rFonts w:ascii="仿宋" w:hAnsi="仿宋" w:eastAsia="仿宋" w:cs="仿宋_GB2312"/>
          <w:bCs/>
          <w:color w:val="000000"/>
        </w:rPr>
      </w:pPr>
      <w:r>
        <w:rPr>
          <w:rFonts w:hint="eastAsia" w:ascii="仿宋" w:hAnsi="仿宋" w:eastAsia="仿宋" w:cs="仿宋_GB2312"/>
          <w:bCs/>
          <w:color w:val="231F20"/>
        </w:rPr>
        <w:t>2022年6月16日，我局执法人员向当事人送达了偃市监罚告〔2022〕70号行政处罚听证告知书。当事人签收后在法定期限内未提出陈述、申辩，也未要求听证。</w:t>
      </w:r>
      <w:r>
        <w:rPr>
          <w:rFonts w:hint="eastAsia" w:ascii="仿宋" w:hAnsi="仿宋" w:eastAsia="仿宋" w:cs="仿宋_GB2312"/>
          <w:bCs/>
          <w:color w:val="000000"/>
        </w:rPr>
        <w:t xml:space="preserve">                 </w:t>
      </w:r>
    </w:p>
    <w:p>
      <w:pPr>
        <w:pStyle w:val="2"/>
        <w:spacing w:line="600" w:lineRule="exact"/>
        <w:ind w:firstLine="627" w:firstLineChars="196"/>
        <w:rPr>
          <w:rFonts w:ascii="仿宋" w:hAnsi="仿宋" w:eastAsia="仿宋" w:cs="仿宋_GB2312"/>
          <w:kern w:val="1"/>
        </w:rPr>
      </w:pPr>
      <w:r>
        <w:rPr>
          <w:rFonts w:hint="eastAsia" w:ascii="仿宋" w:hAnsi="仿宋" w:eastAsia="仿宋" w:cs="仿宋_GB2312"/>
          <w:kern w:val="1"/>
        </w:rPr>
        <w:t>本局认为，当事人的行为属于《中华人民共和国商标法》第五十七条“有下列行为之一的，均属侵犯注册商标专用权：（三）销售侵犯注册商标专用权的商品的；”规定的侵犯注册商标专用权行为，</w:t>
      </w:r>
      <w:r>
        <w:rPr>
          <w:rFonts w:hint="eastAsia" w:ascii="仿宋" w:hAnsi="仿宋" w:eastAsia="仿宋" w:cs="仿宋_GB2312"/>
        </w:rPr>
        <w:t>本案当事人没有执行进销货查验制度，没有建立进销货台账，不能证明该商品是自己合法取得并说明提供者，且</w:t>
      </w:r>
      <w:r>
        <w:rPr>
          <w:rFonts w:hint="eastAsia" w:ascii="仿宋" w:hAnsi="仿宋" w:eastAsia="仿宋" w:cs="仿宋_GB2312"/>
          <w:bCs/>
        </w:rPr>
        <w:t>违法经营额不足5万元</w:t>
      </w:r>
      <w:r>
        <w:rPr>
          <w:rFonts w:hint="eastAsia" w:ascii="仿宋" w:hAnsi="仿宋" w:eastAsia="仿宋" w:cs="仿宋_GB2312"/>
        </w:rPr>
        <w:t>。</w:t>
      </w:r>
      <w:r>
        <w:rPr>
          <w:rFonts w:hint="eastAsia" w:ascii="仿宋" w:hAnsi="仿宋" w:eastAsia="仿宋" w:cs="仿宋_GB2312"/>
          <w:bCs/>
        </w:rPr>
        <w:t>根据其违法的事实、性质、情节，其行为属于一般违法行为，应给予一般行政处罚。</w:t>
      </w:r>
    </w:p>
    <w:p>
      <w:pPr>
        <w:widowControl/>
        <w:spacing w:line="600" w:lineRule="exact"/>
        <w:ind w:firstLine="640" w:firstLineChars="200"/>
        <w:jc w:val="left"/>
        <w:rPr>
          <w:rFonts w:ascii="仿宋" w:hAnsi="仿宋" w:eastAsia="仿宋" w:cs="仿宋_GB2312"/>
          <w:color w:val="000000"/>
          <w:sz w:val="32"/>
          <w:szCs w:val="32"/>
        </w:rPr>
      </w:pPr>
      <w:r>
        <w:rPr>
          <w:rFonts w:hint="eastAsia" w:ascii="仿宋" w:hAnsi="仿宋" w:eastAsia="仿宋" w:cs="仿宋_GB2312"/>
          <w:bCs/>
          <w:kern w:val="0"/>
          <w:sz w:val="32"/>
          <w:szCs w:val="32"/>
        </w:rPr>
        <w:t>综上所述，依据《中华人民共和国商标法》第六十条“有本法第五十七条所列侵犯注册商标专用权行为之一，引起纠纷的，由当事人协商解决；不愿协商或者协商不成的，商标注册人或者利害关系人可以向人民法院起诉，也可以请求工商行政管理部门处理。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的规定，责令当事人立即停止侵权行为，并处罚如下：</w:t>
      </w:r>
      <w:r>
        <w:rPr>
          <w:rFonts w:hint="eastAsia" w:ascii="仿宋" w:hAnsi="仿宋" w:eastAsia="仿宋" w:cs="仿宋_GB2312"/>
          <w:bCs/>
          <w:sz w:val="32"/>
          <w:szCs w:val="32"/>
        </w:rPr>
        <w:t>1.没收侵犯注册商标专用权</w:t>
      </w:r>
      <w:r>
        <w:rPr>
          <w:rFonts w:hint="eastAsia" w:ascii="仿宋" w:hAnsi="仿宋" w:eastAsia="仿宋" w:cs="仿宋_GB2312"/>
          <w:sz w:val="32"/>
          <w:szCs w:val="32"/>
        </w:rPr>
        <w:t>剑南春酒10瓶</w:t>
      </w:r>
      <w:r>
        <w:rPr>
          <w:rFonts w:hint="eastAsia" w:ascii="仿宋" w:hAnsi="仿宋" w:eastAsia="仿宋" w:cs="仿宋_GB2312"/>
          <w:bCs/>
          <w:sz w:val="32"/>
          <w:szCs w:val="32"/>
        </w:rPr>
        <w:t>；2.罚款人民币10000元整。</w:t>
      </w:r>
    </w:p>
    <w:p>
      <w:pPr>
        <w:autoSpaceDE w:val="0"/>
        <w:autoSpaceDN w:val="0"/>
        <w:adjustRightInd w:val="0"/>
        <w:spacing w:line="600" w:lineRule="exact"/>
        <w:ind w:right="162" w:firstLine="640" w:firstLineChars="200"/>
        <w:textAlignment w:val="baseline"/>
        <w:rPr>
          <w:rFonts w:ascii="仿宋" w:hAnsi="仿宋" w:eastAsia="仿宋"/>
          <w:color w:val="000000"/>
          <w:sz w:val="32"/>
          <w:szCs w:val="32"/>
        </w:rPr>
      </w:pPr>
      <w:r>
        <w:rPr>
          <w:rFonts w:hint="eastAsia" w:ascii="仿宋" w:hAnsi="仿宋" w:eastAsia="仿宋"/>
          <w:color w:val="000000"/>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 xml:space="preserve">根据《行政处罚法》第七十二条规定，当事人逾期不履行行政处罚决定的，本机关可以采取以下措施：（一）到期不缴纳罚款的，每日按罚款数额的百分之三加处罚款；（二）申请人民法院强制执行。            </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如不服本处罚决定，可自接文之日起六十日内向洛阳市偃师区人民政府申请复议，也可于接文之日起六个月内向洛阳市偃师区人民法院提起诉讼。逾期不履行本处罚决定的，我局将依法申请人民法院强制执行。</w:t>
      </w:r>
    </w:p>
    <w:p>
      <w:pPr>
        <w:spacing w:line="600" w:lineRule="exact"/>
        <w:ind w:left="5760" w:hanging="5760" w:hangingChars="1800"/>
        <w:rPr>
          <w:rFonts w:ascii="仿宋" w:hAnsi="仿宋" w:eastAsia="仿宋" w:cs="仿宋"/>
          <w:bCs/>
          <w:kern w:val="0"/>
          <w:sz w:val="32"/>
          <w:szCs w:val="32"/>
        </w:rPr>
      </w:pPr>
      <w:r>
        <w:rPr>
          <w:rFonts w:hint="eastAsia" w:ascii="仿宋" w:hAnsi="仿宋" w:eastAsia="仿宋"/>
          <w:color w:val="000000"/>
          <w:sz w:val="32"/>
          <w:szCs w:val="32"/>
        </w:rPr>
        <w:t xml:space="preserve">           </w:t>
      </w:r>
      <w:r>
        <w:rPr>
          <w:rFonts w:hint="eastAsia" w:ascii="仿宋" w:hAnsi="仿宋" w:eastAsia="仿宋" w:cs="仿宋"/>
          <w:bCs/>
          <w:kern w:val="0"/>
          <w:sz w:val="32"/>
          <w:szCs w:val="32"/>
        </w:rPr>
        <w:t xml:space="preserve">                 </w:t>
      </w:r>
    </w:p>
    <w:p>
      <w:pPr>
        <w:spacing w:line="600" w:lineRule="exact"/>
        <w:ind w:left="5760" w:hanging="5760" w:hangingChars="1800"/>
        <w:rPr>
          <w:rFonts w:ascii="仿宋" w:hAnsi="仿宋" w:eastAsia="仿宋" w:cs="仿宋"/>
          <w:bCs/>
          <w:kern w:val="0"/>
          <w:sz w:val="32"/>
          <w:szCs w:val="32"/>
        </w:rPr>
      </w:pPr>
    </w:p>
    <w:p>
      <w:pPr>
        <w:spacing w:line="600" w:lineRule="exact"/>
        <w:ind w:left="5760" w:hanging="5760" w:hangingChars="1800"/>
        <w:rPr>
          <w:rFonts w:hint="eastAsia" w:ascii="仿宋" w:hAnsi="仿宋" w:eastAsia="仿宋" w:cs="仿宋"/>
          <w:bCs/>
          <w:kern w:val="0"/>
          <w:sz w:val="32"/>
          <w:szCs w:val="32"/>
        </w:rPr>
      </w:pPr>
    </w:p>
    <w:p>
      <w:pPr>
        <w:spacing w:line="600" w:lineRule="exact"/>
        <w:ind w:left="5760" w:hanging="5760" w:hangingChars="1800"/>
        <w:rPr>
          <w:rFonts w:ascii="仿宋" w:hAnsi="仿宋" w:eastAsia="仿宋" w:cs="仿宋"/>
          <w:kern w:val="0"/>
          <w:sz w:val="32"/>
          <w:szCs w:val="32"/>
        </w:rPr>
      </w:pPr>
      <w:r>
        <w:rPr>
          <w:rFonts w:hint="eastAsia" w:ascii="仿宋" w:hAnsi="仿宋" w:eastAsia="仿宋" w:cs="仿宋"/>
          <w:bCs/>
          <w:kern w:val="0"/>
          <w:sz w:val="32"/>
          <w:szCs w:val="32"/>
        </w:rPr>
        <w:t xml:space="preserve">                </w:t>
      </w:r>
      <w:r>
        <w:rPr>
          <w:rFonts w:ascii="仿宋" w:hAnsi="仿宋" w:eastAsia="仿宋" w:cs="仿宋"/>
          <w:bCs/>
          <w:kern w:val="0"/>
          <w:sz w:val="32"/>
          <w:szCs w:val="32"/>
        </w:rPr>
        <w:t xml:space="preserve"> </w:t>
      </w:r>
      <w:r>
        <w:rPr>
          <w:rFonts w:hint="eastAsia" w:ascii="仿宋" w:hAnsi="仿宋" w:eastAsia="仿宋" w:cs="仿宋"/>
          <w:bCs/>
          <w:kern w:val="0"/>
          <w:sz w:val="32"/>
          <w:szCs w:val="32"/>
        </w:rPr>
        <w:t>洛阳市</w:t>
      </w:r>
      <w:r>
        <w:rPr>
          <w:rFonts w:hint="eastAsia" w:ascii="仿宋" w:hAnsi="仿宋" w:eastAsia="仿宋" w:cs="仿宋"/>
          <w:kern w:val="0"/>
          <w:sz w:val="32"/>
          <w:szCs w:val="32"/>
        </w:rPr>
        <w:t>偃师区市场监督管理局</w:t>
      </w:r>
    </w:p>
    <w:p>
      <w:pPr>
        <w:spacing w:line="600" w:lineRule="exact"/>
        <w:ind w:left="218" w:hanging="217" w:hangingChars="68"/>
        <w:rPr>
          <w:rFonts w:ascii="仿宋" w:hAnsi="仿宋" w:eastAsia="仿宋" w:cs="仿宋"/>
          <w:kern w:val="0"/>
          <w:sz w:val="32"/>
          <w:szCs w:val="32"/>
        </w:rPr>
      </w:pPr>
      <w:r>
        <w:rPr>
          <w:rFonts w:hint="eastAsia" w:ascii="仿宋" w:hAnsi="仿宋" w:eastAsia="仿宋" w:cs="仿宋"/>
          <w:kern w:val="0"/>
          <w:sz w:val="32"/>
          <w:szCs w:val="32"/>
        </w:rPr>
        <w:t xml:space="preserve">                            </w:t>
      </w:r>
    </w:p>
    <w:p>
      <w:pPr>
        <w:spacing w:line="600" w:lineRule="exact"/>
        <w:ind w:firstLine="3840" w:firstLineChars="1200"/>
        <w:rPr>
          <w:rFonts w:ascii="仿宋_GB2312" w:hAnsi="仿宋" w:eastAsia="仿宋_GB2312" w:cs="仿宋"/>
          <w:kern w:val="0"/>
          <w:sz w:val="32"/>
          <w:szCs w:val="32"/>
        </w:rPr>
      </w:pPr>
      <w:r>
        <w:rPr>
          <w:rFonts w:hint="eastAsia" w:ascii="仿宋" w:hAnsi="仿宋" w:eastAsia="仿宋" w:cs="仿宋"/>
          <w:kern w:val="0"/>
          <w:sz w:val="32"/>
          <w:szCs w:val="32"/>
        </w:rPr>
        <w:t>2022年</w:t>
      </w:r>
      <w:r>
        <w:rPr>
          <w:rFonts w:ascii="仿宋" w:hAnsi="仿宋" w:eastAsia="仿宋" w:cs="仿宋"/>
          <w:kern w:val="0"/>
          <w:sz w:val="32"/>
          <w:szCs w:val="32"/>
        </w:rPr>
        <w:t>7</w:t>
      </w:r>
      <w:r>
        <w:rPr>
          <w:rFonts w:hint="eastAsia" w:ascii="仿宋" w:hAnsi="仿宋" w:eastAsia="仿宋" w:cs="仿宋"/>
          <w:kern w:val="0"/>
          <w:sz w:val="32"/>
          <w:szCs w:val="32"/>
        </w:rPr>
        <w:t>月</w:t>
      </w:r>
      <w:r>
        <w:rPr>
          <w:rFonts w:ascii="仿宋" w:hAnsi="仿宋" w:eastAsia="仿宋" w:cs="仿宋"/>
          <w:kern w:val="0"/>
          <w:sz w:val="32"/>
          <w:szCs w:val="32"/>
        </w:rPr>
        <w:t>5</w:t>
      </w:r>
      <w:r>
        <w:rPr>
          <w:rFonts w:hint="eastAsia" w:ascii="仿宋" w:hAnsi="仿宋" w:eastAsia="仿宋" w:cs="仿宋"/>
          <w:kern w:val="0"/>
          <w:sz w:val="32"/>
          <w:szCs w:val="32"/>
        </w:rPr>
        <w:t xml:space="preserve">日 </w:t>
      </w:r>
      <w:r>
        <w:rPr>
          <w:rFonts w:hint="eastAsia" w:ascii="仿宋_GB2312" w:hAnsi="仿宋" w:eastAsia="仿宋_GB2312" w:cs="仿宋"/>
          <w:kern w:val="0"/>
          <w:sz w:val="32"/>
          <w:szCs w:val="32"/>
        </w:rPr>
        <w:t xml:space="preserve"> </w:t>
      </w:r>
    </w:p>
    <w:p>
      <w:pPr>
        <w:spacing w:line="540" w:lineRule="exact"/>
        <w:ind w:left="218" w:firstLine="4160" w:firstLineChars="1300"/>
        <w:rPr>
          <w:rFonts w:ascii="仿宋_GB2312" w:hAnsi="仿宋" w:eastAsia="仿宋_GB2312" w:cs="仿宋"/>
          <w:kern w:val="0"/>
          <w:sz w:val="32"/>
          <w:szCs w:val="32"/>
        </w:rPr>
      </w:pPr>
    </w:p>
    <w:p>
      <w:pPr>
        <w:spacing w:line="540" w:lineRule="exact"/>
        <w:ind w:left="218" w:firstLine="4160" w:firstLineChars="1300"/>
        <w:rPr>
          <w:rFonts w:ascii="仿宋_GB2312" w:hAnsi="仿宋" w:eastAsia="仿宋_GB2312" w:cs="仿宋"/>
          <w:kern w:val="0"/>
          <w:sz w:val="32"/>
          <w:szCs w:val="32"/>
        </w:rPr>
      </w:pPr>
    </w:p>
    <w:p>
      <w:pPr>
        <w:spacing w:line="540" w:lineRule="exact"/>
        <w:ind w:left="218" w:firstLine="4160" w:firstLineChars="1300"/>
        <w:rPr>
          <w:rFonts w:ascii="仿宋_GB2312" w:hAnsi="仿宋" w:eastAsia="仿宋_GB2312" w:cs="仿宋"/>
          <w:kern w:val="0"/>
          <w:sz w:val="32"/>
          <w:szCs w:val="32"/>
        </w:rPr>
      </w:pPr>
    </w:p>
    <w:p>
      <w:pPr>
        <w:pStyle w:val="2"/>
        <w:tabs>
          <w:tab w:val="left" w:pos="6680"/>
          <w:tab w:val="left" w:pos="8920"/>
        </w:tabs>
        <w:spacing w:line="600" w:lineRule="exact"/>
        <w:jc w:val="both"/>
        <w:textAlignment w:val="baseline"/>
        <w:rPr>
          <w:rFonts w:ascii="仿宋_GB2312" w:hAnsi="仿宋" w:eastAsia="仿宋_GB2312" w:cs="仿宋"/>
          <w:spacing w:val="-20"/>
        </w:rPr>
      </w:pPr>
      <w:r>
        <w:rPr>
          <w:rFonts w:ascii="仿宋_GB2312" w:hAnsi="仿宋" w:eastAsia="仿宋_GB2312" w:cs="仿宋"/>
          <w:spacing w:val="-20"/>
        </w:rPr>
        <mc:AlternateContent>
          <mc:Choice Requires="wps">
            <w:drawing>
              <wp:anchor distT="0" distB="0" distL="114300" distR="114300" simplePos="0" relativeHeight="251661312" behindDoc="0" locked="0" layoutInCell="1" allowOverlap="1">
                <wp:simplePos x="0" y="0"/>
                <wp:positionH relativeFrom="column">
                  <wp:posOffset>57785</wp:posOffset>
                </wp:positionH>
                <wp:positionV relativeFrom="paragraph">
                  <wp:posOffset>356235</wp:posOffset>
                </wp:positionV>
                <wp:extent cx="4981575" cy="34290"/>
                <wp:effectExtent l="0" t="0" r="10160" b="23495"/>
                <wp:wrapNone/>
                <wp:docPr id="2" name="直接连接符 2"/>
                <wp:cNvGraphicFramePr/>
                <a:graphic xmlns:a="http://schemas.openxmlformats.org/drawingml/2006/main">
                  <a:graphicData uri="http://schemas.microsoft.com/office/word/2010/wordprocessingShape">
                    <wps:wsp>
                      <wps:cNvCnPr/>
                      <wps:spPr>
                        <a:xfrm flipV="1">
                          <a:off x="0" y="0"/>
                          <a:ext cx="4981433" cy="34119"/>
                        </a:xfrm>
                        <a:prstGeom prst="line">
                          <a:avLst/>
                        </a:prstGeom>
                        <a:ln w="12700" cap="flat" cmpd="sng">
                          <a:solidFill>
                            <a:srgbClr val="000000"/>
                          </a:solidFill>
                          <a:prstDash val="solid"/>
                          <a:bevel/>
                          <a:headEnd type="none" w="med" len="med"/>
                          <a:tailEnd type="none" w="med" len="med"/>
                        </a:ln>
                        <a:effectLst/>
                      </wps:spPr>
                      <wps:bodyPr/>
                    </wps:wsp>
                  </a:graphicData>
                </a:graphic>
              </wp:anchor>
            </w:drawing>
          </mc:Choice>
          <mc:Fallback>
            <w:pict>
              <v:line id="_x0000_s1026" o:spid="_x0000_s1026" o:spt="20" style="position:absolute;left:0pt;flip:y;margin-left:4.55pt;margin-top:28.05pt;height:2.7pt;width:392.25pt;z-index:251661312;mso-width-relative:page;mso-height-relative:page;" filled="f" stroked="t" coordsize="21600,21600" o:gfxdata="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rMsIK1gAAAAcBAAAPAAAAAAAAAAEAIAAAACIAAABkcnMvZG93&#10;bnJldi54bWxQSwECFAAUAAAACACHTuJAWz5nqgICAAD/AwAADgAAAAAAAAABACAAAAAlAQAAZHJz&#10;L2Uyb0RvYy54bWxQSwUGAAAAAAYABgBZAQAAmQUAAAAA&#10;">
                <v:fill on="f" focussize="0,0"/>
                <v:stroke weight="1pt" color="#000000" joinstyle="bevel"/>
                <v:imagedata o:title=""/>
                <o:lock v:ext="edit" aspectratio="f"/>
              </v:line>
            </w:pict>
          </mc:Fallback>
        </mc:AlternateContent>
      </w:r>
      <w:r>
        <w:rPr>
          <w:rFonts w:hint="eastAsia" w:ascii="仿宋_GB2312" w:hAnsi="仿宋" w:eastAsia="仿宋_GB2312" w:cs="仿宋"/>
          <w:spacing w:val="-20"/>
        </w:rPr>
        <w:t>（市场监督管理部门将依法向社会公示本行政处罚决定信息）</w:t>
      </w:r>
    </w:p>
    <w:p>
      <w:pPr>
        <w:pStyle w:val="2"/>
        <w:tabs>
          <w:tab w:val="left" w:pos="6680"/>
          <w:tab w:val="left" w:pos="8920"/>
        </w:tabs>
        <w:spacing w:line="600" w:lineRule="exact"/>
        <w:jc w:val="both"/>
        <w:textAlignment w:val="baseline"/>
        <w:rPr>
          <w:rFonts w:hint="eastAsia" w:ascii="仿宋_GB2312" w:hAnsi="仿宋" w:eastAsia="仿宋_GB2312" w:cs="仿宋"/>
          <w:spacing w:val="-20"/>
        </w:rPr>
      </w:pPr>
      <w:r>
        <w:rPr>
          <w:rFonts w:hint="eastAsia" w:ascii="仿宋_GB2312" w:hAnsi="仿宋" w:eastAsia="仿宋_GB2312" w:cs="仿宋"/>
          <w:bCs/>
          <w:spacing w:val="-20"/>
        </w:rPr>
        <w:t>本文书一式</w:t>
      </w:r>
      <w:r>
        <w:rPr>
          <w:rFonts w:hint="eastAsia" w:ascii="仿宋_GB2312" w:hAnsi="仿宋" w:eastAsia="仿宋_GB2312" w:cs="仿宋"/>
          <w:bCs/>
          <w:spacing w:val="-20"/>
          <w:u w:val="single"/>
        </w:rPr>
        <w:t>三</w:t>
      </w:r>
      <w:r>
        <w:rPr>
          <w:rFonts w:hint="eastAsia" w:ascii="仿宋_GB2312" w:hAnsi="仿宋" w:eastAsia="仿宋_GB2312" w:cs="仿宋"/>
          <w:bCs/>
          <w:spacing w:val="-20"/>
        </w:rPr>
        <w:t>份，</w:t>
      </w:r>
      <w:r>
        <w:rPr>
          <w:rFonts w:hint="eastAsia" w:ascii="仿宋_GB2312" w:hAnsi="仿宋" w:eastAsia="仿宋_GB2312" w:cs="仿宋"/>
          <w:bCs/>
          <w:spacing w:val="-20"/>
          <w:u w:val="single"/>
        </w:rPr>
        <w:t>一</w:t>
      </w:r>
      <w:r>
        <w:rPr>
          <w:rFonts w:hint="eastAsia" w:ascii="仿宋_GB2312" w:hAnsi="仿宋" w:eastAsia="仿宋_GB2312" w:cs="仿宋"/>
          <w:bCs/>
          <w:spacing w:val="-20"/>
        </w:rPr>
        <w:t>份送达，</w:t>
      </w:r>
      <w:r>
        <w:rPr>
          <w:rFonts w:hint="eastAsia" w:ascii="仿宋_GB2312" w:hAnsi="仿宋" w:eastAsia="仿宋_GB2312" w:cs="仿宋"/>
          <w:bCs/>
          <w:spacing w:val="-20"/>
          <w:u w:val="single"/>
        </w:rPr>
        <w:t>一</w:t>
      </w:r>
      <w:r>
        <w:rPr>
          <w:rFonts w:hint="eastAsia" w:ascii="仿宋_GB2312" w:hAnsi="仿宋" w:eastAsia="仿宋_GB2312" w:cs="仿宋"/>
          <w:bCs/>
          <w:spacing w:val="-20"/>
        </w:rPr>
        <w:t>份归档，一份办案机构留存。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172A27"/>
    <w:rsid w:val="00172A27"/>
    <w:rsid w:val="00363F24"/>
    <w:rsid w:val="00503032"/>
    <w:rsid w:val="00686F89"/>
    <w:rsid w:val="00710815"/>
    <w:rsid w:val="008E4A1C"/>
    <w:rsid w:val="009F4CCE"/>
    <w:rsid w:val="00C57ED1"/>
    <w:rsid w:val="00DB7F10"/>
    <w:rsid w:val="087C62EA"/>
    <w:rsid w:val="0DEE0C89"/>
    <w:rsid w:val="0EDC703A"/>
    <w:rsid w:val="104355C3"/>
    <w:rsid w:val="10B36ECA"/>
    <w:rsid w:val="12035468"/>
    <w:rsid w:val="1478185D"/>
    <w:rsid w:val="18BF7CD6"/>
    <w:rsid w:val="2A5A2AA1"/>
    <w:rsid w:val="2A937AFB"/>
    <w:rsid w:val="2AE31A25"/>
    <w:rsid w:val="2C384EA7"/>
    <w:rsid w:val="30A65B9E"/>
    <w:rsid w:val="343E2513"/>
    <w:rsid w:val="37237D5B"/>
    <w:rsid w:val="472364CF"/>
    <w:rsid w:val="48F36E7F"/>
    <w:rsid w:val="4F031BFE"/>
    <w:rsid w:val="4FA6475F"/>
    <w:rsid w:val="52A44C87"/>
    <w:rsid w:val="54063F0A"/>
    <w:rsid w:val="598E1282"/>
    <w:rsid w:val="5A2A6781"/>
    <w:rsid w:val="5E6624ED"/>
    <w:rsid w:val="75D860BC"/>
    <w:rsid w:val="76134B57"/>
    <w:rsid w:val="782C03A7"/>
    <w:rsid w:val="79D43674"/>
    <w:rsid w:val="7FEB0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3">
    <w:name w:val="Date"/>
    <w:basedOn w:val="1"/>
    <w:next w:val="1"/>
    <w:link w:val="8"/>
    <w:uiPriority w:val="0"/>
    <w:pPr>
      <w:ind w:left="100" w:leftChars="25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日期 字符"/>
    <w:basedOn w:val="7"/>
    <w:link w:val="3"/>
    <w:uiPriority w:val="0"/>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0A5492-7C72-49B1-889F-2AC24EA7982F}">
  <ds:schemaRefs/>
</ds:datastoreItem>
</file>

<file path=docProps/app.xml><?xml version="1.0" encoding="utf-8"?>
<Properties xmlns="http://schemas.openxmlformats.org/officeDocument/2006/extended-properties" xmlns:vt="http://schemas.openxmlformats.org/officeDocument/2006/docPropsVTypes">
  <Template>Normal.dotm</Template>
  <Pages>4</Pages>
  <Words>346</Words>
  <Characters>1974</Characters>
  <Lines>16</Lines>
  <Paragraphs>4</Paragraphs>
  <TotalTime>1</TotalTime>
  <ScaleCrop>false</ScaleCrop>
  <LinksUpToDate>false</LinksUpToDate>
  <CharactersWithSpaces>2316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2022-07-05T01:42:00Z</dcterms:created>
  <dc:creator>lenovo</dc:creator>
  <cp:lastModifiedBy>王建清</cp:lastModifiedBy>
  <cp:lastPrinted>2022-07-05T01:41:00Z</cp:lastPrinted>
  <dcterms:modified xsi:type="dcterms:W3CDTF">2023-07-31T01:05:38Z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052C63EFAEAE422E8C2FFBF8D941A3C6</vt:lpwstr>
  </property>
</Properties>
</file>