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jc w:val="center"/>
        <w:rPr>
          <w:rFonts w:ascii="仿宋" w:hAnsi="仿宋" w:eastAsia="仿宋" w:cs="宋体"/>
          <w:sz w:val="32"/>
          <w:szCs w:val="32"/>
        </w:rPr>
      </w:pPr>
      <w:r>
        <w:rPr>
          <w:rFonts w:hint="eastAsia" w:ascii="仿宋" w:hAnsi="仿宋" w:eastAsia="仿宋" w:cs="宋体"/>
          <w:sz w:val="32"/>
          <w:szCs w:val="32"/>
        </w:rPr>
        <w:t>偃市监处罚</w:t>
      </w:r>
      <w:bookmarkStart w:id="0" w:name="_Hlk130842346"/>
      <w:r>
        <w:rPr>
          <w:rFonts w:hint="eastAsia" w:ascii="仿宋" w:hAnsi="仿宋" w:eastAsia="仿宋" w:cs="宋体"/>
          <w:sz w:val="32"/>
          <w:szCs w:val="32"/>
        </w:rPr>
        <w:t>〔2023〕</w:t>
      </w:r>
      <w:bookmarkEnd w:id="0"/>
      <w:r>
        <w:rPr>
          <w:rFonts w:hint="eastAsia" w:ascii="仿宋" w:hAnsi="仿宋" w:eastAsia="仿宋" w:cs="宋体"/>
          <w:sz w:val="32"/>
          <w:szCs w:val="32"/>
        </w:rPr>
        <w:t>2022166号</w:t>
      </w:r>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rPr>
        <w:t>当事人：河南佳明电缆有限公司</w:t>
      </w:r>
    </w:p>
    <w:p>
      <w:pPr>
        <w:spacing w:line="60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600" w:lineRule="exact"/>
        <w:rPr>
          <w:rFonts w:ascii="仿宋" w:hAnsi="仿宋" w:eastAsia="仿宋" w:cs="仿宋"/>
          <w:sz w:val="32"/>
          <w:szCs w:val="32"/>
        </w:rPr>
      </w:pPr>
      <w:r>
        <w:rPr>
          <w:rFonts w:hint="eastAsia" w:ascii="仿宋" w:hAnsi="仿宋" w:eastAsia="仿宋" w:cs="仿宋"/>
          <w:sz w:val="32"/>
          <w:szCs w:val="32"/>
        </w:rPr>
        <w:t>统一社会信用代码：91410381080833909D</w:t>
      </w:r>
    </w:p>
    <w:p>
      <w:pPr>
        <w:spacing w:line="600" w:lineRule="exact"/>
        <w:rPr>
          <w:rFonts w:ascii="仿宋" w:hAnsi="仿宋" w:eastAsia="仿宋" w:cs="仿宋"/>
          <w:sz w:val="32"/>
          <w:szCs w:val="32"/>
        </w:rPr>
      </w:pPr>
      <w:r>
        <w:rPr>
          <w:rFonts w:hint="eastAsia" w:ascii="仿宋" w:hAnsi="仿宋" w:eastAsia="仿宋" w:cs="仿宋"/>
          <w:sz w:val="32"/>
          <w:szCs w:val="32"/>
        </w:rPr>
        <w:t>住所：偃师市顾县镇木阁沟村</w:t>
      </w:r>
    </w:p>
    <w:p>
      <w:pPr>
        <w:spacing w:line="600" w:lineRule="exact"/>
        <w:rPr>
          <w:rFonts w:ascii="仿宋" w:hAnsi="仿宋" w:eastAsia="仿宋" w:cs="仿宋"/>
          <w:sz w:val="32"/>
          <w:szCs w:val="32"/>
        </w:rPr>
      </w:pPr>
      <w:r>
        <w:rPr>
          <w:rFonts w:hint="eastAsia" w:ascii="仿宋" w:hAnsi="仿宋" w:eastAsia="仿宋" w:cs="仿宋"/>
          <w:sz w:val="32"/>
          <w:szCs w:val="32"/>
        </w:rPr>
        <w:t>法定代表人：蔡洪斌</w:t>
      </w:r>
    </w:p>
    <w:p>
      <w:pPr>
        <w:pStyle w:val="2"/>
        <w:spacing w:line="600" w:lineRule="exact"/>
        <w:ind w:left="10" w:leftChars="5" w:firstLine="640" w:firstLineChars="200"/>
        <w:rPr>
          <w:rFonts w:ascii="仿宋" w:hAnsi="仿宋" w:eastAsia="仿宋" w:cs="仿宋_GB2312"/>
          <w:color w:val="000000" w:themeColor="text1"/>
          <w14:textFill>
            <w14:solidFill>
              <w14:schemeClr w14:val="tx1"/>
            </w14:solidFill>
          </w14:textFill>
        </w:rPr>
      </w:pPr>
      <w:bookmarkStart w:id="1" w:name="_GoBack"/>
      <w:bookmarkEnd w:id="1"/>
      <w:r>
        <w:rPr>
          <w:rFonts w:hint="eastAsia" w:ascii="仿宋" w:hAnsi="仿宋" w:eastAsia="仿宋" w:cs="仿宋_GB2312"/>
          <w:color w:val="000000" w:themeColor="text1"/>
          <w14:textFill>
            <w14:solidFill>
              <w14:schemeClr w14:val="tx1"/>
            </w14:solidFill>
          </w14:textFill>
        </w:rPr>
        <w:t xml:space="preserve">2022年8月15日我局接洛阳市局产品质量监督抽查样品问题移送函，称南京市市场监督管理局组织的监督抽检中标称河南佳明电缆有限公司生产的铜芯聚氯乙烯绝缘阻燃C类软电缆产品经检验不符合标准要求。为进一步查清事实，于2022年9月13日报请局主管领导批准，对该案进行调查。  </w:t>
      </w:r>
    </w:p>
    <w:p>
      <w:pPr>
        <w:pStyle w:val="2"/>
        <w:spacing w:line="600" w:lineRule="exact"/>
        <w:ind w:left="10" w:leftChars="5"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经调查，河南佳明电缆有限公司2021年5月1日生产的ZC-BVR450/750V 1×6铜芯聚氯乙烯阻燃C类绝缘软电缆一共生产了6卷，每卷100米，共600米，生产成本价每米3.2元，共计1920元；销售价每米3.5元，销售金额共计2100元，盈利180元。</w:t>
      </w:r>
    </w:p>
    <w:p>
      <w:pPr>
        <w:pStyle w:val="2"/>
        <w:spacing w:line="600" w:lineRule="exact"/>
        <w:ind w:left="10" w:leftChars="5" w:firstLine="800" w:firstLineChars="25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上述事实，主要有以下证据证明：</w:t>
      </w:r>
    </w:p>
    <w:p>
      <w:pPr>
        <w:pStyle w:val="2"/>
        <w:tabs>
          <w:tab w:val="left" w:pos="8920"/>
        </w:tabs>
        <w:spacing w:line="600" w:lineRule="exact"/>
        <w:ind w:firstLine="640"/>
        <w:rPr>
          <w:rFonts w:ascii="仿宋" w:hAnsi="仿宋" w:eastAsia="仿宋" w:cs="仿宋"/>
        </w:rPr>
      </w:pPr>
      <w:r>
        <w:rPr>
          <w:rFonts w:hint="eastAsia" w:ascii="仿宋" w:hAnsi="仿宋" w:eastAsia="仿宋" w:cs="仿宋_GB2312"/>
          <w:color w:val="000000" w:themeColor="text1"/>
          <w14:textFill>
            <w14:solidFill>
              <w14:schemeClr w14:val="tx1"/>
            </w14:solidFill>
          </w14:textFill>
        </w:rPr>
        <w:t>1.</w:t>
      </w:r>
      <w:r>
        <w:rPr>
          <w:rFonts w:hint="eastAsia" w:ascii="仿宋" w:hAnsi="仿宋" w:eastAsia="仿宋" w:cs="仿宋"/>
        </w:rPr>
        <w:t>当事人营业执照、法定代表人身份证复印件各1份，证明当事人主体经营资格及法定代表人的身份信息；</w:t>
      </w:r>
    </w:p>
    <w:p>
      <w:pPr>
        <w:pStyle w:val="2"/>
        <w:tabs>
          <w:tab w:val="left" w:pos="8920"/>
        </w:tabs>
        <w:spacing w:line="600" w:lineRule="exact"/>
        <w:ind w:firstLine="640" w:firstLineChars="200"/>
        <w:rPr>
          <w:rFonts w:ascii="仿宋" w:hAnsi="仿宋" w:eastAsia="仿宋" w:cs="仿宋"/>
        </w:rPr>
      </w:pPr>
      <w:r>
        <w:rPr>
          <w:rFonts w:hint="eastAsia" w:ascii="仿宋" w:hAnsi="仿宋" w:eastAsia="仿宋" w:cs="仿宋"/>
        </w:rPr>
        <w:t>2.</w:t>
      </w:r>
      <w:r>
        <w:rPr>
          <w:rFonts w:hint="eastAsia" w:ascii="仿宋" w:hAnsi="仿宋" w:eastAsia="仿宋" w:cs="仿宋"/>
          <w:color w:val="231F20"/>
        </w:rPr>
        <w:t xml:space="preserve">授权委托书及被委托人身份证复印件各1份，证明当事人授权情况及被委托人的情况；      </w:t>
      </w:r>
    </w:p>
    <w:p>
      <w:pPr>
        <w:pStyle w:val="2"/>
        <w:tabs>
          <w:tab w:val="left" w:pos="8920"/>
        </w:tabs>
        <w:spacing w:line="600" w:lineRule="exact"/>
        <w:ind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
          <w:color w:val="231F20"/>
        </w:rPr>
        <w:t>3.询问笔录1份，</w:t>
      </w:r>
      <w:r>
        <w:rPr>
          <w:rFonts w:hint="eastAsia" w:ascii="仿宋" w:hAnsi="仿宋" w:eastAsia="仿宋" w:cs="仿宋_GB2312"/>
          <w:color w:val="000000" w:themeColor="text1"/>
          <w14:textFill>
            <w14:solidFill>
              <w14:schemeClr w14:val="tx1"/>
            </w14:solidFill>
          </w14:textFill>
        </w:rPr>
        <w:t>证明涉案电缆的生产成本、数量和违法所得等情况。</w:t>
      </w:r>
    </w:p>
    <w:p>
      <w:pPr>
        <w:pStyle w:val="2"/>
        <w:tabs>
          <w:tab w:val="left" w:pos="8920"/>
        </w:tabs>
        <w:spacing w:line="600" w:lineRule="exact"/>
        <w:ind w:firstLine="640" w:firstLineChars="200"/>
        <w:rPr>
          <w:rFonts w:ascii="仿宋" w:hAnsi="仿宋" w:eastAsia="仿宋" w:cs="仿宋"/>
          <w:color w:val="231F20"/>
        </w:rPr>
      </w:pPr>
      <w:r>
        <w:rPr>
          <w:rFonts w:hint="eastAsia" w:ascii="仿宋" w:hAnsi="仿宋" w:eastAsia="仿宋" w:cs="仿宋"/>
          <w:color w:val="231F20"/>
        </w:rPr>
        <w:t xml:space="preserve">4.现场检查笔录1份，证明当事人生产的不合格电线已销售完毕；                       </w:t>
      </w:r>
    </w:p>
    <w:p>
      <w:pPr>
        <w:spacing w:line="600" w:lineRule="exact"/>
        <w:ind w:firstLine="960" w:firstLineChars="300"/>
        <w:rPr>
          <w:rFonts w:ascii="仿宋" w:hAnsi="仿宋" w:eastAsia="仿宋" w:cs="仿宋"/>
          <w:sz w:val="32"/>
          <w:szCs w:val="32"/>
        </w:rPr>
      </w:pPr>
      <w:r>
        <w:rPr>
          <w:rFonts w:hint="eastAsia" w:ascii="仿宋" w:hAnsi="仿宋" w:eastAsia="仿宋" w:cs="仿宋"/>
          <w:sz w:val="32"/>
          <w:szCs w:val="32"/>
        </w:rPr>
        <w:t>5.产品质量监督抽查样品问题移送函、产品质量监督抽查情况告知函、销售企业产品质量监督抽查抽样单（抽查批次号为：A202203022010020）和检验检测报告一份（报告编号：№:NZJ(2022)ZN02-00386），证明当事人生产的电线不合格的事实及抽检情况;</w:t>
      </w:r>
    </w:p>
    <w:p>
      <w:pPr>
        <w:tabs>
          <w:tab w:val="left" w:pos="2440"/>
          <w:tab w:val="left" w:pos="9020"/>
        </w:tabs>
        <w:spacing w:line="600" w:lineRule="exact"/>
        <w:ind w:firstLine="960" w:firstLineChars="300"/>
        <w:rPr>
          <w:rFonts w:ascii="仿宋" w:hAnsi="仿宋" w:eastAsia="仿宋" w:cs="仿宋"/>
          <w:color w:val="231F20"/>
          <w:sz w:val="32"/>
          <w:szCs w:val="32"/>
        </w:rPr>
      </w:pPr>
      <w:r>
        <w:rPr>
          <w:rFonts w:hint="eastAsia" w:ascii="仿宋" w:hAnsi="仿宋" w:eastAsia="仿宋" w:cs="仿宋"/>
          <w:sz w:val="32"/>
          <w:szCs w:val="32"/>
        </w:rPr>
        <w:t>6.不合格电缆的生产通知单、出库单，证明</w:t>
      </w:r>
      <w:r>
        <w:rPr>
          <w:rFonts w:hint="eastAsia" w:ascii="仿宋" w:hAnsi="仿宋" w:eastAsia="仿宋" w:cs="仿宋"/>
          <w:color w:val="231F20"/>
          <w:sz w:val="32"/>
          <w:szCs w:val="32"/>
        </w:rPr>
        <w:t>当事人生产不合格电缆的事实。</w:t>
      </w:r>
    </w:p>
    <w:p>
      <w:pPr>
        <w:tabs>
          <w:tab w:val="left" w:pos="2440"/>
          <w:tab w:val="left" w:pos="9020"/>
        </w:tabs>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局于2022年3月10日向当事人送达了偃市监罚告〔2023〕2022166号《行政处罚告知书》，依据《中华人民共和国行政处罚法》第四十四条、第四十五条，以及《市场监督管理行政处罚程序规定》第五十七条的规定，告知当事人本局拟作出行政处罚的内容及事实、理由、依据，并告知当事人依法享有的陈述、申辩的权利。当事人在规定的期限内未作出陈述、申辩，要求听证等权利。当事人在法定期限内未行使陈述、申辩权。</w:t>
      </w:r>
    </w:p>
    <w:p>
      <w:pPr>
        <w:tabs>
          <w:tab w:val="left" w:pos="2440"/>
          <w:tab w:val="left" w:pos="9020"/>
        </w:tabs>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本局认为，当事人生产销售不合格电线的行为违反了《中华人民共和国产品质量法》第三十九条“销售者销售产品，不得掺杂、掺假，不得以假充真、以次充好，不得以不合格产品冒充合格产品。”之规定。参照《河南省市场监督管理行政处罚裁量权适用通则》第十条及《河南省市场监督管理行政处罚自由裁量权基准（2021）版》之规定，当事人生产、销售不合格产品的行为，根据其违法的事实、性质、情节，具有从轻处罚情形，应给予从轻行政处罚。</w:t>
      </w:r>
    </w:p>
    <w:p>
      <w:pPr>
        <w:tabs>
          <w:tab w:val="left" w:pos="2440"/>
          <w:tab w:val="left" w:pos="9020"/>
        </w:tabs>
        <w:spacing w:line="600" w:lineRule="exact"/>
        <w:ind w:firstLine="640" w:firstLineChars="200"/>
        <w:rPr>
          <w:rFonts w:ascii="仿宋" w:hAnsi="仿宋" w:eastAsia="仿宋" w:cs="仿宋"/>
        </w:rPr>
      </w:pPr>
      <w:r>
        <w:rPr>
          <w:rFonts w:hint="eastAsia" w:ascii="仿宋" w:hAnsi="仿宋" w:eastAsia="仿宋" w:cs="仿宋"/>
          <w:sz w:val="32"/>
          <w:szCs w:val="32"/>
        </w:rPr>
        <w:t>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决定对</w:t>
      </w:r>
      <w:r>
        <w:rPr>
          <w:rFonts w:hint="eastAsia" w:ascii="仿宋" w:hAnsi="仿宋" w:eastAsia="仿宋" w:cs="仿宋_GB2312"/>
          <w:color w:val="000000" w:themeColor="text1"/>
          <w:sz w:val="32"/>
          <w:szCs w:val="32"/>
          <w14:textFill>
            <w14:solidFill>
              <w14:schemeClr w14:val="tx1"/>
            </w14:solidFill>
          </w14:textFill>
        </w:rPr>
        <w:t>河南佳明电缆有限公司</w:t>
      </w:r>
      <w:r>
        <w:rPr>
          <w:rFonts w:hint="eastAsia" w:ascii="仿宋" w:hAnsi="仿宋" w:eastAsia="仿宋" w:cs="仿宋"/>
          <w:sz w:val="32"/>
          <w:szCs w:val="32"/>
        </w:rPr>
        <w:t>处罚如下：</w:t>
      </w:r>
      <w:r>
        <w:rPr>
          <w:rFonts w:hint="eastAsia" w:ascii="仿宋" w:hAnsi="仿宋" w:eastAsia="仿宋" w:cs="仿宋"/>
        </w:rPr>
        <w:t xml:space="preserve"> </w:t>
      </w:r>
      <w:r>
        <w:rPr>
          <w:rFonts w:hint="eastAsia" w:ascii="仿宋" w:hAnsi="仿宋" w:eastAsia="仿宋" w:cs="仿宋"/>
          <w:sz w:val="32"/>
          <w:szCs w:val="32"/>
        </w:rPr>
        <w:t>没收违法所得180元，并处2100元罚款。</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600" w:lineRule="exact"/>
        <w:ind w:firstLine="4480" w:firstLineChars="1400"/>
        <w:rPr>
          <w:rFonts w:ascii="仿宋" w:hAnsi="仿宋" w:eastAsia="仿宋" w:cs="仿宋_GB2312"/>
          <w:bCs/>
          <w:sz w:val="32"/>
          <w:szCs w:val="32"/>
        </w:rPr>
      </w:pP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firstLine="3840" w:firstLineChars="1200"/>
        <w:rPr>
          <w:rFonts w:ascii="仿宋" w:hAnsi="仿宋" w:eastAsia="仿宋" w:cs="仿宋_GB2312"/>
          <w:bCs/>
          <w:sz w:val="32"/>
          <w:szCs w:val="32"/>
        </w:rPr>
      </w:pPr>
    </w:p>
    <w:p>
      <w:pPr>
        <w:spacing w:line="600" w:lineRule="exact"/>
        <w:ind w:firstLine="3520" w:firstLineChars="1100"/>
        <w:rPr>
          <w:rFonts w:ascii="仿宋" w:hAnsi="仿宋" w:eastAsia="仿宋" w:cs="仿宋_GB2312"/>
          <w:bCs/>
          <w:sz w:val="32"/>
          <w:szCs w:val="32"/>
        </w:rPr>
      </w:pPr>
      <w:r>
        <w:rPr>
          <w:rFonts w:hint="eastAsia" w:ascii="仿宋" w:hAnsi="仿宋" w:eastAsia="仿宋" w:cs="仿宋_GB2312"/>
          <w:bCs/>
          <w:sz w:val="32"/>
          <w:szCs w:val="32"/>
        </w:rPr>
        <w:t>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3</w:t>
      </w:r>
      <w:r>
        <w:rPr>
          <w:rFonts w:hint="eastAsia" w:ascii="仿宋" w:hAnsi="仿宋" w:eastAsia="仿宋" w:cs="仿宋_GB2312"/>
          <w:bCs/>
          <w:sz w:val="32"/>
          <w:szCs w:val="32"/>
        </w:rPr>
        <w:t>月</w:t>
      </w:r>
      <w:r>
        <w:rPr>
          <w:rFonts w:ascii="仿宋" w:hAnsi="仿宋" w:eastAsia="仿宋" w:cs="仿宋_GB2312"/>
          <w:bCs/>
          <w:sz w:val="32"/>
          <w:szCs w:val="32"/>
        </w:rPr>
        <w:t>27</w:t>
      </w:r>
      <w:r>
        <w:rPr>
          <w:rFonts w:hint="eastAsia" w:ascii="仿宋" w:hAnsi="仿宋" w:eastAsia="仿宋" w:cs="仿宋_GB2312"/>
          <w:bCs/>
          <w:sz w:val="32"/>
          <w:szCs w:val="32"/>
        </w:rPr>
        <w:t>日</w:t>
      </w: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hint="eastAsia"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z&#10;T2SR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015F7"/>
    <w:rsid w:val="00001DF5"/>
    <w:rsid w:val="000241A1"/>
    <w:rsid w:val="00026AC9"/>
    <w:rsid w:val="00030A07"/>
    <w:rsid w:val="00056531"/>
    <w:rsid w:val="000A32E2"/>
    <w:rsid w:val="000D0CEB"/>
    <w:rsid w:val="000E5D45"/>
    <w:rsid w:val="000F4B6D"/>
    <w:rsid w:val="0011224B"/>
    <w:rsid w:val="001449B0"/>
    <w:rsid w:val="00150A99"/>
    <w:rsid w:val="00173407"/>
    <w:rsid w:val="00175829"/>
    <w:rsid w:val="00176B24"/>
    <w:rsid w:val="001A471C"/>
    <w:rsid w:val="001E2DDB"/>
    <w:rsid w:val="00202DE2"/>
    <w:rsid w:val="00270C14"/>
    <w:rsid w:val="00331052"/>
    <w:rsid w:val="00342D09"/>
    <w:rsid w:val="003617B0"/>
    <w:rsid w:val="00395BC6"/>
    <w:rsid w:val="003A2E7F"/>
    <w:rsid w:val="004030EC"/>
    <w:rsid w:val="00404FA3"/>
    <w:rsid w:val="00412319"/>
    <w:rsid w:val="00472F4D"/>
    <w:rsid w:val="0048191E"/>
    <w:rsid w:val="004845A4"/>
    <w:rsid w:val="004C25CE"/>
    <w:rsid w:val="004D4162"/>
    <w:rsid w:val="00587D06"/>
    <w:rsid w:val="005E342F"/>
    <w:rsid w:val="006334DE"/>
    <w:rsid w:val="00661696"/>
    <w:rsid w:val="006B6F25"/>
    <w:rsid w:val="006C437A"/>
    <w:rsid w:val="00750269"/>
    <w:rsid w:val="00784A06"/>
    <w:rsid w:val="007A76C1"/>
    <w:rsid w:val="007B29AD"/>
    <w:rsid w:val="0081679B"/>
    <w:rsid w:val="00856277"/>
    <w:rsid w:val="00871175"/>
    <w:rsid w:val="008A2EB2"/>
    <w:rsid w:val="008C68C2"/>
    <w:rsid w:val="00937EA8"/>
    <w:rsid w:val="00A17A15"/>
    <w:rsid w:val="00A25FA6"/>
    <w:rsid w:val="00A6680C"/>
    <w:rsid w:val="00A71FFB"/>
    <w:rsid w:val="00A95935"/>
    <w:rsid w:val="00AA2DE1"/>
    <w:rsid w:val="00AD5661"/>
    <w:rsid w:val="00AF429F"/>
    <w:rsid w:val="00B1292E"/>
    <w:rsid w:val="00B333FF"/>
    <w:rsid w:val="00B41443"/>
    <w:rsid w:val="00B52F3E"/>
    <w:rsid w:val="00B74223"/>
    <w:rsid w:val="00BC2A16"/>
    <w:rsid w:val="00BF60EB"/>
    <w:rsid w:val="00C42003"/>
    <w:rsid w:val="00C65219"/>
    <w:rsid w:val="00C66531"/>
    <w:rsid w:val="00D66FCA"/>
    <w:rsid w:val="00D671A6"/>
    <w:rsid w:val="00D93766"/>
    <w:rsid w:val="00DD177C"/>
    <w:rsid w:val="00DE207E"/>
    <w:rsid w:val="00E05C0F"/>
    <w:rsid w:val="00E918DB"/>
    <w:rsid w:val="00EB41BB"/>
    <w:rsid w:val="00EC79FD"/>
    <w:rsid w:val="00EE0800"/>
    <w:rsid w:val="00F54E18"/>
    <w:rsid w:val="00F95394"/>
    <w:rsid w:val="00FA5F07"/>
    <w:rsid w:val="00FB48EF"/>
    <w:rsid w:val="00FC66D3"/>
    <w:rsid w:val="00FC75CC"/>
    <w:rsid w:val="036B3C4E"/>
    <w:rsid w:val="03756BA9"/>
    <w:rsid w:val="03B940BE"/>
    <w:rsid w:val="04685FE8"/>
    <w:rsid w:val="0C396332"/>
    <w:rsid w:val="0EEF7A19"/>
    <w:rsid w:val="12971925"/>
    <w:rsid w:val="15E46C47"/>
    <w:rsid w:val="1614447E"/>
    <w:rsid w:val="1A9D5316"/>
    <w:rsid w:val="1AEE23D7"/>
    <w:rsid w:val="1B4B0801"/>
    <w:rsid w:val="1D243185"/>
    <w:rsid w:val="1FCF79EC"/>
    <w:rsid w:val="315E6335"/>
    <w:rsid w:val="380F4BA6"/>
    <w:rsid w:val="415224D5"/>
    <w:rsid w:val="42274495"/>
    <w:rsid w:val="46932DA9"/>
    <w:rsid w:val="49641236"/>
    <w:rsid w:val="4FA07D6E"/>
    <w:rsid w:val="5BB72604"/>
    <w:rsid w:val="676E1256"/>
    <w:rsid w:val="68863414"/>
    <w:rsid w:val="6C8F650C"/>
    <w:rsid w:val="704E0C9C"/>
    <w:rsid w:val="72536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Balloon Text"/>
    <w:basedOn w:val="1"/>
    <w:link w:val="11"/>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qFormat/>
    <w:uiPriority w:val="99"/>
    <w:rPr>
      <w:kern w:val="2"/>
      <w:sz w:val="18"/>
      <w:szCs w:val="18"/>
    </w:rPr>
  </w:style>
  <w:style w:type="character" w:customStyle="1" w:styleId="11">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1730</Words>
  <Characters>2003</Characters>
  <Lines>14</Lines>
  <Paragraphs>4</Paragraphs>
  <TotalTime>0</TotalTime>
  <ScaleCrop>false</ScaleCrop>
  <LinksUpToDate>false</LinksUpToDate>
  <CharactersWithSpaces>2060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2023-03-28T01:12:00Z</dcterms:created>
  <dc:creator>86150</dc:creator>
  <cp:lastModifiedBy>王建清</cp:lastModifiedBy>
  <cp:lastPrinted>2023-03-23T10:33:00Z</cp:lastPrinted>
  <dcterms:modified xsi:type="dcterms:W3CDTF">2023-04-07T08:54:06Z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DFB97E8B97D84069BAA361368207EC43_13</vt:lpwstr>
  </property>
</Properties>
</file>