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eastAsia" w:ascii="方正小标宋简体" w:eastAsia="方正小标宋简体" w:cs="宋体"/>
          <w:sz w:val="44"/>
          <w:szCs w:val="44"/>
        </w:rPr>
      </w:pPr>
      <w:r>
        <w:rPr>
          <w:rFonts w:hint="eastAsia" w:ascii="方正小标宋简体" w:eastAsia="方正小标宋简体" w:cs="宋体"/>
          <w:sz w:val="44"/>
          <w:szCs w:val="44"/>
        </w:rPr>
        <w:t>洛阳市偃师区市场监督管理局</w:t>
      </w:r>
    </w:p>
    <w:p>
      <w:pPr>
        <w:snapToGrid w:val="0"/>
        <w:spacing w:line="600" w:lineRule="exact"/>
        <w:jc w:val="center"/>
        <w:rPr>
          <w:rFonts w:hint="eastAsia" w:ascii="方正小标宋简体" w:eastAsia="方正小标宋简体" w:cs="宋体"/>
          <w:sz w:val="44"/>
          <w:szCs w:val="44"/>
        </w:rPr>
      </w:pPr>
      <w:r>
        <w:rPr>
          <w:rFonts w:hint="eastAsia" w:ascii="方正小标宋简体" w:eastAsia="方正小标宋简体" w:cs="宋体"/>
          <w:sz w:val="44"/>
          <w:szCs w:val="44"/>
        </w:rPr>
        <w:t>行政处罚决定书</w:t>
      </w:r>
    </w:p>
    <w:p>
      <w:pPr>
        <w:snapToGrid w:val="0"/>
        <w:spacing w:line="58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  <w:r>
        <w:rPr>
          <w:rFonts w:ascii="仿宋" w:hAnsi="仿宋" w:eastAsia="仿宋" w:cs="仿宋"/>
          <w:sz w:val="32"/>
          <w:szCs w:val="32"/>
        </w:rPr>
        <w:t xml:space="preserve">             </w:t>
      </w:r>
      <w:r>
        <w:rPr>
          <w:rFonts w:hint="eastAsia" w:ascii="仿宋" w:hAnsi="仿宋" w:eastAsia="仿宋" w:cs="仿宋"/>
          <w:sz w:val="32"/>
          <w:szCs w:val="32"/>
        </w:rPr>
        <w:t>偃市监处罚</w:t>
      </w:r>
      <w:r>
        <w:rPr>
          <w:rFonts w:hint="eastAsia" w:ascii="仿宋" w:hAnsi="仿宋" w:eastAsia="仿宋" w:cs="仿宋"/>
          <w:color w:val="231F20"/>
          <w:sz w:val="32"/>
          <w:szCs w:val="32"/>
        </w:rPr>
        <w:t>〔2023〕106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snapToGrid w:val="0"/>
        <w:spacing w:line="580" w:lineRule="exact"/>
        <w:rPr>
          <w:rFonts w:ascii="仿宋" w:hAnsi="仿宋" w:eastAsia="仿宋" w:cs="仿宋"/>
          <w:sz w:val="32"/>
          <w:szCs w:val="32"/>
        </w:rPr>
      </w:pPr>
    </w:p>
    <w:p>
      <w:pPr>
        <w:tabs>
          <w:tab w:val="left" w:pos="4440"/>
          <w:tab w:val="left" w:pos="8920"/>
        </w:tabs>
        <w:spacing w:line="580" w:lineRule="exact"/>
        <w:ind w:right="118"/>
        <w:rPr>
          <w:rFonts w:ascii="仿宋" w:hAnsi="仿宋" w:eastAsia="仿宋" w:cs="仿宋"/>
          <w:spacing w:val="-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当事人：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洛阳市偃师区伊洛街道聚忆记食品店</w:t>
      </w:r>
    </w:p>
    <w:p>
      <w:pPr>
        <w:tabs>
          <w:tab w:val="left" w:pos="4440"/>
          <w:tab w:val="left" w:pos="8920"/>
        </w:tabs>
        <w:spacing w:line="580" w:lineRule="exact"/>
        <w:ind w:right="118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主体资格证照名称：营业执照</w:t>
      </w:r>
    </w:p>
    <w:p>
      <w:pPr>
        <w:tabs>
          <w:tab w:val="left" w:pos="4440"/>
          <w:tab w:val="left" w:pos="8920"/>
        </w:tabs>
        <w:spacing w:line="580" w:lineRule="exact"/>
        <w:ind w:right="118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92410307MACJPKLN9F</w:t>
      </w:r>
    </w:p>
    <w:p>
      <w:pPr>
        <w:tabs>
          <w:tab w:val="left" w:pos="4440"/>
          <w:tab w:val="left" w:pos="8920"/>
        </w:tabs>
        <w:spacing w:line="580" w:lineRule="exact"/>
        <w:ind w:left="1600" w:right="118" w:hanging="1600" w:hangingChars="500"/>
        <w:rPr>
          <w:rFonts w:ascii="仿宋" w:hAnsi="仿宋" w:eastAsia="仿宋" w:cs="仿宋"/>
          <w:color w:val="000000"/>
          <w:spacing w:val="-2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经营场所：</w:t>
      </w:r>
      <w:r>
        <w:rPr>
          <w:rFonts w:hint="eastAsia" w:ascii="仿宋" w:hAnsi="仿宋" w:eastAsia="仿宋" w:cs="仿宋"/>
          <w:spacing w:val="-20"/>
          <w:sz w:val="32"/>
          <w:szCs w:val="32"/>
        </w:rPr>
        <w:t>洛阳市偃师区伊洛街道洛神路洛神大厦1幢105号商铺</w:t>
      </w:r>
    </w:p>
    <w:p>
      <w:pPr>
        <w:tabs>
          <w:tab w:val="left" w:pos="4440"/>
          <w:tab w:val="left" w:pos="8920"/>
        </w:tabs>
        <w:spacing w:line="580" w:lineRule="exact"/>
        <w:ind w:right="118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经营者：鲁苏平</w:t>
      </w:r>
    </w:p>
    <w:p>
      <w:pPr>
        <w:spacing w:line="580" w:lineRule="exact"/>
        <w:ind w:firstLine="790" w:firstLineChars="250"/>
        <w:rPr>
          <w:rFonts w:ascii="仿宋" w:hAnsi="仿宋" w:eastAsia="仿宋" w:cs="仿宋"/>
          <w:color w:val="231F20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color w:val="000000"/>
          <w:spacing w:val="-2"/>
          <w:sz w:val="32"/>
          <w:szCs w:val="32"/>
        </w:rPr>
        <w:t>2023年5月31日，</w:t>
      </w:r>
      <w:bookmarkStart w:id="0" w:name="_Hlk140661030"/>
      <w:r>
        <w:rPr>
          <w:rFonts w:hint="eastAsia" w:ascii="仿宋" w:hAnsi="仿宋" w:eastAsia="仿宋" w:cs="仿宋"/>
          <w:color w:val="000000"/>
          <w:spacing w:val="-2"/>
          <w:sz w:val="32"/>
          <w:szCs w:val="32"/>
        </w:rPr>
        <w:t>我局执法人员</w:t>
      </w:r>
      <w:bookmarkEnd w:id="0"/>
      <w:r>
        <w:rPr>
          <w:rFonts w:hint="eastAsia" w:ascii="仿宋" w:hAnsi="仿宋" w:eastAsia="仿宋" w:cs="仿宋"/>
          <w:color w:val="000000"/>
          <w:spacing w:val="-2"/>
          <w:sz w:val="32"/>
          <w:szCs w:val="32"/>
        </w:rPr>
        <w:t>对当事人进行现场检查，</w:t>
      </w:r>
      <w:r>
        <w:rPr>
          <w:rFonts w:hint="eastAsia" w:ascii="仿宋" w:hAnsi="仿宋" w:eastAsia="仿宋" w:cs="仿宋"/>
          <w:sz w:val="32"/>
          <w:szCs w:val="32"/>
        </w:rPr>
        <w:t>发现该店无相应的防蝇、防鼠等设备从事食品经营活动，执法人员当即送达了责令改正通知书并予以警告。2023年6月13日我局执法人员再次对当事人进行检查，发现其仍未改正上述违法行为。</w:t>
      </w:r>
    </w:p>
    <w:p>
      <w:pPr>
        <w:spacing w:line="580" w:lineRule="exact"/>
        <w:ind w:firstLine="632" w:firstLineChars="200"/>
        <w:rPr>
          <w:rFonts w:ascii="仿宋" w:hAnsi="仿宋" w:eastAsia="仿宋" w:cs="仿宋"/>
          <w:spacing w:val="-2"/>
          <w:sz w:val="32"/>
          <w:szCs w:val="32"/>
        </w:rPr>
      </w:pPr>
      <w:r>
        <w:rPr>
          <w:rFonts w:hint="eastAsia" w:ascii="仿宋" w:hAnsi="仿宋" w:eastAsia="仿宋" w:cs="仿宋"/>
          <w:spacing w:val="-2"/>
          <w:sz w:val="32"/>
          <w:szCs w:val="32"/>
        </w:rPr>
        <w:t>上述事实，主要有以下证据证明：</w:t>
      </w:r>
    </w:p>
    <w:p>
      <w:pPr>
        <w:autoSpaceDE w:val="0"/>
        <w:autoSpaceDN w:val="0"/>
        <w:spacing w:line="580" w:lineRule="exact"/>
        <w:ind w:firstLine="624" w:firstLineChars="195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1.营业执照、河南省食品小经营店登记证、经营者身份证，证明当事人主体资格经营情况；</w:t>
      </w:r>
    </w:p>
    <w:p>
      <w:pPr>
        <w:spacing w:line="580" w:lineRule="exact"/>
        <w:ind w:right="105" w:rightChars="50" w:firstLine="640" w:firstLineChars="200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2.现场笔录，证明我局执法人员现场检查的情况；</w:t>
      </w:r>
    </w:p>
    <w:p>
      <w:pPr>
        <w:pStyle w:val="5"/>
        <w:autoSpaceDE w:val="0"/>
        <w:spacing w:line="580" w:lineRule="exact"/>
        <w:ind w:left="0" w:firstLine="640" w:firstLineChars="200"/>
        <w:rPr>
          <w:rFonts w:ascii="仿宋" w:hAnsi="仿宋" w:eastAsia="仿宋" w:cs="仿宋"/>
          <w:color w:val="221E1F"/>
        </w:rPr>
      </w:pPr>
      <w:r>
        <w:rPr>
          <w:rFonts w:hint="eastAsia" w:ascii="仿宋" w:hAnsi="仿宋" w:eastAsia="仿宋" w:cs="仿宋"/>
          <w:color w:val="221E1F"/>
        </w:rPr>
        <w:t>3.现场照片，证明现场检查情况；</w:t>
      </w:r>
    </w:p>
    <w:p>
      <w:pPr>
        <w:pStyle w:val="5"/>
        <w:autoSpaceDE w:val="0"/>
        <w:spacing w:line="580" w:lineRule="exact"/>
        <w:ind w:left="0" w:firstLine="640" w:firstLineChars="200"/>
        <w:rPr>
          <w:rFonts w:ascii="仿宋" w:hAnsi="仿宋" w:eastAsia="仿宋" w:cs="仿宋"/>
          <w:color w:val="221E1F"/>
        </w:rPr>
      </w:pPr>
      <w:r>
        <w:rPr>
          <w:rFonts w:hint="eastAsia" w:ascii="仿宋" w:hAnsi="仿宋" w:eastAsia="仿宋" w:cs="仿宋"/>
          <w:color w:val="221E1F"/>
        </w:rPr>
        <w:t>4.询问笔录，证明当事人从事食品经营活动不符合要求的事实。</w:t>
      </w:r>
    </w:p>
    <w:p>
      <w:pPr>
        <w:pStyle w:val="5"/>
        <w:autoSpaceDE w:val="0"/>
        <w:spacing w:line="580" w:lineRule="exact"/>
        <w:ind w:left="0" w:firstLine="640" w:firstLineChars="200"/>
        <w:rPr>
          <w:rFonts w:ascii="仿宋" w:hAnsi="仿宋" w:eastAsia="仿宋" w:cs="仿宋"/>
          <w:color w:val="231F20"/>
        </w:rPr>
      </w:pPr>
      <w:r>
        <w:rPr>
          <w:rFonts w:hint="eastAsia" w:ascii="仿宋" w:hAnsi="仿宋" w:eastAsia="仿宋" w:cs="仿宋"/>
          <w:color w:val="231F20"/>
        </w:rPr>
        <w:t>2023年7月12日，</w:t>
      </w:r>
      <w:r>
        <w:rPr>
          <w:rFonts w:hint="eastAsia" w:ascii="仿宋" w:hAnsi="仿宋" w:eastAsia="仿宋" w:cs="仿宋"/>
        </w:rPr>
        <w:t>我局依法向</w:t>
      </w:r>
      <w:r>
        <w:rPr>
          <w:rFonts w:hint="eastAsia" w:ascii="仿宋" w:hAnsi="仿宋" w:eastAsia="仿宋" w:cs="仿宋"/>
          <w:color w:val="000000"/>
        </w:rPr>
        <w:t>当事人</w:t>
      </w:r>
      <w:r>
        <w:rPr>
          <w:rFonts w:hint="eastAsia" w:ascii="仿宋" w:hAnsi="仿宋" w:eastAsia="仿宋" w:cs="仿宋"/>
        </w:rPr>
        <w:t>送达了偃市监罚告〔2023〕106号《行政处罚告知书》，告知当事人我局拟作出行政处罚决定的事实、理由、依据、内容及当事人依法享有的陈述权、申辩权。当事人在法定期限内未行使陈述、申辩权。</w:t>
      </w:r>
      <w:r>
        <w:rPr>
          <w:rFonts w:hint="eastAsia" w:ascii="仿宋" w:hAnsi="仿宋" w:eastAsia="仿宋" w:cs="仿宋"/>
          <w:color w:val="231F20"/>
        </w:rPr>
        <w:t>当事人违反食品经营要求逾期不改正，不具有从重处罚情形，可以给予一般行政处罚。</w:t>
      </w:r>
    </w:p>
    <w:p>
      <w:pPr>
        <w:widowControl/>
        <w:shd w:val="clear" w:color="auto" w:fill="FFFFFF"/>
        <w:spacing w:line="58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当事人的行为</w:t>
      </w:r>
      <w:r>
        <w:rPr>
          <w:rFonts w:hint="eastAsia" w:ascii="仿宋" w:hAnsi="仿宋" w:eastAsia="仿宋" w:cs="仿宋"/>
          <w:sz w:val="32"/>
          <w:szCs w:val="32"/>
        </w:rPr>
        <w:t>违反了《河南省食品小作坊、小经营店和小摊点管理条例》第十二条</w:t>
      </w:r>
      <w:r>
        <w:rPr>
          <w:rFonts w:hint="eastAsia" w:ascii="仿宋" w:hAnsi="仿宋" w:eastAsia="仿宋" w:cs="仿宋"/>
          <w:bCs/>
          <w:spacing w:val="-2"/>
          <w:sz w:val="32"/>
          <w:szCs w:val="32"/>
        </w:rPr>
        <w:t>“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小作坊、小经营店和小摊点的食品生产经营活动应当符合下列要求：（二）有相</w:t>
      </w:r>
      <w:bookmarkStart w:id="1" w:name="_Hlk140661130"/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应的防蝇、防鼠、</w:t>
      </w:r>
      <w:bookmarkEnd w:id="1"/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防虫、防雨、防尘设备；</w:t>
      </w:r>
      <w:r>
        <w:rPr>
          <w:rFonts w:hint="eastAsia" w:ascii="仿宋" w:hAnsi="仿宋" w:eastAsia="仿宋" w:cs="仿宋"/>
          <w:bCs/>
          <w:spacing w:val="-2"/>
          <w:sz w:val="32"/>
          <w:szCs w:val="32"/>
        </w:rPr>
        <w:t>”</w:t>
      </w:r>
      <w:r>
        <w:rPr>
          <w:rFonts w:hint="eastAsia" w:ascii="仿宋" w:hAnsi="仿宋" w:eastAsia="仿宋" w:cs="仿宋"/>
          <w:color w:val="221E1F"/>
          <w:sz w:val="32"/>
          <w:szCs w:val="32"/>
        </w:rPr>
        <w:t>之规定</w:t>
      </w:r>
      <w:r>
        <w:rPr>
          <w:rFonts w:hint="eastAsia" w:ascii="仿宋" w:hAnsi="仿宋" w:eastAsia="仿宋" w:cs="仿宋"/>
          <w:sz w:val="32"/>
          <w:szCs w:val="32"/>
        </w:rPr>
        <w:t>，依据《河南省食品小作坊、小经营店和小摊点管理条例》第四十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五条“</w:t>
      </w:r>
      <w:r>
        <w:rPr>
          <w:rFonts w:hint="eastAsia" w:ascii="仿宋" w:hAnsi="仿宋" w:eastAsia="仿宋" w:cs="仿宋"/>
          <w:color w:val="3E3E3E"/>
          <w:kern w:val="0"/>
          <w:sz w:val="32"/>
          <w:szCs w:val="32"/>
        </w:rPr>
        <w:t>违反本条例规定，小作坊和小经营店有下列行为之一，由县级人民政府食品药品监督管理部门责令限期改正，给予警告；逾期不改正的，处一千元以上五千元以下罚款：（一）不符合食品生产经营要求的；</w:t>
      </w:r>
      <w:r>
        <w:rPr>
          <w:rFonts w:hint="eastAsia" w:ascii="仿宋" w:hAnsi="仿宋" w:eastAsia="仿宋" w:cs="仿宋"/>
          <w:sz w:val="32"/>
          <w:szCs w:val="32"/>
        </w:rPr>
        <w:t>”之规定，</w:t>
      </w:r>
      <w:r>
        <w:rPr>
          <w:rFonts w:hint="eastAsia" w:ascii="仿宋" w:hAnsi="仿宋" w:eastAsia="仿宋" w:cs="仿宋"/>
          <w:color w:val="231F20"/>
          <w:sz w:val="32"/>
          <w:szCs w:val="32"/>
        </w:rPr>
        <w:t>参照《河南省市场监督管理行政处罚裁量基准规定》7.3.2依据《河南省食品小作坊、小经营店和小摊点管理条例》第四十五条实施的行政处罚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“裁量基准 处0.1万元以上0.28万元以下罚款。</w:t>
      </w:r>
      <w:r>
        <w:rPr>
          <w:rFonts w:hint="eastAsia" w:ascii="仿宋" w:hAnsi="仿宋" w:eastAsia="仿宋" w:cs="仿宋"/>
          <w:color w:val="231F20"/>
          <w:sz w:val="32"/>
          <w:szCs w:val="32"/>
        </w:rPr>
        <w:t>”之规定，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决定对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洛阳市偃师区伊洛街道聚忆记食品店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处</w:t>
      </w:r>
      <w:r>
        <w:rPr>
          <w:rFonts w:hint="eastAsia" w:ascii="仿宋" w:hAnsi="仿宋" w:eastAsia="仿宋" w:cs="仿宋"/>
          <w:color w:val="3E3E3E"/>
          <w:kern w:val="0"/>
          <w:sz w:val="32"/>
          <w:szCs w:val="32"/>
        </w:rPr>
        <w:t>2000元罚款。</w:t>
      </w:r>
    </w:p>
    <w:p>
      <w:pPr>
        <w:pStyle w:val="5"/>
        <w:autoSpaceDE w:val="0"/>
        <w:spacing w:line="580" w:lineRule="exact"/>
        <w:ind w:left="0" w:firstLine="640" w:firstLineChars="200"/>
        <w:rPr>
          <w:rFonts w:ascii="仿宋" w:hAnsi="仿宋" w:eastAsia="仿宋" w:cs="仿宋"/>
          <w:color w:val="333333"/>
        </w:rPr>
      </w:pPr>
      <w:r>
        <w:rPr>
          <w:rFonts w:hint="eastAsia" w:ascii="仿宋" w:hAnsi="仿宋" w:eastAsia="仿宋" w:cs="仿宋"/>
          <w:color w:val="333333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洛阳银行偃师市支行，户名：洛阳市偃师区财政局财政专户，账号：671610090000000753。7.邮储银行偃师市支行，户名：洛阳市偃师区财政局财政专户，账号：100216664840019999。）</w:t>
      </w:r>
    </w:p>
    <w:p>
      <w:pPr>
        <w:spacing w:line="5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根据《行政处罚法》第七十二条规定，当事人逾期不履行行政处罚决定的，本机关可以采取以下措施：（一）到期不缴纳罚款的，每日按罚款数额的百分之三加处罚款；（二）申请人民法院强制执行。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>
      <w:pPr>
        <w:tabs>
          <w:tab w:val="left" w:pos="2440"/>
          <w:tab w:val="left" w:pos="8964"/>
        </w:tabs>
        <w:spacing w:line="5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如不服本处罚决定，可自接文之日起六十日内向洛阳市偃师区人民政府申请复议，也可于接文之日起六个月内向洛阳市偃师区人民法院提起诉讼。行政复议或者行政诉讼期间，本行政处罚决定不停止执行。  </w:t>
      </w:r>
    </w:p>
    <w:p>
      <w:pPr>
        <w:tabs>
          <w:tab w:val="left" w:pos="2440"/>
          <w:tab w:val="left" w:pos="8964"/>
        </w:tabs>
        <w:spacing w:line="5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5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580" w:lineRule="exact"/>
        <w:ind w:firstLine="3200" w:firstLineChars="100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洛阳市偃师区市场监督管理局</w:t>
      </w:r>
    </w:p>
    <w:p>
      <w:pPr>
        <w:tabs>
          <w:tab w:val="left" w:pos="2440"/>
          <w:tab w:val="left" w:pos="8964"/>
        </w:tabs>
        <w:spacing w:line="580" w:lineRule="exact"/>
        <w:ind w:firstLine="640" w:firstLineChars="20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 xml:space="preserve">                      </w:t>
      </w:r>
    </w:p>
    <w:p>
      <w:pPr>
        <w:tabs>
          <w:tab w:val="left" w:pos="2440"/>
          <w:tab w:val="left" w:pos="8964"/>
        </w:tabs>
        <w:spacing w:line="580" w:lineRule="exact"/>
        <w:ind w:firstLine="4160" w:firstLineChars="130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 xml:space="preserve"> 2023年7月20日</w:t>
      </w:r>
    </w:p>
    <w:p>
      <w:pPr>
        <w:tabs>
          <w:tab w:val="left" w:pos="2440"/>
          <w:tab w:val="left" w:pos="8964"/>
        </w:tabs>
        <w:spacing w:line="580" w:lineRule="exact"/>
        <w:ind w:firstLine="640" w:firstLineChars="200"/>
        <w:rPr>
          <w:rFonts w:ascii="仿宋" w:hAnsi="仿宋" w:eastAsia="仿宋" w:cs="仿宋"/>
          <w:color w:val="333333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500" w:lineRule="exact"/>
        <w:rPr>
          <w:rFonts w:ascii="仿宋" w:eastAsia="仿宋" w:cs="仿宋"/>
          <w:color w:val="333333"/>
          <w:sz w:val="32"/>
          <w:szCs w:val="32"/>
        </w:rPr>
      </w:pPr>
      <w:r>
        <w:rPr>
          <w:rFonts w:hint="eastAsia" w:ascii="仿宋" w:eastAsia="仿宋" w:cs="仿宋"/>
          <w:color w:val="333333"/>
          <w:sz w:val="32"/>
          <w:szCs w:val="32"/>
        </w:rPr>
        <w:t>（</w:t>
      </w:r>
      <w:r>
        <w:rPr>
          <w:rFonts w:hint="eastAsia" w:ascii="仿宋" w:eastAsia="仿宋" w:cs="仿宋"/>
          <w:color w:val="333333"/>
          <w:spacing w:val="-11"/>
          <w:sz w:val="32"/>
          <w:szCs w:val="32"/>
        </w:rPr>
        <w:t>市场监督管理部门将依法向社会公示本行政处罚决定信息</w:t>
      </w:r>
      <w:r>
        <w:rPr>
          <w:rFonts w:hint="eastAsia" w:ascii="仿宋" w:eastAsia="仿宋" w:cs="仿宋"/>
          <w:color w:val="333333"/>
          <w:sz w:val="32"/>
          <w:szCs w:val="32"/>
        </w:rPr>
        <w:t>）</w:t>
      </w:r>
    </w:p>
    <w:p>
      <w:pPr>
        <w:tabs>
          <w:tab w:val="left" w:pos="2440"/>
          <w:tab w:val="left" w:pos="8964"/>
        </w:tabs>
        <w:spacing w:line="500" w:lineRule="exact"/>
        <w:rPr>
          <w:rFonts w:ascii="仿宋" w:eastAsia="仿宋" w:cs="仿宋"/>
          <w:color w:val="333333"/>
          <w:sz w:val="32"/>
          <w:szCs w:val="32"/>
        </w:rPr>
      </w:pPr>
      <w:r>
        <w:rPr>
          <w:rFonts w:hint="eastAsia" w:ascii="仿宋" w:eastAsia="仿宋" w:cs="仿宋"/>
          <w:color w:val="333333"/>
          <w:sz w:val="32"/>
          <w:szCs w:val="32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33020</wp:posOffset>
                </wp:positionV>
                <wp:extent cx="5311140" cy="0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11140" cy="0"/>
                        </a:xfrm>
                        <a:prstGeom prst="line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9pt;margin-top:2.6pt;height:0pt;width:418.2pt;z-index:251659264;mso-width-relative:page;mso-height-relative:page;" filled="f" stroked="t" coordsize="21600,21600" o:gfxdata="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gQbt8NYAAAAGAQAADwAAAAAAAAABACAAAAAiAAAAZHJzL2Rvd25yZXYueG1s&#10;UEsBAhQAFAAAAAgAh07iQEzAqnTBAQAAlQMAAA4AAAAAAAAAAQAgAAAAJQEAAGRycy9lMm9Eb2Mu&#10;eG1sUEsFBgAAAAAGAAYAWQEAAFgFAAAAAA==&#10;">
                <v:fill on="f" focussize="0,0"/>
                <v:stroke weight="1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eastAsia="仿宋" w:cs="仿宋"/>
          <w:color w:val="333333"/>
          <w:sz w:val="32"/>
          <w:szCs w:val="32"/>
        </w:rPr>
        <w:t>本文书一式三份，一份送达，一份归档，一份办案机构留存。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758" w:bottom="1440" w:left="175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1</w:t>
    </w:r>
    <w:r>
      <w:rPr>
        <w:rStyle w:val="11"/>
      </w:rP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 xml:space="preserve"> </w:t>
    </w:r>
    <w:r>
      <w:rPr>
        <w:rStyle w:val="11"/>
      </w:rP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22230F"/>
    <w:rsid w:val="0022230F"/>
    <w:rsid w:val="005372E8"/>
    <w:rsid w:val="00835BE9"/>
    <w:rsid w:val="014D0B1B"/>
    <w:rsid w:val="0E0F7B54"/>
    <w:rsid w:val="179B1A48"/>
    <w:rsid w:val="1AB02FE3"/>
    <w:rsid w:val="1C1923EE"/>
    <w:rsid w:val="203621B8"/>
    <w:rsid w:val="205968EA"/>
    <w:rsid w:val="269A3BB7"/>
    <w:rsid w:val="2DC24DA4"/>
    <w:rsid w:val="2DD65871"/>
    <w:rsid w:val="2E1515EE"/>
    <w:rsid w:val="338702B8"/>
    <w:rsid w:val="34EE77C9"/>
    <w:rsid w:val="402657A8"/>
    <w:rsid w:val="45A00172"/>
    <w:rsid w:val="5207024F"/>
    <w:rsid w:val="5F32266C"/>
    <w:rsid w:val="60300022"/>
    <w:rsid w:val="63E97FE0"/>
    <w:rsid w:val="65687D20"/>
    <w:rsid w:val="662C2653"/>
    <w:rsid w:val="6D8B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nhideWhenUsed="0" w:uiPriority="0" w:semiHidden="0" w:name="heading 3" w:locked="1"/>
    <w:lsdException w:unhideWhenUsed="0" w:uiPriority="0" w:semiHidden="0" w:name="heading 4" w:locked="1"/>
    <w:lsdException w:unhideWhenUsed="0" w:uiPriority="0" w:semiHidden="0" w:name="heading 5" w:locked="1"/>
    <w:lsdException w:unhideWhenUsed="0" w:uiPriority="0" w:semiHidden="0" w:name="heading 6" w:locked="1"/>
    <w:lsdException w:unhideWhenUsed="0" w:uiPriority="0" w:semiHidden="0" w:name="heading 7" w:locked="1"/>
    <w:lsdException w:unhideWhenUsed="0" w:uiPriority="0" w:semiHidden="0" w:name="heading 8" w:locked="1"/>
    <w:lsdException w:unhideWhenUsed="0" w:uiPriority="0" w:semiHidden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widowControl/>
      <w:outlineLvl w:val="0"/>
    </w:pPr>
    <w:rPr>
      <w:rFonts w:ascii="Arial Unicode MS" w:hAnsi="Arial Unicode MS"/>
      <w:sz w:val="42"/>
      <w:szCs w:val="42"/>
    </w:rPr>
  </w:style>
  <w:style w:type="paragraph" w:styleId="3">
    <w:name w:val="heading 2"/>
    <w:basedOn w:val="1"/>
    <w:next w:val="1"/>
    <w:qFormat/>
    <w:locked/>
    <w:uiPriority w:val="0"/>
    <w:pPr>
      <w:keepNext/>
      <w:keepLines/>
      <w:spacing w:before="260" w:after="260" w:line="415" w:lineRule="auto"/>
      <w:outlineLvl w:val="1"/>
    </w:pPr>
    <w:rPr>
      <w:rFonts w:eastAsia="黑体"/>
      <w:b/>
      <w:sz w:val="32"/>
    </w:rPr>
  </w:style>
  <w:style w:type="paragraph" w:styleId="4">
    <w:name w:val="heading 3"/>
    <w:basedOn w:val="1"/>
    <w:next w:val="1"/>
    <w:qFormat/>
    <w:locked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ind w:left="220"/>
    </w:pPr>
    <w:rPr>
      <w:rFonts w:ascii="Arial Unicode MS" w:hAnsi="Arial Unicode MS"/>
      <w:sz w:val="32"/>
      <w:szCs w:val="3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adjustRightInd w:val="0"/>
      <w:snapToGrid w:val="0"/>
      <w:spacing w:line="240" w:lineRule="atLeast"/>
      <w:jc w:val="left"/>
    </w:pPr>
    <w:rPr>
      <w:kern w:val="0"/>
      <w:sz w:val="18"/>
      <w:szCs w:val="20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Strong"/>
    <w:basedOn w:val="9"/>
    <w:qFormat/>
    <w:locked/>
    <w:uiPriority w:val="0"/>
    <w:rPr>
      <w:rFonts w:cs="Times New Roman"/>
      <w:b/>
    </w:rPr>
  </w:style>
  <w:style w:type="character" w:styleId="11">
    <w:name w:val="page number"/>
    <w:basedOn w:val="9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242</Words>
  <Characters>1382</Characters>
  <Lines>11</Lines>
  <Paragraphs>3</Paragraphs>
  <TotalTime>8</TotalTime>
  <ScaleCrop>false</ScaleCrop>
  <LinksUpToDate>false</LinksUpToDate>
  <CharactersWithSpaces>1621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2023-07-19T04:15:00Z</dcterms:created>
  <dc:creator>微软用户</dc:creator>
  <cp:lastModifiedBy>王建清</cp:lastModifiedBy>
  <cp:lastPrinted>2020-06-08T09:28:00Z</cp:lastPrinted>
  <dcterms:modified xsi:type="dcterms:W3CDTF">2023-08-09T01:05:58Z</dcterms:modified>
  <dc:title>偃师市工商行政管理局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658A7ECCF3774708A630D10B1741BD1B_13</vt:lpwstr>
  </property>
</Properties>
</file>