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cs="宋体"/>
          <w:sz w:val="44"/>
          <w:szCs w:val="44"/>
        </w:rPr>
      </w:pPr>
      <w:bookmarkStart w:id="3" w:name="_GoBack"/>
      <w:bookmarkEnd w:id="3"/>
      <w:r>
        <w:rPr>
          <w:rFonts w:hint="eastAsia" w:ascii="方正小标宋简体" w:hAnsi="宋体" w:eastAsia="方正小标宋简体" w:cs="宋体"/>
          <w:sz w:val="44"/>
          <w:szCs w:val="44"/>
        </w:rPr>
        <w:t>洛阳市偃师区市场监督管理局</w:t>
      </w:r>
    </w:p>
    <w:p>
      <w:pPr>
        <w:spacing w:line="600" w:lineRule="exact"/>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540" w:lineRule="exact"/>
        <w:ind w:firstLine="2240" w:firstLineChars="700"/>
        <w:rPr>
          <w:rFonts w:ascii="仿宋" w:hAnsi="仿宋" w:eastAsia="仿宋" w:cs="仿宋_GB2312"/>
          <w:sz w:val="32"/>
          <w:szCs w:val="32"/>
        </w:rPr>
      </w:pPr>
      <w:r>
        <w:rPr>
          <w:rFonts w:hint="eastAsia" w:ascii="仿宋" w:hAnsi="仿宋" w:eastAsia="仿宋" w:cs="仿宋_GB2312"/>
          <w:sz w:val="32"/>
          <w:szCs w:val="32"/>
        </w:rPr>
        <w:t>偃市监处罚</w:t>
      </w:r>
      <w:bookmarkStart w:id="0" w:name="_Hlk136946906"/>
      <w:r>
        <w:rPr>
          <w:rFonts w:hint="eastAsia" w:ascii="仿宋" w:hAnsi="仿宋" w:eastAsia="仿宋" w:cs="仿宋_GB2312"/>
          <w:sz w:val="32"/>
          <w:szCs w:val="32"/>
        </w:rPr>
        <w:t>〔2023〕</w:t>
      </w:r>
      <w:bookmarkEnd w:id="0"/>
      <w:r>
        <w:rPr>
          <w:rFonts w:hint="eastAsia" w:ascii="仿宋" w:hAnsi="仿宋" w:eastAsia="仿宋" w:cs="仿宋_GB2312"/>
          <w:sz w:val="32"/>
          <w:szCs w:val="32"/>
        </w:rPr>
        <w:t>2022164号</w:t>
      </w:r>
    </w:p>
    <w:p>
      <w:pPr>
        <w:spacing w:line="540" w:lineRule="exact"/>
        <w:rPr>
          <w:rFonts w:ascii="仿宋" w:hAnsi="仿宋" w:eastAsia="仿宋" w:cs="仿宋"/>
          <w:sz w:val="32"/>
          <w:szCs w:val="32"/>
        </w:rPr>
      </w:pPr>
    </w:p>
    <w:p>
      <w:pPr>
        <w:spacing w:line="540" w:lineRule="exact"/>
        <w:rPr>
          <w:rFonts w:ascii="仿宋" w:hAnsi="仿宋" w:eastAsia="仿宋" w:cs="仿宋_GB2312"/>
          <w:sz w:val="32"/>
          <w:szCs w:val="32"/>
        </w:rPr>
      </w:pPr>
      <w:r>
        <w:rPr>
          <w:rFonts w:hint="eastAsia" w:ascii="仿宋" w:hAnsi="仿宋" w:eastAsia="仿宋" w:cs="仿宋_GB2312"/>
          <w:sz w:val="32"/>
          <w:szCs w:val="32"/>
        </w:rPr>
        <w:t>当事人：</w:t>
      </w:r>
      <w:bookmarkStart w:id="1" w:name="_Hlk141094732"/>
      <w:r>
        <w:rPr>
          <w:rFonts w:hint="eastAsia" w:ascii="仿宋" w:hAnsi="仿宋" w:eastAsia="仿宋" w:cs="仿宋_GB2312"/>
          <w:sz w:val="32"/>
          <w:szCs w:val="32"/>
        </w:rPr>
        <w:t>洛阳市偃师区兴隆社区卫生服务中心</w:t>
      </w:r>
      <w:bookmarkEnd w:id="1"/>
    </w:p>
    <w:p>
      <w:pPr>
        <w:spacing w:line="540" w:lineRule="exact"/>
        <w:rPr>
          <w:rFonts w:ascii="仿宋" w:hAnsi="仿宋" w:eastAsia="仿宋" w:cs="仿宋_GB2312"/>
          <w:sz w:val="32"/>
          <w:szCs w:val="32"/>
        </w:rPr>
      </w:pPr>
      <w:r>
        <w:rPr>
          <w:rFonts w:hint="eastAsia" w:ascii="仿宋" w:hAnsi="仿宋" w:eastAsia="仿宋" w:cs="仿宋_GB2312"/>
          <w:sz w:val="32"/>
          <w:szCs w:val="32"/>
        </w:rPr>
        <w:t xml:space="preserve">主体资格证照名称：事业单位法人证书                                 </w:t>
      </w:r>
    </w:p>
    <w:p>
      <w:pPr>
        <w:spacing w:line="540" w:lineRule="exact"/>
        <w:rPr>
          <w:rFonts w:ascii="仿宋" w:hAnsi="仿宋" w:eastAsia="仿宋" w:cs="仿宋_GB2312"/>
          <w:sz w:val="32"/>
          <w:szCs w:val="32"/>
        </w:rPr>
      </w:pPr>
      <w:r>
        <w:rPr>
          <w:rFonts w:hint="eastAsia" w:ascii="仿宋" w:hAnsi="仿宋" w:eastAsia="仿宋" w:cs="仿宋_GB2312"/>
          <w:sz w:val="32"/>
          <w:szCs w:val="32"/>
        </w:rPr>
        <w:t>统一社会信用代码：12410381MB1P02318H</w:t>
      </w:r>
    </w:p>
    <w:p>
      <w:pPr>
        <w:spacing w:line="540" w:lineRule="exact"/>
        <w:rPr>
          <w:rFonts w:ascii="仿宋" w:hAnsi="仿宋" w:eastAsia="仿宋" w:cs="仿宋_GB2312"/>
          <w:sz w:val="32"/>
          <w:szCs w:val="32"/>
        </w:rPr>
      </w:pPr>
      <w:r>
        <w:rPr>
          <w:rFonts w:hint="eastAsia" w:ascii="仿宋" w:hAnsi="仿宋" w:eastAsia="仿宋" w:cs="仿宋_GB2312"/>
          <w:sz w:val="32"/>
          <w:szCs w:val="32"/>
        </w:rPr>
        <w:t>住 所：洛阳市偃师区兴隆街96号</w:t>
      </w:r>
    </w:p>
    <w:p>
      <w:pPr>
        <w:spacing w:line="540" w:lineRule="exact"/>
        <w:rPr>
          <w:rFonts w:ascii="仿宋" w:hAnsi="仿宋" w:eastAsia="仿宋" w:cs="仿宋_GB2312"/>
          <w:sz w:val="32"/>
          <w:szCs w:val="32"/>
        </w:rPr>
      </w:pPr>
      <w:r>
        <w:rPr>
          <w:rFonts w:hint="eastAsia" w:ascii="仿宋" w:hAnsi="仿宋" w:eastAsia="仿宋" w:cs="仿宋_GB2312"/>
          <w:sz w:val="32"/>
          <w:szCs w:val="32"/>
        </w:rPr>
        <w:t>法定代表人：李瑞鸿</w:t>
      </w:r>
    </w:p>
    <w:p>
      <w:pPr>
        <w:spacing w:line="540" w:lineRule="exact"/>
        <w:rPr>
          <w:rFonts w:ascii="仿宋" w:hAnsi="仿宋" w:eastAsia="仿宋" w:cs="仿宋_GB2312"/>
          <w:sz w:val="32"/>
          <w:szCs w:val="32"/>
        </w:rPr>
      </w:pP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2022年11月15日，我局执法人员对当事人2021年8月1日至2022年11月14日期间医疗服务价格执行情况进行检查，发现当事人有不执行政府指导价、政府定价的违法行为。</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经查，2021年8月1日至2022年11月14日期间，当事人未按照豫医保办【2022】10号、豫医保办【2022】15号《关于进一步降低新冠病毒核酸检测项目价格的通知》和豫医保办【2022】21号《关于进一步降低新冠病毒核酸检测和抗原检测项目价格的通知》文件执行，超标准收取患者及个人自愿进行新冠病毒核酸检测费用。具体收费情况如下：1、2022年4月10日至2022年4月17日单采应收25.8元/人次，实收38元/人次，超收12.2元/人次，累计收取16人次，共计收入195.2元。2、2022年10月21日至2022年10月24日，混采应收4元/人次，实收10元/人次，超收6元/人次，累计收取720人次，共计收入4320元；单采应收16元/人次，实收38元/人次，超收22元/人次，累计收取6人次，共计收入132元。3、2022年10月25日至2022年10月31日单采应收16元/人次，实收25.8元/人次，超收9.8元/人次，累计收取10人次，共计收入98元。上述违法收入共计4745.2元。</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上述事实，主要有以下证据证明：</w:t>
      </w:r>
    </w:p>
    <w:p>
      <w:pPr>
        <w:spacing w:line="540" w:lineRule="exact"/>
        <w:ind w:left="640"/>
        <w:rPr>
          <w:rFonts w:ascii="仿宋" w:hAnsi="仿宋" w:eastAsia="仿宋" w:cs="仿宋_GB2312"/>
          <w:sz w:val="32"/>
          <w:szCs w:val="32"/>
        </w:rPr>
      </w:pPr>
      <w:r>
        <w:rPr>
          <w:rFonts w:hint="eastAsia" w:ascii="仿宋" w:hAnsi="仿宋" w:eastAsia="仿宋" w:cs="仿宋_GB2312"/>
          <w:sz w:val="32"/>
          <w:szCs w:val="32"/>
        </w:rPr>
        <w:t>1.事业单位法人证书、医疗机构执业许可证及法定代表人身</w:t>
      </w:r>
    </w:p>
    <w:p>
      <w:pPr>
        <w:spacing w:line="540" w:lineRule="exact"/>
        <w:rPr>
          <w:rFonts w:ascii="仿宋" w:hAnsi="仿宋" w:eastAsia="仿宋" w:cs="仿宋_GB2312"/>
          <w:sz w:val="32"/>
          <w:szCs w:val="32"/>
        </w:rPr>
      </w:pPr>
      <w:r>
        <w:rPr>
          <w:rFonts w:hint="eastAsia" w:ascii="仿宋" w:hAnsi="仿宋" w:eastAsia="仿宋" w:cs="仿宋_GB2312"/>
          <w:sz w:val="32"/>
          <w:szCs w:val="32"/>
        </w:rPr>
        <w:t>份证复印件各1份，证明当事人身份；</w:t>
      </w:r>
    </w:p>
    <w:p>
      <w:pPr>
        <w:spacing w:line="540" w:lineRule="exact"/>
        <w:ind w:left="640"/>
        <w:rPr>
          <w:rFonts w:ascii="仿宋" w:hAnsi="仿宋" w:eastAsia="仿宋" w:cs="仿宋_GB2312"/>
          <w:sz w:val="32"/>
          <w:szCs w:val="32"/>
        </w:rPr>
      </w:pPr>
      <w:r>
        <w:rPr>
          <w:rFonts w:hint="eastAsia" w:ascii="仿宋" w:hAnsi="仿宋" w:eastAsia="仿宋" w:cs="仿宋_GB2312"/>
          <w:sz w:val="32"/>
          <w:szCs w:val="32"/>
        </w:rPr>
        <w:t>2</w:t>
      </w:r>
      <w:r>
        <w:rPr>
          <w:rFonts w:ascii="仿宋" w:hAnsi="仿宋" w:eastAsia="仿宋" w:cs="仿宋_GB2312"/>
          <w:sz w:val="32"/>
          <w:szCs w:val="32"/>
        </w:rPr>
        <w:t>.</w:t>
      </w:r>
      <w:r>
        <w:rPr>
          <w:rFonts w:hint="eastAsia" w:ascii="仿宋" w:hAnsi="仿宋" w:eastAsia="仿宋" w:cs="仿宋_GB2312"/>
          <w:sz w:val="32"/>
          <w:szCs w:val="32"/>
        </w:rPr>
        <w:t>委托书及被委托人身份证复印件各1份，证明委托人身份；</w:t>
      </w:r>
    </w:p>
    <w:p>
      <w:pPr>
        <w:spacing w:line="540" w:lineRule="exact"/>
        <w:ind w:left="640"/>
        <w:rPr>
          <w:rFonts w:ascii="仿宋" w:hAnsi="仿宋" w:eastAsia="仿宋" w:cs="仿宋_GB2312"/>
          <w:sz w:val="32"/>
          <w:szCs w:val="32"/>
        </w:rPr>
      </w:pPr>
      <w:r>
        <w:rPr>
          <w:rFonts w:hint="eastAsia" w:ascii="仿宋" w:hAnsi="仿宋" w:eastAsia="仿宋" w:cs="仿宋_GB2312"/>
          <w:sz w:val="32"/>
          <w:szCs w:val="32"/>
        </w:rPr>
        <w:t>3</w:t>
      </w:r>
      <w:r>
        <w:rPr>
          <w:rFonts w:ascii="仿宋" w:hAnsi="仿宋" w:eastAsia="仿宋" w:cs="仿宋_GB2312"/>
          <w:sz w:val="32"/>
          <w:szCs w:val="32"/>
        </w:rPr>
        <w:t>.</w:t>
      </w:r>
      <w:r>
        <w:rPr>
          <w:rFonts w:hint="eastAsia" w:ascii="仿宋" w:hAnsi="仿宋" w:eastAsia="仿宋" w:cs="仿宋_GB2312"/>
          <w:sz w:val="32"/>
          <w:szCs w:val="32"/>
        </w:rPr>
        <w:t>询问笔录1份，证明当事人不执行政府指导价、政府定价</w:t>
      </w:r>
    </w:p>
    <w:p>
      <w:pPr>
        <w:spacing w:line="540" w:lineRule="exact"/>
        <w:rPr>
          <w:rFonts w:ascii="仿宋" w:hAnsi="仿宋" w:eastAsia="仿宋" w:cs="仿宋_GB2312"/>
          <w:sz w:val="32"/>
          <w:szCs w:val="32"/>
        </w:rPr>
      </w:pPr>
      <w:r>
        <w:rPr>
          <w:rFonts w:hint="eastAsia" w:ascii="仿宋" w:hAnsi="仿宋" w:eastAsia="仿宋" w:cs="仿宋_GB2312"/>
          <w:sz w:val="32"/>
          <w:szCs w:val="32"/>
        </w:rPr>
        <w:t>的实际收费情况；</w:t>
      </w:r>
    </w:p>
    <w:p>
      <w:pPr>
        <w:spacing w:line="540" w:lineRule="exact"/>
        <w:ind w:left="640"/>
        <w:rPr>
          <w:rFonts w:ascii="仿宋" w:hAnsi="仿宋" w:eastAsia="仿宋" w:cs="仿宋_GB2312"/>
          <w:sz w:val="32"/>
          <w:szCs w:val="32"/>
        </w:rPr>
      </w:pPr>
      <w:r>
        <w:rPr>
          <w:rFonts w:ascii="仿宋" w:hAnsi="仿宋" w:eastAsia="仿宋" w:cs="仿宋_GB2312"/>
          <w:sz w:val="32"/>
          <w:szCs w:val="32"/>
        </w:rPr>
        <w:t>4.</w:t>
      </w:r>
      <w:r>
        <w:rPr>
          <w:rFonts w:hint="eastAsia" w:ascii="仿宋" w:hAnsi="仿宋" w:eastAsia="仿宋" w:cs="仿宋_GB2312"/>
          <w:sz w:val="32"/>
          <w:szCs w:val="32"/>
        </w:rPr>
        <w:t>现场笔录1份，证明当事人接受检查情况；</w:t>
      </w:r>
    </w:p>
    <w:p>
      <w:pPr>
        <w:spacing w:line="540" w:lineRule="exact"/>
        <w:ind w:left="640"/>
        <w:rPr>
          <w:rFonts w:ascii="仿宋" w:hAnsi="仿宋" w:eastAsia="仿宋" w:cs="仿宋_GB2312"/>
          <w:sz w:val="32"/>
          <w:szCs w:val="32"/>
        </w:rPr>
      </w:pPr>
      <w:r>
        <w:rPr>
          <w:rFonts w:hint="eastAsia" w:ascii="仿宋" w:hAnsi="仿宋" w:eastAsia="仿宋" w:cs="仿宋_GB2312"/>
          <w:sz w:val="32"/>
          <w:szCs w:val="32"/>
        </w:rPr>
        <w:t>5</w:t>
      </w:r>
      <w:r>
        <w:rPr>
          <w:rFonts w:ascii="仿宋" w:hAnsi="仿宋" w:eastAsia="仿宋" w:cs="仿宋_GB2312"/>
          <w:sz w:val="32"/>
          <w:szCs w:val="32"/>
        </w:rPr>
        <w:t>.</w:t>
      </w:r>
      <w:r>
        <w:rPr>
          <w:rFonts w:hint="eastAsia" w:ascii="仿宋" w:hAnsi="仿宋" w:eastAsia="仿宋" w:cs="仿宋_GB2312"/>
          <w:sz w:val="32"/>
          <w:szCs w:val="32"/>
        </w:rPr>
        <w:t>从当事人使用的融达医院信息管理系统提取的2021年8</w:t>
      </w:r>
    </w:p>
    <w:p>
      <w:pPr>
        <w:spacing w:line="540" w:lineRule="exact"/>
        <w:rPr>
          <w:rFonts w:ascii="仿宋" w:hAnsi="仿宋" w:eastAsia="仿宋" w:cs="仿宋_GB2312"/>
          <w:sz w:val="32"/>
          <w:szCs w:val="32"/>
        </w:rPr>
      </w:pPr>
      <w:r>
        <w:rPr>
          <w:rFonts w:hint="eastAsia" w:ascii="仿宋" w:hAnsi="仿宋" w:eastAsia="仿宋" w:cs="仿宋_GB2312"/>
          <w:sz w:val="32"/>
          <w:szCs w:val="32"/>
        </w:rPr>
        <w:t>月1日至2022年11月14日门诊统计项目费用明细两张，证明当事人不执行政府指导价、政府定价的实际数据。</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6</w:t>
      </w:r>
      <w:r>
        <w:rPr>
          <w:rFonts w:ascii="仿宋" w:hAnsi="仿宋" w:eastAsia="仿宋" w:cs="仿宋_GB2312"/>
          <w:sz w:val="32"/>
          <w:szCs w:val="32"/>
        </w:rPr>
        <w:t>.</w:t>
      </w:r>
      <w:r>
        <w:rPr>
          <w:rFonts w:hint="eastAsia" w:ascii="仿宋" w:hAnsi="仿宋" w:eastAsia="仿宋" w:cs="仿宋_GB2312"/>
          <w:sz w:val="32"/>
          <w:szCs w:val="32"/>
        </w:rPr>
        <w:t>豫医保办【2022】10号、豫医保办【2022】15号《关于进一步降低新冠病毒核酸检测项目价格的通知》和豫医保办【2022】21号《关于进一步降低新冠病毒核酸检测和抗原检测项目价格的通知》文件复印件各1份，证明当事人违反文件规定，不执行政府指导价、政府定价的事实。</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2023年7月11日，我局向当事人送达了偃市监罚告〔2023〕2022164号《行政处罚告知书》，告知当事人本局拟对其作出行政处罚的事实、理由、依据及其享有的陈述、申辩的权利，当事人</w:t>
      </w:r>
    </w:p>
    <w:p>
      <w:pPr>
        <w:spacing w:line="540" w:lineRule="exact"/>
        <w:rPr>
          <w:rFonts w:ascii="仿宋" w:hAnsi="仿宋" w:eastAsia="仿宋" w:cs="仿宋_GB2312"/>
          <w:sz w:val="32"/>
          <w:szCs w:val="32"/>
        </w:rPr>
      </w:pPr>
      <w:r>
        <w:rPr>
          <w:rFonts w:hint="eastAsia" w:ascii="仿宋" w:hAnsi="仿宋" w:eastAsia="仿宋" w:cs="仿宋_GB2312"/>
          <w:sz w:val="32"/>
          <w:szCs w:val="32"/>
        </w:rPr>
        <w:t>在规定的期限内未作出陈述、申辩，即视为放弃上述权利。</w:t>
      </w:r>
    </w:p>
    <w:p>
      <w:pPr>
        <w:pStyle w:val="4"/>
        <w:autoSpaceDE w:val="0"/>
        <w:spacing w:line="540" w:lineRule="exact"/>
        <w:ind w:left="0" w:firstLine="640" w:firstLineChars="200"/>
        <w:rPr>
          <w:rFonts w:ascii="仿宋" w:hAnsi="仿宋" w:eastAsia="仿宋" w:cs="仿宋_GB2312"/>
        </w:rPr>
      </w:pPr>
      <w:r>
        <w:rPr>
          <w:rFonts w:hint="eastAsia" w:ascii="仿宋" w:hAnsi="仿宋" w:eastAsia="仿宋" w:cs="仿宋_GB2312"/>
        </w:rPr>
        <w:t>2023年7月11日，我局向当事人送达了《责令退款通知书》，责令当事人十五日内将多收价款4745.2元退还消费者。期限内当事人未将违法所得退还消费者。</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参照《河南省市场监督管理行政处罚裁量权适用通则》第十二条“当事人不具备不予行政处罚、减轻、从轻或者从重行政处罚情形的，原则上给予一般行政处罚。”的规定，及当事人违法的事实、性质、情节，其行为属于一般违法，应给予一般行政处罚。</w:t>
      </w:r>
    </w:p>
    <w:p>
      <w:pPr>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的上述行为违反了《中华人民共和国价格法》第十二条“经营者进行价格活动，应当遵守法律、法规，执行依法制定的政府指导价、政府定价和法定的价格干预措施、紧急措施。”的规定，依据《中华人民共和国价格法》第三十九条“经营者不执行政府指导价、政府定价以及法定的价格干预措施、紧急措施的，</w:t>
      </w:r>
      <w:bookmarkStart w:id="2" w:name="_Hlk141094714"/>
      <w:r>
        <w:rPr>
          <w:rFonts w:hint="eastAsia" w:ascii="仿宋" w:hAnsi="仿宋" w:eastAsia="仿宋" w:cs="仿宋_GB2312"/>
          <w:sz w:val="32"/>
          <w:szCs w:val="32"/>
        </w:rPr>
        <w:t>责令改正，</w:t>
      </w:r>
      <w:bookmarkEnd w:id="2"/>
      <w:r>
        <w:rPr>
          <w:rFonts w:hint="eastAsia" w:ascii="仿宋" w:hAnsi="仿宋" w:eastAsia="仿宋" w:cs="仿宋_GB2312"/>
          <w:sz w:val="32"/>
          <w:szCs w:val="32"/>
        </w:rPr>
        <w:t>没收违法所得，可以并处违法所得五倍以下的罚款；没有违法所得的，可以处以罚款；情节严重的，责令停业整顿。”和第四十一条“经营者因价格违法行为致使消费者或者其他经营者多付价款的，应当退还多付部分；造成损害的，应当依法承担赔偿责任。”以及《价格违法行为行政处罚规定》第十六条第二项：“经营者拒不按照前款规定退还消费者或者其他经营者多付的价款，以及期限届满没有退还消费者或者其他经营者多付的价款，由政府价格主管部门予以没收，消费者或者其他经营者要求退还时，由经营者依法承担民事责任。”之规定，对洛阳市偃师区兴隆社区卫生服务中心责令改正，处罚如下：1.没收违法所得4745.2元；2.罚款4745.2元。以上罚没款合计9490.4元。</w:t>
      </w:r>
    </w:p>
    <w:p>
      <w:pPr>
        <w:spacing w:line="54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4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依据《价格违法行为行政处罚规定》第二十一条的规定，逾期不缴纳罚款的，每日按罚款数额的3%加处罚款；逾期不缴纳违法所得的，每日按违法所得数额的2‰加处罚款，并依据《中华人民共和国行政处罚法》 第七十二条规定依法申请人民法院强制执行。</w:t>
      </w:r>
    </w:p>
    <w:p>
      <w:pPr>
        <w:tabs>
          <w:tab w:val="left" w:pos="2440"/>
          <w:tab w:val="left" w:pos="8964"/>
        </w:tabs>
        <w:spacing w:line="54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xml:space="preserve">如不服本处罚决定，可自接文之日起六十日内向洛阳市偃师区人民政府申请复议；对行政复议决定不服的，可以在收到复议决定书之日起十五日内向洛阳市偃师区人民法院提起诉讼。行政复议或者行政诉讼期间，本行政处罚决定不停止执行。   </w:t>
      </w:r>
    </w:p>
    <w:p>
      <w:pPr>
        <w:spacing w:line="540" w:lineRule="exact"/>
        <w:ind w:firstLine="640" w:firstLineChars="200"/>
        <w:rPr>
          <w:rFonts w:ascii="仿宋" w:hAnsi="仿宋" w:eastAsia="仿宋" w:cs="仿宋_GB2312"/>
          <w:bCs/>
          <w:sz w:val="32"/>
          <w:szCs w:val="32"/>
        </w:rPr>
      </w:pPr>
    </w:p>
    <w:p>
      <w:pPr>
        <w:spacing w:line="540" w:lineRule="exact"/>
        <w:ind w:firstLine="640" w:firstLineChars="200"/>
        <w:rPr>
          <w:rFonts w:ascii="仿宋" w:hAnsi="仿宋" w:eastAsia="仿宋" w:cs="仿宋_GB2312"/>
          <w:bCs/>
          <w:sz w:val="32"/>
          <w:szCs w:val="32"/>
        </w:rPr>
      </w:pPr>
    </w:p>
    <w:p>
      <w:pPr>
        <w:spacing w:line="540" w:lineRule="exact"/>
        <w:ind w:firstLine="640" w:firstLineChars="200"/>
        <w:rPr>
          <w:rFonts w:hint="eastAsia" w:ascii="仿宋" w:hAnsi="仿宋" w:eastAsia="仿宋" w:cs="仿宋_GB2312"/>
          <w:bCs/>
          <w:sz w:val="32"/>
          <w:szCs w:val="32"/>
        </w:rPr>
      </w:pPr>
    </w:p>
    <w:p>
      <w:pPr>
        <w:spacing w:line="54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540" w:lineRule="exact"/>
        <w:ind w:firstLine="4480" w:firstLineChars="1400"/>
        <w:rPr>
          <w:rFonts w:ascii="仿宋" w:hAnsi="仿宋" w:eastAsia="仿宋" w:cs="仿宋_GB2312"/>
          <w:bCs/>
          <w:sz w:val="32"/>
          <w:szCs w:val="32"/>
        </w:rPr>
      </w:pPr>
    </w:p>
    <w:p>
      <w:pPr>
        <w:spacing w:line="54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2023年7月28日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hint="eastAsia"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6350" r="0" b="6350"/>
                <wp:wrapNone/>
                <wp:docPr id="4" name="直接连接符 1"/>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z&#10;T2SR0wAAAAUBAAAPAAAAAAAAAAEAIAAAACIAAABkcnMvZG93bnJldi54bWxQSwECFAAUAAAACACH&#10;TuJAbjgHsf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6"/>
          <w:jc w:val="center"/>
        </w:pPr>
        <w:r>
          <w:fldChar w:fldCharType="begin"/>
        </w:r>
        <w:r>
          <w:instrText xml:space="preserve">PAGE   \* MERGEFORMAT</w:instrText>
        </w:r>
        <w:r>
          <w:fldChar w:fldCharType="separate"/>
        </w:r>
        <w:r>
          <w:rPr>
            <w:lang w:val="zh-CN"/>
          </w:rPr>
          <w:t>4</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11463"/>
    <w:rsid w:val="00080AF9"/>
    <w:rsid w:val="000D04B1"/>
    <w:rsid w:val="000F7479"/>
    <w:rsid w:val="00150A99"/>
    <w:rsid w:val="00153AE5"/>
    <w:rsid w:val="001A23A4"/>
    <w:rsid w:val="001E69E5"/>
    <w:rsid w:val="00275A15"/>
    <w:rsid w:val="002E63BB"/>
    <w:rsid w:val="003B7C51"/>
    <w:rsid w:val="003E4D59"/>
    <w:rsid w:val="00412319"/>
    <w:rsid w:val="0045728D"/>
    <w:rsid w:val="00464765"/>
    <w:rsid w:val="0048191E"/>
    <w:rsid w:val="004B3A39"/>
    <w:rsid w:val="004D4162"/>
    <w:rsid w:val="00543743"/>
    <w:rsid w:val="00580318"/>
    <w:rsid w:val="00582469"/>
    <w:rsid w:val="00587D06"/>
    <w:rsid w:val="005E317D"/>
    <w:rsid w:val="005F47C6"/>
    <w:rsid w:val="00624C28"/>
    <w:rsid w:val="0065499B"/>
    <w:rsid w:val="00687260"/>
    <w:rsid w:val="006C437A"/>
    <w:rsid w:val="006D092E"/>
    <w:rsid w:val="006E120C"/>
    <w:rsid w:val="007470E9"/>
    <w:rsid w:val="007841BE"/>
    <w:rsid w:val="007B29AD"/>
    <w:rsid w:val="007D4361"/>
    <w:rsid w:val="008972ED"/>
    <w:rsid w:val="00937EA8"/>
    <w:rsid w:val="00944287"/>
    <w:rsid w:val="009D494A"/>
    <w:rsid w:val="00A80EBF"/>
    <w:rsid w:val="00A87625"/>
    <w:rsid w:val="00AA2DE1"/>
    <w:rsid w:val="00B85B6F"/>
    <w:rsid w:val="00BD2730"/>
    <w:rsid w:val="00C42003"/>
    <w:rsid w:val="00C745E3"/>
    <w:rsid w:val="00CB1D47"/>
    <w:rsid w:val="00CB2168"/>
    <w:rsid w:val="00D10FE7"/>
    <w:rsid w:val="00D66FCA"/>
    <w:rsid w:val="00D73ABA"/>
    <w:rsid w:val="00DB43D0"/>
    <w:rsid w:val="00DE207E"/>
    <w:rsid w:val="00E202A5"/>
    <w:rsid w:val="00EA7753"/>
    <w:rsid w:val="00EB41BB"/>
    <w:rsid w:val="00F432B2"/>
    <w:rsid w:val="00F519BF"/>
    <w:rsid w:val="036B3C4E"/>
    <w:rsid w:val="03756BA9"/>
    <w:rsid w:val="04685FE8"/>
    <w:rsid w:val="05431BA4"/>
    <w:rsid w:val="062026F6"/>
    <w:rsid w:val="06A22ECF"/>
    <w:rsid w:val="087A0447"/>
    <w:rsid w:val="0AED3957"/>
    <w:rsid w:val="0C396332"/>
    <w:rsid w:val="0D7C5242"/>
    <w:rsid w:val="0EEF7A19"/>
    <w:rsid w:val="12971925"/>
    <w:rsid w:val="137C280D"/>
    <w:rsid w:val="15DA5756"/>
    <w:rsid w:val="15E46C47"/>
    <w:rsid w:val="1614447E"/>
    <w:rsid w:val="17F35B20"/>
    <w:rsid w:val="1A9D5316"/>
    <w:rsid w:val="1AB943B7"/>
    <w:rsid w:val="1AEE23D7"/>
    <w:rsid w:val="1D243185"/>
    <w:rsid w:val="1E0F5045"/>
    <w:rsid w:val="1FCF79EC"/>
    <w:rsid w:val="252D139A"/>
    <w:rsid w:val="25583298"/>
    <w:rsid w:val="26A60808"/>
    <w:rsid w:val="2FD12EBD"/>
    <w:rsid w:val="32CD2FA6"/>
    <w:rsid w:val="33857015"/>
    <w:rsid w:val="349F0F7D"/>
    <w:rsid w:val="357065AB"/>
    <w:rsid w:val="37472D85"/>
    <w:rsid w:val="380F4BA6"/>
    <w:rsid w:val="393E14A8"/>
    <w:rsid w:val="3F2D19A9"/>
    <w:rsid w:val="3F4A719A"/>
    <w:rsid w:val="3F596E5A"/>
    <w:rsid w:val="4092096E"/>
    <w:rsid w:val="41277D54"/>
    <w:rsid w:val="415224D5"/>
    <w:rsid w:val="42274495"/>
    <w:rsid w:val="426D19F0"/>
    <w:rsid w:val="427D2C89"/>
    <w:rsid w:val="46932DA9"/>
    <w:rsid w:val="46FB69FE"/>
    <w:rsid w:val="49641236"/>
    <w:rsid w:val="4F126F91"/>
    <w:rsid w:val="4FA07D6E"/>
    <w:rsid w:val="504B6FD0"/>
    <w:rsid w:val="516D6C25"/>
    <w:rsid w:val="52E229BA"/>
    <w:rsid w:val="541A5C08"/>
    <w:rsid w:val="54792359"/>
    <w:rsid w:val="55CA7AEE"/>
    <w:rsid w:val="55CC2F6A"/>
    <w:rsid w:val="574A2488"/>
    <w:rsid w:val="596F2E95"/>
    <w:rsid w:val="5BB72604"/>
    <w:rsid w:val="610D4731"/>
    <w:rsid w:val="644C132A"/>
    <w:rsid w:val="676E1256"/>
    <w:rsid w:val="686D5C6F"/>
    <w:rsid w:val="68863414"/>
    <w:rsid w:val="6C463AE6"/>
    <w:rsid w:val="6C8F650C"/>
    <w:rsid w:val="6D984D5B"/>
    <w:rsid w:val="6EA87C9B"/>
    <w:rsid w:val="704E0C9C"/>
    <w:rsid w:val="70666005"/>
    <w:rsid w:val="72536115"/>
    <w:rsid w:val="731126B5"/>
    <w:rsid w:val="733D1A04"/>
    <w:rsid w:val="758961E5"/>
    <w:rsid w:val="79A8195D"/>
    <w:rsid w:val="7D5C52B0"/>
    <w:rsid w:val="7E28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5"/>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link w:val="14"/>
    <w:unhideWhenUsed/>
    <w:qFormat/>
    <w:uiPriority w:val="0"/>
    <w:pPr>
      <w:keepNext/>
      <w:keepLines/>
      <w:spacing w:before="260" w:after="260" w:line="416" w:lineRule="auto"/>
      <w:outlineLvl w:val="2"/>
    </w:pPr>
    <w:rPr>
      <w:rFonts w:ascii="Calibri" w:hAnsi="Calibri" w:eastAsia="宋体" w:cs="Times New Roman"/>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pPr>
      <w:ind w:left="220"/>
    </w:pPr>
    <w:rPr>
      <w:rFonts w:ascii="Arial Unicode MS" w:hAnsi="Arial Unicode MS" w:eastAsia="Arial Unicode MS"/>
      <w:sz w:val="32"/>
      <w:szCs w:val="32"/>
    </w:rPr>
  </w:style>
  <w:style w:type="paragraph" w:styleId="5">
    <w:name w:val="Balloon Text"/>
    <w:basedOn w:val="1"/>
    <w:link w:val="13"/>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qFormat/>
    <w:uiPriority w:val="0"/>
  </w:style>
  <w:style w:type="character" w:customStyle="1" w:styleId="11">
    <w:name w:val="页眉 字符"/>
    <w:basedOn w:val="9"/>
    <w:link w:val="7"/>
    <w:qFormat/>
    <w:uiPriority w:val="0"/>
    <w:rPr>
      <w:kern w:val="2"/>
      <w:sz w:val="18"/>
      <w:szCs w:val="18"/>
    </w:rPr>
  </w:style>
  <w:style w:type="character" w:customStyle="1" w:styleId="12">
    <w:name w:val="页脚 字符"/>
    <w:basedOn w:val="9"/>
    <w:link w:val="6"/>
    <w:qFormat/>
    <w:uiPriority w:val="99"/>
    <w:rPr>
      <w:kern w:val="2"/>
      <w:sz w:val="18"/>
      <w:szCs w:val="18"/>
    </w:rPr>
  </w:style>
  <w:style w:type="character" w:customStyle="1" w:styleId="13">
    <w:name w:val="批注框文本 字符"/>
    <w:basedOn w:val="9"/>
    <w:link w:val="5"/>
    <w:qFormat/>
    <w:uiPriority w:val="0"/>
    <w:rPr>
      <w:kern w:val="2"/>
      <w:sz w:val="18"/>
      <w:szCs w:val="18"/>
    </w:rPr>
  </w:style>
  <w:style w:type="character" w:customStyle="1" w:styleId="14">
    <w:name w:val="标题 3 字符"/>
    <w:basedOn w:val="9"/>
    <w:link w:val="3"/>
    <w:qFormat/>
    <w:uiPriority w:val="0"/>
    <w:rPr>
      <w:rFonts w:ascii="Calibri" w:hAnsi="Calibri" w:eastAsia="宋体" w:cs="Times New Roman"/>
      <w:b/>
      <w:bCs/>
      <w:kern w:val="2"/>
      <w:sz w:val="32"/>
      <w:szCs w:val="32"/>
    </w:rPr>
  </w:style>
  <w:style w:type="character" w:customStyle="1" w:styleId="15">
    <w:name w:val="标题 2 字符"/>
    <w:basedOn w:val="9"/>
    <w:link w:val="2"/>
    <w:qFormat/>
    <w:uiPriority w:val="0"/>
    <w:rPr>
      <w:rFonts w:ascii="Cambria" w:hAnsi="Cambria" w:eastAsia="宋体" w:cs="Times New Roman"/>
      <w:b/>
      <w:bCs/>
      <w:kern w:val="2"/>
      <w:sz w:val="32"/>
      <w:szCs w:val="3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387</Words>
  <Characters>2212</Characters>
  <Lines>18</Lines>
  <Paragraphs>5</Paragraphs>
  <TotalTime>10</TotalTime>
  <ScaleCrop>false</ScaleCrop>
  <LinksUpToDate>false</LinksUpToDate>
  <CharactersWithSpaces>2594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2023-07-24T04:40:00Z</dcterms:created>
  <dc:creator>86150</dc:creator>
  <cp:lastModifiedBy>王建清</cp:lastModifiedBy>
  <cp:lastPrinted>2023-01-28T01:26:00Z</cp:lastPrinted>
  <dcterms:modified xsi:type="dcterms:W3CDTF">2023-08-09T00:58:41Z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B63B18B84261497FADC174F7ACF61F06_13</vt:lpwstr>
  </property>
</Properties>
</file>