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center" w:pos="4482"/>
          <w:tab w:val="left" w:pos="7902"/>
        </w:tabs>
        <w:jc w:val="left"/>
        <w:outlineLvl w:val="0"/>
        <w:rPr>
          <w:rFonts w:hint="eastAsia" w:ascii="Times New Roman" w:hAnsi="Times New Roman" w:eastAsia="黑体"/>
          <w:snapToGrid w:val="0"/>
          <w:color w:val="000000" w:themeColor="text1"/>
          <w:sz w:val="30"/>
          <w:szCs w:val="30"/>
          <w:lang w:eastAsia="zh-CN"/>
          <w14:textFill>
            <w14:solidFill>
              <w14:schemeClr w14:val="tx1"/>
            </w14:solidFill>
          </w14:textFill>
        </w:rPr>
      </w:pPr>
      <w:r>
        <w:rPr>
          <w:rFonts w:hint="eastAsia" w:ascii="Times New Roman" w:hAnsi="Times New Roman" w:eastAsia="黑体"/>
          <w:snapToGrid w:val="0"/>
          <w:color w:val="000000" w:themeColor="text1"/>
          <w:sz w:val="30"/>
          <w:szCs w:val="30"/>
          <w:lang w:eastAsia="zh-CN"/>
          <w14:textFill>
            <w14:solidFill>
              <w14:schemeClr w14:val="tx1"/>
            </w14:solidFill>
          </w14:textFill>
        </w:rPr>
        <w:tab/>
      </w:r>
      <w:r>
        <w:rPr>
          <w:rFonts w:hint="eastAsia" w:ascii="Times New Roman" w:hAnsi="Times New Roman" w:eastAsia="黑体"/>
          <w:snapToGrid w:val="0"/>
          <w:color w:val="000000" w:themeColor="text1"/>
          <w:sz w:val="30"/>
          <w:szCs w:val="30"/>
          <w14:textFill>
            <w14:solidFill>
              <w14:schemeClr w14:val="tx1"/>
            </w14:solidFill>
          </w14:textFill>
        </w:rPr>
        <w:t xml:space="preserve">  </w:t>
      </w:r>
      <w:r>
        <w:rPr>
          <w:rFonts w:ascii="Times New Roman" w:hAnsi="Times New Roman" w:eastAsia="黑体"/>
          <w:snapToGrid w:val="0"/>
          <w:color w:val="000000" w:themeColor="text1"/>
          <w:sz w:val="30"/>
          <w:szCs w:val="30"/>
          <w14:textFill>
            <w14:solidFill>
              <w14:schemeClr w14:val="tx1"/>
            </w14:solidFill>
          </w14:textFill>
        </w:rPr>
        <w:t>一、建设项目基本情况</w:t>
      </w:r>
      <w:r>
        <w:rPr>
          <w:rFonts w:hint="eastAsia" w:ascii="Times New Roman" w:hAnsi="Times New Roman" w:eastAsia="黑体"/>
          <w:snapToGrid w:val="0"/>
          <w:color w:val="000000" w:themeColor="text1"/>
          <w:sz w:val="30"/>
          <w:szCs w:val="30"/>
          <w:lang w:eastAsia="zh-CN"/>
          <w14:textFill>
            <w14:solidFill>
              <w14:schemeClr w14:val="tx1"/>
            </w14:solidFill>
          </w14:textFill>
        </w:rPr>
        <w:tab/>
      </w:r>
    </w:p>
    <w:tbl>
      <w:tblPr>
        <w:tblStyle w:val="26"/>
        <w:tblW w:w="497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6"/>
        <w:gridCol w:w="1340"/>
        <w:gridCol w:w="2496"/>
        <w:gridCol w:w="1839"/>
        <w:gridCol w:w="27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998" w:type="pct"/>
            <w:gridSpan w:val="2"/>
            <w:tcMar>
              <w:top w:w="16" w:type="dxa"/>
              <w:left w:w="16" w:type="dxa"/>
              <w:right w:w="16" w:type="dxa"/>
            </w:tcMar>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建设项目名称</w:t>
            </w:r>
          </w:p>
        </w:tc>
        <w:tc>
          <w:tcPr>
            <w:tcW w:w="4001" w:type="pct"/>
            <w:gridSpan w:val="3"/>
            <w:vAlign w:val="center"/>
          </w:tcPr>
          <w:p>
            <w:pPr>
              <w:adjustRightInd w:val="0"/>
              <w:snapToGrid w:val="0"/>
              <w:jc w:val="center"/>
              <w:rPr>
                <w:color w:val="FF0000"/>
                <w:sz w:val="24"/>
                <w:szCs w:val="24"/>
              </w:rPr>
            </w:pPr>
            <w:r>
              <w:rPr>
                <w:rFonts w:hint="eastAsia"/>
                <w:sz w:val="24"/>
                <w:szCs w:val="24"/>
                <w:lang w:eastAsia="zh-CN"/>
              </w:rPr>
              <w:t>年产1.5万套医疗器械项目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98" w:type="pct"/>
            <w:gridSpan w:val="2"/>
            <w:tcMar>
              <w:top w:w="16" w:type="dxa"/>
              <w:left w:w="16" w:type="dxa"/>
              <w:right w:w="16" w:type="dxa"/>
            </w:tcMar>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项目代码</w:t>
            </w:r>
          </w:p>
        </w:tc>
        <w:tc>
          <w:tcPr>
            <w:tcW w:w="4001" w:type="pct"/>
            <w:gridSpan w:val="3"/>
            <w:vAlign w:val="center"/>
          </w:tcPr>
          <w:p>
            <w:pPr>
              <w:adjustRightInd w:val="0"/>
              <w:snapToGrid w:val="0"/>
              <w:jc w:val="center"/>
              <w:rPr>
                <w:rFonts w:hint="default" w:eastAsia="宋体"/>
                <w:color w:val="FF0000"/>
                <w:sz w:val="24"/>
                <w:szCs w:val="24"/>
                <w:lang w:val="en-US" w:eastAsia="zh-CN"/>
              </w:rPr>
            </w:pPr>
            <w:r>
              <w:rPr>
                <w:rFonts w:hint="eastAsia"/>
                <w:bCs/>
                <w:color w:val="000000" w:themeColor="text1"/>
                <w:sz w:val="24"/>
                <w:szCs w:val="24"/>
                <w:shd w:val="clear"/>
                <w:lang w:eastAsia="zh-CN"/>
                <w14:textFill>
                  <w14:solidFill>
                    <w14:schemeClr w14:val="tx1"/>
                  </w14:solidFill>
                </w14:textFill>
              </w:rPr>
              <w:t>2306-410381-04-02-381910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98" w:type="pct"/>
            <w:gridSpan w:val="2"/>
            <w:tcMar>
              <w:top w:w="16" w:type="dxa"/>
              <w:left w:w="16" w:type="dxa"/>
              <w:right w:w="16" w:type="dxa"/>
            </w:tcMar>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建设单位联系人</w:t>
            </w:r>
          </w:p>
        </w:tc>
        <w:tc>
          <w:tcPr>
            <w:tcW w:w="1412" w:type="pct"/>
            <w:vAlign w:val="center"/>
          </w:tcPr>
          <w:p>
            <w:pPr>
              <w:adjustRightInd w:val="0"/>
              <w:snapToGrid w:val="0"/>
              <w:jc w:val="center"/>
              <w:rPr>
                <w:color w:val="FF0000"/>
                <w:sz w:val="24"/>
                <w:szCs w:val="24"/>
              </w:rPr>
            </w:pPr>
            <w:r>
              <w:rPr>
                <w:rFonts w:hint="eastAsia" w:ascii="宋体" w:hAnsi="宋体" w:cs="宋体"/>
                <w:sz w:val="24"/>
                <w:szCs w:val="24"/>
                <w:lang w:val="en-US" w:eastAsia="zh-CN"/>
              </w:rPr>
              <w:t>郭朝刚</w:t>
            </w:r>
          </w:p>
        </w:tc>
        <w:tc>
          <w:tcPr>
            <w:tcW w:w="1040" w:type="pct"/>
            <w:vAlign w:val="center"/>
          </w:tcPr>
          <w:p>
            <w:pPr>
              <w:adjustRightInd w:val="0"/>
              <w:snapToGrid w:val="0"/>
              <w:jc w:val="center"/>
              <w:rPr>
                <w:color w:val="FF0000"/>
                <w:sz w:val="24"/>
                <w:szCs w:val="24"/>
              </w:rPr>
            </w:pPr>
            <w:r>
              <w:rPr>
                <w:color w:val="000000" w:themeColor="text1"/>
                <w:sz w:val="24"/>
                <w:szCs w:val="24"/>
                <w14:textFill>
                  <w14:solidFill>
                    <w14:schemeClr w14:val="tx1"/>
                  </w14:solidFill>
                </w14:textFill>
              </w:rPr>
              <w:t>联系方式</w:t>
            </w:r>
          </w:p>
        </w:tc>
        <w:tc>
          <w:tcPr>
            <w:tcW w:w="1549" w:type="pct"/>
            <w:vAlign w:val="center"/>
          </w:tcPr>
          <w:p>
            <w:pPr>
              <w:pStyle w:val="6"/>
              <w:spacing w:line="360" w:lineRule="exact"/>
              <w:jc w:val="center"/>
              <w:rPr>
                <w:color w:val="FF0000"/>
                <w:sz w:val="24"/>
                <w:szCs w:val="24"/>
              </w:rPr>
            </w:pPr>
            <w:r>
              <w:rPr>
                <w:rFonts w:hint="eastAsia"/>
                <w:b w:val="0"/>
                <w:bCs w:val="0"/>
                <w:sz w:val="24"/>
                <w:szCs w:val="24"/>
                <w:lang w:val="en-US" w:eastAsia="zh-CN"/>
              </w:rPr>
              <w:t>13939929017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98" w:type="pct"/>
            <w:gridSpan w:val="2"/>
            <w:tcMar>
              <w:top w:w="16" w:type="dxa"/>
              <w:left w:w="16" w:type="dxa"/>
              <w:right w:w="16" w:type="dxa"/>
            </w:tcMar>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建设地点</w:t>
            </w:r>
          </w:p>
        </w:tc>
        <w:tc>
          <w:tcPr>
            <w:tcW w:w="4001" w:type="pct"/>
            <w:gridSpan w:val="3"/>
            <w:vAlign w:val="center"/>
          </w:tcPr>
          <w:p>
            <w:pPr>
              <w:adjustRightInd w:val="0"/>
              <w:snapToGrid w:val="0"/>
              <w:jc w:val="center"/>
              <w:rPr>
                <w:color w:val="FF0000"/>
                <w:sz w:val="24"/>
                <w:szCs w:val="24"/>
              </w:rPr>
            </w:pPr>
            <w:r>
              <w:rPr>
                <w:rFonts w:hint="eastAsia"/>
                <w:sz w:val="24"/>
                <w:szCs w:val="24"/>
              </w:rPr>
              <w:t>河南省洛阳市</w:t>
            </w:r>
            <w:r>
              <w:rPr>
                <w:rFonts w:hint="eastAsia"/>
                <w:sz w:val="24"/>
                <w:szCs w:val="24"/>
                <w:shd w:val="clear"/>
              </w:rPr>
              <w:t>偃师区大口镇后周村府金路66号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98" w:type="pct"/>
            <w:gridSpan w:val="2"/>
            <w:tcMar>
              <w:top w:w="16" w:type="dxa"/>
              <w:left w:w="16" w:type="dxa"/>
              <w:right w:w="16" w:type="dxa"/>
            </w:tcMar>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地理坐标</w:t>
            </w:r>
          </w:p>
        </w:tc>
        <w:tc>
          <w:tcPr>
            <w:tcW w:w="4001" w:type="pct"/>
            <w:gridSpan w:val="3"/>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112°</w:t>
            </w:r>
            <w:r>
              <w:rPr>
                <w:rFonts w:hint="eastAsia"/>
                <w:color w:val="000000" w:themeColor="text1"/>
                <w:sz w:val="24"/>
                <w:szCs w:val="24"/>
                <w14:textFill>
                  <w14:solidFill>
                    <w14:schemeClr w14:val="tx1"/>
                  </w14:solidFill>
                </w14:textFill>
              </w:rPr>
              <w:t>4</w:t>
            </w:r>
            <w:r>
              <w:rPr>
                <w:rFonts w:hint="eastAsia"/>
                <w:color w:val="000000" w:themeColor="text1"/>
                <w:sz w:val="24"/>
                <w:szCs w:val="24"/>
                <w:lang w:val="en-US" w:eastAsia="zh-CN"/>
                <w14:textFill>
                  <w14:solidFill>
                    <w14:schemeClr w14:val="tx1"/>
                  </w14:solidFill>
                </w14:textFill>
              </w:rPr>
              <w:t>0</w:t>
            </w:r>
            <w:r>
              <w:rPr>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2.346</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34°</w:t>
            </w:r>
            <w:r>
              <w:rPr>
                <w:rFonts w:hint="eastAsia"/>
                <w:color w:val="000000" w:themeColor="text1"/>
                <w:sz w:val="24"/>
                <w:szCs w:val="24"/>
                <w:lang w:val="en-US" w:eastAsia="zh-CN"/>
                <w14:textFill>
                  <w14:solidFill>
                    <w14:schemeClr w14:val="tx1"/>
                  </w14:solidFill>
                </w14:textFill>
              </w:rPr>
              <w:t>35</w:t>
            </w:r>
            <w:r>
              <w:rPr>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0.205</w:t>
            </w:r>
            <w:r>
              <w:rPr>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998" w:type="pct"/>
            <w:gridSpan w:val="2"/>
            <w:tcMar>
              <w:top w:w="16" w:type="dxa"/>
              <w:left w:w="16" w:type="dxa"/>
              <w:right w:w="16" w:type="dxa"/>
            </w:tcMar>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国民经济</w:t>
            </w:r>
          </w:p>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行业类别</w:t>
            </w:r>
          </w:p>
        </w:tc>
        <w:tc>
          <w:tcPr>
            <w:tcW w:w="1412" w:type="pct"/>
            <w:vAlign w:val="center"/>
          </w:tcPr>
          <w:p>
            <w:pPr>
              <w:adjustRightInd w:val="0"/>
              <w:snapToGrid w:val="0"/>
              <w:jc w:val="left"/>
              <w:rPr>
                <w:color w:val="FF0000"/>
                <w:sz w:val="24"/>
                <w:szCs w:val="24"/>
              </w:rPr>
            </w:pPr>
            <w:r>
              <w:rPr>
                <w:color w:val="000000" w:themeColor="text1"/>
                <w:sz w:val="24"/>
                <w:szCs w:val="24"/>
                <w14:textFill>
                  <w14:solidFill>
                    <w14:schemeClr w14:val="tx1"/>
                  </w14:solidFill>
                </w14:textFill>
              </w:rPr>
              <w:t>C</w:t>
            </w:r>
            <w:r>
              <w:rPr>
                <w:rFonts w:hint="eastAsia"/>
                <w:color w:val="000000" w:themeColor="text1"/>
                <w:sz w:val="24"/>
                <w:szCs w:val="24"/>
                <w:lang w:val="en-US" w:eastAsia="zh-CN"/>
                <w14:textFill>
                  <w14:solidFill>
                    <w14:schemeClr w14:val="tx1"/>
                  </w14:solidFill>
                </w14:textFill>
              </w:rPr>
              <w:t>3589</w:t>
            </w:r>
            <w:r>
              <w:rPr>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其他医疗设备及器械制造</w:t>
            </w:r>
          </w:p>
        </w:tc>
        <w:tc>
          <w:tcPr>
            <w:tcW w:w="1040" w:type="pct"/>
            <w:vAlign w:val="center"/>
          </w:tcPr>
          <w:p>
            <w:pPr>
              <w:adjustRightInd w:val="0"/>
              <w:snapToGrid w:val="0"/>
              <w:jc w:val="center"/>
              <w:rPr>
                <w:color w:val="000000" w:themeColor="text1"/>
                <w:sz w:val="24"/>
                <w:szCs w:val="24"/>
                <w14:textFill>
                  <w14:solidFill>
                    <w14:schemeClr w14:val="tx1"/>
                  </w14:solidFill>
                </w14:textFill>
              </w:rPr>
            </w:pPr>
            <w:bookmarkStart w:id="0" w:name="_Hlk49843745"/>
            <w:r>
              <w:rPr>
                <w:color w:val="000000" w:themeColor="text1"/>
                <w:sz w:val="24"/>
                <w:szCs w:val="24"/>
                <w14:textFill>
                  <w14:solidFill>
                    <w14:schemeClr w14:val="tx1"/>
                  </w14:solidFill>
                </w14:textFill>
              </w:rPr>
              <w:t>建设项目</w:t>
            </w:r>
          </w:p>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行业类别</w:t>
            </w:r>
            <w:bookmarkEnd w:id="0"/>
          </w:p>
        </w:tc>
        <w:tc>
          <w:tcPr>
            <w:tcW w:w="1549" w:type="pct"/>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32</w:t>
            </w:r>
            <w:r>
              <w:rPr>
                <w:color w:val="000000" w:themeColor="text1"/>
                <w:sz w:val="24"/>
                <w:szCs w:val="24"/>
                <w14:textFill>
                  <w14:solidFill>
                    <w14:schemeClr w14:val="tx1"/>
                  </w14:solidFill>
                </w14:textFill>
              </w:rPr>
              <w:t>-0</w:t>
            </w:r>
            <w:r>
              <w:rPr>
                <w:rFonts w:hint="eastAsia"/>
                <w:color w:val="000000" w:themeColor="text1"/>
                <w:sz w:val="24"/>
                <w:szCs w:val="24"/>
                <w:lang w:val="en-US" w:eastAsia="zh-CN"/>
                <w14:textFill>
                  <w14:solidFill>
                    <w14:schemeClr w14:val="tx1"/>
                  </w14:solidFill>
                </w14:textFill>
              </w:rPr>
              <w:t>70医疗仪器设备及器械制造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998" w:type="pct"/>
            <w:gridSpan w:val="2"/>
            <w:tcMar>
              <w:top w:w="16" w:type="dxa"/>
              <w:left w:w="16" w:type="dxa"/>
              <w:right w:w="16" w:type="dxa"/>
            </w:tcMar>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建设性质</w:t>
            </w:r>
          </w:p>
        </w:tc>
        <w:tc>
          <w:tcPr>
            <w:tcW w:w="1412" w:type="pct"/>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新建（迁建）</w:t>
            </w:r>
          </w:p>
          <w:p>
            <w:pPr>
              <w:jc w:val="left"/>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改建</w:t>
            </w:r>
          </w:p>
          <w:p>
            <w:pPr>
              <w:jc w:val="left"/>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扩建</w:t>
            </w:r>
          </w:p>
          <w:p>
            <w:pPr>
              <w:jc w:val="left"/>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技术改造</w:t>
            </w:r>
          </w:p>
        </w:tc>
        <w:tc>
          <w:tcPr>
            <w:tcW w:w="1040" w:type="pct"/>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建设项目</w:t>
            </w:r>
          </w:p>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申报情形</w:t>
            </w:r>
          </w:p>
        </w:tc>
        <w:tc>
          <w:tcPr>
            <w:tcW w:w="1549" w:type="pct"/>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 xml:space="preserve">首次申报项目             </w:t>
            </w:r>
          </w:p>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不予批准后再次申报项目</w:t>
            </w:r>
          </w:p>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超五年重新审核项目     </w:t>
            </w:r>
          </w:p>
          <w:p>
            <w:pPr>
              <w:jc w:val="left"/>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98" w:type="pct"/>
            <w:gridSpan w:val="2"/>
            <w:tcMar>
              <w:top w:w="16" w:type="dxa"/>
              <w:left w:w="16" w:type="dxa"/>
              <w:right w:w="16" w:type="dxa"/>
            </w:tcMar>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项目审批（核准/备案）部门（选填）</w:t>
            </w:r>
          </w:p>
        </w:tc>
        <w:tc>
          <w:tcPr>
            <w:tcW w:w="1412" w:type="pct"/>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偃师</w:t>
            </w:r>
            <w:r>
              <w:rPr>
                <w:rFonts w:hint="eastAsia"/>
                <w:color w:val="000000" w:themeColor="text1"/>
                <w:sz w:val="24"/>
                <w:szCs w:val="24"/>
                <w14:textFill>
                  <w14:solidFill>
                    <w14:schemeClr w14:val="tx1"/>
                  </w14:solidFill>
                </w14:textFill>
              </w:rPr>
              <w:t>区</w:t>
            </w:r>
            <w:r>
              <w:rPr>
                <w:color w:val="000000" w:themeColor="text1"/>
                <w:sz w:val="24"/>
                <w:szCs w:val="24"/>
                <w14:textFill>
                  <w14:solidFill>
                    <w14:schemeClr w14:val="tx1"/>
                  </w14:solidFill>
                </w14:textFill>
              </w:rPr>
              <w:t>发展和改革委员会</w:t>
            </w:r>
          </w:p>
        </w:tc>
        <w:tc>
          <w:tcPr>
            <w:tcW w:w="1040" w:type="pct"/>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项目审批（核准/</w:t>
            </w:r>
          </w:p>
          <w:p>
            <w:pPr>
              <w:adjustRightInd w:val="0"/>
              <w:snapToGrid w:val="0"/>
              <w:jc w:val="center"/>
              <w:rPr>
                <w:color w:val="FF0000"/>
                <w:sz w:val="24"/>
                <w:szCs w:val="24"/>
              </w:rPr>
            </w:pPr>
            <w:r>
              <w:rPr>
                <w:color w:val="000000" w:themeColor="text1"/>
                <w:sz w:val="24"/>
                <w:szCs w:val="24"/>
                <w14:textFill>
                  <w14:solidFill>
                    <w14:schemeClr w14:val="tx1"/>
                  </w14:solidFill>
                </w14:textFill>
              </w:rPr>
              <w:t>备案）文号（选填）</w:t>
            </w:r>
          </w:p>
        </w:tc>
        <w:tc>
          <w:tcPr>
            <w:tcW w:w="1549" w:type="pct"/>
            <w:vAlign w:val="center"/>
          </w:tcPr>
          <w:p>
            <w:pPr>
              <w:adjustRightInd w:val="0"/>
              <w:snapToGrid w:val="0"/>
              <w:jc w:val="center"/>
              <w:rPr>
                <w:color w:val="FF0000"/>
                <w:sz w:val="24"/>
                <w:szCs w:val="24"/>
              </w:rPr>
            </w:pPr>
            <w:r>
              <w:rPr>
                <w:rFonts w:hint="eastAsia"/>
                <w:bCs/>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98" w:type="pct"/>
            <w:gridSpan w:val="2"/>
            <w:tcMar>
              <w:top w:w="16" w:type="dxa"/>
              <w:left w:w="16" w:type="dxa"/>
              <w:right w:w="16" w:type="dxa"/>
            </w:tcMar>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总投资（万元）</w:t>
            </w:r>
          </w:p>
        </w:tc>
        <w:tc>
          <w:tcPr>
            <w:tcW w:w="1412" w:type="pct"/>
            <w:vAlign w:val="center"/>
          </w:tcPr>
          <w:p>
            <w:pPr>
              <w:adjustRightInd w:val="0"/>
              <w:snapToGrid w:val="0"/>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shd w:val="clear"/>
                <w:lang w:val="en-US" w:eastAsia="zh-CN"/>
                <w14:textFill>
                  <w14:solidFill>
                    <w14:schemeClr w14:val="tx1"/>
                  </w14:solidFill>
                </w14:textFill>
              </w:rPr>
              <w:t>50</w:t>
            </w:r>
          </w:p>
        </w:tc>
        <w:tc>
          <w:tcPr>
            <w:tcW w:w="1040" w:type="pct"/>
            <w:tcMar>
              <w:top w:w="16" w:type="dxa"/>
              <w:left w:w="16" w:type="dxa"/>
              <w:right w:w="16" w:type="dxa"/>
            </w:tcMar>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环保投资（万元）</w:t>
            </w:r>
          </w:p>
        </w:tc>
        <w:tc>
          <w:tcPr>
            <w:tcW w:w="1549" w:type="pct"/>
            <w:vAlign w:val="center"/>
          </w:tcPr>
          <w:p>
            <w:pPr>
              <w:adjustRightInd w:val="0"/>
              <w:snapToGrid w:val="0"/>
              <w:jc w:val="center"/>
              <w:rPr>
                <w:rFonts w:hint="default"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998" w:type="pct"/>
            <w:gridSpan w:val="2"/>
            <w:tcMar>
              <w:top w:w="16" w:type="dxa"/>
              <w:left w:w="16" w:type="dxa"/>
              <w:right w:w="16" w:type="dxa"/>
            </w:tcMar>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环保投资占比（%）</w:t>
            </w:r>
          </w:p>
        </w:tc>
        <w:tc>
          <w:tcPr>
            <w:tcW w:w="1412" w:type="pct"/>
            <w:vAlign w:val="center"/>
          </w:tcPr>
          <w:p>
            <w:pPr>
              <w:adjustRightInd w:val="0"/>
              <w:snapToGrid w:val="0"/>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27.4</w:t>
            </w:r>
          </w:p>
        </w:tc>
        <w:tc>
          <w:tcPr>
            <w:tcW w:w="1040" w:type="pct"/>
            <w:tcMar>
              <w:top w:w="16" w:type="dxa"/>
              <w:left w:w="16" w:type="dxa"/>
              <w:right w:w="16" w:type="dxa"/>
            </w:tcMar>
            <w:vAlign w:val="center"/>
          </w:tcPr>
          <w:p>
            <w:pPr>
              <w:adjustRightInd w:val="0"/>
              <w:snapToGrid w:val="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施工工期</w:t>
            </w:r>
          </w:p>
        </w:tc>
        <w:tc>
          <w:tcPr>
            <w:tcW w:w="1549" w:type="pct"/>
            <w:vAlign w:val="center"/>
          </w:tcPr>
          <w:p>
            <w:pPr>
              <w:adjustRightInd w:val="0"/>
              <w:snapToGrid w:val="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998" w:type="pct"/>
            <w:gridSpan w:val="2"/>
            <w:tcMar>
              <w:top w:w="16" w:type="dxa"/>
              <w:left w:w="16" w:type="dxa"/>
              <w:right w:w="16" w:type="dxa"/>
            </w:tcMar>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是否开工建设</w:t>
            </w:r>
          </w:p>
        </w:tc>
        <w:tc>
          <w:tcPr>
            <w:tcW w:w="1412" w:type="pct"/>
            <w:vAlign w:val="center"/>
          </w:tcPr>
          <w:p>
            <w:pPr>
              <w:adjustRightInd w:val="0"/>
              <w:snapToGrid w:val="0"/>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否</w:t>
            </w:r>
          </w:p>
          <w:p>
            <w:pPr>
              <w:adjustRightInd w:val="0"/>
              <w:snapToGrid w:val="0"/>
              <w:rPr>
                <w:rFonts w:hint="default"/>
                <w:color w:val="000000" w:themeColor="text1"/>
                <w:sz w:val="24"/>
                <w:szCs w:val="24"/>
                <w:lang w:val="en-US"/>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highlight w:val="none"/>
                <w14:textFill>
                  <w14:solidFill>
                    <w14:schemeClr w14:val="tx1"/>
                  </w14:solidFill>
                </w14:textFill>
              </w:rPr>
              <w:t>是：</w:t>
            </w:r>
            <w:r>
              <w:rPr>
                <w:rFonts w:hint="eastAsia"/>
                <w:b w:val="0"/>
                <w:bCs w:val="0"/>
                <w:color w:val="000000" w:themeColor="text1"/>
                <w:sz w:val="24"/>
                <w:szCs w:val="24"/>
                <w:highlight w:val="none"/>
                <w:u w:val="single"/>
                <w:lang w:val="en-US" w:eastAsia="zh-CN"/>
                <w14:textFill>
                  <w14:solidFill>
                    <w14:schemeClr w14:val="tx1"/>
                  </w14:solidFill>
                </w14:textFill>
              </w:rPr>
              <w:t xml:space="preserve">            </w:t>
            </w:r>
          </w:p>
        </w:tc>
        <w:tc>
          <w:tcPr>
            <w:tcW w:w="1040" w:type="pct"/>
            <w:tcMar>
              <w:top w:w="16" w:type="dxa"/>
              <w:left w:w="16" w:type="dxa"/>
              <w:right w:w="16" w:type="dxa"/>
            </w:tcMar>
            <w:vAlign w:val="center"/>
          </w:tcPr>
          <w:p>
            <w:pPr>
              <w:adjustRightInd w:val="0"/>
              <w:snapToGrid w:val="0"/>
              <w:jc w:val="center"/>
              <w:rPr>
                <w:color w:val="000000" w:themeColor="text1"/>
                <w:spacing w:val="-6"/>
                <w:sz w:val="24"/>
                <w:szCs w:val="24"/>
                <w14:textFill>
                  <w14:solidFill>
                    <w14:schemeClr w14:val="tx1"/>
                  </w14:solidFill>
                </w14:textFill>
              </w:rPr>
            </w:pPr>
            <w:r>
              <w:rPr>
                <w:color w:val="000000" w:themeColor="text1"/>
                <w:spacing w:val="-6"/>
                <w:sz w:val="24"/>
                <w:szCs w:val="24"/>
                <w14:textFill>
                  <w14:solidFill>
                    <w14:schemeClr w14:val="tx1"/>
                  </w14:solidFill>
                </w14:textFill>
              </w:rPr>
              <w:t>用地（用海）</w:t>
            </w:r>
          </w:p>
          <w:p>
            <w:pPr>
              <w:adjustRightInd w:val="0"/>
              <w:snapToGrid w:val="0"/>
              <w:jc w:val="center"/>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面积（m</w:t>
            </w:r>
            <w:r>
              <w:rPr>
                <w:color w:val="000000" w:themeColor="text1"/>
                <w:spacing w:val="-6"/>
                <w:sz w:val="24"/>
                <w:szCs w:val="24"/>
                <w:vertAlign w:val="superscript"/>
                <w14:textFill>
                  <w14:solidFill>
                    <w14:schemeClr w14:val="tx1"/>
                  </w14:solidFill>
                </w14:textFill>
              </w:rPr>
              <w:t>2</w:t>
            </w:r>
            <w:r>
              <w:rPr>
                <w:color w:val="000000" w:themeColor="text1"/>
                <w:spacing w:val="-6"/>
                <w:sz w:val="24"/>
                <w:szCs w:val="24"/>
                <w14:textFill>
                  <w14:solidFill>
                    <w14:schemeClr w14:val="tx1"/>
                  </w14:solidFill>
                </w14:textFill>
              </w:rPr>
              <w:t>）</w:t>
            </w:r>
          </w:p>
        </w:tc>
        <w:tc>
          <w:tcPr>
            <w:tcW w:w="1549" w:type="pct"/>
            <w:vAlign w:val="center"/>
          </w:tcPr>
          <w:p>
            <w:pPr>
              <w:adjustRightInd w:val="0"/>
              <w:snapToGrid w:val="0"/>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shd w:val="clear"/>
                <w:lang w:val="en-US" w:eastAsia="zh-CN"/>
                <w14:textFill>
                  <w14:solidFill>
                    <w14:schemeClr w14:val="tx1"/>
                  </w14:solidFill>
                </w14:textFill>
              </w:rPr>
              <w:t>3569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98" w:type="pct"/>
            <w:gridSpan w:val="2"/>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 w:val="24"/>
                <w:szCs w:val="24"/>
                <w14:textFill>
                  <w14:solidFill>
                    <w14:schemeClr w14:val="tx1"/>
                  </w14:solidFill>
                </w14:textFill>
              </w:rPr>
              <w:t>专项评价设置情况</w:t>
            </w:r>
          </w:p>
        </w:tc>
        <w:tc>
          <w:tcPr>
            <w:tcW w:w="4001" w:type="pct"/>
            <w:gridSpan w:val="3"/>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cs="宋体"/>
                <w:kern w:val="0"/>
                <w:sz w:val="32"/>
                <w:szCs w:val="32"/>
                <w:u w:val="single"/>
              </w:rPr>
            </w:pPr>
            <w:r>
              <w:rPr>
                <w:rFonts w:hint="eastAsia"/>
                <w:color w:val="000000" w:themeColor="text1"/>
                <w:sz w:val="24"/>
                <w:szCs w:val="32"/>
                <w14:textFill>
                  <w14:solidFill>
                    <w14:schemeClr w14:val="tx1"/>
                  </w14:solidFill>
                </w14:textFill>
              </w:rPr>
              <w:t>依据《建设项目环境影响报告表编制技术指南（污染影响类）（试行）》，本项目的专项评价设置情况见下表。</w:t>
            </w:r>
          </w:p>
          <w:p>
            <w:pPr>
              <w:keepNext w:val="0"/>
              <w:keepLines w:val="0"/>
              <w:pageBreakBefore w:val="0"/>
              <w:widowControl w:val="0"/>
              <w:kinsoku/>
              <w:wordWrap/>
              <w:overflowPunct/>
              <w:topLinePunct w:val="0"/>
              <w:autoSpaceDE/>
              <w:autoSpaceDN/>
              <w:bidi w:val="0"/>
              <w:adjustRightInd w:val="0"/>
              <w:snapToGrid w:val="0"/>
              <w:ind w:left="0" w:firstLine="0"/>
              <w:jc w:val="center"/>
              <w:textAlignment w:val="auto"/>
              <w:rPr>
                <w:rFonts w:hint="default" w:ascii="Times New Roman" w:hAnsi="Times New Roman" w:eastAsia="宋体" w:cs="Times New Roman"/>
                <w:kern w:val="0"/>
                <w:sz w:val="24"/>
                <w:szCs w:val="24"/>
                <w:u w:val="none"/>
              </w:rPr>
            </w:pPr>
            <w:r>
              <w:rPr>
                <w:rFonts w:hint="default" w:ascii="Times New Roman" w:hAnsi="Times New Roman" w:eastAsia="宋体" w:cs="Times New Roman"/>
                <w:kern w:val="0"/>
                <w:sz w:val="24"/>
                <w:szCs w:val="24"/>
                <w:u w:val="none"/>
              </w:rPr>
              <w:t>表1-1  专项评价设置情况表</w:t>
            </w:r>
          </w:p>
          <w:tbl>
            <w:tblPr>
              <w:tblStyle w:val="26"/>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3990"/>
              <w:gridCol w:w="17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783" w:type="pc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专项评价的类别</w:t>
                  </w:r>
                </w:p>
              </w:tc>
              <w:tc>
                <w:tcPr>
                  <w:tcW w:w="2917" w:type="pc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设置原则</w:t>
                  </w:r>
                </w:p>
              </w:tc>
              <w:tc>
                <w:tcPr>
                  <w:tcW w:w="1298" w:type="pc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83" w:type="pc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w:t>
                  </w:r>
                </w:p>
              </w:tc>
              <w:tc>
                <w:tcPr>
                  <w:tcW w:w="2917" w:type="pc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排放废气含有毒有害污染物</w:t>
                  </w:r>
                  <w:r>
                    <w:rPr>
                      <w:rFonts w:hint="default" w:ascii="Times New Roman" w:hAnsi="Times New Roman" w:eastAsia="宋体" w:cs="Times New Roman"/>
                      <w:sz w:val="21"/>
                      <w:szCs w:val="21"/>
                      <w:vertAlign w:val="superscript"/>
                    </w:rPr>
                    <w:t>1</w:t>
                  </w:r>
                  <w:r>
                    <w:rPr>
                      <w:rFonts w:hint="default" w:ascii="Times New Roman" w:hAnsi="Times New Roman" w:eastAsia="宋体" w:cs="Times New Roman"/>
                      <w:sz w:val="21"/>
                      <w:szCs w:val="21"/>
                    </w:rPr>
                    <w:t>、二噁英、苯并[</w:t>
                  </w:r>
                  <w:r>
                    <w:rPr>
                      <w:rFonts w:hint="default" w:ascii="Times New Roman" w:hAnsi="Times New Roman" w:eastAsia="宋体" w:cs="Times New Roman"/>
                      <w:i/>
                      <w:sz w:val="21"/>
                      <w:szCs w:val="21"/>
                    </w:rPr>
                    <w:t>a</w:t>
                  </w:r>
                  <w:r>
                    <w:rPr>
                      <w:rFonts w:hint="default" w:ascii="Times New Roman" w:hAnsi="Times New Roman" w:eastAsia="宋体" w:cs="Times New Roman"/>
                      <w:sz w:val="21"/>
                      <w:szCs w:val="21"/>
                    </w:rPr>
                    <w:t>]芘、氰化物、氯气且厂界外500米范围内有环境空气保护目标</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的建设项目</w:t>
                  </w:r>
                </w:p>
              </w:tc>
              <w:tc>
                <w:tcPr>
                  <w:tcW w:w="1298" w:type="pc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本项目排放废气不涉及有毒有害污染物，无需设置大气专题。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83" w:type="pc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地表水</w:t>
                  </w:r>
                </w:p>
              </w:tc>
              <w:tc>
                <w:tcPr>
                  <w:tcW w:w="2917" w:type="pc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新增工业废水直排建设项目（槽罐车外送污水处理厂的除外）；新增废水直排的污水集中处理厂</w:t>
                  </w:r>
                </w:p>
              </w:tc>
              <w:tc>
                <w:tcPr>
                  <w:tcW w:w="1298" w:type="pc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本项目无生产工业废水外排，不涉及地表水专题。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83" w:type="pc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环境风险</w:t>
                  </w:r>
                </w:p>
              </w:tc>
              <w:tc>
                <w:tcPr>
                  <w:tcW w:w="2917" w:type="pc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有毒有害和易燃易爆危险物质存储量超过临界量</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的建设项目</w:t>
                  </w:r>
                </w:p>
              </w:tc>
              <w:tc>
                <w:tcPr>
                  <w:tcW w:w="1298" w:type="pc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本项目罐装液化石油气存量未超过临界量，无需设置风险专题。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83" w:type="pc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生态</w:t>
                  </w:r>
                </w:p>
              </w:tc>
              <w:tc>
                <w:tcPr>
                  <w:tcW w:w="2917" w:type="pc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取水口下游500米范围内有重要水生生物的自然产卵场、索饵场、越冬场和洄游通道的新增河道取水的污染类建设项目</w:t>
                  </w:r>
                </w:p>
              </w:tc>
              <w:tc>
                <w:tcPr>
                  <w:tcW w:w="1298" w:type="pc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83" w:type="pc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海洋</w:t>
                  </w:r>
                </w:p>
              </w:tc>
              <w:tc>
                <w:tcPr>
                  <w:tcW w:w="2917" w:type="pc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直接向海排放污染物的海洋工程建设项目</w:t>
                  </w:r>
                </w:p>
              </w:tc>
              <w:tc>
                <w:tcPr>
                  <w:tcW w:w="1298" w:type="pct"/>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本项目不涉及。</w:t>
                  </w:r>
                </w:p>
              </w:tc>
            </w:tr>
          </w:tbl>
          <w:p>
            <w:pPr>
              <w:autoSpaceDE w:val="0"/>
              <w:autoSpaceDN w:val="0"/>
              <w:adjustRightInd w:val="0"/>
              <w:snapToGrid w:val="0"/>
              <w:ind w:firstLine="480" w:firstLineChars="200"/>
              <w:jc w:val="both"/>
              <w:rPr>
                <w:color w:val="000000" w:themeColor="text1"/>
                <w:kern w:val="0"/>
                <w:szCs w:val="21"/>
                <w14:textFill>
                  <w14:solidFill>
                    <w14:schemeClr w14:val="tx1"/>
                  </w14:solidFill>
                </w14:textFill>
              </w:rPr>
            </w:pPr>
            <w:r>
              <w:rPr>
                <w:rFonts w:hint="eastAsia"/>
                <w:color w:val="000000" w:themeColor="text1"/>
                <w:sz w:val="24"/>
                <w:szCs w:val="32"/>
                <w14:textFill>
                  <w14:solidFill>
                    <w14:schemeClr w14:val="tx1"/>
                  </w14:solidFill>
                </w14:textFill>
              </w:rPr>
              <w:t>由上表可知，本项目不需要开展专项评价分析。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98" w:type="pct"/>
            <w:gridSpan w:val="2"/>
            <w:vAlign w:val="center"/>
          </w:tcPr>
          <w:p>
            <w:pPr>
              <w:autoSpaceDE w:val="0"/>
              <w:autoSpaceDN w:val="0"/>
              <w:adjustRightInd w:val="0"/>
              <w:snapToGrid w:val="0"/>
              <w:jc w:val="center"/>
              <w:rPr>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规划情况</w:t>
            </w:r>
          </w:p>
        </w:tc>
        <w:tc>
          <w:tcPr>
            <w:tcW w:w="4001" w:type="pct"/>
            <w:gridSpan w:val="3"/>
            <w:vAlign w:val="center"/>
          </w:tcPr>
          <w:p>
            <w:pPr>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eastAsia="宋体"/>
                <w:color w:val="000000" w:themeColor="text1"/>
                <w:sz w:val="24"/>
                <w:szCs w:val="32"/>
                <w:lang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98" w:type="pct"/>
            <w:gridSpan w:val="2"/>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规划环境影响</w:t>
            </w:r>
          </w:p>
          <w:p>
            <w:pPr>
              <w:adjustRightInd w:val="0"/>
              <w:snapToGrid w:val="0"/>
              <w:jc w:val="center"/>
              <w:rPr>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评价情况</w:t>
            </w:r>
          </w:p>
        </w:tc>
        <w:tc>
          <w:tcPr>
            <w:tcW w:w="4001" w:type="pct"/>
            <w:gridSpan w:val="3"/>
            <w:vAlign w:val="center"/>
          </w:tcPr>
          <w:p>
            <w:pPr>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8" w:type="pct"/>
            <w:gridSpan w:val="2"/>
            <w:vAlign w:val="center"/>
          </w:tcPr>
          <w:p>
            <w:pPr>
              <w:autoSpaceDE w:val="0"/>
              <w:autoSpaceDN w:val="0"/>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规划及规划环境影响评价</w:t>
            </w:r>
          </w:p>
          <w:p>
            <w:pPr>
              <w:autoSpaceDE w:val="0"/>
              <w:autoSpaceDN w:val="0"/>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符合性分析</w:t>
            </w:r>
          </w:p>
        </w:tc>
        <w:tc>
          <w:tcPr>
            <w:tcW w:w="4001" w:type="pct"/>
            <w:gridSpan w:val="3"/>
            <w:vAlign w:val="center"/>
          </w:tcPr>
          <w:p>
            <w:pPr>
              <w:keepNext/>
              <w:keepLines/>
              <w:pageBreakBefore w:val="0"/>
              <w:widowControl w:val="0"/>
              <w:kinsoku/>
              <w:wordWrap/>
              <w:overflowPunct/>
              <w:topLinePunct w:val="0"/>
              <w:bidi w:val="0"/>
              <w:spacing w:line="360" w:lineRule="auto"/>
              <w:jc w:val="center"/>
              <w:textAlignment w:val="auto"/>
              <w:rPr>
                <w:sz w:val="24"/>
                <w:szCs w:val="32"/>
              </w:rPr>
            </w:pPr>
            <w:r>
              <w:rPr>
                <w:rFonts w:hint="eastAsia"/>
                <w:color w:val="000000" w:themeColor="text1"/>
                <w:sz w:val="24"/>
                <w:szCs w:val="32"/>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40" w:type="pct"/>
            <w:vAlign w:val="center"/>
          </w:tcPr>
          <w:p>
            <w:pPr>
              <w:autoSpaceDE w:val="0"/>
              <w:autoSpaceDN w:val="0"/>
              <w:adjustRightInd w:val="0"/>
              <w:snapToGrid w:val="0"/>
              <w:jc w:val="center"/>
              <w:rPr>
                <w:color w:val="FF0000"/>
                <w:kern w:val="0"/>
                <w:szCs w:val="21"/>
              </w:rPr>
            </w:pPr>
            <w:r>
              <w:rPr>
                <w:color w:val="000000" w:themeColor="text1"/>
                <w:kern w:val="0"/>
                <w:sz w:val="24"/>
                <w:szCs w:val="24"/>
                <w14:textFill>
                  <w14:solidFill>
                    <w14:schemeClr w14:val="tx1"/>
                  </w14:solidFill>
                </w14:textFill>
              </w:rPr>
              <w:t>其他符合性分析</w:t>
            </w:r>
          </w:p>
        </w:tc>
        <w:tc>
          <w:tcPr>
            <w:tcW w:w="4759" w:type="pct"/>
            <w:gridSpan w:val="4"/>
            <w:vAlign w:val="center"/>
          </w:tcPr>
          <w:p>
            <w:pPr>
              <w:autoSpaceDE w:val="0"/>
              <w:autoSpaceDN w:val="0"/>
              <w:adjustRightInd w:val="0"/>
              <w:snapToGrid w:val="0"/>
              <w:spacing w:line="360" w:lineRule="auto"/>
              <w:rPr>
                <w:b/>
                <w:bCs/>
                <w:color w:val="000000" w:themeColor="text1"/>
                <w:kern w:val="0"/>
                <w:sz w:val="24"/>
                <w:szCs w:val="24"/>
                <w:shd w:val="clear" w:color="FFFFFF" w:fill="D9D9D9"/>
                <w14:textFill>
                  <w14:solidFill>
                    <w14:schemeClr w14:val="tx1"/>
                  </w14:solidFill>
                </w14:textFill>
              </w:rPr>
            </w:pPr>
            <w:r>
              <w:rPr>
                <w:rFonts w:hint="eastAsia"/>
                <w:b/>
                <w:bCs/>
                <w:color w:val="000000" w:themeColor="text1"/>
                <w:sz w:val="24"/>
                <w:szCs w:val="24"/>
                <w14:textFill>
                  <w14:solidFill>
                    <w14:schemeClr w14:val="tx1"/>
                  </w14:solidFill>
                </w14:textFill>
              </w:rPr>
              <w:t>1</w:t>
            </w:r>
            <w:r>
              <w:rPr>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项目</w:t>
            </w:r>
            <w:r>
              <w:rPr>
                <w:rFonts w:hint="eastAsia"/>
                <w:b/>
                <w:bCs/>
                <w:color w:val="000000" w:themeColor="text1"/>
                <w:kern w:val="0"/>
                <w:sz w:val="24"/>
                <w:szCs w:val="24"/>
                <w14:textFill>
                  <w14:solidFill>
                    <w14:schemeClr w14:val="tx1"/>
                  </w14:solidFill>
                </w14:textFill>
              </w:rPr>
              <w:t>与</w:t>
            </w:r>
            <w:r>
              <w:rPr>
                <w:b/>
                <w:bCs/>
                <w:color w:val="000000" w:themeColor="text1"/>
                <w:kern w:val="0"/>
                <w:sz w:val="24"/>
                <w:szCs w:val="24"/>
                <w14:textFill>
                  <w14:solidFill>
                    <w14:schemeClr w14:val="tx1"/>
                  </w14:solidFill>
                </w14:textFill>
              </w:rPr>
              <w:t>《产业结构调整指导目录（201</w:t>
            </w:r>
            <w:r>
              <w:rPr>
                <w:rFonts w:hint="eastAsia"/>
                <w:b/>
                <w:bCs/>
                <w:color w:val="000000" w:themeColor="text1"/>
                <w:kern w:val="0"/>
                <w:sz w:val="24"/>
                <w:szCs w:val="24"/>
                <w14:textFill>
                  <w14:solidFill>
                    <w14:schemeClr w14:val="tx1"/>
                  </w14:solidFill>
                </w14:textFill>
              </w:rPr>
              <w:t>9</w:t>
            </w:r>
            <w:r>
              <w:rPr>
                <w:b/>
                <w:bCs/>
                <w:color w:val="000000" w:themeColor="text1"/>
                <w:kern w:val="0"/>
                <w:sz w:val="24"/>
                <w:szCs w:val="24"/>
                <w14:textFill>
                  <w14:solidFill>
                    <w14:schemeClr w14:val="tx1"/>
                  </w14:solidFill>
                </w14:textFill>
              </w:rPr>
              <w:t>年本）</w:t>
            </w:r>
            <w:r>
              <w:rPr>
                <w:rFonts w:hint="eastAsia"/>
                <w:b/>
                <w:bCs/>
                <w:color w:val="000000" w:themeColor="text1"/>
                <w:kern w:val="0"/>
                <w:sz w:val="24"/>
                <w:szCs w:val="24"/>
                <w14:textFill>
                  <w14:solidFill>
                    <w14:schemeClr w14:val="tx1"/>
                  </w14:solidFill>
                </w14:textFill>
              </w:rPr>
              <w:t>（2021年修改）</w:t>
            </w:r>
            <w:r>
              <w:rPr>
                <w:b/>
                <w:bCs/>
                <w:color w:val="000000" w:themeColor="text1"/>
                <w:kern w:val="0"/>
                <w:sz w:val="24"/>
                <w:szCs w:val="24"/>
                <w14:textFill>
                  <w14:solidFill>
                    <w14:schemeClr w14:val="tx1"/>
                  </w14:solidFill>
                </w14:textFill>
              </w:rPr>
              <w:t>》</w:t>
            </w:r>
            <w:r>
              <w:rPr>
                <w:rFonts w:hint="eastAsia"/>
                <w:b/>
                <w:bCs/>
                <w:color w:val="000000" w:themeColor="text1"/>
                <w:kern w:val="0"/>
                <w:sz w:val="24"/>
                <w:szCs w:val="24"/>
                <w14:textFill>
                  <w14:solidFill>
                    <w14:schemeClr w14:val="tx1"/>
                  </w14:solidFill>
                </w14:textFill>
              </w:rPr>
              <w:t>相符性分析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olor w:val="000000" w:themeColor="text1"/>
                <w:sz w:val="24"/>
                <w:szCs w:val="24"/>
                <w14:textFill>
                  <w14:solidFill>
                    <w14:schemeClr w14:val="tx1"/>
                  </w14:solidFill>
                </w14:textFill>
              </w:rPr>
            </w:pPr>
            <w:r>
              <w:rPr>
                <w:b/>
                <w:bCs/>
                <w:color w:val="000000" w:themeColor="text1"/>
                <w:kern w:val="0"/>
                <w:sz w:val="24"/>
                <w:szCs w:val="24"/>
                <w:highlight w:val="none"/>
                <w:u w:val="single"/>
                <w14:textFill>
                  <w14:solidFill>
                    <w14:schemeClr w14:val="tx1"/>
                  </w14:solidFill>
                </w14:textFill>
              </w:rPr>
              <w:t>本项目</w:t>
            </w:r>
            <w:r>
              <w:rPr>
                <w:rFonts w:hint="eastAsia"/>
                <w:b/>
                <w:bCs/>
                <w:color w:val="000000" w:themeColor="text1"/>
                <w:kern w:val="0"/>
                <w:sz w:val="24"/>
                <w:szCs w:val="24"/>
                <w:highlight w:val="none"/>
                <w:u w:val="single"/>
                <w14:textFill>
                  <w14:solidFill>
                    <w14:schemeClr w14:val="tx1"/>
                  </w14:solidFill>
                </w14:textFill>
              </w:rPr>
              <w:t>主要生产</w:t>
            </w:r>
            <w:r>
              <w:rPr>
                <w:rFonts w:hint="eastAsia"/>
                <w:b/>
                <w:bCs/>
                <w:color w:val="000000" w:themeColor="text1"/>
                <w:kern w:val="0"/>
                <w:sz w:val="24"/>
                <w:szCs w:val="24"/>
                <w:highlight w:val="none"/>
                <w:u w:val="single"/>
                <w:lang w:val="en-US" w:eastAsia="zh-CN"/>
                <w14:textFill>
                  <w14:solidFill>
                    <w14:schemeClr w14:val="tx1"/>
                  </w14:solidFill>
                </w14:textFill>
              </w:rPr>
              <w:t>普通病床等医疗器械设备</w:t>
            </w:r>
            <w:r>
              <w:rPr>
                <w:rFonts w:hint="eastAsia"/>
                <w:b/>
                <w:bCs/>
                <w:color w:val="000000" w:themeColor="text1"/>
                <w:kern w:val="0"/>
                <w:sz w:val="24"/>
                <w:szCs w:val="24"/>
                <w:highlight w:val="none"/>
                <w:u w:val="single"/>
                <w14:textFill>
                  <w14:solidFill>
                    <w14:schemeClr w14:val="tx1"/>
                  </w14:solidFill>
                </w14:textFill>
              </w:rPr>
              <w:t>，</w:t>
            </w:r>
            <w:r>
              <w:rPr>
                <w:rFonts w:hint="eastAsia"/>
                <w:b/>
                <w:bCs/>
                <w:color w:val="000000" w:themeColor="text1"/>
                <w:sz w:val="24"/>
                <w:szCs w:val="24"/>
                <w:highlight w:val="none"/>
                <w:u w:val="single"/>
                <w14:textFill>
                  <w14:solidFill>
                    <w14:schemeClr w14:val="tx1"/>
                  </w14:solidFill>
                </w14:textFill>
              </w:rPr>
              <w:t>项目既不属于《产业结构调整指导目录（2019年本）</w:t>
            </w:r>
            <w:r>
              <w:rPr>
                <w:rFonts w:hint="eastAsia" w:ascii="Times New Roman" w:hAnsi="Times New Roman"/>
                <w:b/>
                <w:bCs/>
                <w:color w:val="auto"/>
                <w:kern w:val="0"/>
                <w:sz w:val="24"/>
                <w:szCs w:val="24"/>
                <w:highlight w:val="none"/>
                <w:u w:val="single"/>
              </w:rPr>
              <w:t>（2021年修改）</w:t>
            </w:r>
            <w:r>
              <w:rPr>
                <w:rFonts w:hint="eastAsia"/>
                <w:b/>
                <w:bCs/>
                <w:color w:val="000000" w:themeColor="text1"/>
                <w:sz w:val="24"/>
                <w:szCs w:val="24"/>
                <w:highlight w:val="none"/>
                <w:u w:val="single"/>
                <w14:textFill>
                  <w14:solidFill>
                    <w14:schemeClr w14:val="tx1"/>
                  </w14:solidFill>
                </w14:textFill>
              </w:rPr>
              <w:t>》中鼓励类，</w:t>
            </w:r>
            <w:r>
              <w:rPr>
                <w:rFonts w:hint="eastAsia"/>
                <w:color w:val="000000" w:themeColor="text1"/>
                <w:sz w:val="24"/>
                <w:szCs w:val="24"/>
                <w14:textFill>
                  <w14:solidFill>
                    <w14:schemeClr w14:val="tx1"/>
                  </w14:solidFill>
                </w14:textFill>
              </w:rPr>
              <w:t>又不属于限制类和淘汰类，属于允许类，其建设符合当前国家产业政策。项目已</w:t>
            </w:r>
            <w:r>
              <w:rPr>
                <w:rFonts w:hint="eastAsia"/>
                <w:color w:val="000000" w:themeColor="text1"/>
                <w:sz w:val="24"/>
                <w:szCs w:val="24"/>
                <w:lang w:val="en-US" w:eastAsia="zh-CN"/>
                <w14:textFill>
                  <w14:solidFill>
                    <w14:schemeClr w14:val="tx1"/>
                  </w14:solidFill>
                </w14:textFill>
              </w:rPr>
              <w:t>在</w:t>
            </w:r>
            <w:r>
              <w:rPr>
                <w:rFonts w:hint="eastAsia"/>
                <w:color w:val="000000" w:themeColor="text1"/>
                <w:sz w:val="24"/>
                <w:szCs w:val="24"/>
                <w14:textFill>
                  <w14:solidFill>
                    <w14:schemeClr w14:val="tx1"/>
                  </w14:solidFill>
                </w14:textFill>
              </w:rPr>
              <w:t>偃师区发展和改革委员会备案，项目代码为“</w:t>
            </w:r>
            <w:r>
              <w:rPr>
                <w:rFonts w:hint="eastAsia"/>
                <w:color w:val="000000" w:themeColor="text1"/>
                <w:sz w:val="24"/>
                <w:szCs w:val="24"/>
                <w:shd w:val="clear"/>
                <w:lang w:eastAsia="zh-CN"/>
                <w14:textFill>
                  <w14:solidFill>
                    <w14:schemeClr w14:val="tx1"/>
                  </w14:solidFill>
                </w14:textFill>
              </w:rPr>
              <w:t>2306-410381-04-02-381910</w:t>
            </w:r>
            <w:r>
              <w:rPr>
                <w:rFonts w:hint="eastAsia"/>
                <w:color w:val="000000" w:themeColor="text1"/>
                <w:sz w:val="24"/>
                <w:szCs w:val="24"/>
                <w:shd w:val="clear"/>
                <w14:textFill>
                  <w14:solidFill>
                    <w14:schemeClr w14:val="tx1"/>
                  </w14:solidFill>
                </w14:textFill>
              </w:rPr>
              <w:t>”</w:t>
            </w:r>
            <w:r>
              <w:rPr>
                <w:rFonts w:hint="eastAsia"/>
                <w:color w:val="000000" w:themeColor="text1"/>
                <w:sz w:val="24"/>
                <w:szCs w:val="24"/>
                <w14:textFill>
                  <w14:solidFill>
                    <w14:schemeClr w14:val="tx1"/>
                  </w14:solidFill>
                </w14:textFill>
              </w:rPr>
              <w:t>，因此，项目建设符合当前国家产业政策要求。</w:t>
            </w:r>
          </w:p>
          <w:p>
            <w:pPr>
              <w:autoSpaceDE w:val="0"/>
              <w:autoSpaceDN w:val="0"/>
              <w:adjustRightInd w:val="0"/>
              <w:snapToGrid w:val="0"/>
              <w:spacing w:line="360" w:lineRule="auto"/>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2、“三线一单”相符性分析</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contextualSpacing/>
              <w:textAlignment w:val="auto"/>
              <w:rPr>
                <w:rFonts w:ascii="Times New Roman" w:hAnsi="Times New Roman"/>
                <w:kern w:val="44"/>
                <w:sz w:val="24"/>
                <w:szCs w:val="24"/>
              </w:rPr>
            </w:pPr>
            <w:r>
              <w:rPr>
                <w:rFonts w:ascii="Times New Roman" w:hAnsi="Times New Roman"/>
                <w:kern w:val="44"/>
                <w:sz w:val="24"/>
                <w:szCs w:val="24"/>
              </w:rPr>
              <w:t>1）生态保护红线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kern w:val="44"/>
                <w:sz w:val="24"/>
                <w:szCs w:val="24"/>
              </w:rPr>
            </w:pPr>
            <w:r>
              <w:rPr>
                <w:rFonts w:ascii="Times New Roman" w:hAnsi="Times New Roman"/>
                <w:kern w:val="44"/>
                <w:sz w:val="24"/>
                <w:szCs w:val="24"/>
              </w:rPr>
              <w:t>本项目厂址位于洛阳市</w:t>
            </w:r>
            <w:r>
              <w:rPr>
                <w:rFonts w:hint="eastAsia" w:ascii="Times New Roman" w:hAnsi="Times New Roman"/>
                <w:kern w:val="44"/>
                <w:sz w:val="24"/>
                <w:szCs w:val="24"/>
              </w:rPr>
              <w:t>偃师区大口镇后周村</w:t>
            </w:r>
            <w:r>
              <w:rPr>
                <w:rFonts w:ascii="Times New Roman" w:hAnsi="Times New Roman"/>
                <w:kern w:val="44"/>
                <w:sz w:val="24"/>
                <w:szCs w:val="24"/>
              </w:rPr>
              <w:t>，经过现场踏勘，本项目不在自然保护区、风景名胜区、森林公园、地质公园、重要生态功能区、生态敏感区和脆弱区以及其他要求禁止建设的环境敏感区内。根据河南省生态保护红线划定方案，项目所在地不属于生态红线区域。</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szCs w:val="24"/>
                <w:highlight w:val="yellow"/>
              </w:rPr>
            </w:pPr>
            <w:r>
              <w:rPr>
                <w:rFonts w:ascii="Times New Roman"/>
                <w:sz w:val="24"/>
                <w:szCs w:val="24"/>
              </w:rPr>
              <w:t>偃师市大口乡集中供水厂位于大口镇区，</w:t>
            </w:r>
            <w:r>
              <w:rPr>
                <w:rFonts w:ascii="Times New Roman" w:hAnsi="Times New Roman"/>
                <w:sz w:val="24"/>
                <w:szCs w:val="24"/>
              </w:rPr>
              <w:t>1#</w:t>
            </w:r>
            <w:r>
              <w:rPr>
                <w:rFonts w:ascii="Times New Roman"/>
                <w:sz w:val="24"/>
                <w:szCs w:val="24"/>
              </w:rPr>
              <w:t>水源井位于水厂内，</w:t>
            </w:r>
            <w:r>
              <w:rPr>
                <w:rFonts w:ascii="Times New Roman" w:hAnsi="Times New Roman"/>
                <w:sz w:val="24"/>
                <w:szCs w:val="24"/>
              </w:rPr>
              <w:t>1#</w:t>
            </w:r>
            <w:r>
              <w:rPr>
                <w:rFonts w:ascii="Times New Roman"/>
                <w:sz w:val="24"/>
                <w:szCs w:val="24"/>
              </w:rPr>
              <w:t>水源井位于农田。水源井具体地理位置为：</w:t>
            </w:r>
            <w:r>
              <w:rPr>
                <w:rFonts w:ascii="Times New Roman" w:hAnsi="Times New Roman"/>
                <w:sz w:val="24"/>
                <w:szCs w:val="24"/>
              </w:rPr>
              <w:t>1#</w:t>
            </w:r>
            <w:r>
              <w:rPr>
                <w:rFonts w:ascii="Times New Roman"/>
                <w:sz w:val="24"/>
                <w:szCs w:val="24"/>
              </w:rPr>
              <w:t>水源井东经</w:t>
            </w:r>
            <w:r>
              <w:rPr>
                <w:rFonts w:ascii="Times New Roman" w:hAnsi="Times New Roman"/>
                <w:sz w:val="24"/>
                <w:szCs w:val="24"/>
              </w:rPr>
              <w:t>112°42'19.8"</w:t>
            </w:r>
            <w:r>
              <w:rPr>
                <w:rFonts w:ascii="Times New Roman"/>
                <w:sz w:val="24"/>
                <w:szCs w:val="24"/>
              </w:rPr>
              <w:t>，北纬</w:t>
            </w:r>
            <w:r>
              <w:rPr>
                <w:rFonts w:ascii="Times New Roman" w:hAnsi="Times New Roman"/>
                <w:sz w:val="24"/>
                <w:szCs w:val="24"/>
              </w:rPr>
              <w:t>34° 34'11.9"</w:t>
            </w:r>
            <w:r>
              <w:rPr>
                <w:rFonts w:ascii="Times New Roman"/>
                <w:sz w:val="24"/>
                <w:szCs w:val="24"/>
              </w:rPr>
              <w:t>；</w:t>
            </w:r>
            <w:r>
              <w:rPr>
                <w:rFonts w:ascii="Times New Roman" w:hAnsi="Times New Roman"/>
                <w:sz w:val="24"/>
                <w:szCs w:val="24"/>
              </w:rPr>
              <w:t>2#</w:t>
            </w:r>
            <w:r>
              <w:rPr>
                <w:rFonts w:ascii="Times New Roman"/>
                <w:sz w:val="24"/>
                <w:szCs w:val="24"/>
              </w:rPr>
              <w:t>水源井东经</w:t>
            </w:r>
            <w:r>
              <w:rPr>
                <w:rFonts w:ascii="Times New Roman" w:hAnsi="Times New Roman"/>
                <w:sz w:val="24"/>
                <w:szCs w:val="24"/>
              </w:rPr>
              <w:t>112°42'23.5"</w:t>
            </w:r>
            <w:r>
              <w:rPr>
                <w:rFonts w:ascii="Times New Roman"/>
                <w:sz w:val="24"/>
                <w:szCs w:val="24"/>
              </w:rPr>
              <w:t>，北纬</w:t>
            </w:r>
            <w:r>
              <w:rPr>
                <w:rFonts w:ascii="Times New Roman" w:hAnsi="Times New Roman"/>
                <w:sz w:val="24"/>
                <w:szCs w:val="24"/>
              </w:rPr>
              <w:t>34°34'314.7"</w:t>
            </w:r>
            <w:r>
              <w:rPr>
                <w:rFonts w:ascii="Times New Roman"/>
                <w:sz w:val="24"/>
                <w:szCs w:val="24"/>
              </w:rPr>
              <w:t>。水源井的补给方式为大气降水补给，赋水空间为砂卵石及中粗砂，属于裂隙承压水及孔隙承压水。两井深均为</w:t>
            </w:r>
            <w:r>
              <w:rPr>
                <w:rFonts w:ascii="Times New Roman" w:hAnsi="Times New Roman"/>
                <w:sz w:val="24"/>
                <w:szCs w:val="24"/>
              </w:rPr>
              <w:t>180m</w:t>
            </w:r>
            <w:r>
              <w:rPr>
                <w:rFonts w:ascii="Times New Roman"/>
                <w:sz w:val="24"/>
                <w:szCs w:val="24"/>
              </w:rPr>
              <w:t>，井口直径</w:t>
            </w:r>
            <w:r>
              <w:rPr>
                <w:rFonts w:ascii="Times New Roman" w:hAnsi="Times New Roman"/>
                <w:sz w:val="24"/>
                <w:szCs w:val="24"/>
              </w:rPr>
              <w:t>0.30m</w:t>
            </w:r>
            <w:r>
              <w:rPr>
                <w:rFonts w:ascii="Times New Roman"/>
                <w:sz w:val="24"/>
                <w:szCs w:val="24"/>
              </w:rPr>
              <w:t>，取水量均为</w:t>
            </w:r>
            <w:r>
              <w:rPr>
                <w:rFonts w:ascii="Times New Roman" w:hAnsi="Times New Roman"/>
                <w:sz w:val="24"/>
                <w:szCs w:val="24"/>
              </w:rPr>
              <w:t>40m</w:t>
            </w:r>
            <w:r>
              <w:rPr>
                <w:rFonts w:ascii="Times New Roman" w:hAnsi="Times New Roman"/>
                <w:sz w:val="24"/>
                <w:szCs w:val="24"/>
                <w:vertAlign w:val="superscript"/>
              </w:rPr>
              <w:t>3</w:t>
            </w:r>
            <w:r>
              <w:rPr>
                <w:rFonts w:ascii="Times New Roman" w:hAnsi="Times New Roman"/>
                <w:sz w:val="24"/>
                <w:szCs w:val="24"/>
              </w:rPr>
              <w:t>/h</w:t>
            </w:r>
            <w:r>
              <w:rPr>
                <w:rFonts w:hint="eastAsia" w:ascii="Times New Roman"/>
                <w:sz w:val="24"/>
                <w:szCs w:val="24"/>
              </w:rPr>
              <w:t>，</w:t>
            </w:r>
            <w:r>
              <w:rPr>
                <w:rFonts w:ascii="Times New Roman"/>
                <w:sz w:val="24"/>
                <w:szCs w:val="24"/>
              </w:rPr>
              <w:t>交替使用。根据《河南省人民政府办公厅关于印发河南省乡镇集中式饮用水水源保护区划的通知》豫政办〔</w:t>
            </w:r>
            <w:r>
              <w:rPr>
                <w:rFonts w:ascii="Times New Roman" w:hAnsi="Times New Roman"/>
                <w:sz w:val="24"/>
                <w:szCs w:val="24"/>
              </w:rPr>
              <w:t>2016</w:t>
            </w:r>
            <w:r>
              <w:rPr>
                <w:rFonts w:ascii="Times New Roman"/>
                <w:sz w:val="24"/>
                <w:szCs w:val="24"/>
              </w:rPr>
              <w:t>〕</w:t>
            </w:r>
            <w:r>
              <w:rPr>
                <w:rFonts w:ascii="Times New Roman" w:hAnsi="Times New Roman"/>
                <w:sz w:val="24"/>
                <w:szCs w:val="24"/>
              </w:rPr>
              <w:t>23</w:t>
            </w:r>
            <w:r>
              <w:rPr>
                <w:rFonts w:ascii="Times New Roman"/>
                <w:sz w:val="24"/>
                <w:szCs w:val="24"/>
              </w:rPr>
              <w:t>号，偃师市大口乡的饮用水源</w:t>
            </w:r>
            <w:r>
              <w:rPr>
                <w:rFonts w:ascii="Times New Roman" w:hAnsi="ˎ̥"/>
                <w:color w:val="000000"/>
                <w:sz w:val="24"/>
                <w:szCs w:val="24"/>
              </w:rPr>
              <w:t>一级保护区范围</w:t>
            </w:r>
            <w:r>
              <w:rPr>
                <w:rFonts w:hint="eastAsia" w:ascii="Times New Roman" w:hAnsi="Times New Roman"/>
                <w:color w:val="000000"/>
                <w:sz w:val="24"/>
                <w:szCs w:val="24"/>
              </w:rPr>
              <w:t>：</w:t>
            </w:r>
            <w:r>
              <w:rPr>
                <w:rFonts w:ascii="Times New Roman" w:hAnsi="ˎ̥"/>
                <w:color w:val="000000"/>
                <w:sz w:val="24"/>
                <w:szCs w:val="24"/>
              </w:rPr>
              <w:t>水厂厂区及外围东</w:t>
            </w:r>
            <w:r>
              <w:rPr>
                <w:rFonts w:ascii="Times New Roman" w:hAnsi="Times New Roman"/>
                <w:color w:val="000000"/>
                <w:sz w:val="24"/>
                <w:szCs w:val="24"/>
              </w:rPr>
              <w:t>40m</w:t>
            </w:r>
            <w:r>
              <w:rPr>
                <w:rFonts w:ascii="Times New Roman" w:hAnsi="ˎ̥"/>
                <w:color w:val="000000"/>
                <w:sz w:val="24"/>
                <w:szCs w:val="24"/>
              </w:rPr>
              <w:t>、西</w:t>
            </w:r>
            <w:r>
              <w:rPr>
                <w:rFonts w:ascii="Times New Roman" w:hAnsi="Times New Roman"/>
                <w:color w:val="000000"/>
                <w:sz w:val="24"/>
                <w:szCs w:val="24"/>
              </w:rPr>
              <w:t>45m</w:t>
            </w:r>
            <w:r>
              <w:rPr>
                <w:rFonts w:ascii="Times New Roman" w:hAnsi="ˎ̥"/>
                <w:color w:val="000000"/>
                <w:sz w:val="24"/>
                <w:szCs w:val="24"/>
              </w:rPr>
              <w:t>、南</w:t>
            </w:r>
            <w:r>
              <w:rPr>
                <w:rFonts w:ascii="Times New Roman" w:hAnsi="Times New Roman"/>
                <w:color w:val="000000"/>
                <w:sz w:val="24"/>
                <w:szCs w:val="24"/>
              </w:rPr>
              <w:t>45m</w:t>
            </w:r>
            <w:r>
              <w:rPr>
                <w:rFonts w:ascii="Times New Roman" w:hAnsi="ˎ̥"/>
                <w:color w:val="000000"/>
                <w:sz w:val="24"/>
                <w:szCs w:val="24"/>
              </w:rPr>
              <w:t>、北</w:t>
            </w:r>
            <w:r>
              <w:rPr>
                <w:rFonts w:ascii="Times New Roman" w:hAnsi="Times New Roman"/>
                <w:color w:val="000000"/>
                <w:sz w:val="24"/>
                <w:szCs w:val="24"/>
              </w:rPr>
              <w:t>115m</w:t>
            </w:r>
            <w:r>
              <w:rPr>
                <w:rFonts w:ascii="Times New Roman" w:hAnsi="ˎ̥"/>
                <w:color w:val="000000"/>
                <w:sz w:val="24"/>
                <w:szCs w:val="24"/>
              </w:rPr>
              <w:t>的区域。</w:t>
            </w:r>
            <w:r>
              <w:rPr>
                <w:rFonts w:ascii="Times New Roman"/>
                <w:color w:val="000000"/>
                <w:sz w:val="24"/>
                <w:szCs w:val="24"/>
                <w:highlight w:val="none"/>
              </w:rPr>
              <w:t>本项目厂址</w:t>
            </w:r>
            <w:r>
              <w:rPr>
                <w:rFonts w:hint="eastAsia"/>
                <w:color w:val="000000"/>
                <w:sz w:val="24"/>
                <w:szCs w:val="24"/>
                <w:highlight w:val="none"/>
                <w:lang w:val="en-US" w:eastAsia="zh-CN"/>
              </w:rPr>
              <w:t>距饮用水源保护范围最近的距离为</w:t>
            </w:r>
            <w:r>
              <w:rPr>
                <w:rFonts w:hint="eastAsia" w:ascii="Times New Roman" w:hAnsi="Times New Roman"/>
                <w:color w:val="000000"/>
                <w:sz w:val="24"/>
                <w:szCs w:val="24"/>
                <w:highlight w:val="none"/>
              </w:rPr>
              <w:t>36</w:t>
            </w:r>
            <w:r>
              <w:rPr>
                <w:rFonts w:hint="eastAsia"/>
                <w:color w:val="000000"/>
                <w:sz w:val="24"/>
                <w:szCs w:val="24"/>
                <w:highlight w:val="none"/>
                <w:lang w:val="en-US" w:eastAsia="zh-CN"/>
              </w:rPr>
              <w:t>4</w:t>
            </w:r>
            <w:r>
              <w:rPr>
                <w:rFonts w:hint="eastAsia" w:ascii="Times New Roman" w:hAnsi="Times New Roman"/>
                <w:color w:val="000000"/>
                <w:sz w:val="24"/>
                <w:szCs w:val="24"/>
                <w:highlight w:val="none"/>
              </w:rPr>
              <w:t>0</w:t>
            </w:r>
            <w:r>
              <w:rPr>
                <w:rFonts w:ascii="Times New Roman" w:hAnsi="Times New Roman"/>
                <w:color w:val="000000"/>
                <w:sz w:val="24"/>
                <w:szCs w:val="24"/>
                <w:highlight w:val="none"/>
              </w:rPr>
              <w:t>m</w:t>
            </w:r>
            <w:r>
              <w:rPr>
                <w:rFonts w:ascii="Times New Roman"/>
                <w:color w:val="000000"/>
                <w:sz w:val="24"/>
                <w:szCs w:val="24"/>
                <w:highlight w:val="none"/>
              </w:rPr>
              <w:t>，不在该水源井保护范围内。</w:t>
            </w:r>
            <w:r>
              <w:rPr>
                <w:rFonts w:hint="eastAsia"/>
                <w:color w:val="000000"/>
                <w:sz w:val="24"/>
                <w:szCs w:val="24"/>
                <w:highlight w:val="none"/>
                <w:lang w:val="en-US" w:eastAsia="zh-CN"/>
              </w:rPr>
              <w:t>项目选址与饮用水源的位置关系图见附图6。</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bCs/>
                <w:color w:val="000000"/>
                <w:sz w:val="24"/>
                <w:szCs w:val="24"/>
                <w:highlight w:val="yellow"/>
              </w:rPr>
            </w:pPr>
            <w:r>
              <w:rPr>
                <w:rFonts w:ascii="Times New Roman"/>
                <w:bCs/>
                <w:color w:val="000000"/>
                <w:sz w:val="24"/>
                <w:szCs w:val="24"/>
              </w:rPr>
              <w:t>大遗址保护包含隋唐洛阳城遗址、汉魏故城、周王城遗址、龙门石窟、邙山陵墓群、偃师商城遗址、二里头遗址、东汉陵墓南兆域等九处保护地。本项目位于偃师市大口镇，主要涉及到大遗址保护中的东汉陵墓南兆域。东汉陵墓南兆域位于</w:t>
            </w:r>
            <w:r>
              <w:rPr>
                <w:rFonts w:hint="eastAsia" w:ascii="Times New Roman"/>
                <w:bCs/>
                <w:color w:val="000000"/>
                <w:sz w:val="24"/>
                <w:szCs w:val="24"/>
              </w:rPr>
              <w:t>伊滨区</w:t>
            </w:r>
            <w:r>
              <w:rPr>
                <w:rFonts w:ascii="Times New Roman"/>
                <w:bCs/>
                <w:color w:val="000000"/>
                <w:sz w:val="24"/>
                <w:szCs w:val="24"/>
              </w:rPr>
              <w:t>李村镇、庞村镇、寇店镇</w:t>
            </w:r>
            <w:r>
              <w:rPr>
                <w:rFonts w:hint="eastAsia" w:ascii="Times New Roman"/>
                <w:bCs/>
                <w:color w:val="000000"/>
                <w:sz w:val="24"/>
                <w:szCs w:val="24"/>
              </w:rPr>
              <w:t>及偃师市</w:t>
            </w:r>
            <w:r>
              <w:rPr>
                <w:rFonts w:ascii="Times New Roman"/>
                <w:bCs/>
                <w:color w:val="000000"/>
                <w:sz w:val="24"/>
                <w:szCs w:val="24"/>
              </w:rPr>
              <w:t>高龙镇、大口乡、顾县镇及附近地区，面积约</w:t>
            </w:r>
            <w:r>
              <w:rPr>
                <w:rFonts w:ascii="Times New Roman" w:hAnsi="Times New Roman"/>
                <w:bCs/>
                <w:color w:val="000000"/>
                <w:sz w:val="24"/>
                <w:szCs w:val="24"/>
              </w:rPr>
              <w:t>200km</w:t>
            </w:r>
            <w:r>
              <w:rPr>
                <w:rFonts w:ascii="Times New Roman" w:hAnsi="Times New Roman"/>
                <w:bCs/>
                <w:color w:val="000000"/>
                <w:sz w:val="24"/>
                <w:szCs w:val="24"/>
                <w:vertAlign w:val="superscript"/>
              </w:rPr>
              <w:t>2</w:t>
            </w:r>
            <w:r>
              <w:rPr>
                <w:rFonts w:ascii="Times New Roman"/>
                <w:bCs/>
                <w:color w:val="000000"/>
                <w:sz w:val="24"/>
                <w:szCs w:val="24"/>
              </w:rPr>
              <w:t>，于</w:t>
            </w:r>
            <w:r>
              <w:rPr>
                <w:rFonts w:ascii="Times New Roman" w:hAnsi="Times New Roman"/>
                <w:bCs/>
                <w:color w:val="000000"/>
                <w:sz w:val="24"/>
                <w:szCs w:val="24"/>
              </w:rPr>
              <w:t>2008</w:t>
            </w:r>
            <w:r>
              <w:rPr>
                <w:rFonts w:ascii="Times New Roman"/>
                <w:bCs/>
                <w:color w:val="000000"/>
                <w:sz w:val="24"/>
                <w:szCs w:val="24"/>
              </w:rPr>
              <w:t>年纳入洛阳市保护的大遗址范围。东汉陵墓南兆域分为保护范围和建设控制地带二类。本项目位于其</w:t>
            </w:r>
            <w:r>
              <w:rPr>
                <w:rFonts w:hint="eastAsia" w:ascii="Times New Roman"/>
                <w:bCs/>
                <w:color w:val="000000"/>
                <w:sz w:val="24"/>
                <w:szCs w:val="24"/>
              </w:rPr>
              <w:t>保护</w:t>
            </w:r>
            <w:r>
              <w:rPr>
                <w:rFonts w:ascii="Times New Roman"/>
                <w:bCs/>
                <w:color w:val="000000"/>
                <w:sz w:val="24"/>
                <w:szCs w:val="24"/>
              </w:rPr>
              <w:t>范围内，根据</w:t>
            </w:r>
            <w:r>
              <w:rPr>
                <w:rFonts w:hint="eastAsia" w:ascii="Times New Roman"/>
                <w:bCs/>
                <w:color w:val="000000"/>
                <w:sz w:val="24"/>
                <w:szCs w:val="24"/>
              </w:rPr>
              <w:t>偃师市文物旅游局</w:t>
            </w:r>
            <w:r>
              <w:rPr>
                <w:rFonts w:ascii="Times New Roman"/>
                <w:bCs/>
                <w:color w:val="000000"/>
                <w:sz w:val="24"/>
                <w:szCs w:val="24"/>
              </w:rPr>
              <w:t>出具的</w:t>
            </w:r>
            <w:r>
              <w:rPr>
                <w:rFonts w:hint="eastAsia" w:ascii="Times New Roman"/>
                <w:bCs/>
                <w:color w:val="000000"/>
                <w:sz w:val="24"/>
                <w:szCs w:val="24"/>
              </w:rPr>
              <w:t>证明</w:t>
            </w:r>
            <w:r>
              <w:rPr>
                <w:rFonts w:ascii="Times New Roman"/>
                <w:bCs/>
                <w:color w:val="000000"/>
                <w:sz w:val="24"/>
                <w:szCs w:val="24"/>
              </w:rPr>
              <w:t>：本项目</w:t>
            </w:r>
            <w:r>
              <w:rPr>
                <w:rFonts w:hint="eastAsia" w:ascii="Times New Roman"/>
                <w:bCs/>
                <w:color w:val="000000"/>
                <w:sz w:val="24"/>
                <w:szCs w:val="24"/>
              </w:rPr>
              <w:t>所在区域已经过勘探，未发现古墓葬及古文物遗迹</w:t>
            </w:r>
            <w:r>
              <w:rPr>
                <w:rFonts w:hint="eastAsia"/>
                <w:bCs/>
                <w:color w:val="000000"/>
                <w:sz w:val="24"/>
                <w:szCs w:val="24"/>
                <w:lang w:eastAsia="zh-CN"/>
              </w:rPr>
              <w:t>（</w:t>
            </w:r>
            <w:r>
              <w:rPr>
                <w:rFonts w:hint="eastAsia"/>
                <w:bCs/>
                <w:color w:val="000000"/>
                <w:sz w:val="24"/>
                <w:szCs w:val="24"/>
                <w:lang w:val="en-US" w:eastAsia="zh-CN"/>
              </w:rPr>
              <w:t>见附件5</w:t>
            </w:r>
            <w:r>
              <w:rPr>
                <w:rFonts w:hint="eastAsia"/>
                <w:bCs/>
                <w:color w:val="000000"/>
                <w:sz w:val="24"/>
                <w:szCs w:val="24"/>
                <w:lang w:eastAsia="zh-CN"/>
              </w:rPr>
              <w:t>）</w:t>
            </w:r>
            <w:r>
              <w:rPr>
                <w:rFonts w:hint="eastAsia" w:ascii="Times New Roman"/>
                <w:bCs/>
                <w:color w:val="000000"/>
                <w:sz w:val="24"/>
                <w:szCs w:val="24"/>
              </w:rPr>
              <w:t>。</w:t>
            </w:r>
            <w:r>
              <w:rPr>
                <w:rFonts w:ascii="Times New Roman"/>
                <w:bCs/>
                <w:color w:val="000000"/>
                <w:sz w:val="24"/>
                <w:szCs w:val="24"/>
                <w:highlight w:val="none"/>
              </w:rPr>
              <w:t>本项目对文物的影响以文物部门意见为主</w:t>
            </w:r>
            <w:r>
              <w:rPr>
                <w:rFonts w:hint="eastAsia" w:ascii="Times New Roman"/>
                <w:bCs/>
                <w:color w:val="000000"/>
                <w:sz w:val="24"/>
                <w:szCs w:val="24"/>
                <w:highlight w:val="none"/>
              </w:rPr>
              <w:t>，</w:t>
            </w:r>
            <w:r>
              <w:rPr>
                <w:rFonts w:ascii="Times New Roman"/>
                <w:bCs/>
                <w:color w:val="000000"/>
                <w:sz w:val="24"/>
                <w:szCs w:val="24"/>
                <w:highlight w:val="none"/>
              </w:rPr>
              <w:t>本项目与文物保护区的关系见附图</w:t>
            </w:r>
            <w:r>
              <w:rPr>
                <w:rFonts w:hint="eastAsia"/>
                <w:bCs/>
                <w:color w:val="000000"/>
                <w:sz w:val="24"/>
                <w:szCs w:val="24"/>
                <w:highlight w:val="none"/>
                <w:lang w:val="en-US" w:eastAsia="zh-CN"/>
              </w:rPr>
              <w:t>7</w:t>
            </w:r>
            <w:r>
              <w:rPr>
                <w:rFonts w:ascii="Times New Roman"/>
                <w:bCs/>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Times New Roman" w:hAnsi="Times New Roman"/>
                <w:kern w:val="44"/>
                <w:sz w:val="24"/>
                <w:szCs w:val="24"/>
              </w:rPr>
            </w:pPr>
            <w:r>
              <w:rPr>
                <w:rFonts w:ascii="Times New Roman" w:hAnsi="Times New Roman"/>
                <w:kern w:val="44"/>
                <w:sz w:val="24"/>
                <w:szCs w:val="24"/>
              </w:rPr>
              <w:t>2）环境质量底线</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Times New Roman" w:hAnsi="Times New Roman"/>
                <w:bCs/>
                <w:color w:val="000000"/>
                <w:kern w:val="44"/>
                <w:sz w:val="24"/>
                <w:szCs w:val="24"/>
              </w:rPr>
            </w:pPr>
            <w:r>
              <w:rPr>
                <w:rFonts w:ascii="Times New Roman" w:hAnsi="Times New Roman"/>
                <w:b/>
                <w:bCs w:val="0"/>
                <w:color w:val="000000"/>
                <w:kern w:val="44"/>
                <w:sz w:val="24"/>
                <w:szCs w:val="24"/>
                <w:u w:val="single"/>
              </w:rPr>
              <w:t>本项目位于洛阳市</w:t>
            </w:r>
            <w:r>
              <w:rPr>
                <w:rFonts w:hint="eastAsia" w:ascii="Times New Roman" w:hAnsi="Times New Roman"/>
                <w:b/>
                <w:bCs w:val="0"/>
                <w:color w:val="000000"/>
                <w:kern w:val="44"/>
                <w:sz w:val="24"/>
                <w:szCs w:val="24"/>
                <w:u w:val="single"/>
              </w:rPr>
              <w:t>偃师区大口镇</w:t>
            </w:r>
            <w:r>
              <w:rPr>
                <w:rFonts w:ascii="Times New Roman" w:hAnsi="Times New Roman"/>
                <w:b/>
                <w:bCs w:val="0"/>
                <w:color w:val="000000"/>
                <w:kern w:val="44"/>
                <w:sz w:val="24"/>
                <w:szCs w:val="24"/>
                <w:u w:val="single"/>
              </w:rPr>
              <w:t>，</w:t>
            </w:r>
            <w:r>
              <w:rPr>
                <w:rFonts w:hint="eastAsia" w:ascii="Times New Roman" w:hAnsi="Times New Roman"/>
                <w:b/>
                <w:bCs w:val="0"/>
                <w:color w:val="000000"/>
                <w:kern w:val="44"/>
                <w:sz w:val="24"/>
                <w:szCs w:val="24"/>
                <w:u w:val="single"/>
                <w:lang w:val="zh-CN"/>
              </w:rPr>
              <w:t>根据洛阳市生态环境主管部门公开发布的202</w:t>
            </w:r>
            <w:r>
              <w:rPr>
                <w:rFonts w:hint="eastAsia" w:ascii="Times New Roman" w:hAnsi="Times New Roman"/>
                <w:b/>
                <w:bCs w:val="0"/>
                <w:color w:val="000000"/>
                <w:kern w:val="44"/>
                <w:sz w:val="24"/>
                <w:szCs w:val="24"/>
                <w:u w:val="single"/>
              </w:rPr>
              <w:t>2</w:t>
            </w:r>
            <w:r>
              <w:rPr>
                <w:rFonts w:hint="eastAsia" w:ascii="Times New Roman" w:hAnsi="Times New Roman"/>
                <w:b/>
                <w:bCs w:val="0"/>
                <w:color w:val="000000"/>
                <w:kern w:val="44"/>
                <w:sz w:val="24"/>
                <w:szCs w:val="24"/>
                <w:u w:val="single"/>
                <w:lang w:val="zh-CN"/>
              </w:rPr>
              <w:t>年生态环境状况公报的环境空气监测数据，洛阳市区域PM</w:t>
            </w:r>
            <w:r>
              <w:rPr>
                <w:rFonts w:hint="eastAsia" w:ascii="Times New Roman" w:hAnsi="Times New Roman"/>
                <w:b/>
                <w:bCs w:val="0"/>
                <w:color w:val="000000"/>
                <w:kern w:val="44"/>
                <w:sz w:val="24"/>
                <w:szCs w:val="24"/>
                <w:u w:val="single"/>
                <w:vertAlign w:val="subscript"/>
                <w:lang w:val="zh-CN"/>
              </w:rPr>
              <w:t>2.5</w:t>
            </w:r>
            <w:r>
              <w:rPr>
                <w:rFonts w:hint="eastAsia" w:ascii="Times New Roman" w:hAnsi="Times New Roman"/>
                <w:b/>
                <w:bCs w:val="0"/>
                <w:color w:val="000000"/>
                <w:kern w:val="44"/>
                <w:sz w:val="24"/>
                <w:szCs w:val="24"/>
                <w:u w:val="single"/>
                <w:lang w:val="zh-CN"/>
              </w:rPr>
              <w:t>、PM</w:t>
            </w:r>
            <w:r>
              <w:rPr>
                <w:rFonts w:hint="eastAsia" w:ascii="Times New Roman" w:hAnsi="Times New Roman"/>
                <w:b/>
                <w:bCs w:val="0"/>
                <w:color w:val="000000"/>
                <w:kern w:val="44"/>
                <w:sz w:val="24"/>
                <w:szCs w:val="24"/>
                <w:u w:val="single"/>
                <w:vertAlign w:val="subscript"/>
                <w:lang w:val="zh-CN"/>
              </w:rPr>
              <w:t>10</w:t>
            </w:r>
            <w:r>
              <w:rPr>
                <w:rFonts w:hint="eastAsia" w:ascii="Times New Roman" w:hAnsi="Times New Roman"/>
                <w:b/>
                <w:bCs w:val="0"/>
                <w:color w:val="000000"/>
                <w:kern w:val="44"/>
                <w:sz w:val="24"/>
                <w:szCs w:val="24"/>
                <w:u w:val="single"/>
                <w:lang w:val="zh-CN"/>
              </w:rPr>
              <w:t>年均浓度和O</w:t>
            </w:r>
            <w:r>
              <w:rPr>
                <w:rFonts w:hint="eastAsia" w:ascii="Times New Roman" w:hAnsi="Times New Roman"/>
                <w:b/>
                <w:bCs w:val="0"/>
                <w:color w:val="000000"/>
                <w:kern w:val="44"/>
                <w:sz w:val="24"/>
                <w:szCs w:val="24"/>
                <w:u w:val="single"/>
                <w:vertAlign w:val="subscript"/>
                <w:lang w:val="zh-CN"/>
              </w:rPr>
              <w:t>3</w:t>
            </w:r>
            <w:r>
              <w:rPr>
                <w:rFonts w:hint="eastAsia" w:ascii="Times New Roman" w:hAnsi="Times New Roman"/>
                <w:b/>
                <w:bCs w:val="0"/>
                <w:color w:val="000000"/>
                <w:kern w:val="44"/>
                <w:sz w:val="24"/>
                <w:szCs w:val="24"/>
                <w:u w:val="single"/>
                <w:lang w:val="zh-CN"/>
              </w:rPr>
              <w:t>日最大8h平均质量浓度不能满足《环境空气质量标准》（GB3095-2012）二级标准浓度限值要求，因此202</w:t>
            </w:r>
            <w:r>
              <w:rPr>
                <w:rFonts w:hint="eastAsia" w:ascii="Times New Roman" w:hAnsi="Times New Roman"/>
                <w:b/>
                <w:bCs w:val="0"/>
                <w:color w:val="000000"/>
                <w:kern w:val="44"/>
                <w:sz w:val="24"/>
                <w:szCs w:val="24"/>
                <w:u w:val="single"/>
              </w:rPr>
              <w:t>2</w:t>
            </w:r>
            <w:r>
              <w:rPr>
                <w:rFonts w:hint="eastAsia" w:ascii="Times New Roman" w:hAnsi="Times New Roman"/>
                <w:b/>
                <w:bCs w:val="0"/>
                <w:color w:val="000000"/>
                <w:kern w:val="44"/>
                <w:sz w:val="24"/>
                <w:szCs w:val="24"/>
                <w:u w:val="single"/>
                <w:lang w:val="zh-CN"/>
              </w:rPr>
              <w:t>年度洛阳市属于不达标区。</w:t>
            </w:r>
            <w:r>
              <w:rPr>
                <w:rFonts w:ascii="Times New Roman" w:hAnsi="Times New Roman"/>
                <w:b/>
                <w:bCs w:val="0"/>
                <w:color w:val="000000"/>
                <w:kern w:val="44"/>
                <w:sz w:val="24"/>
                <w:szCs w:val="24"/>
                <w:u w:val="single"/>
              </w:rPr>
              <w:t>针对区域大气环境质量现状超标的情况，</w:t>
            </w:r>
            <w:r>
              <w:rPr>
                <w:rFonts w:hint="eastAsia" w:ascii="Times New Roman" w:hAnsi="Times New Roman"/>
                <w:b/>
                <w:bCs w:val="0"/>
                <w:color w:val="000000"/>
                <w:kern w:val="44"/>
                <w:sz w:val="24"/>
                <w:szCs w:val="24"/>
                <w:u w:val="single"/>
              </w:rPr>
              <w:t>出台</w:t>
            </w:r>
            <w:r>
              <w:rPr>
                <w:rFonts w:hint="eastAsia" w:ascii="Times New Roman"/>
                <w:b/>
                <w:bCs w:val="0"/>
                <w:color w:val="000000"/>
                <w:sz w:val="24"/>
                <w:szCs w:val="24"/>
                <w:u w:val="single"/>
                <w:lang w:val="zh-CN"/>
              </w:rPr>
              <w:t>《洛阳市生态环境保护委员会办公室关于印发洛阳市2023年蓝天、碧水、净土保卫战实施方案的通知》（洛环委办〔2023〕24 号）等一系列措施，将不断改善区域大气环境质量。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kern w:val="44"/>
                <w:sz w:val="24"/>
                <w:szCs w:val="24"/>
              </w:rPr>
            </w:pPr>
            <w:r>
              <w:rPr>
                <w:rFonts w:ascii="Times New Roman" w:hAnsi="Times New Roman"/>
                <w:kern w:val="44"/>
                <w:sz w:val="24"/>
                <w:szCs w:val="24"/>
              </w:rPr>
              <w:t>本项目生产过程使用清洁能源</w:t>
            </w:r>
            <w:r>
              <w:rPr>
                <w:rFonts w:hint="eastAsia" w:ascii="Times New Roman" w:hAnsi="Times New Roman"/>
                <w:kern w:val="44"/>
                <w:sz w:val="24"/>
                <w:szCs w:val="24"/>
              </w:rPr>
              <w:t>液化石油气</w:t>
            </w:r>
            <w:r>
              <w:rPr>
                <w:rFonts w:ascii="Times New Roman" w:hAnsi="Times New Roman"/>
                <w:kern w:val="44"/>
                <w:sz w:val="24"/>
                <w:szCs w:val="24"/>
              </w:rPr>
              <w:t>为烘干</w:t>
            </w:r>
            <w:r>
              <w:rPr>
                <w:rFonts w:hint="eastAsia" w:ascii="Times New Roman" w:hAnsi="Times New Roman"/>
                <w:kern w:val="44"/>
                <w:sz w:val="24"/>
                <w:szCs w:val="24"/>
              </w:rPr>
              <w:t>固化</w:t>
            </w:r>
            <w:r>
              <w:rPr>
                <w:rFonts w:ascii="Times New Roman" w:hAnsi="Times New Roman"/>
                <w:kern w:val="44"/>
                <w:sz w:val="24"/>
                <w:szCs w:val="24"/>
              </w:rPr>
              <w:t>道供热，固化过程产生的</w:t>
            </w:r>
            <w:r>
              <w:rPr>
                <w:rFonts w:hint="eastAsia" w:ascii="Times New Roman" w:hAnsi="Times New Roman"/>
                <w:kern w:val="44"/>
                <w:sz w:val="24"/>
                <w:szCs w:val="24"/>
              </w:rPr>
              <w:t>有机</w:t>
            </w:r>
            <w:r>
              <w:rPr>
                <w:rFonts w:ascii="Times New Roman" w:hAnsi="Times New Roman"/>
                <w:kern w:val="44"/>
                <w:sz w:val="24"/>
                <w:szCs w:val="24"/>
              </w:rPr>
              <w:t>废气经</w:t>
            </w:r>
            <w:r>
              <w:rPr>
                <w:rFonts w:hint="eastAsia" w:ascii="Times New Roman" w:hAnsi="Times New Roman"/>
                <w:kern w:val="44"/>
                <w:sz w:val="24"/>
                <w:szCs w:val="24"/>
              </w:rPr>
              <w:t>“光氧催化</w:t>
            </w:r>
            <w:r>
              <w:rPr>
                <w:rFonts w:ascii="Times New Roman" w:hAnsi="Times New Roman"/>
                <w:kern w:val="44"/>
                <w:sz w:val="24"/>
                <w:szCs w:val="24"/>
              </w:rPr>
              <w:t>+活性炭吸附装置</w:t>
            </w:r>
            <w:r>
              <w:rPr>
                <w:rFonts w:hint="eastAsia" w:ascii="Times New Roman" w:hAnsi="Times New Roman"/>
                <w:kern w:val="44"/>
                <w:sz w:val="24"/>
                <w:szCs w:val="24"/>
              </w:rPr>
              <w:t>”</w:t>
            </w:r>
            <w:r>
              <w:rPr>
                <w:rFonts w:ascii="Times New Roman" w:hAnsi="Times New Roman"/>
                <w:kern w:val="44"/>
                <w:sz w:val="24"/>
                <w:szCs w:val="24"/>
              </w:rPr>
              <w:t>处理</w:t>
            </w:r>
            <w:r>
              <w:rPr>
                <w:rFonts w:ascii="Times New Roman" w:hAnsi="Times New Roman"/>
                <w:bCs/>
                <w:sz w:val="24"/>
                <w:szCs w:val="24"/>
              </w:rPr>
              <w:t>后</w:t>
            </w:r>
            <w:r>
              <w:rPr>
                <w:rFonts w:hint="eastAsia"/>
                <w:bCs/>
                <w:sz w:val="24"/>
                <w:szCs w:val="24"/>
                <w:lang w:val="en-US" w:eastAsia="zh-CN"/>
              </w:rPr>
              <w:t>由</w:t>
            </w:r>
            <w:r>
              <w:rPr>
                <w:rFonts w:ascii="Times New Roman" w:hAnsi="Times New Roman"/>
                <w:sz w:val="24"/>
                <w:szCs w:val="24"/>
              </w:rPr>
              <w:t>15m高排气筒排放，本项目喷粉间产生的颗粒物经旋风+滤筒二级除尘设施处理后</w:t>
            </w:r>
            <w:r>
              <w:rPr>
                <w:rFonts w:hint="eastAsia"/>
                <w:bCs/>
                <w:sz w:val="24"/>
                <w:szCs w:val="24"/>
                <w:lang w:val="en-US" w:eastAsia="zh-CN"/>
              </w:rPr>
              <w:t>由</w:t>
            </w:r>
            <w:r>
              <w:rPr>
                <w:rFonts w:ascii="Times New Roman" w:hAnsi="Times New Roman"/>
                <w:bCs/>
                <w:sz w:val="24"/>
                <w:szCs w:val="24"/>
              </w:rPr>
              <w:t>15m排气筒排放；</w:t>
            </w:r>
            <w:r>
              <w:rPr>
                <w:rFonts w:ascii="Times New Roman" w:hAnsi="Times New Roman"/>
                <w:bCs/>
                <w:sz w:val="24"/>
                <w:szCs w:val="24"/>
                <w:highlight w:val="none"/>
              </w:rPr>
              <w:t>本项目激光切割</w:t>
            </w:r>
            <w:r>
              <w:rPr>
                <w:rFonts w:hint="eastAsia"/>
                <w:bCs/>
                <w:sz w:val="24"/>
                <w:szCs w:val="24"/>
                <w:highlight w:val="none"/>
                <w:lang w:eastAsia="zh-CN"/>
              </w:rPr>
              <w:t>、</w:t>
            </w:r>
            <w:r>
              <w:rPr>
                <w:rFonts w:ascii="Times New Roman" w:hAnsi="Times New Roman"/>
                <w:bCs/>
                <w:sz w:val="24"/>
                <w:szCs w:val="24"/>
                <w:highlight w:val="none"/>
              </w:rPr>
              <w:t>焊接</w:t>
            </w:r>
            <w:r>
              <w:rPr>
                <w:rFonts w:hint="eastAsia" w:ascii="Times New Roman" w:hAnsi="Times New Roman"/>
                <w:bCs/>
                <w:sz w:val="24"/>
                <w:szCs w:val="24"/>
                <w:highlight w:val="none"/>
              </w:rPr>
              <w:t>、</w:t>
            </w:r>
            <w:r>
              <w:rPr>
                <w:rFonts w:hint="eastAsia"/>
                <w:bCs/>
                <w:sz w:val="24"/>
                <w:szCs w:val="24"/>
                <w:highlight w:val="none"/>
                <w:lang w:val="en-US" w:eastAsia="zh-CN"/>
              </w:rPr>
              <w:t>打磨</w:t>
            </w:r>
            <w:r>
              <w:rPr>
                <w:rFonts w:ascii="Times New Roman" w:hAnsi="Times New Roman"/>
                <w:bCs/>
                <w:sz w:val="24"/>
                <w:szCs w:val="24"/>
                <w:highlight w:val="none"/>
              </w:rPr>
              <w:t>过程产生的颗粒物经配套除尘器处理</w:t>
            </w:r>
            <w:r>
              <w:rPr>
                <w:rFonts w:ascii="Times New Roman" w:hAnsi="Times New Roman"/>
                <w:bCs/>
                <w:sz w:val="24"/>
                <w:szCs w:val="24"/>
              </w:rPr>
              <w:t>后</w:t>
            </w:r>
            <w:r>
              <w:rPr>
                <w:rFonts w:hint="eastAsia"/>
                <w:bCs/>
                <w:sz w:val="24"/>
                <w:szCs w:val="24"/>
                <w:lang w:val="en-US" w:eastAsia="zh-CN"/>
              </w:rPr>
              <w:t>由</w:t>
            </w:r>
            <w:r>
              <w:rPr>
                <w:rFonts w:ascii="Times New Roman" w:hAnsi="Times New Roman"/>
                <w:bCs/>
                <w:sz w:val="24"/>
                <w:szCs w:val="24"/>
              </w:rPr>
              <w:t>15m排气筒排放；</w:t>
            </w:r>
            <w:r>
              <w:rPr>
                <w:rFonts w:ascii="Times New Roman" w:hAnsi="Times New Roman"/>
                <w:kern w:val="0"/>
                <w:sz w:val="24"/>
                <w:szCs w:val="24"/>
                <w:u w:val="none"/>
              </w:rPr>
              <w:t>本项目</w:t>
            </w:r>
            <w:r>
              <w:rPr>
                <w:rFonts w:ascii="Times New Roman" w:hAnsi="Times New Roman"/>
                <w:sz w:val="24"/>
                <w:szCs w:val="24"/>
                <w:u w:val="none"/>
              </w:rPr>
              <w:t>职工的生活污水由化粪池收集处理后</w:t>
            </w:r>
            <w:r>
              <w:rPr>
                <w:rFonts w:hint="eastAsia"/>
                <w:sz w:val="24"/>
                <w:szCs w:val="24"/>
                <w:u w:val="none"/>
                <w:lang w:val="en-US" w:eastAsia="zh-CN"/>
              </w:rPr>
              <w:t>定期清掏肥田</w:t>
            </w:r>
            <w:r>
              <w:rPr>
                <w:rFonts w:hint="eastAsia" w:ascii="Times New Roman" w:hAnsi="Times New Roman"/>
                <w:sz w:val="24"/>
                <w:szCs w:val="24"/>
                <w:u w:val="none"/>
              </w:rPr>
              <w:t>，</w:t>
            </w:r>
            <w:r>
              <w:rPr>
                <w:rFonts w:hint="eastAsia"/>
                <w:sz w:val="24"/>
                <w:szCs w:val="24"/>
                <w:u w:val="none"/>
                <w:lang w:val="en-US" w:eastAsia="zh-CN"/>
              </w:rPr>
              <w:t>无生产废水。</w:t>
            </w:r>
            <w:r>
              <w:rPr>
                <w:rFonts w:ascii="Times New Roman" w:hAnsi="Times New Roman"/>
                <w:kern w:val="44"/>
                <w:sz w:val="24"/>
                <w:szCs w:val="24"/>
              </w:rPr>
              <w:t>本项目一般固废</w:t>
            </w:r>
            <w:r>
              <w:rPr>
                <w:rFonts w:hint="eastAsia"/>
                <w:kern w:val="44"/>
                <w:sz w:val="24"/>
                <w:szCs w:val="24"/>
                <w:lang w:val="en-US" w:eastAsia="zh-CN"/>
              </w:rPr>
              <w:t>合理</w:t>
            </w:r>
            <w:r>
              <w:rPr>
                <w:rFonts w:ascii="Times New Roman" w:hAnsi="Times New Roman"/>
                <w:kern w:val="44"/>
                <w:sz w:val="24"/>
                <w:szCs w:val="24"/>
              </w:rPr>
              <w:t>处理，危险废物</w:t>
            </w:r>
            <w:r>
              <w:rPr>
                <w:rFonts w:hint="eastAsia"/>
                <w:kern w:val="44"/>
                <w:sz w:val="24"/>
                <w:szCs w:val="24"/>
                <w:lang w:val="en-US" w:eastAsia="zh-CN"/>
              </w:rPr>
              <w:t>危废间暂存后</w:t>
            </w:r>
            <w:r>
              <w:rPr>
                <w:rFonts w:ascii="Times New Roman" w:hAnsi="Times New Roman"/>
                <w:kern w:val="44"/>
                <w:sz w:val="24"/>
                <w:szCs w:val="24"/>
              </w:rPr>
              <w:t>由有资质单位处置。</w:t>
            </w:r>
          </w:p>
          <w:p>
            <w:pPr>
              <w:spacing w:line="360" w:lineRule="auto"/>
              <w:ind w:firstLine="360" w:firstLineChars="150"/>
              <w:rPr>
                <w:rFonts w:ascii="Times New Roman" w:hAnsi="Times New Roman"/>
                <w:kern w:val="44"/>
                <w:sz w:val="24"/>
                <w:szCs w:val="24"/>
                <w:highlight w:val="none"/>
              </w:rPr>
            </w:pPr>
            <w:r>
              <w:rPr>
                <w:rFonts w:ascii="Times New Roman" w:hAnsi="Times New Roman"/>
                <w:kern w:val="44"/>
                <w:sz w:val="24"/>
                <w:szCs w:val="24"/>
                <w:highlight w:val="none"/>
              </w:rPr>
              <w:t>本项</w:t>
            </w:r>
            <w:r>
              <w:rPr>
                <w:rFonts w:ascii="Times New Roman" w:hAnsi="Times New Roman"/>
                <w:color w:val="000000"/>
                <w:kern w:val="44"/>
                <w:sz w:val="24"/>
                <w:szCs w:val="24"/>
                <w:highlight w:val="none"/>
              </w:rPr>
              <w:t>目</w:t>
            </w:r>
            <w:r>
              <w:rPr>
                <w:rFonts w:hint="eastAsia" w:ascii="Times New Roman" w:hAnsi="Times New Roman"/>
                <w:color w:val="000000"/>
                <w:kern w:val="44"/>
                <w:sz w:val="24"/>
                <w:szCs w:val="24"/>
                <w:highlight w:val="none"/>
              </w:rPr>
              <w:t>完成后新增</w:t>
            </w:r>
            <w:r>
              <w:rPr>
                <w:rFonts w:hint="eastAsia"/>
                <w:color w:val="000000"/>
                <w:kern w:val="44"/>
                <w:sz w:val="24"/>
                <w:szCs w:val="24"/>
                <w:highlight w:val="none"/>
                <w:lang w:val="en-US" w:eastAsia="zh-CN"/>
              </w:rPr>
              <w:t>非甲烷总烃</w:t>
            </w:r>
            <w:r>
              <w:rPr>
                <w:rFonts w:hint="eastAsia" w:ascii="Times New Roman" w:hAnsi="Times New Roman"/>
                <w:color w:val="000000"/>
                <w:kern w:val="44"/>
                <w:sz w:val="24"/>
                <w:szCs w:val="24"/>
                <w:highlight w:val="none"/>
              </w:rPr>
              <w:t>排放量实行区域内</w:t>
            </w:r>
            <w:r>
              <w:rPr>
                <w:rFonts w:hint="eastAsia"/>
                <w:color w:val="000000"/>
                <w:kern w:val="44"/>
                <w:sz w:val="24"/>
                <w:szCs w:val="24"/>
                <w:highlight w:val="none"/>
                <w:lang w:val="en-US" w:eastAsia="zh-CN"/>
              </w:rPr>
              <w:t>等</w:t>
            </w:r>
            <w:r>
              <w:rPr>
                <w:rFonts w:hint="eastAsia" w:ascii="Times New Roman" w:hAnsi="Times New Roman"/>
                <w:color w:val="000000"/>
                <w:kern w:val="44"/>
                <w:sz w:val="24"/>
                <w:szCs w:val="24"/>
                <w:highlight w:val="none"/>
              </w:rPr>
              <w:t>量替代，</w:t>
            </w:r>
            <w:r>
              <w:rPr>
                <w:rFonts w:ascii="Times New Roman"/>
                <w:color w:val="000000"/>
                <w:sz w:val="24"/>
                <w:szCs w:val="24"/>
                <w:highlight w:val="none"/>
              </w:rPr>
              <w:t>其替</w:t>
            </w:r>
            <w:r>
              <w:rPr>
                <w:rFonts w:ascii="Times New Roman"/>
                <w:sz w:val="24"/>
                <w:szCs w:val="24"/>
                <w:highlight w:val="none"/>
              </w:rPr>
              <w:t>代来源为</w:t>
            </w:r>
            <w:r>
              <w:rPr>
                <w:rFonts w:hint="eastAsia" w:ascii="Times New Roman"/>
                <w:sz w:val="24"/>
                <w:szCs w:val="24"/>
                <w:highlight w:val="none"/>
              </w:rPr>
              <w:t>偃师区202</w:t>
            </w:r>
            <w:r>
              <w:rPr>
                <w:rFonts w:hint="eastAsia"/>
                <w:sz w:val="24"/>
                <w:szCs w:val="24"/>
                <w:highlight w:val="none"/>
                <w:lang w:val="en-US" w:eastAsia="zh-CN"/>
              </w:rPr>
              <w:t>2</w:t>
            </w:r>
            <w:r>
              <w:rPr>
                <w:rFonts w:hint="eastAsia" w:ascii="Times New Roman"/>
                <w:sz w:val="24"/>
                <w:szCs w:val="24"/>
                <w:highlight w:val="none"/>
              </w:rPr>
              <w:t>年减排档案中的VOCs减排量</w:t>
            </w:r>
            <w:r>
              <w:rPr>
                <w:rFonts w:ascii="Times New Roman"/>
                <w:sz w:val="24"/>
                <w:szCs w:val="24"/>
                <w:highlight w:val="none"/>
              </w:rPr>
              <w:t>。</w:t>
            </w:r>
            <w:r>
              <w:rPr>
                <w:rFonts w:hint="eastAsia" w:ascii="Times New Roman" w:hAnsi="Times New Roman"/>
                <w:kern w:val="44"/>
                <w:sz w:val="24"/>
                <w:szCs w:val="24"/>
                <w:highlight w:val="none"/>
              </w:rPr>
              <w:t>项目的</w:t>
            </w:r>
            <w:r>
              <w:rPr>
                <w:rFonts w:ascii="Times New Roman" w:hAnsi="Times New Roman"/>
                <w:kern w:val="44"/>
                <w:sz w:val="24"/>
                <w:szCs w:val="24"/>
                <w:highlight w:val="none"/>
              </w:rPr>
              <w:t>建设</w:t>
            </w:r>
            <w:r>
              <w:rPr>
                <w:rFonts w:hint="eastAsia" w:ascii="Times New Roman" w:hAnsi="Times New Roman"/>
                <w:kern w:val="44"/>
                <w:sz w:val="24"/>
                <w:szCs w:val="24"/>
                <w:highlight w:val="none"/>
              </w:rPr>
              <w:t>未</w:t>
            </w:r>
            <w:r>
              <w:rPr>
                <w:rFonts w:ascii="Times New Roman" w:hAnsi="Times New Roman"/>
                <w:kern w:val="44"/>
                <w:sz w:val="24"/>
                <w:szCs w:val="24"/>
                <w:highlight w:val="none"/>
              </w:rPr>
              <w:t>增加对区域环境的压力，符合区域环境质量控制要求。</w:t>
            </w:r>
          </w:p>
          <w:p>
            <w:pPr>
              <w:spacing w:line="360" w:lineRule="auto"/>
              <w:contextualSpacing/>
              <w:rPr>
                <w:rFonts w:ascii="Times New Roman" w:hAnsi="Times New Roman"/>
                <w:kern w:val="44"/>
                <w:sz w:val="24"/>
                <w:szCs w:val="24"/>
              </w:rPr>
            </w:pPr>
            <w:r>
              <w:rPr>
                <w:rFonts w:ascii="Times New Roman" w:hAnsi="Times New Roman"/>
                <w:kern w:val="44"/>
                <w:sz w:val="24"/>
                <w:szCs w:val="24"/>
              </w:rPr>
              <w:t>3）资源利用上线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kern w:val="44"/>
                <w:sz w:val="24"/>
                <w:szCs w:val="24"/>
              </w:rPr>
            </w:pPr>
            <w:r>
              <w:rPr>
                <w:rFonts w:hint="eastAsia" w:ascii="Times New Roman" w:hAnsi="Times New Roman"/>
                <w:kern w:val="44"/>
                <w:sz w:val="24"/>
                <w:szCs w:val="24"/>
              </w:rPr>
              <w:t>本项目使用电能及罐装液化石油气，厂区不涉及煤等燃料使用，生活污水经化粪池收集处理后肥田，无生产废水排放。因此项目建设符合资源利用上线要求。</w:t>
            </w:r>
          </w:p>
          <w:p>
            <w:pPr>
              <w:spacing w:line="360" w:lineRule="auto"/>
              <w:contextualSpacing/>
              <w:rPr>
                <w:rFonts w:ascii="Times New Roman" w:hAnsi="Times New Roman"/>
                <w:kern w:val="44"/>
                <w:sz w:val="24"/>
                <w:szCs w:val="24"/>
              </w:rPr>
            </w:pPr>
            <w:r>
              <w:rPr>
                <w:rFonts w:ascii="Times New Roman" w:hAnsi="Times New Roman"/>
                <w:kern w:val="44"/>
                <w:sz w:val="24"/>
                <w:szCs w:val="24"/>
              </w:rPr>
              <w:t>4）环境准入负面清单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kern w:val="44"/>
                <w:sz w:val="21"/>
                <w:szCs w:val="21"/>
                <w:u w:val="none"/>
              </w:rPr>
            </w:pPr>
            <w:r>
              <w:rPr>
                <w:rFonts w:ascii="Times New Roman"/>
                <w:kern w:val="44"/>
                <w:sz w:val="24"/>
                <w:szCs w:val="24"/>
                <w:u w:val="none"/>
              </w:rPr>
              <w:t>本项目位于偃师区</w:t>
            </w:r>
            <w:r>
              <w:rPr>
                <w:rFonts w:hint="eastAsia" w:ascii="Times New Roman"/>
                <w:kern w:val="44"/>
                <w:sz w:val="24"/>
                <w:szCs w:val="24"/>
                <w:u w:val="none"/>
              </w:rPr>
              <w:t>大口镇</w:t>
            </w:r>
            <w:r>
              <w:rPr>
                <w:rFonts w:ascii="Times New Roman"/>
                <w:kern w:val="44"/>
                <w:sz w:val="24"/>
                <w:szCs w:val="24"/>
                <w:u w:val="none"/>
              </w:rPr>
              <w:t>，根据</w:t>
            </w:r>
            <w:r>
              <w:rPr>
                <w:rFonts w:hint="eastAsia" w:ascii="Times New Roman"/>
                <w:kern w:val="44"/>
                <w:sz w:val="24"/>
                <w:szCs w:val="24"/>
                <w:u w:val="none"/>
              </w:rPr>
              <w:t>《洛阳市“三线一单”生态环境准入清单》洛市环〔</w:t>
            </w:r>
            <w:r>
              <w:rPr>
                <w:rFonts w:ascii="Times New Roman"/>
                <w:kern w:val="44"/>
                <w:sz w:val="24"/>
                <w:szCs w:val="24"/>
                <w:u w:val="none"/>
              </w:rPr>
              <w:t>2021</w:t>
            </w:r>
            <w:r>
              <w:rPr>
                <w:rFonts w:hint="eastAsia" w:ascii="Times New Roman"/>
                <w:kern w:val="44"/>
                <w:sz w:val="24"/>
                <w:szCs w:val="24"/>
                <w:u w:val="none"/>
              </w:rPr>
              <w:t>〕</w:t>
            </w:r>
            <w:r>
              <w:rPr>
                <w:rFonts w:ascii="Times New Roman"/>
                <w:kern w:val="44"/>
                <w:sz w:val="24"/>
                <w:szCs w:val="24"/>
                <w:u w:val="none"/>
              </w:rPr>
              <w:t>58</w:t>
            </w:r>
            <w:r>
              <w:rPr>
                <w:rFonts w:hint="eastAsia" w:ascii="Times New Roman"/>
                <w:kern w:val="44"/>
                <w:sz w:val="24"/>
                <w:szCs w:val="24"/>
                <w:u w:val="none"/>
              </w:rPr>
              <w:t>号及《洛阳市人民政府关于实施“三线一单”生态环境分区管控的意见》</w:t>
            </w:r>
            <w:r>
              <w:rPr>
                <w:rFonts w:ascii="Times New Roman"/>
                <w:kern w:val="44"/>
                <w:sz w:val="24"/>
                <w:szCs w:val="24"/>
                <w:u w:val="none"/>
              </w:rPr>
              <w:t>洛政〔2021〕7号可知，</w:t>
            </w:r>
            <w:r>
              <w:rPr>
                <w:rFonts w:ascii="Times New Roman" w:hAnsi="Times New Roman"/>
                <w:kern w:val="44"/>
                <w:sz w:val="24"/>
                <w:szCs w:val="24"/>
                <w:u w:val="none"/>
              </w:rPr>
              <w:t>项目所在地属于</w:t>
            </w:r>
            <w:r>
              <w:rPr>
                <w:rFonts w:ascii="Times New Roman"/>
                <w:sz w:val="24"/>
                <w:szCs w:val="24"/>
                <w:u w:val="none"/>
              </w:rPr>
              <w:t>偃师</w:t>
            </w:r>
            <w:r>
              <w:rPr>
                <w:rFonts w:hint="eastAsia"/>
                <w:sz w:val="24"/>
                <w:szCs w:val="24"/>
                <w:u w:val="none"/>
                <w:lang w:val="en-US" w:eastAsia="zh-CN"/>
              </w:rPr>
              <w:t>区</w:t>
            </w:r>
            <w:r>
              <w:rPr>
                <w:rFonts w:ascii="Times New Roman"/>
                <w:sz w:val="24"/>
                <w:szCs w:val="24"/>
                <w:u w:val="none"/>
              </w:rPr>
              <w:t>大气布局敏感区</w:t>
            </w:r>
            <w:r>
              <w:rPr>
                <w:rFonts w:ascii="Times New Roman" w:hAnsi="Times New Roman"/>
                <w:kern w:val="44"/>
                <w:sz w:val="24"/>
                <w:szCs w:val="24"/>
                <w:u w:val="none"/>
              </w:rPr>
              <w:t>，区</w:t>
            </w:r>
            <w:r>
              <w:rPr>
                <w:rFonts w:ascii="Times New Roman"/>
                <w:kern w:val="44"/>
                <w:sz w:val="24"/>
                <w:szCs w:val="24"/>
                <w:u w:val="none"/>
              </w:rPr>
              <w:t>域环境管控单元编号</w:t>
            </w:r>
            <w:r>
              <w:rPr>
                <w:rFonts w:ascii="Times New Roman" w:hAnsi="Times New Roman"/>
                <w:kern w:val="44"/>
                <w:sz w:val="24"/>
                <w:szCs w:val="24"/>
                <w:u w:val="none"/>
              </w:rPr>
              <w:t>为</w:t>
            </w:r>
            <w:r>
              <w:rPr>
                <w:rFonts w:ascii="Times New Roman" w:hAnsi="Times New Roman"/>
                <w:sz w:val="24"/>
                <w:szCs w:val="24"/>
                <w:u w:val="none"/>
              </w:rPr>
              <w:t>ZH41038120004</w:t>
            </w:r>
            <w:r>
              <w:rPr>
                <w:rFonts w:hint="eastAsia" w:ascii="Times New Roman" w:hAnsi="Times New Roman"/>
                <w:sz w:val="24"/>
                <w:szCs w:val="24"/>
                <w:u w:val="none"/>
              </w:rPr>
              <w:t>，</w:t>
            </w:r>
            <w:r>
              <w:rPr>
                <w:rFonts w:ascii="Times New Roman" w:hAnsi="Times New Roman"/>
                <w:kern w:val="44"/>
                <w:sz w:val="24"/>
                <w:szCs w:val="24"/>
                <w:u w:val="none"/>
              </w:rPr>
              <w:t>项</w:t>
            </w:r>
            <w:r>
              <w:rPr>
                <w:rFonts w:ascii="Times New Roman"/>
                <w:kern w:val="44"/>
                <w:sz w:val="24"/>
                <w:szCs w:val="24"/>
                <w:u w:val="none"/>
              </w:rPr>
              <w:t>目与偃师区环境管控单元生态环境准入清单符合性分析如下。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none"/>
              </w:rPr>
              <w:t>表1-2  偃师区环境管控单元生态环境准入清单相符性分析</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654"/>
              <w:gridCol w:w="949"/>
              <w:gridCol w:w="667"/>
              <w:gridCol w:w="2192"/>
              <w:gridCol w:w="2112"/>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60" w:type="pct"/>
                  <w:noWrap w:val="0"/>
                  <w:vAlign w:val="center"/>
                </w:tcPr>
                <w:p>
                  <w:pPr>
                    <w:pStyle w:val="44"/>
                    <w:keepNext w:val="0"/>
                    <w:keepLines w:val="0"/>
                    <w:pageBreakBefore w:val="0"/>
                    <w:widowControl w:val="0"/>
                    <w:kinsoku/>
                    <w:wordWrap/>
                    <w:overflowPunct/>
                    <w:topLinePunct w:val="0"/>
                    <w:autoSpaceDE/>
                    <w:autoSpaceDN/>
                    <w:bidi w:val="0"/>
                    <w:adjustRightInd/>
                    <w:snapToGrid/>
                    <w:spacing w:line="360" w:lineRule="exact"/>
                    <w:ind w:left="0" w:right="0" w:firstLine="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环境管控单元编码</w:t>
                  </w:r>
                </w:p>
              </w:tc>
              <w:tc>
                <w:tcPr>
                  <w:tcW w:w="399" w:type="pct"/>
                  <w:noWrap w:val="0"/>
                  <w:vAlign w:val="center"/>
                </w:tcPr>
                <w:p>
                  <w:pPr>
                    <w:pStyle w:val="44"/>
                    <w:keepNext w:val="0"/>
                    <w:keepLines w:val="0"/>
                    <w:pageBreakBefore w:val="0"/>
                    <w:widowControl w:val="0"/>
                    <w:kinsoku/>
                    <w:wordWrap/>
                    <w:overflowPunct/>
                    <w:topLinePunct w:val="0"/>
                    <w:autoSpaceDE/>
                    <w:autoSpaceDN/>
                    <w:bidi w:val="0"/>
                    <w:adjustRightInd/>
                    <w:snapToGrid/>
                    <w:spacing w:line="360" w:lineRule="exact"/>
                    <w:ind w:left="0" w:right="0" w:firstLine="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管控单元分类</w:t>
                  </w:r>
                </w:p>
              </w:tc>
              <w:tc>
                <w:tcPr>
                  <w:tcW w:w="579" w:type="pct"/>
                  <w:noWrap w:val="0"/>
                  <w:vAlign w:val="center"/>
                </w:tcPr>
                <w:p>
                  <w:pPr>
                    <w:pStyle w:val="44"/>
                    <w:keepNext w:val="0"/>
                    <w:keepLines w:val="0"/>
                    <w:pageBreakBefore w:val="0"/>
                    <w:widowControl w:val="0"/>
                    <w:kinsoku/>
                    <w:wordWrap/>
                    <w:overflowPunct/>
                    <w:topLinePunct w:val="0"/>
                    <w:autoSpaceDE/>
                    <w:autoSpaceDN/>
                    <w:bidi w:val="0"/>
                    <w:adjustRightInd/>
                    <w:snapToGrid/>
                    <w:spacing w:line="360" w:lineRule="exact"/>
                    <w:ind w:left="0" w:right="0" w:firstLine="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管控单元</w:t>
                  </w:r>
                  <w:r>
                    <w:rPr>
                      <w:rFonts w:hint="eastAsia" w:cs="Times New Roman"/>
                      <w:sz w:val="21"/>
                      <w:szCs w:val="21"/>
                      <w:lang w:val="en-US" w:eastAsia="zh-CN"/>
                    </w:rPr>
                    <w:t>名称</w:t>
                  </w:r>
                </w:p>
              </w:tc>
              <w:tc>
                <w:tcPr>
                  <w:tcW w:w="1745" w:type="pct"/>
                  <w:gridSpan w:val="2"/>
                  <w:noWrap w:val="0"/>
                  <w:vAlign w:val="center"/>
                </w:tcPr>
                <w:p>
                  <w:pPr>
                    <w:pStyle w:val="44"/>
                    <w:keepNext w:val="0"/>
                    <w:keepLines w:val="0"/>
                    <w:pageBreakBefore w:val="0"/>
                    <w:widowControl w:val="0"/>
                    <w:kinsoku/>
                    <w:wordWrap/>
                    <w:overflowPunct/>
                    <w:topLinePunct w:val="0"/>
                    <w:autoSpaceDE/>
                    <w:autoSpaceDN/>
                    <w:bidi w:val="0"/>
                    <w:adjustRightInd/>
                    <w:snapToGrid/>
                    <w:spacing w:line="360" w:lineRule="exact"/>
                    <w:ind w:left="0" w:right="0" w:firstLine="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管控要求</w:t>
                  </w:r>
                </w:p>
              </w:tc>
              <w:tc>
                <w:tcPr>
                  <w:tcW w:w="1289" w:type="pct"/>
                  <w:noWrap w:val="0"/>
                  <w:vAlign w:val="center"/>
                </w:tcPr>
                <w:p>
                  <w:pPr>
                    <w:pStyle w:val="44"/>
                    <w:keepNext w:val="0"/>
                    <w:keepLines w:val="0"/>
                    <w:pageBreakBefore w:val="0"/>
                    <w:widowControl w:val="0"/>
                    <w:kinsoku/>
                    <w:wordWrap/>
                    <w:overflowPunct/>
                    <w:topLinePunct w:val="0"/>
                    <w:autoSpaceDE/>
                    <w:autoSpaceDN/>
                    <w:bidi w:val="0"/>
                    <w:adjustRightInd/>
                    <w:snapToGrid/>
                    <w:spacing w:line="360" w:lineRule="exact"/>
                    <w:ind w:left="0" w:right="0" w:firstLine="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本项目</w:t>
                  </w:r>
                </w:p>
              </w:tc>
              <w:tc>
                <w:tcPr>
                  <w:tcW w:w="325" w:type="pct"/>
                  <w:noWrap w:val="0"/>
                  <w:vAlign w:val="center"/>
                </w:tcPr>
                <w:p>
                  <w:pPr>
                    <w:pStyle w:val="44"/>
                    <w:keepNext w:val="0"/>
                    <w:keepLines w:val="0"/>
                    <w:pageBreakBefore w:val="0"/>
                    <w:widowControl w:val="0"/>
                    <w:kinsoku/>
                    <w:wordWrap/>
                    <w:overflowPunct/>
                    <w:topLinePunct w:val="0"/>
                    <w:autoSpaceDE/>
                    <w:autoSpaceDN/>
                    <w:bidi w:val="0"/>
                    <w:adjustRightInd/>
                    <w:snapToGrid/>
                    <w:spacing w:line="360" w:lineRule="exact"/>
                    <w:ind w:left="0" w:right="0" w:firstLine="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60" w:type="pct"/>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ZH410</w:t>
                  </w:r>
                </w:p>
                <w:p>
                  <w:pPr>
                    <w:pStyle w:val="45"/>
                    <w:keepNext w:val="0"/>
                    <w:keepLines w:val="0"/>
                    <w:pageBreakBefore w:val="0"/>
                    <w:widowControl w:val="0"/>
                    <w:kinsoku/>
                    <w:wordWrap/>
                    <w:overflowPunct/>
                    <w:topLinePunct w:val="0"/>
                    <w:autoSpaceDE/>
                    <w:autoSpaceDN/>
                    <w:bidi w:val="0"/>
                    <w:adjustRightInd/>
                    <w:snapToGrid/>
                    <w:spacing w:line="360" w:lineRule="exact"/>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38120004</w:t>
                  </w:r>
                </w:p>
              </w:tc>
              <w:tc>
                <w:tcPr>
                  <w:tcW w:w="399" w:type="pct"/>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重点管控单元</w:t>
                  </w:r>
                </w:p>
              </w:tc>
              <w:tc>
                <w:tcPr>
                  <w:tcW w:w="579" w:type="pct"/>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大气</w:t>
                  </w:r>
                  <w:r>
                    <w:rPr>
                      <w:rFonts w:hint="eastAsia" w:ascii="Times New Roman" w:hAnsi="Times New Roman" w:eastAsia="宋体" w:cs="Times New Roman"/>
                      <w:color w:val="auto"/>
                      <w:sz w:val="21"/>
                      <w:szCs w:val="21"/>
                      <w:lang w:val="en-US" w:eastAsia="zh-CN"/>
                    </w:rPr>
                    <w:t>布局敏感期</w:t>
                  </w:r>
                </w:p>
              </w:tc>
              <w:tc>
                <w:tcPr>
                  <w:tcW w:w="407" w:type="pct"/>
                  <w:noWrap w:val="0"/>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空间</w:t>
                  </w:r>
                </w:p>
                <w:p>
                  <w:pPr>
                    <w:pStyle w:val="45"/>
                    <w:keepNext w:val="0"/>
                    <w:keepLines w:val="0"/>
                    <w:pageBreakBefore w:val="0"/>
                    <w:widowControl w:val="0"/>
                    <w:kinsoku/>
                    <w:wordWrap/>
                    <w:overflowPunct/>
                    <w:topLinePunct w:val="0"/>
                    <w:autoSpaceDE/>
                    <w:autoSpaceDN/>
                    <w:bidi w:val="0"/>
                    <w:adjustRightInd/>
                    <w:snapToGrid/>
                    <w:spacing w:line="360" w:lineRule="exact"/>
                    <w:ind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布局</w:t>
                  </w:r>
                </w:p>
                <w:p>
                  <w:pPr>
                    <w:pStyle w:val="45"/>
                    <w:keepNext w:val="0"/>
                    <w:keepLines w:val="0"/>
                    <w:pageBreakBefore w:val="0"/>
                    <w:widowControl w:val="0"/>
                    <w:kinsoku/>
                    <w:wordWrap/>
                    <w:overflowPunct/>
                    <w:topLinePunct w:val="0"/>
                    <w:autoSpaceDE/>
                    <w:autoSpaceDN/>
                    <w:bidi w:val="0"/>
                    <w:adjustRightInd/>
                    <w:snapToGrid/>
                    <w:spacing w:line="360" w:lineRule="exact"/>
                    <w:ind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约束</w:t>
                  </w:r>
                </w:p>
              </w:tc>
              <w:tc>
                <w:tcPr>
                  <w:tcW w:w="1337" w:type="pct"/>
                  <w:noWrap w:val="0"/>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大口镇区域重点发展培育生态旅游产业，引导耐火材料企业入园入区发展。</w:t>
                  </w:r>
                </w:p>
              </w:tc>
              <w:tc>
                <w:tcPr>
                  <w:tcW w:w="1289" w:type="pct"/>
                  <w:noWrap w:val="0"/>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1、本项目属于</w:t>
                  </w:r>
                  <w:r>
                    <w:rPr>
                      <w:rFonts w:hint="eastAsia" w:ascii="Times New Roman" w:hAnsi="Times New Roman" w:eastAsia="宋体" w:cs="Times New Roman"/>
                      <w:color w:val="auto"/>
                      <w:sz w:val="21"/>
                      <w:szCs w:val="21"/>
                      <w:lang w:val="en-US" w:eastAsia="zh-CN"/>
                    </w:rPr>
                    <w:t>医疗器械</w:t>
                  </w:r>
                  <w:r>
                    <w:rPr>
                      <w:rFonts w:hint="default" w:ascii="Times New Roman" w:hAnsi="Times New Roman" w:eastAsia="宋体" w:cs="Times New Roman"/>
                      <w:color w:val="auto"/>
                      <w:sz w:val="21"/>
                      <w:szCs w:val="21"/>
                    </w:rPr>
                    <w:t>制造行业，位于大口镇工业区内。</w:t>
                  </w:r>
                </w:p>
              </w:tc>
              <w:tc>
                <w:tcPr>
                  <w:tcW w:w="325" w:type="pct"/>
                  <w:noWrap w:val="0"/>
                  <w:vAlign w:val="center"/>
                </w:tcPr>
                <w:p>
                  <w:pPr>
                    <w:pStyle w:val="44"/>
                    <w:keepNext w:val="0"/>
                    <w:keepLines w:val="0"/>
                    <w:pageBreakBefore w:val="0"/>
                    <w:widowControl w:val="0"/>
                    <w:kinsoku/>
                    <w:wordWrap/>
                    <w:overflowPunct/>
                    <w:topLinePunct w:val="0"/>
                    <w:autoSpaceDE/>
                    <w:autoSpaceDN/>
                    <w:bidi w:val="0"/>
                    <w:adjustRightInd/>
                    <w:snapToGrid/>
                    <w:spacing w:line="360" w:lineRule="exact"/>
                    <w:ind w:left="0" w:right="0" w:firstLine="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60" w:type="pct"/>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right="0"/>
                    <w:jc w:val="center"/>
                    <w:rPr>
                      <w:rFonts w:hint="default" w:ascii="Times New Roman" w:hAnsi="Times New Roman" w:eastAsia="宋体" w:cs="Times New Roman"/>
                      <w:color w:val="auto"/>
                      <w:sz w:val="21"/>
                      <w:szCs w:val="21"/>
                    </w:rPr>
                  </w:pPr>
                </w:p>
              </w:tc>
              <w:tc>
                <w:tcPr>
                  <w:tcW w:w="399" w:type="pct"/>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right="0"/>
                    <w:jc w:val="center"/>
                    <w:rPr>
                      <w:rFonts w:hint="default" w:ascii="Times New Roman" w:hAnsi="Times New Roman" w:eastAsia="宋体" w:cs="Times New Roman"/>
                      <w:color w:val="auto"/>
                      <w:sz w:val="21"/>
                      <w:szCs w:val="21"/>
                    </w:rPr>
                  </w:pPr>
                </w:p>
              </w:tc>
              <w:tc>
                <w:tcPr>
                  <w:tcW w:w="579" w:type="pct"/>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right="0"/>
                    <w:jc w:val="center"/>
                    <w:rPr>
                      <w:rFonts w:hint="default" w:ascii="Times New Roman" w:hAnsi="Times New Roman" w:eastAsia="宋体" w:cs="Times New Roman"/>
                      <w:color w:val="auto"/>
                      <w:sz w:val="21"/>
                      <w:szCs w:val="21"/>
                    </w:rPr>
                  </w:pPr>
                </w:p>
              </w:tc>
              <w:tc>
                <w:tcPr>
                  <w:tcW w:w="407" w:type="pct"/>
                  <w:noWrap w:val="0"/>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w:t>
                  </w:r>
                </w:p>
                <w:p>
                  <w:pPr>
                    <w:pStyle w:val="45"/>
                    <w:keepNext w:val="0"/>
                    <w:keepLines w:val="0"/>
                    <w:pageBreakBefore w:val="0"/>
                    <w:widowControl w:val="0"/>
                    <w:kinsoku/>
                    <w:wordWrap/>
                    <w:overflowPunct/>
                    <w:topLinePunct w:val="0"/>
                    <w:autoSpaceDE/>
                    <w:autoSpaceDN/>
                    <w:bidi w:val="0"/>
                    <w:adjustRightInd/>
                    <w:snapToGrid/>
                    <w:spacing w:line="360" w:lineRule="exact"/>
                    <w:ind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物排</w:t>
                  </w:r>
                </w:p>
                <w:p>
                  <w:pPr>
                    <w:pStyle w:val="45"/>
                    <w:keepNext w:val="0"/>
                    <w:keepLines w:val="0"/>
                    <w:pageBreakBefore w:val="0"/>
                    <w:widowControl w:val="0"/>
                    <w:kinsoku/>
                    <w:wordWrap/>
                    <w:overflowPunct/>
                    <w:topLinePunct w:val="0"/>
                    <w:autoSpaceDE/>
                    <w:autoSpaceDN/>
                    <w:bidi w:val="0"/>
                    <w:adjustRightInd/>
                    <w:snapToGrid/>
                    <w:spacing w:line="360" w:lineRule="exact"/>
                    <w:ind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放管</w:t>
                  </w:r>
                </w:p>
                <w:p>
                  <w:pPr>
                    <w:pStyle w:val="45"/>
                    <w:keepNext w:val="0"/>
                    <w:keepLines w:val="0"/>
                    <w:pageBreakBefore w:val="0"/>
                    <w:widowControl w:val="0"/>
                    <w:kinsoku/>
                    <w:wordWrap/>
                    <w:overflowPunct/>
                    <w:topLinePunct w:val="0"/>
                    <w:autoSpaceDE/>
                    <w:autoSpaceDN/>
                    <w:bidi w:val="0"/>
                    <w:adjustRightInd/>
                    <w:snapToGrid/>
                    <w:spacing w:line="360" w:lineRule="exact"/>
                    <w:ind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控</w:t>
                  </w:r>
                </w:p>
              </w:tc>
              <w:tc>
                <w:tcPr>
                  <w:tcW w:w="133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1、严格控制新建、扩建高排放、高污染项目。</w:t>
                  </w:r>
                </w:p>
                <w:p>
                  <w:pPr>
                    <w:keepNext w:val="0"/>
                    <w:keepLines w:val="0"/>
                    <w:pageBreakBefore w:val="0"/>
                    <w:widowControl w:val="0"/>
                    <w:kinsoku/>
                    <w:wordWrap/>
                    <w:overflowPunct/>
                    <w:topLinePunct w:val="0"/>
                    <w:autoSpaceDE/>
                    <w:autoSpaceDN/>
                    <w:bidi w:val="0"/>
                    <w:adjustRightInd/>
                    <w:snapToGrid/>
                    <w:spacing w:line="360" w:lineRule="exact"/>
                    <w:ind w:right="0"/>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2、重点行业二氧化硫、氮氧化物、颗粒物、VOCs全面执行大气污染物特别排放限值。新建涉VOCs排放的工业企要入园区，实行区域内VOCs排放等量或倍量削减替代。</w:t>
                  </w:r>
                </w:p>
                <w:p>
                  <w:pPr>
                    <w:pStyle w:val="45"/>
                    <w:keepNext w:val="0"/>
                    <w:keepLines w:val="0"/>
                    <w:pageBreakBefore w:val="0"/>
                    <w:widowControl w:val="0"/>
                    <w:kinsoku/>
                    <w:wordWrap/>
                    <w:overflowPunct/>
                    <w:topLinePunct w:val="0"/>
                    <w:autoSpaceDE/>
                    <w:autoSpaceDN/>
                    <w:bidi w:val="0"/>
                    <w:adjustRightInd/>
                    <w:snapToGrid/>
                    <w:spacing w:line="360" w:lineRule="exact"/>
                    <w:ind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3生活垃圾发电厂要提高运营管理效率，严格控制各项污染物排放，安装自动监测设备，进行自动在线管控，确保污染物排放达标。</w:t>
                  </w:r>
                </w:p>
              </w:tc>
              <w:tc>
                <w:tcPr>
                  <w:tcW w:w="1289" w:type="pct"/>
                  <w:noWrap w:val="0"/>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1、本项目属于</w:t>
                  </w:r>
                  <w:r>
                    <w:rPr>
                      <w:rFonts w:hint="eastAsia" w:ascii="Times New Roman" w:hAnsi="Times New Roman" w:eastAsia="宋体" w:cs="Times New Roman"/>
                      <w:color w:val="auto"/>
                      <w:sz w:val="21"/>
                      <w:szCs w:val="21"/>
                      <w:lang w:val="en-US" w:eastAsia="zh-CN"/>
                    </w:rPr>
                    <w:t>医疗器械</w:t>
                  </w:r>
                  <w:r>
                    <w:rPr>
                      <w:rFonts w:hint="default" w:ascii="Times New Roman" w:hAnsi="Times New Roman" w:eastAsia="宋体" w:cs="Times New Roman"/>
                      <w:color w:val="auto"/>
                      <w:sz w:val="21"/>
                      <w:szCs w:val="21"/>
                    </w:rPr>
                    <w:t>制造，不属于高污染、高排放项目。</w:t>
                  </w:r>
                </w:p>
                <w:p>
                  <w:pPr>
                    <w:pStyle w:val="45"/>
                    <w:keepNext w:val="0"/>
                    <w:keepLines w:val="0"/>
                    <w:pageBreakBefore w:val="0"/>
                    <w:widowControl w:val="0"/>
                    <w:kinsoku/>
                    <w:wordWrap/>
                    <w:overflowPunct/>
                    <w:topLinePunct w:val="0"/>
                    <w:autoSpaceDE/>
                    <w:autoSpaceDN/>
                    <w:bidi w:val="0"/>
                    <w:adjustRightInd/>
                    <w:snapToGrid/>
                    <w:spacing w:line="360" w:lineRule="exact"/>
                    <w:ind w:right="0"/>
                    <w:rPr>
                      <w:rFonts w:hint="default" w:ascii="Times New Roman" w:hAnsi="Times New Roman" w:eastAsia="宋体" w:cs="Times New Roman"/>
                      <w:snapToGrid/>
                      <w:color w:val="auto"/>
                      <w:sz w:val="21"/>
                      <w:szCs w:val="21"/>
                    </w:rPr>
                  </w:pPr>
                  <w:r>
                    <w:rPr>
                      <w:rFonts w:hint="default" w:ascii="Times New Roman" w:hAnsi="Times New Roman" w:eastAsia="宋体" w:cs="Times New Roman"/>
                      <w:snapToGrid/>
                      <w:color w:val="auto"/>
                      <w:sz w:val="21"/>
                      <w:szCs w:val="21"/>
                    </w:rPr>
                    <w:t>2、本项目位于大口镇工业区内，</w:t>
                  </w:r>
                  <w:r>
                    <w:rPr>
                      <w:rFonts w:hint="default" w:ascii="Times New Roman" w:hAnsi="Times New Roman" w:eastAsia="宋体" w:cs="Times New Roman"/>
                      <w:kern w:val="44"/>
                      <w:sz w:val="21"/>
                      <w:szCs w:val="21"/>
                    </w:rPr>
                    <w:t>新增VOC</w:t>
                  </w:r>
                  <w:r>
                    <w:rPr>
                      <w:rFonts w:hint="default" w:ascii="Times New Roman" w:hAnsi="Times New Roman" w:eastAsia="宋体" w:cs="Times New Roman"/>
                      <w:kern w:val="44"/>
                      <w:sz w:val="21"/>
                      <w:szCs w:val="21"/>
                      <w:vertAlign w:val="subscript"/>
                    </w:rPr>
                    <w:t>S</w:t>
                  </w:r>
                  <w:r>
                    <w:rPr>
                      <w:rFonts w:hint="default" w:ascii="Times New Roman" w:hAnsi="Times New Roman" w:eastAsia="宋体" w:cs="Times New Roman"/>
                      <w:kern w:val="44"/>
                      <w:sz w:val="21"/>
                      <w:szCs w:val="21"/>
                    </w:rPr>
                    <w:t>排放量实行区域内</w:t>
                  </w:r>
                  <w:r>
                    <w:rPr>
                      <w:rFonts w:hint="eastAsia" w:eastAsia="宋体" w:cs="Times New Roman"/>
                      <w:kern w:val="44"/>
                      <w:sz w:val="21"/>
                      <w:szCs w:val="21"/>
                      <w:lang w:val="en-US" w:eastAsia="zh-CN"/>
                    </w:rPr>
                    <w:t>等</w:t>
                  </w:r>
                  <w:r>
                    <w:rPr>
                      <w:rFonts w:hint="default" w:ascii="Times New Roman" w:hAnsi="Times New Roman" w:eastAsia="宋体" w:cs="Times New Roman"/>
                      <w:kern w:val="44"/>
                      <w:sz w:val="21"/>
                      <w:szCs w:val="21"/>
                    </w:rPr>
                    <w:t>量替代，</w:t>
                  </w:r>
                  <w:r>
                    <w:rPr>
                      <w:rFonts w:hint="default" w:ascii="Times New Roman" w:hAnsi="Times New Roman" w:eastAsia="宋体" w:cs="Times New Roman"/>
                      <w:sz w:val="21"/>
                      <w:szCs w:val="21"/>
                    </w:rPr>
                    <w:t>其替代来源为偃师区202</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年减排档案中的VOCs减排量，废气排放满足限值要求。</w:t>
                  </w:r>
                </w:p>
                <w:p>
                  <w:pPr>
                    <w:pStyle w:val="45"/>
                    <w:keepNext w:val="0"/>
                    <w:keepLines w:val="0"/>
                    <w:pageBreakBefore w:val="0"/>
                    <w:widowControl w:val="0"/>
                    <w:kinsoku/>
                    <w:wordWrap/>
                    <w:overflowPunct/>
                    <w:topLinePunct w:val="0"/>
                    <w:autoSpaceDE/>
                    <w:autoSpaceDN/>
                    <w:bidi w:val="0"/>
                    <w:adjustRightInd/>
                    <w:snapToGrid/>
                    <w:spacing w:line="360" w:lineRule="exact"/>
                    <w:ind w:right="0"/>
                    <w:rPr>
                      <w:rFonts w:hint="default" w:ascii="Times New Roman" w:hAnsi="Times New Roman" w:eastAsia="宋体" w:cs="Times New Roman"/>
                      <w:snapToGrid/>
                      <w:color w:val="auto"/>
                      <w:sz w:val="21"/>
                      <w:szCs w:val="21"/>
                    </w:rPr>
                  </w:pPr>
                  <w:r>
                    <w:rPr>
                      <w:rFonts w:hint="default" w:ascii="Times New Roman" w:hAnsi="Times New Roman" w:eastAsia="宋体" w:cs="Times New Roman"/>
                      <w:snapToGrid/>
                      <w:color w:val="auto"/>
                      <w:sz w:val="21"/>
                      <w:szCs w:val="21"/>
                    </w:rPr>
                    <w:t>3、本项目不涉及。</w:t>
                  </w:r>
                </w:p>
              </w:tc>
              <w:tc>
                <w:tcPr>
                  <w:tcW w:w="325" w:type="pct"/>
                  <w:noWrap w:val="0"/>
                  <w:vAlign w:val="center"/>
                </w:tcPr>
                <w:p>
                  <w:pPr>
                    <w:pStyle w:val="44"/>
                    <w:keepNext w:val="0"/>
                    <w:keepLines w:val="0"/>
                    <w:pageBreakBefore w:val="0"/>
                    <w:widowControl w:val="0"/>
                    <w:kinsoku/>
                    <w:wordWrap/>
                    <w:overflowPunct/>
                    <w:topLinePunct w:val="0"/>
                    <w:autoSpaceDE/>
                    <w:autoSpaceDN/>
                    <w:bidi w:val="0"/>
                    <w:adjustRightInd/>
                    <w:snapToGrid/>
                    <w:spacing w:line="360" w:lineRule="exact"/>
                    <w:ind w:left="0" w:right="0" w:firstLine="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相符</w:t>
                  </w:r>
                </w:p>
              </w:tc>
            </w:tr>
          </w:tbl>
          <w:p>
            <w:pPr>
              <w:pStyle w:val="44"/>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baseline"/>
              <w:rPr>
                <w:sz w:val="24"/>
                <w:szCs w:val="24"/>
                <w:lang w:val="en-US" w:eastAsia="zh-CN"/>
              </w:rPr>
            </w:pPr>
            <w:r>
              <w:rPr>
                <w:sz w:val="24"/>
                <w:szCs w:val="24"/>
                <w:lang w:val="en-US" w:eastAsia="zh-CN"/>
              </w:rPr>
              <w:t>由上述分析可知，本项目建设符合</w:t>
            </w:r>
            <w:r>
              <w:rPr>
                <w:rFonts w:hint="eastAsia"/>
                <w:sz w:val="24"/>
                <w:szCs w:val="24"/>
                <w:lang w:val="en-US" w:eastAsia="zh-CN"/>
              </w:rPr>
              <w:t>偃师区环境管控单元生态环境准入清单中管控要求。</w:t>
            </w:r>
          </w:p>
          <w:p>
            <w:pPr>
              <w:pStyle w:val="9"/>
              <w:numPr>
                <w:ilvl w:val="0"/>
                <w:numId w:val="2"/>
              </w:numPr>
              <w:snapToGrid w:val="0"/>
              <w:spacing w:line="360" w:lineRule="auto"/>
              <w:ind w:firstLine="0" w:firstLineChars="0"/>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相关文件</w:t>
            </w:r>
          </w:p>
          <w:p>
            <w:pPr>
              <w:widowControl/>
              <w:spacing w:line="360" w:lineRule="auto"/>
              <w:rPr>
                <w:rFonts w:ascii="Times New Roman" w:hAnsi="Times New Roman"/>
                <w:b/>
                <w:bCs/>
                <w:color w:val="000000"/>
                <w:kern w:val="0"/>
                <w:sz w:val="24"/>
                <w:szCs w:val="24"/>
              </w:rPr>
            </w:pPr>
            <w:r>
              <w:rPr>
                <w:rFonts w:hint="eastAsia"/>
                <w:b/>
                <w:bCs/>
                <w:color w:val="000000" w:themeColor="text1"/>
                <w:sz w:val="24"/>
                <w:szCs w:val="24"/>
                <w:lang w:val="en-US" w:eastAsia="zh-CN"/>
                <w14:textFill>
                  <w14:solidFill>
                    <w14:schemeClr w14:val="tx1"/>
                  </w14:solidFill>
                </w14:textFill>
              </w:rPr>
              <w:t>3.1</w:t>
            </w:r>
            <w:r>
              <w:rPr>
                <w:rFonts w:ascii="Times New Roman"/>
                <w:b/>
                <w:bCs/>
                <w:color w:val="000000"/>
                <w:sz w:val="24"/>
                <w:szCs w:val="24"/>
              </w:rPr>
              <w:t>《洛阳市</w:t>
            </w:r>
            <w:r>
              <w:rPr>
                <w:rFonts w:ascii="Times New Roman" w:hAnsi="Times New Roman"/>
                <w:b/>
                <w:bCs/>
                <w:color w:val="000000"/>
                <w:sz w:val="24"/>
                <w:szCs w:val="24"/>
              </w:rPr>
              <w:t>2019</w:t>
            </w:r>
            <w:r>
              <w:rPr>
                <w:rFonts w:ascii="Times New Roman"/>
                <w:b/>
                <w:bCs/>
                <w:color w:val="000000"/>
                <w:sz w:val="24"/>
                <w:szCs w:val="24"/>
              </w:rPr>
              <w:t>年工业窑炉提标治理专项方案》</w:t>
            </w:r>
            <w:r>
              <w:rPr>
                <w:rFonts w:ascii="Times New Roman"/>
                <w:b/>
                <w:bCs/>
                <w:color w:val="000000"/>
                <w:kern w:val="0"/>
                <w:sz w:val="24"/>
                <w:szCs w:val="24"/>
              </w:rPr>
              <w:t>相符性分析</w:t>
            </w:r>
          </w:p>
          <w:p>
            <w:pPr>
              <w:widowControl/>
              <w:spacing w:line="360" w:lineRule="auto"/>
              <w:ind w:firstLine="480" w:firstLineChars="200"/>
              <w:rPr>
                <w:rFonts w:ascii="Times New Roman" w:hAnsi="Times New Roman"/>
                <w:bCs/>
                <w:color w:val="000000"/>
                <w:sz w:val="24"/>
                <w:szCs w:val="24"/>
              </w:rPr>
            </w:pPr>
            <w:r>
              <w:rPr>
                <w:rFonts w:ascii="Times New Roman"/>
                <w:color w:val="000000"/>
                <w:sz w:val="24"/>
                <w:szCs w:val="24"/>
              </w:rPr>
              <w:t>根据《洛阳市</w:t>
            </w:r>
            <w:r>
              <w:rPr>
                <w:rFonts w:ascii="Times New Roman" w:hAnsi="Times New Roman"/>
                <w:color w:val="000000"/>
                <w:sz w:val="24"/>
                <w:szCs w:val="24"/>
              </w:rPr>
              <w:t>2019</w:t>
            </w:r>
            <w:r>
              <w:rPr>
                <w:rFonts w:ascii="Times New Roman"/>
                <w:color w:val="000000"/>
                <w:sz w:val="24"/>
                <w:szCs w:val="24"/>
              </w:rPr>
              <w:t>年工业窑炉提标治理专项方案》总体要求：</w:t>
            </w:r>
            <w:r>
              <w:rPr>
                <w:rFonts w:hint="eastAsia" w:ascii="Times New Roman"/>
                <w:color w:val="000000"/>
                <w:sz w:val="24"/>
                <w:szCs w:val="24"/>
              </w:rPr>
              <w:t>为</w:t>
            </w:r>
            <w:r>
              <w:rPr>
                <w:rFonts w:ascii="Times New Roman"/>
                <w:color w:val="000000"/>
                <w:sz w:val="24"/>
                <w:szCs w:val="24"/>
              </w:rPr>
              <w:t>深入推进工业窑炉减排，持续改善环境空气质量，按照</w:t>
            </w:r>
            <w:r>
              <w:rPr>
                <w:rFonts w:hint="eastAsia" w:ascii="Times New Roman" w:hAnsi="Times New Roman"/>
                <w:color w:val="000000"/>
                <w:sz w:val="24"/>
                <w:szCs w:val="24"/>
              </w:rPr>
              <w:t>“</w:t>
            </w:r>
            <w:r>
              <w:rPr>
                <w:rFonts w:ascii="Times New Roman"/>
                <w:color w:val="000000"/>
                <w:sz w:val="24"/>
                <w:szCs w:val="24"/>
              </w:rPr>
              <w:t>淘汰一批，替代一批，治理一批</w:t>
            </w:r>
            <w:r>
              <w:rPr>
                <w:rFonts w:hint="eastAsia" w:ascii="Times New Roman" w:hAnsi="Times New Roman"/>
                <w:color w:val="000000"/>
                <w:sz w:val="24"/>
                <w:szCs w:val="24"/>
              </w:rPr>
              <w:t>”</w:t>
            </w:r>
            <w:r>
              <w:rPr>
                <w:rFonts w:ascii="Times New Roman"/>
                <w:color w:val="000000"/>
                <w:sz w:val="24"/>
                <w:szCs w:val="24"/>
              </w:rPr>
              <w:t>的原则，</w:t>
            </w:r>
            <w:r>
              <w:rPr>
                <w:rFonts w:ascii="Times New Roman"/>
                <w:bCs/>
                <w:color w:val="000000"/>
                <w:sz w:val="24"/>
                <w:szCs w:val="24"/>
              </w:rPr>
              <w:t>开展钢铁、有色、电子玻璃、耐材、砖瓦窑等行业工业窑炉实施提标治理，力争达到超低排放水平；持续减少工业企业污染物排放总量，推动工业企业绿色发展转型。</w:t>
            </w:r>
            <w:r>
              <w:rPr>
                <w:rFonts w:ascii="Times New Roman"/>
                <w:color w:val="000000"/>
                <w:sz w:val="24"/>
                <w:szCs w:val="24"/>
              </w:rPr>
              <w:t>本项目与《洛阳市</w:t>
            </w:r>
            <w:r>
              <w:rPr>
                <w:rFonts w:ascii="Times New Roman" w:hAnsi="Times New Roman"/>
                <w:color w:val="000000"/>
                <w:sz w:val="24"/>
                <w:szCs w:val="24"/>
              </w:rPr>
              <w:t>2019</w:t>
            </w:r>
            <w:r>
              <w:rPr>
                <w:rFonts w:ascii="Times New Roman"/>
                <w:color w:val="000000"/>
                <w:sz w:val="24"/>
                <w:szCs w:val="24"/>
              </w:rPr>
              <w:t>年工业窑炉提标治理专项方案》相符性分析见下表。</w:t>
            </w:r>
          </w:p>
          <w:p>
            <w:pPr>
              <w:keepNext w:val="0"/>
              <w:keepLines w:val="0"/>
              <w:pageBreakBefore w:val="0"/>
              <w:widowControl w:val="0"/>
              <w:tabs>
                <w:tab w:val="left" w:pos="1853"/>
              </w:tabs>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表1-3  与《洛阳市2019年工业窑炉提标治理专项方案》相符性</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4544"/>
              <w:gridCol w:w="21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167" w:type="pct"/>
                  <w:gridSpan w:val="2"/>
                  <w:tcBorders>
                    <w:tl2br w:val="nil"/>
                    <w:tr2bl w:val="nil"/>
                  </w:tcBorders>
                  <w:noWrap w:val="0"/>
                  <w:vAlign w:val="center"/>
                </w:tcPr>
                <w:p>
                  <w:pPr>
                    <w:keepNext w:val="0"/>
                    <w:keepLines w:val="0"/>
                    <w:pageBreakBefore w:val="0"/>
                    <w:widowControl w:val="0"/>
                    <w:kinsoku/>
                    <w:wordWrap/>
                    <w:overflowPunct/>
                    <w:topLinePunct w:val="0"/>
                    <w:bidi w:val="0"/>
                    <w:spacing w:line="360" w:lineRule="exact"/>
                    <w:ind w:left="0" w:leftChars="0"/>
                    <w:contextualSpacing/>
                    <w:jc w:val="center"/>
                    <w:textAlignment w:val="auto"/>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文件要求</w:t>
                  </w:r>
                </w:p>
              </w:tc>
              <w:tc>
                <w:tcPr>
                  <w:tcW w:w="1319" w:type="pct"/>
                  <w:tcBorders>
                    <w:tl2br w:val="nil"/>
                    <w:tr2bl w:val="nil"/>
                  </w:tcBorders>
                  <w:noWrap w:val="0"/>
                  <w:vAlign w:val="center"/>
                </w:tcPr>
                <w:p>
                  <w:pPr>
                    <w:keepNext w:val="0"/>
                    <w:keepLines w:val="0"/>
                    <w:pageBreakBefore w:val="0"/>
                    <w:widowControl w:val="0"/>
                    <w:kinsoku/>
                    <w:wordWrap/>
                    <w:overflowPunct/>
                    <w:topLinePunct w:val="0"/>
                    <w:bidi w:val="0"/>
                    <w:spacing w:line="360" w:lineRule="exact"/>
                    <w:ind w:left="0" w:leftChars="0"/>
                    <w:contextualSpacing/>
                    <w:jc w:val="center"/>
                    <w:textAlignment w:val="auto"/>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本项目环评要求</w:t>
                  </w:r>
                </w:p>
              </w:tc>
              <w:tc>
                <w:tcPr>
                  <w:tcW w:w="513" w:type="pct"/>
                  <w:tcBorders>
                    <w:tl2br w:val="nil"/>
                    <w:tr2bl w:val="nil"/>
                  </w:tcBorders>
                  <w:noWrap w:val="0"/>
                  <w:vAlign w:val="center"/>
                </w:tcPr>
                <w:p>
                  <w:pPr>
                    <w:keepNext w:val="0"/>
                    <w:keepLines w:val="0"/>
                    <w:pageBreakBefore w:val="0"/>
                    <w:widowControl w:val="0"/>
                    <w:kinsoku/>
                    <w:wordWrap/>
                    <w:overflowPunct/>
                    <w:topLinePunct w:val="0"/>
                    <w:bidi w:val="0"/>
                    <w:spacing w:line="360" w:lineRule="exact"/>
                    <w:ind w:left="0" w:leftChars="0"/>
                    <w:contextualSpacing/>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napToGrid w:val="0"/>
                      <w:color w:val="000000"/>
                      <w:kern w:val="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92" w:type="pct"/>
                  <w:vMerge w:val="restart"/>
                  <w:tcBorders>
                    <w:tl2br w:val="nil"/>
                    <w:tr2bl w:val="nil"/>
                  </w:tcBorders>
                  <w:noWrap w:val="0"/>
                  <w:vAlign w:val="center"/>
                </w:tcPr>
                <w:p>
                  <w:pPr>
                    <w:keepNext w:val="0"/>
                    <w:keepLines w:val="0"/>
                    <w:pageBreakBefore w:val="0"/>
                    <w:widowControl w:val="0"/>
                    <w:kinsoku/>
                    <w:wordWrap/>
                    <w:overflowPunct/>
                    <w:topLinePunct w:val="0"/>
                    <w:bidi w:val="0"/>
                    <w:spacing w:line="360" w:lineRule="exact"/>
                    <w:ind w:left="0" w:leftChars="0"/>
                    <w:contextualSpacing/>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Cs/>
                      <w:color w:val="000000"/>
                      <w:kern w:val="0"/>
                      <w:sz w:val="21"/>
                      <w:szCs w:val="21"/>
                    </w:rPr>
                    <w:t>《洛阳市2019年工业窑炉提标治理专项方案》</w:t>
                  </w:r>
                </w:p>
              </w:tc>
              <w:tc>
                <w:tcPr>
                  <w:tcW w:w="4607" w:type="pct"/>
                  <w:gridSpan w:val="3"/>
                  <w:tcBorders>
                    <w:tl2br w:val="nil"/>
                    <w:tr2bl w:val="nil"/>
                  </w:tcBorders>
                  <w:noWrap w:val="0"/>
                  <w:vAlign w:val="center"/>
                </w:tcPr>
                <w:p>
                  <w:pPr>
                    <w:keepNext w:val="0"/>
                    <w:keepLines w:val="0"/>
                    <w:pageBreakBefore w:val="0"/>
                    <w:widowControl w:val="0"/>
                    <w:kinsoku/>
                    <w:wordWrap/>
                    <w:overflowPunct/>
                    <w:topLinePunct w:val="0"/>
                    <w:bidi w:val="0"/>
                    <w:spacing w:line="360" w:lineRule="exact"/>
                    <w:ind w:left="0" w:leftChars="0"/>
                    <w:contextualSpacing/>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w:t>
                  </w:r>
                  <w:r>
                    <w:rPr>
                      <w:rFonts w:hint="default" w:ascii="Times New Roman" w:hAnsi="Times New Roman" w:eastAsia="宋体" w:cs="Times New Roman"/>
                      <w:bCs/>
                      <w:color w:val="000000"/>
                      <w:kern w:val="0"/>
                      <w:sz w:val="21"/>
                      <w:szCs w:val="21"/>
                    </w:rPr>
                    <w:t>工业窑炉提标治理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392" w:type="pct"/>
                  <w:vMerge w:val="continue"/>
                  <w:tcBorders>
                    <w:tl2br w:val="nil"/>
                    <w:tr2bl w:val="nil"/>
                  </w:tcBorders>
                  <w:noWrap w:val="0"/>
                  <w:vAlign w:val="center"/>
                </w:tcPr>
                <w:p>
                  <w:pPr>
                    <w:keepNext w:val="0"/>
                    <w:keepLines w:val="0"/>
                    <w:pageBreakBefore w:val="0"/>
                    <w:widowControl w:val="0"/>
                    <w:kinsoku/>
                    <w:wordWrap/>
                    <w:overflowPunct/>
                    <w:topLinePunct w:val="0"/>
                    <w:bidi w:val="0"/>
                    <w:spacing w:line="360" w:lineRule="exact"/>
                    <w:ind w:left="0" w:leftChars="0"/>
                    <w:contextualSpacing/>
                    <w:jc w:val="center"/>
                    <w:textAlignment w:val="auto"/>
                    <w:rPr>
                      <w:rFonts w:hint="default" w:ascii="Times New Roman" w:hAnsi="Times New Roman" w:eastAsia="宋体" w:cs="Times New Roman"/>
                      <w:color w:val="000000"/>
                      <w:kern w:val="0"/>
                      <w:sz w:val="21"/>
                      <w:szCs w:val="21"/>
                    </w:rPr>
                  </w:pPr>
                </w:p>
              </w:tc>
              <w:tc>
                <w:tcPr>
                  <w:tcW w:w="277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Cs/>
                      <w:color w:val="000000"/>
                      <w:kern w:val="0"/>
                      <w:sz w:val="21"/>
                      <w:szCs w:val="21"/>
                    </w:rPr>
                    <w:t>1、淘汰落后工业炉窑。2019年6月底前，全面淘汰列入《产业结构调整指导目录》“淘汰类”的石灰工业土立窑、砖瓦工业轮窑；取缔燃煤热风炉，淘汰有色行业燃煤干燥窑、燃煤反射炉和以煤为燃料的熔铅锅和电铅锅，基本淘汰热电联产供热管网覆盖范围内的燃煤加热、烘干窑炉。</w:t>
                  </w:r>
                </w:p>
              </w:tc>
              <w:tc>
                <w:tcPr>
                  <w:tcW w:w="13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本项目烘干道采用清洁能源液化石油气，不属于《产业结构调整指导目录》“淘汰类”窑炉。</w:t>
                  </w:r>
                </w:p>
              </w:tc>
              <w:tc>
                <w:tcPr>
                  <w:tcW w:w="513" w:type="pct"/>
                  <w:tcBorders>
                    <w:tl2br w:val="nil"/>
                    <w:tr2bl w:val="nil"/>
                  </w:tcBorders>
                  <w:noWrap w:val="0"/>
                  <w:vAlign w:val="center"/>
                </w:tcPr>
                <w:p>
                  <w:pPr>
                    <w:keepNext w:val="0"/>
                    <w:keepLines w:val="0"/>
                    <w:pageBreakBefore w:val="0"/>
                    <w:widowControl w:val="0"/>
                    <w:kinsoku/>
                    <w:wordWrap/>
                    <w:overflowPunct/>
                    <w:topLinePunct w:val="0"/>
                    <w:bidi w:val="0"/>
                    <w:spacing w:line="360" w:lineRule="exact"/>
                    <w:ind w:left="0" w:leftChars="0"/>
                    <w:contextualSpacing/>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napToGrid w:val="0"/>
                      <w:color w:val="000000"/>
                      <w:kern w:val="0"/>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392" w:type="pct"/>
                  <w:vMerge w:val="continue"/>
                  <w:tcBorders>
                    <w:tl2br w:val="nil"/>
                    <w:tr2bl w:val="nil"/>
                  </w:tcBorders>
                  <w:noWrap w:val="0"/>
                  <w:vAlign w:val="center"/>
                </w:tcPr>
                <w:p>
                  <w:pPr>
                    <w:keepNext w:val="0"/>
                    <w:keepLines w:val="0"/>
                    <w:pageBreakBefore w:val="0"/>
                    <w:widowControl w:val="0"/>
                    <w:kinsoku/>
                    <w:wordWrap/>
                    <w:overflowPunct/>
                    <w:topLinePunct w:val="0"/>
                    <w:bidi w:val="0"/>
                    <w:spacing w:line="360" w:lineRule="exact"/>
                    <w:ind w:left="0" w:leftChars="0"/>
                    <w:contextualSpacing/>
                    <w:jc w:val="center"/>
                    <w:textAlignment w:val="auto"/>
                    <w:rPr>
                      <w:rFonts w:hint="default" w:ascii="Times New Roman" w:hAnsi="Times New Roman" w:eastAsia="宋体" w:cs="Times New Roman"/>
                      <w:color w:val="000000"/>
                      <w:kern w:val="0"/>
                      <w:sz w:val="21"/>
                      <w:szCs w:val="21"/>
                    </w:rPr>
                  </w:pPr>
                </w:p>
              </w:tc>
              <w:tc>
                <w:tcPr>
                  <w:tcW w:w="277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2.工业窑炉清洁能源替代。2019年8月底前，对以煤、石油焦、渣油、重油等为燃料的加热炉、热处理炉、干燥窑炉等，通过天然气、电等清洁能源以及利用工厂余热、热电厂供热等方法进行替代。</w:t>
                  </w:r>
                </w:p>
              </w:tc>
              <w:tc>
                <w:tcPr>
                  <w:tcW w:w="13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本项目烘干道采用清洁能源液化石油气，不涉及煤、石油焦、渣油、重油等燃料。</w:t>
                  </w:r>
                </w:p>
              </w:tc>
              <w:tc>
                <w:tcPr>
                  <w:tcW w:w="513" w:type="pct"/>
                  <w:tcBorders>
                    <w:tl2br w:val="nil"/>
                    <w:tr2bl w:val="nil"/>
                  </w:tcBorders>
                  <w:noWrap w:val="0"/>
                  <w:vAlign w:val="center"/>
                </w:tcPr>
                <w:p>
                  <w:pPr>
                    <w:keepNext w:val="0"/>
                    <w:keepLines w:val="0"/>
                    <w:pageBreakBefore w:val="0"/>
                    <w:widowControl w:val="0"/>
                    <w:kinsoku/>
                    <w:wordWrap/>
                    <w:overflowPunct/>
                    <w:topLinePunct w:val="0"/>
                    <w:bidi w:val="0"/>
                    <w:spacing w:line="360" w:lineRule="exact"/>
                    <w:ind w:left="0" w:leftChars="0"/>
                    <w:contextualSpacing/>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napToGrid w:val="0"/>
                      <w:color w:val="000000"/>
                      <w:kern w:val="0"/>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392" w:type="pct"/>
                  <w:vMerge w:val="continue"/>
                  <w:tcBorders>
                    <w:tl2br w:val="nil"/>
                    <w:tr2bl w:val="nil"/>
                  </w:tcBorders>
                  <w:noWrap w:val="0"/>
                  <w:vAlign w:val="center"/>
                </w:tcPr>
                <w:p>
                  <w:pPr>
                    <w:keepNext w:val="0"/>
                    <w:keepLines w:val="0"/>
                    <w:pageBreakBefore w:val="0"/>
                    <w:widowControl w:val="0"/>
                    <w:kinsoku/>
                    <w:wordWrap/>
                    <w:overflowPunct/>
                    <w:topLinePunct w:val="0"/>
                    <w:bidi w:val="0"/>
                    <w:spacing w:line="360" w:lineRule="exact"/>
                    <w:ind w:left="0" w:leftChars="0"/>
                    <w:contextualSpacing/>
                    <w:jc w:val="center"/>
                    <w:textAlignment w:val="auto"/>
                    <w:rPr>
                      <w:rFonts w:hint="default" w:ascii="Times New Roman" w:hAnsi="Times New Roman" w:eastAsia="宋体" w:cs="Times New Roman"/>
                      <w:color w:val="000000"/>
                      <w:kern w:val="0"/>
                      <w:sz w:val="21"/>
                      <w:szCs w:val="21"/>
                    </w:rPr>
                  </w:pPr>
                </w:p>
              </w:tc>
              <w:tc>
                <w:tcPr>
                  <w:tcW w:w="277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3.实施工业炉窑提标治理：其他行业工业窑炉排放要求。目前尚无国家行业排放标准的其他工业炉窑，按照颗粒物、二氧化硫、氮氧化物排放限值分别不高于30、200、300毫克/立方米执行。自2019年10月1日起达不到相关要求的，实施停产整治。对已明确列为转型转产、关闭退出规划的企业，可不再实施深度提标治理。</w:t>
                  </w:r>
                </w:p>
              </w:tc>
              <w:tc>
                <w:tcPr>
                  <w:tcW w:w="13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本项目属于目前尚无国家行业排放标准的其他工业炉窑，本项目液化石油气燃烧废气经烘干道利用后废气排放浓度满足《河南省工业炉窑大气污染物排放标准》(DB41/1066—2020)表1标准。</w:t>
                  </w:r>
                </w:p>
              </w:tc>
              <w:tc>
                <w:tcPr>
                  <w:tcW w:w="513" w:type="pct"/>
                  <w:tcBorders>
                    <w:tl2br w:val="nil"/>
                    <w:tr2bl w:val="nil"/>
                  </w:tcBorders>
                  <w:noWrap w:val="0"/>
                  <w:vAlign w:val="center"/>
                </w:tcPr>
                <w:p>
                  <w:pPr>
                    <w:keepNext w:val="0"/>
                    <w:keepLines w:val="0"/>
                    <w:pageBreakBefore w:val="0"/>
                    <w:widowControl w:val="0"/>
                    <w:kinsoku/>
                    <w:wordWrap/>
                    <w:overflowPunct/>
                    <w:topLinePunct w:val="0"/>
                    <w:bidi w:val="0"/>
                    <w:spacing w:line="360" w:lineRule="exact"/>
                    <w:ind w:left="0" w:leftChars="0"/>
                    <w:contextualSpacing/>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napToGrid w:val="0"/>
                      <w:color w:val="000000"/>
                      <w:kern w:val="0"/>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392" w:type="pct"/>
                  <w:vMerge w:val="continue"/>
                  <w:tcBorders>
                    <w:tl2br w:val="nil"/>
                    <w:tr2bl w:val="nil"/>
                  </w:tcBorders>
                  <w:noWrap w:val="0"/>
                  <w:vAlign w:val="center"/>
                </w:tcPr>
                <w:p>
                  <w:pPr>
                    <w:keepNext w:val="0"/>
                    <w:keepLines w:val="0"/>
                    <w:pageBreakBefore w:val="0"/>
                    <w:widowControl w:val="0"/>
                    <w:kinsoku/>
                    <w:wordWrap/>
                    <w:overflowPunct/>
                    <w:topLinePunct w:val="0"/>
                    <w:bidi w:val="0"/>
                    <w:spacing w:line="360" w:lineRule="exact"/>
                    <w:ind w:left="0" w:leftChars="0"/>
                    <w:contextualSpacing/>
                    <w:jc w:val="center"/>
                    <w:textAlignment w:val="auto"/>
                    <w:rPr>
                      <w:rFonts w:hint="default" w:ascii="Times New Roman" w:hAnsi="Times New Roman" w:eastAsia="宋体" w:cs="Times New Roman"/>
                      <w:color w:val="000000"/>
                      <w:kern w:val="0"/>
                      <w:sz w:val="21"/>
                      <w:szCs w:val="21"/>
                    </w:rPr>
                  </w:pPr>
                </w:p>
              </w:tc>
              <w:tc>
                <w:tcPr>
                  <w:tcW w:w="277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snapToGrid w:val="0"/>
                      <w:color w:val="000000"/>
                      <w:kern w:val="0"/>
                      <w:sz w:val="21"/>
                      <w:szCs w:val="21"/>
                    </w:rPr>
                    <w:t>4.加装在线监控公开排放信息。对我市第二次污染源普查的涉气企业进行全面筛查，2019年9月底前，满足建设标准（含无组织排放治理后，设置集气罩并配备除尘设施的工业企业）的排污单位,实现在线监控“应安尽安”。其中，火电、钢铁、有色金属等持有排污许可证的涉气企业，以及大型耐材、铸造、有色冶炼等企业加装在线监控设施。在企业开放醒目位置建设电子屏幕，向社会实时公开大气污染物排放状况，公示内容要明确执行的行业排放标准名称、排放浓度限值、实际排放值（有基础含氧量的公示折算值），接受社会监督。</w:t>
                  </w:r>
                </w:p>
              </w:tc>
              <w:tc>
                <w:tcPr>
                  <w:tcW w:w="13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本项目为</w:t>
                  </w:r>
                  <w:r>
                    <w:rPr>
                      <w:rFonts w:hint="eastAsia" w:ascii="Times New Roman" w:hAnsi="Times New Roman" w:eastAsia="宋体" w:cs="Times New Roman"/>
                      <w:color w:val="000000"/>
                      <w:sz w:val="21"/>
                      <w:szCs w:val="21"/>
                      <w:highlight w:val="none"/>
                      <w:lang w:val="en-US" w:eastAsia="zh-CN"/>
                    </w:rPr>
                    <w:t>医疗器械</w:t>
                  </w:r>
                  <w:r>
                    <w:rPr>
                      <w:rFonts w:hint="default" w:ascii="Times New Roman" w:hAnsi="Times New Roman" w:eastAsia="宋体" w:cs="Times New Roman"/>
                      <w:color w:val="000000"/>
                      <w:sz w:val="21"/>
                      <w:szCs w:val="21"/>
                      <w:highlight w:val="none"/>
                    </w:rPr>
                    <w:t>制造，</w:t>
                  </w:r>
                  <w:r>
                    <w:rPr>
                      <w:rFonts w:hint="default" w:ascii="Times New Roman" w:hAnsi="Times New Roman" w:eastAsia="宋体" w:cs="Times New Roman"/>
                      <w:color w:val="000000"/>
                      <w:sz w:val="21"/>
                      <w:szCs w:val="21"/>
                    </w:rPr>
                    <w:t>不属于火电、钢铁、有色金属等持有排污许可证的涉气企业，以及大型耐材、铸造、有色冶炼等需加装在线监控设施企业。</w:t>
                  </w:r>
                </w:p>
              </w:tc>
              <w:tc>
                <w:tcPr>
                  <w:tcW w:w="513" w:type="pct"/>
                  <w:tcBorders>
                    <w:tl2br w:val="nil"/>
                    <w:tr2bl w:val="nil"/>
                  </w:tcBorders>
                  <w:noWrap w:val="0"/>
                  <w:vAlign w:val="center"/>
                </w:tcPr>
                <w:p>
                  <w:pPr>
                    <w:keepNext w:val="0"/>
                    <w:keepLines w:val="0"/>
                    <w:pageBreakBefore w:val="0"/>
                    <w:widowControl w:val="0"/>
                    <w:kinsoku/>
                    <w:wordWrap/>
                    <w:overflowPunct/>
                    <w:topLinePunct w:val="0"/>
                    <w:bidi w:val="0"/>
                    <w:spacing w:line="360" w:lineRule="exact"/>
                    <w:ind w:left="0" w:leftChars="0"/>
                    <w:contextualSpacing/>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napToGrid w:val="0"/>
                      <w:color w:val="000000"/>
                      <w:kern w:val="0"/>
                      <w:sz w:val="21"/>
                      <w:szCs w:val="21"/>
                    </w:rPr>
                    <w:t>相符</w:t>
                  </w:r>
                </w:p>
              </w:tc>
            </w:tr>
          </w:tbl>
          <w:p>
            <w:pPr>
              <w:widowControl/>
              <w:spacing w:line="360" w:lineRule="auto"/>
              <w:ind w:firstLine="360" w:firstLineChars="150"/>
              <w:rPr>
                <w:rFonts w:ascii="Times New Roman" w:hAnsi="Times New Roman"/>
                <w:bCs/>
                <w:color w:val="000000"/>
                <w:sz w:val="24"/>
                <w:szCs w:val="24"/>
              </w:rPr>
            </w:pPr>
            <w:r>
              <w:rPr>
                <w:rFonts w:ascii="Times New Roman"/>
                <w:bCs/>
                <w:color w:val="000000"/>
                <w:sz w:val="24"/>
                <w:szCs w:val="24"/>
              </w:rPr>
              <w:t>综上所述，本项目的建设符合根据</w:t>
            </w:r>
            <w:r>
              <w:rPr>
                <w:rFonts w:ascii="Times New Roman"/>
                <w:color w:val="000000"/>
                <w:sz w:val="24"/>
                <w:szCs w:val="24"/>
              </w:rPr>
              <w:t>《洛阳市</w:t>
            </w:r>
            <w:r>
              <w:rPr>
                <w:rFonts w:ascii="Times New Roman" w:hAnsi="Times New Roman"/>
                <w:color w:val="000000"/>
                <w:sz w:val="24"/>
                <w:szCs w:val="24"/>
              </w:rPr>
              <w:t>2019</w:t>
            </w:r>
            <w:r>
              <w:rPr>
                <w:rFonts w:ascii="Times New Roman"/>
                <w:color w:val="000000"/>
                <w:sz w:val="24"/>
                <w:szCs w:val="24"/>
              </w:rPr>
              <w:t>年工业窑炉提标治理专项方案》</w:t>
            </w:r>
            <w:r>
              <w:rPr>
                <w:rFonts w:ascii="Times New Roman"/>
                <w:bCs/>
                <w:color w:val="000000"/>
                <w:sz w:val="24"/>
                <w:szCs w:val="24"/>
              </w:rPr>
              <w:t>的相关要求。</w:t>
            </w:r>
          </w:p>
          <w:p>
            <w:pPr>
              <w:spacing w:line="360" w:lineRule="auto"/>
              <w:rPr>
                <w:rFonts w:ascii="Times New Roman" w:hAnsi="Times New Roman"/>
                <w:b/>
                <w:bCs w:val="0"/>
                <w:color w:val="000000"/>
                <w:sz w:val="24"/>
                <w:szCs w:val="24"/>
                <w:shd w:val="clear" w:color="auto" w:fill="FFFFFF"/>
              </w:rPr>
            </w:pPr>
            <w:r>
              <w:rPr>
                <w:rFonts w:hint="eastAsia" w:ascii="Times New Roman" w:hAnsi="Times New Roman"/>
                <w:b/>
                <w:bCs w:val="0"/>
                <w:color w:val="000000"/>
                <w:sz w:val="24"/>
                <w:szCs w:val="24"/>
              </w:rPr>
              <w:t>3</w:t>
            </w:r>
            <w:r>
              <w:rPr>
                <w:rFonts w:ascii="Times New Roman" w:hAnsi="Times New Roman"/>
                <w:b/>
                <w:bCs w:val="0"/>
                <w:color w:val="000000"/>
                <w:sz w:val="24"/>
                <w:szCs w:val="24"/>
              </w:rPr>
              <w:t>.</w:t>
            </w:r>
            <w:r>
              <w:rPr>
                <w:rFonts w:hint="eastAsia" w:ascii="Times New Roman" w:hAnsi="Times New Roman"/>
                <w:b/>
                <w:bCs w:val="0"/>
                <w:color w:val="000000"/>
                <w:sz w:val="24"/>
                <w:szCs w:val="24"/>
              </w:rPr>
              <w:t>2</w:t>
            </w:r>
            <w:r>
              <w:rPr>
                <w:rFonts w:ascii="Times New Roman"/>
                <w:b/>
                <w:bCs w:val="0"/>
                <w:color w:val="000000"/>
                <w:sz w:val="24"/>
                <w:szCs w:val="24"/>
                <w:shd w:val="clear" w:color="auto" w:fill="FFFFFF"/>
              </w:rPr>
              <w:t>与《工业炉窑大气污染综合治理方案》环大气</w:t>
            </w:r>
            <w:r>
              <w:rPr>
                <w:rFonts w:ascii="Times New Roman" w:hAnsi="Times New Roman"/>
                <w:b/>
                <w:bCs w:val="0"/>
                <w:color w:val="000000"/>
                <w:sz w:val="24"/>
                <w:szCs w:val="24"/>
                <w:shd w:val="clear" w:color="auto" w:fill="FFFFFF"/>
              </w:rPr>
              <w:t>[2019]56</w:t>
            </w:r>
            <w:r>
              <w:rPr>
                <w:rFonts w:ascii="Times New Roman"/>
                <w:b/>
                <w:bCs w:val="0"/>
                <w:color w:val="000000"/>
                <w:sz w:val="24"/>
                <w:szCs w:val="24"/>
                <w:shd w:val="clear" w:color="auto" w:fill="FFFFFF"/>
              </w:rPr>
              <w:t>号相符性</w:t>
            </w:r>
          </w:p>
          <w:p>
            <w:pPr>
              <w:spacing w:line="360" w:lineRule="auto"/>
              <w:ind w:firstLine="480" w:firstLineChars="200"/>
              <w:rPr>
                <w:rFonts w:ascii="Times New Roman" w:hAnsi="Times New Roman"/>
                <w:bCs/>
                <w:color w:val="000000"/>
                <w:sz w:val="24"/>
                <w:szCs w:val="24"/>
                <w:shd w:val="clear" w:color="auto" w:fill="FFFFFF"/>
              </w:rPr>
            </w:pPr>
            <w:r>
              <w:rPr>
                <w:rFonts w:ascii="Times New Roman"/>
                <w:bCs/>
                <w:color w:val="000000"/>
                <w:sz w:val="24"/>
                <w:szCs w:val="24"/>
                <w:shd w:val="clear" w:color="auto" w:fill="FFFFFF"/>
              </w:rPr>
              <w:t>项目与《工业炉窑大气污染综合治理方案》环大气</w:t>
            </w:r>
            <w:r>
              <w:rPr>
                <w:rFonts w:ascii="Times New Roman" w:hAnsi="Times New Roman"/>
                <w:bCs/>
                <w:color w:val="000000"/>
                <w:sz w:val="24"/>
                <w:szCs w:val="24"/>
                <w:shd w:val="clear" w:color="auto" w:fill="FFFFFF"/>
              </w:rPr>
              <w:t>[2019]56</w:t>
            </w:r>
            <w:r>
              <w:rPr>
                <w:rFonts w:ascii="Times New Roman"/>
                <w:bCs/>
                <w:color w:val="000000"/>
                <w:sz w:val="24"/>
                <w:szCs w:val="24"/>
                <w:shd w:val="clear" w:color="auto" w:fill="FFFFFF"/>
              </w:rPr>
              <w:t>号重点任务相符性分析见下表。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333333"/>
                <w:sz w:val="24"/>
                <w:szCs w:val="24"/>
                <w:shd w:val="clear" w:color="auto" w:fill="FFFFFF"/>
              </w:rPr>
              <w:t xml:space="preserve">表1-4  </w:t>
            </w:r>
            <w:r>
              <w:rPr>
                <w:rFonts w:hint="default" w:ascii="Times New Roman" w:hAnsi="Times New Roman" w:eastAsia="宋体" w:cs="Times New Roman"/>
                <w:sz w:val="24"/>
                <w:szCs w:val="24"/>
              </w:rPr>
              <w:t>与</w:t>
            </w:r>
            <w:r>
              <w:rPr>
                <w:rFonts w:hint="default" w:ascii="Times New Roman" w:hAnsi="Times New Roman" w:eastAsia="宋体" w:cs="Times New Roman"/>
                <w:color w:val="000000"/>
                <w:sz w:val="24"/>
                <w:szCs w:val="24"/>
                <w:shd w:val="clear" w:color="auto" w:fill="FFFFFF"/>
              </w:rPr>
              <w:t>《工业炉窑大气污染综合治理方案》环大气[2019]56号相符性</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8"/>
              <w:gridCol w:w="2645"/>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3047" w:type="pct"/>
                  <w:noWrap w:val="0"/>
                  <w:vAlign w:val="center"/>
                </w:tcPr>
                <w:p>
                  <w:pPr>
                    <w:keepNext w:val="0"/>
                    <w:keepLines w:val="0"/>
                    <w:pageBreakBefore w:val="0"/>
                    <w:widowControl w:val="0"/>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文件要求</w:t>
                  </w:r>
                </w:p>
              </w:tc>
              <w:tc>
                <w:tcPr>
                  <w:tcW w:w="1616" w:type="pct"/>
                  <w:noWrap w:val="0"/>
                  <w:vAlign w:val="center"/>
                </w:tcPr>
                <w:p>
                  <w:pPr>
                    <w:keepNext w:val="0"/>
                    <w:keepLines w:val="0"/>
                    <w:pageBreakBefore w:val="0"/>
                    <w:widowControl w:val="0"/>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本环评要求</w:t>
                  </w:r>
                </w:p>
              </w:tc>
              <w:tc>
                <w:tcPr>
                  <w:tcW w:w="335" w:type="pct"/>
                  <w:noWrap w:val="0"/>
                  <w:vAlign w:val="center"/>
                </w:tcPr>
                <w:p>
                  <w:pPr>
                    <w:keepNext w:val="0"/>
                    <w:keepLines w:val="0"/>
                    <w:pageBreakBefore w:val="0"/>
                    <w:widowControl w:val="0"/>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5000" w:type="pct"/>
                  <w:gridSpan w:val="3"/>
                  <w:noWrap w:val="0"/>
                  <w:vAlign w:val="center"/>
                </w:tcPr>
                <w:p>
                  <w:pPr>
                    <w:keepNext w:val="0"/>
                    <w:keepLines w:val="0"/>
                    <w:pageBreakBefore w:val="0"/>
                    <w:widowControl w:val="0"/>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304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加大产业结构调整力度。严格建设项目环境准入。新建涉工业炉窑的建设项目，原则上要入园区，配套建设高效环保治理设施。重点区域严格控制涉工业炉窑建设项目，严禁新增钢铁、焦化、电解铝、铸造、水泥和平板玻璃等产能；严格执行钢铁、水泥、平板玻璃等行业产能置换实施办法；原则上禁止新建燃料类煤气发生炉（园区现有企业统一建设的清洁煤制气中心除外）。</w:t>
                  </w:r>
                </w:p>
              </w:tc>
              <w:tc>
                <w:tcPr>
                  <w:tcW w:w="161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snapToGrid w:val="0"/>
                      <w:color w:val="000000"/>
                      <w:kern w:val="0"/>
                      <w:sz w:val="21"/>
                      <w:szCs w:val="21"/>
                    </w:rPr>
                    <w:t>本项目位于洛阳市偃师</w:t>
                  </w:r>
                  <w:r>
                    <w:rPr>
                      <w:rFonts w:hint="eastAsia" w:ascii="Times New Roman" w:hAnsi="Times New Roman" w:eastAsia="宋体" w:cs="Times New Roman"/>
                      <w:b w:val="0"/>
                      <w:bCs w:val="0"/>
                      <w:snapToGrid w:val="0"/>
                      <w:color w:val="000000"/>
                      <w:kern w:val="0"/>
                      <w:sz w:val="21"/>
                      <w:szCs w:val="21"/>
                      <w:lang w:val="en-US" w:eastAsia="zh-CN"/>
                    </w:rPr>
                    <w:t>区</w:t>
                  </w:r>
                  <w:r>
                    <w:rPr>
                      <w:rFonts w:hint="default" w:ascii="Times New Roman" w:hAnsi="Times New Roman" w:eastAsia="宋体" w:cs="Times New Roman"/>
                      <w:b w:val="0"/>
                      <w:bCs w:val="0"/>
                      <w:snapToGrid w:val="0"/>
                      <w:color w:val="000000"/>
                      <w:kern w:val="0"/>
                      <w:sz w:val="21"/>
                      <w:szCs w:val="21"/>
                    </w:rPr>
                    <w:t>大口镇工业区</w:t>
                  </w:r>
                  <w:r>
                    <w:rPr>
                      <w:rFonts w:hint="default" w:ascii="Times New Roman" w:hAnsi="Times New Roman" w:eastAsia="宋体" w:cs="Times New Roman"/>
                      <w:b w:val="0"/>
                      <w:bCs w:val="0"/>
                      <w:color w:val="000000"/>
                      <w:sz w:val="21"/>
                      <w:szCs w:val="21"/>
                    </w:rPr>
                    <w:t>。项目不属于钢铁、焦化、电解铝、铸造、水泥和平板玻璃行业，本项目无煤气发生炉。</w:t>
                  </w:r>
                </w:p>
              </w:tc>
              <w:tc>
                <w:tcPr>
                  <w:tcW w:w="335" w:type="pct"/>
                  <w:noWrap w:val="0"/>
                  <w:vAlign w:val="center"/>
                </w:tcPr>
                <w:p>
                  <w:pPr>
                    <w:keepNext w:val="0"/>
                    <w:keepLines w:val="0"/>
                    <w:pageBreakBefore w:val="0"/>
                    <w:widowControl w:val="0"/>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04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加快燃料清洁低碳化替代。对以煤、石油焦、渣油、重油等为燃料的工业炉窑，加快使用清洁低碳能源以及利用工厂余热、电厂热力等进行替代。重点区域禁止掺烧高硫石油焦（硫含量大于3%）。玻璃行业全面禁止掺烧高硫石油焦。</w:t>
                  </w:r>
                </w:p>
              </w:tc>
              <w:tc>
                <w:tcPr>
                  <w:tcW w:w="161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本项目烘干固化道采用清洁能源液化石油气为燃料，不涉及煤、石油焦、渣油、重油等为燃料。</w:t>
                  </w:r>
                </w:p>
              </w:tc>
              <w:tc>
                <w:tcPr>
                  <w:tcW w:w="335" w:type="pct"/>
                  <w:noWrap w:val="0"/>
                  <w:vAlign w:val="center"/>
                </w:tcPr>
                <w:p>
                  <w:pPr>
                    <w:keepNext w:val="0"/>
                    <w:keepLines w:val="0"/>
                    <w:pageBreakBefore w:val="0"/>
                    <w:widowControl w:val="0"/>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304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加快淘汰燃煤工业炉窑。重点区域取缔燃煤热风炉，基本淘汰热电联产供热管网覆盖范围内的燃煤加热、烘干炉（窑）。加快推动铸造（10吨/小时及以下）、岩棉等行业冲天炉改为电炉。</w:t>
                  </w:r>
                </w:p>
              </w:tc>
              <w:tc>
                <w:tcPr>
                  <w:tcW w:w="161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本项目烘干固化采用清洁能源液化石油气为燃料，不涉及煤。</w:t>
                  </w:r>
                </w:p>
              </w:tc>
              <w:tc>
                <w:tcPr>
                  <w:tcW w:w="335" w:type="pct"/>
                  <w:noWrap w:val="0"/>
                  <w:vAlign w:val="center"/>
                </w:tcPr>
                <w:p>
                  <w:pPr>
                    <w:keepNext w:val="0"/>
                    <w:keepLines w:val="0"/>
                    <w:pageBreakBefore w:val="0"/>
                    <w:widowControl w:val="0"/>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04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实施污染深度治理。推进工业炉窑全面达标排放。已有行业排放标准的工业炉窑，严格执行行业排放标准相关规定，配套建设高效脱硫脱硝除尘设施，确保稳定达标排放。已制定更严格地方排放标准的，按地方标准执行。</w:t>
                  </w:r>
                </w:p>
              </w:tc>
              <w:tc>
                <w:tcPr>
                  <w:tcW w:w="161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本项目烘干固化道污染物排放执行满足</w:t>
                  </w:r>
                  <w:r>
                    <w:rPr>
                      <w:rFonts w:hint="eastAsia" w:ascii="Times New Roman" w:hAnsi="Times New Roman" w:eastAsia="宋体" w:cs="Times New Roman"/>
                      <w:b w:val="0"/>
                      <w:bCs w:val="0"/>
                      <w:color w:val="000000"/>
                      <w:sz w:val="21"/>
                      <w:szCs w:val="21"/>
                      <w:lang w:val="en-US" w:eastAsia="zh-CN"/>
                    </w:rPr>
                    <w:t>地方标准</w:t>
                  </w:r>
                  <w:r>
                    <w:rPr>
                      <w:rFonts w:hint="default" w:ascii="Times New Roman" w:hAnsi="Times New Roman" w:eastAsia="宋体" w:cs="Times New Roman"/>
                      <w:b w:val="0"/>
                      <w:bCs w:val="0"/>
                      <w:sz w:val="21"/>
                      <w:szCs w:val="21"/>
                    </w:rPr>
                    <w:t>《工业炉窑大气污染物排放标准》(DB 41/1066-2020)</w:t>
                  </w:r>
                  <w:r>
                    <w:rPr>
                      <w:rFonts w:hint="default" w:ascii="Times New Roman" w:hAnsi="Times New Roman" w:eastAsia="宋体" w:cs="Times New Roman"/>
                      <w:b w:val="0"/>
                      <w:bCs w:val="0"/>
                      <w:color w:val="000000"/>
                      <w:sz w:val="21"/>
                      <w:szCs w:val="21"/>
                    </w:rPr>
                    <w:t>。</w:t>
                  </w:r>
                </w:p>
              </w:tc>
              <w:tc>
                <w:tcPr>
                  <w:tcW w:w="335" w:type="pct"/>
                  <w:noWrap w:val="0"/>
                  <w:vAlign w:val="center"/>
                </w:tcPr>
                <w:p>
                  <w:pPr>
                    <w:keepNext w:val="0"/>
                    <w:keepLines w:val="0"/>
                    <w:pageBreakBefore w:val="0"/>
                    <w:widowControl w:val="0"/>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相符</w:t>
                  </w:r>
                </w:p>
              </w:tc>
            </w:tr>
          </w:tbl>
          <w:p>
            <w:pPr>
              <w:spacing w:line="360" w:lineRule="auto"/>
              <w:ind w:firstLine="480" w:firstLineChars="200"/>
              <w:jc w:val="left"/>
              <w:rPr>
                <w:rFonts w:hint="eastAsia"/>
                <w:sz w:val="32"/>
                <w:szCs w:val="32"/>
              </w:rPr>
            </w:pPr>
            <w:r>
              <w:rPr>
                <w:rFonts w:hint="eastAsia"/>
                <w:sz w:val="24"/>
                <w:szCs w:val="24"/>
              </w:rPr>
              <w:t>由上表可知，本项目的建设符合《工业炉窑大气污染综合治理方案》环大气[2019]56号文件要求。</w:t>
            </w:r>
          </w:p>
          <w:p>
            <w:pPr>
              <w:spacing w:line="360" w:lineRule="auto"/>
              <w:jc w:val="left"/>
              <w:rPr>
                <w:b/>
                <w:bCs/>
                <w:sz w:val="24"/>
                <w:szCs w:val="24"/>
              </w:rPr>
            </w:pPr>
            <w:r>
              <w:rPr>
                <w:rFonts w:hint="eastAsia"/>
                <w:b/>
                <w:bCs/>
                <w:sz w:val="24"/>
                <w:szCs w:val="24"/>
              </w:rPr>
              <w:t>3.3《工业涂装工序挥发性有机物污染防治技术规范》相符性分析</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表1-5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与《工业涂装工序挥发性有机物污染防治技术规范》相符性分析</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015"/>
              <w:gridCol w:w="3156"/>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60" w:type="pct"/>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w:t>
                  </w:r>
                </w:p>
              </w:tc>
              <w:tc>
                <w:tcPr>
                  <w:tcW w:w="2452" w:type="pct"/>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文件内容</w:t>
                  </w:r>
                </w:p>
              </w:tc>
              <w:tc>
                <w:tcPr>
                  <w:tcW w:w="1927" w:type="pct"/>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环评内容</w:t>
                  </w:r>
                </w:p>
              </w:tc>
              <w:tc>
                <w:tcPr>
                  <w:tcW w:w="359" w:type="pct"/>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60" w:type="pct"/>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总体</w:t>
                  </w:r>
                </w:p>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要求</w:t>
                  </w:r>
                </w:p>
              </w:tc>
              <w:tc>
                <w:tcPr>
                  <w:tcW w:w="2452"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新建企业原则上应进入园区，并符合规划及政策要求，涂装工序的设置应满足环境防护距离要求。坚持源头控制、过程管理、末端治理和环境管理相结合并防止二次污染的全过程VOCs 综合防治原则。VOCs 污染治理应满足达标排放、总量控制要求。</w:t>
                  </w:r>
                </w:p>
              </w:tc>
              <w:tc>
                <w:tcPr>
                  <w:tcW w:w="1927"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snapToGrid w:val="0"/>
                      <w:color w:val="000000"/>
                      <w:kern w:val="0"/>
                      <w:sz w:val="21"/>
                      <w:szCs w:val="21"/>
                    </w:rPr>
                    <w:t>本项目</w:t>
                  </w:r>
                  <w:r>
                    <w:rPr>
                      <w:rFonts w:hint="eastAsia" w:cs="Times New Roman"/>
                      <w:b w:val="0"/>
                      <w:bCs/>
                      <w:snapToGrid w:val="0"/>
                      <w:color w:val="000000"/>
                      <w:kern w:val="0"/>
                      <w:sz w:val="21"/>
                      <w:szCs w:val="21"/>
                      <w:lang w:val="en-US" w:eastAsia="zh-CN"/>
                    </w:rPr>
                    <w:t>为技改项目，</w:t>
                  </w:r>
                  <w:r>
                    <w:rPr>
                      <w:rFonts w:hint="default" w:ascii="Times New Roman" w:hAnsi="Times New Roman" w:eastAsia="宋体" w:cs="Times New Roman"/>
                      <w:b w:val="0"/>
                      <w:bCs/>
                      <w:snapToGrid w:val="0"/>
                      <w:color w:val="000000"/>
                      <w:kern w:val="0"/>
                      <w:sz w:val="21"/>
                      <w:szCs w:val="21"/>
                    </w:rPr>
                    <w:t>位于洛阳市偃师市大口镇工业区，</w:t>
                  </w:r>
                  <w:r>
                    <w:rPr>
                      <w:rFonts w:hint="default" w:ascii="Times New Roman" w:hAnsi="Times New Roman" w:eastAsia="宋体" w:cs="Times New Roman"/>
                      <w:b w:val="0"/>
                      <w:bCs/>
                      <w:color w:val="000000"/>
                      <w:sz w:val="21"/>
                      <w:szCs w:val="21"/>
                    </w:rPr>
                    <w:t>固化废气经光氧催化+活性炭吸附处理后达标排放，非甲烷总烃排放浓度满足《河南省工业涂装挥发性有机物排放标准》涂装工序的其他行业—非甲烷总烃排放浓度50mg/m</w:t>
                  </w:r>
                  <w:r>
                    <w:rPr>
                      <w:rFonts w:hint="default" w:ascii="Times New Roman" w:hAnsi="Times New Roman" w:eastAsia="宋体" w:cs="Times New Roman"/>
                      <w:b w:val="0"/>
                      <w:bCs/>
                      <w:color w:val="000000"/>
                      <w:sz w:val="21"/>
                      <w:szCs w:val="21"/>
                      <w:vertAlign w:val="superscript"/>
                    </w:rPr>
                    <w:t>3</w:t>
                  </w:r>
                  <w:r>
                    <w:rPr>
                      <w:rFonts w:hint="default" w:ascii="Times New Roman" w:hAnsi="Times New Roman" w:eastAsia="宋体" w:cs="Times New Roman"/>
                      <w:b w:val="0"/>
                      <w:bCs/>
                      <w:color w:val="000000"/>
                      <w:sz w:val="21"/>
                      <w:szCs w:val="21"/>
                    </w:rPr>
                    <w:t>。</w:t>
                  </w:r>
                </w:p>
              </w:tc>
              <w:tc>
                <w:tcPr>
                  <w:tcW w:w="359" w:type="pct"/>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60" w:type="pct"/>
                  <w:vMerge w:val="restart"/>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源头</w:t>
                  </w:r>
                </w:p>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控制</w:t>
                  </w:r>
                </w:p>
              </w:tc>
              <w:tc>
                <w:tcPr>
                  <w:tcW w:w="2452"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涂料选择：强化源头替代，宜选用粉末、水性、高固份等低VOCs含量涂料，以及低VOCs含量、低反应活性的清洗剂、替代溶剂型涂料、清洗剂。使用的低VOCs含量的原辅材料应符合相关标准要求。</w:t>
                  </w:r>
                </w:p>
              </w:tc>
              <w:tc>
                <w:tcPr>
                  <w:tcW w:w="1927"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本项目采用固体粉末涂料低VOCs含量涂料，符合相关标准要求。</w:t>
                  </w:r>
                </w:p>
              </w:tc>
              <w:tc>
                <w:tcPr>
                  <w:tcW w:w="359" w:type="pct"/>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260" w:type="pct"/>
                  <w:vMerge w:val="continue"/>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p>
              </w:tc>
              <w:tc>
                <w:tcPr>
                  <w:tcW w:w="2452"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涂装工艺设备的选择：推广紧凑式涂装工艺，减少涂覆、烘干次数。采用高效涂装设备，提高涂覆效率。采用静电喷涂、高压无气喷涂、辊涂等技术，减少空气喷涂的应用：推广自动化、智能化喷涂替代人工喷涂。</w:t>
                  </w:r>
                </w:p>
              </w:tc>
              <w:tc>
                <w:tcPr>
                  <w:tcW w:w="1927"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本项目采用静电喷涂工艺。</w:t>
                  </w:r>
                </w:p>
              </w:tc>
              <w:tc>
                <w:tcPr>
                  <w:tcW w:w="359" w:type="pct"/>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60" w:type="pct"/>
                  <w:vMerge w:val="restart"/>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过程</w:t>
                  </w:r>
                </w:p>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管理</w:t>
                  </w:r>
                </w:p>
              </w:tc>
              <w:tc>
                <w:tcPr>
                  <w:tcW w:w="2452"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储存过程：涉VOCs原辅材料应储存在密闭容器内，并存放于封闭空间。确保原料储存过程中容器加盖、封口、无破损、无泄漏，保持密闭。</w:t>
                  </w:r>
                </w:p>
              </w:tc>
              <w:tc>
                <w:tcPr>
                  <w:tcW w:w="1927"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本项目涂料为袋装，储存在车间内涂装区。定期专人检查防止破损泄露。</w:t>
                  </w:r>
                </w:p>
              </w:tc>
              <w:tc>
                <w:tcPr>
                  <w:tcW w:w="359" w:type="pct"/>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60" w:type="pct"/>
                  <w:vMerge w:val="continue"/>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p>
              </w:tc>
              <w:tc>
                <w:tcPr>
                  <w:tcW w:w="2452"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调配过程：涉VOCs原辅材料的调配应在密闭装置或者封闭空间内进行，计算、搅拌、调配过程产生的废气应收集处理。</w:t>
                  </w:r>
                </w:p>
              </w:tc>
              <w:tc>
                <w:tcPr>
                  <w:tcW w:w="1927"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本项目粉末涂料无调配、搅拌工序。</w:t>
                  </w:r>
                </w:p>
              </w:tc>
              <w:tc>
                <w:tcPr>
                  <w:tcW w:w="359" w:type="pct"/>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0" w:type="pct"/>
                  <w:vMerge w:val="continue"/>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p>
              </w:tc>
              <w:tc>
                <w:tcPr>
                  <w:tcW w:w="2452"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输送过程：VOCs原辅材料应采用密闭管道或者采用密闭容器输送。VOCs原辅材料在储存、调配、输送过程中一旦发现泄露，应及时恢复和处置。</w:t>
                  </w:r>
                </w:p>
              </w:tc>
              <w:tc>
                <w:tcPr>
                  <w:tcW w:w="1927"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本项目粉末涂料至喷粉间内粉室，经密闭管道输送至喷枪。</w:t>
                  </w:r>
                </w:p>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p>
              </w:tc>
              <w:tc>
                <w:tcPr>
                  <w:tcW w:w="359" w:type="pct"/>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0" w:type="pct"/>
                  <w:vMerge w:val="continue"/>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p>
              </w:tc>
              <w:tc>
                <w:tcPr>
                  <w:tcW w:w="2452"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color w:val="000000"/>
                      <w:sz w:val="21"/>
                      <w:szCs w:val="21"/>
                    </w:rPr>
                    <w:t>涂装过程：喷枪选择：根据涂装对象大小和形状选择合适的喷枪，平面状大型被涂物可选用大型喷枪，涂装对象小、凹凸不规则或局部涂装作业时宜使用小型喷枪，涂料用量少的情况下宜使用重力式喷枪。 喷涤操作：降低喷枪压力和喷涂速军并保持平简，喷枪应与被涂面垂直，喷涂距离15cm-20cm,喷枪运行速度宜0.4m/s-0.7m/s。换色作业：准确控制换色涂料用量，缩短换色时问，按照从浅到深的顺序涂装，类似颜色涂装宜持续作业、批量完成。装备设施：涂履、流平、干燥等作业应在封闭空间内操作，保持门窗为常闭状态，废气收集排至VOCs处理设施，无法在封闭空间内操作的，应采取局部废气收集措施，废气收集排至VOCs 处理设施。涂料回收，对于涂料可回收的喷涂工艺及设备，应配备涂料回收装置，回收的涂料循环利用。</w:t>
                  </w:r>
                </w:p>
              </w:tc>
              <w:tc>
                <w:tcPr>
                  <w:tcW w:w="1927"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color w:val="000000"/>
                      <w:sz w:val="21"/>
                      <w:szCs w:val="21"/>
                    </w:rPr>
                    <w:t>本项目采用小型喷枪，喷粉过程在喷粉间内进行。</w:t>
                  </w:r>
                </w:p>
              </w:tc>
              <w:tc>
                <w:tcPr>
                  <w:tcW w:w="359" w:type="pct"/>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color w:val="000000"/>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60" w:type="pct"/>
                  <w:vMerge w:val="continue"/>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p>
              </w:tc>
              <w:tc>
                <w:tcPr>
                  <w:tcW w:w="2452"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清洗过程：合理控制有机清洗剂用量：集中清洗应在装置或封闭空间内进行，清洗过程产生的VOCs废气应收集处理。使用后的有机清洗剂应放入专门容器，回收储存。清洗完成后，含有机清洗剂的废抹布等应放入专用容器，减少无组织排放。</w:t>
                  </w:r>
                </w:p>
              </w:tc>
              <w:tc>
                <w:tcPr>
                  <w:tcW w:w="1927"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本项目无清洗过程。</w:t>
                  </w:r>
                </w:p>
              </w:tc>
              <w:tc>
                <w:tcPr>
                  <w:tcW w:w="359" w:type="pct"/>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60" w:type="pct"/>
                  <w:vMerge w:val="restart"/>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末端</w:t>
                  </w:r>
                </w:p>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治理</w:t>
                  </w:r>
                </w:p>
              </w:tc>
              <w:tc>
                <w:tcPr>
                  <w:tcW w:w="2452"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排放控制要求：收集的废气中非甲烷总烃初始排放速率大于2kg</w:t>
                  </w:r>
                  <w:r>
                    <w:rPr>
                      <w:rFonts w:hint="eastAsia" w:cs="Times New Roman"/>
                      <w:b w:val="0"/>
                      <w:bCs/>
                      <w:color w:val="000000"/>
                      <w:sz w:val="21"/>
                      <w:szCs w:val="21"/>
                      <w:lang w:val="en-US" w:eastAsia="zh-CN"/>
                    </w:rPr>
                    <w:t>/</w:t>
                  </w:r>
                  <w:r>
                    <w:rPr>
                      <w:rFonts w:hint="default" w:ascii="Times New Roman" w:hAnsi="Times New Roman" w:eastAsia="宋体" w:cs="Times New Roman"/>
                      <w:b w:val="0"/>
                      <w:bCs/>
                      <w:color w:val="000000"/>
                      <w:sz w:val="21"/>
                      <w:szCs w:val="21"/>
                    </w:rPr>
                    <w:t>h，配置的 VOCs 处理设施处理效率不低厂80%。工业涂装工序VOCs排放应符合GB 37822, GB 16297或相关行业、地方排放标准的规定。</w:t>
                  </w:r>
                </w:p>
              </w:tc>
              <w:tc>
                <w:tcPr>
                  <w:tcW w:w="1927"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本项目收集的有机废气初始排放速率小于2kg/h，固化过程含非甲烷总烃有机废气经光氧催化+活性炭吸附装置”进行处理后排放，处理效率80%。无组织排放满足《河南省工业涂装挥发性有机物排放标准》涂装工序及《关于全省开展工业企业挥发性有机物专项治理工作中排放建议值的通知》（2.0mg/m</w:t>
                  </w:r>
                  <w:r>
                    <w:rPr>
                      <w:rFonts w:hint="default" w:ascii="Times New Roman" w:hAnsi="Times New Roman" w:eastAsia="宋体" w:cs="Times New Roman"/>
                      <w:b w:val="0"/>
                      <w:bCs/>
                      <w:color w:val="000000"/>
                      <w:sz w:val="21"/>
                      <w:szCs w:val="21"/>
                      <w:vertAlign w:val="superscript"/>
                    </w:rPr>
                    <w:t>3</w:t>
                  </w:r>
                  <w:r>
                    <w:rPr>
                      <w:rFonts w:hint="default" w:ascii="Times New Roman" w:hAnsi="Times New Roman" w:eastAsia="宋体" w:cs="Times New Roman"/>
                      <w:b w:val="0"/>
                      <w:bCs/>
                      <w:color w:val="000000"/>
                      <w:sz w:val="21"/>
                      <w:szCs w:val="21"/>
                    </w:rPr>
                    <w:t>）限值要求，有组织排放满足《河南省工业涂装挥发性有机物排放标准》涂装工序—非甲烷总烃排放浓度50mg/m</w:t>
                  </w:r>
                  <w:r>
                    <w:rPr>
                      <w:rFonts w:hint="default" w:ascii="Times New Roman" w:hAnsi="Times New Roman" w:eastAsia="宋体" w:cs="Times New Roman"/>
                      <w:b w:val="0"/>
                      <w:bCs/>
                      <w:color w:val="000000"/>
                      <w:sz w:val="21"/>
                      <w:szCs w:val="21"/>
                      <w:vertAlign w:val="superscript"/>
                    </w:rPr>
                    <w:t>3</w:t>
                  </w:r>
                  <w:r>
                    <w:rPr>
                      <w:rFonts w:hint="default" w:ascii="Times New Roman" w:hAnsi="Times New Roman" w:eastAsia="宋体" w:cs="Times New Roman"/>
                      <w:b w:val="0"/>
                      <w:bCs/>
                      <w:color w:val="000000"/>
                      <w:sz w:val="21"/>
                      <w:szCs w:val="21"/>
                    </w:rPr>
                    <w:t>。</w:t>
                  </w:r>
                </w:p>
              </w:tc>
              <w:tc>
                <w:tcPr>
                  <w:tcW w:w="359" w:type="pct"/>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60" w:type="pct"/>
                  <w:vMerge w:val="continue"/>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p>
              </w:tc>
              <w:tc>
                <w:tcPr>
                  <w:tcW w:w="2452"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废气收集：企业应设置高效废气收集系统，考虑生产工艺、操作方式、废气性质、处理方法等因素，对VOCs废气进行分类收集。喷涂、晾干、调配、流平废气宜收集后合并处理、采用溶剂型涂料时，其烘干废气宜单独收集处理。废气收集系统采用封闭空间的，除行业有特殊要求外，应保持微负压状态，并按G8-14443.G8-14444合理设置通风量。</w:t>
                  </w:r>
                </w:p>
              </w:tc>
              <w:tc>
                <w:tcPr>
                  <w:tcW w:w="1927"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本项目固化废气分别进行收集后引致废气处理设施。喷粉颗粒物经旋风+滤筒二级除尘设施处理后15米排气筒达标排放。</w:t>
                  </w:r>
                </w:p>
              </w:tc>
              <w:tc>
                <w:tcPr>
                  <w:tcW w:w="359" w:type="pct"/>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260" w:type="pct"/>
                  <w:vMerge w:val="continue"/>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p>
              </w:tc>
              <w:tc>
                <w:tcPr>
                  <w:tcW w:w="2452"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eastAsia"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rPr>
                    <w:t>废气处理：水性涂料及低VOCs含量溶剂型涂料</w:t>
                  </w:r>
                  <w:r>
                    <w:rPr>
                      <w:rFonts w:hint="eastAsia" w:cs="Times New Roman"/>
                      <w:b w:val="0"/>
                      <w:bCs/>
                      <w:color w:val="000000"/>
                      <w:sz w:val="21"/>
                      <w:szCs w:val="21"/>
                      <w:lang w:eastAsia="zh-CN"/>
                    </w:rPr>
                    <w:t>；</w:t>
                  </w:r>
                </w:p>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喷涂流平废气：可采用的处理工艺为湿式除尘或干式过滤+吸附，典型处理技术路线湿式除尘器或干式过滤+活性炭吸附。技术适用条件：适用于小规模工业涂装工序的漆雾、较低浓度的VOCs废气处理，后期维护需定期清理、更换过滤材料，定期更换或再生活性炭。</w:t>
                  </w:r>
                </w:p>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烘干废气：可采用的处理工艺为降温+吸附，典型处理技术路线降温+活性炭吸附。技术适用条件：适用于小规模工业涂装工序较低浓度的VOCs废气处理，后期维护需定期清理、更换过滤材料，定期更换或再生活性炭。</w:t>
                  </w:r>
                </w:p>
              </w:tc>
              <w:tc>
                <w:tcPr>
                  <w:tcW w:w="1927" w:type="pct"/>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ind w:left="0" w:leftChars="0"/>
                    <w:jc w:val="left"/>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本项目采用固体粉末涂料，固化废气处理设施采用光氧催化+活性炭吸附，废活性炭定期更换。</w:t>
                  </w:r>
                </w:p>
              </w:tc>
              <w:tc>
                <w:tcPr>
                  <w:tcW w:w="359" w:type="pct"/>
                  <w:noWrap w:val="0"/>
                  <w:vAlign w:val="center"/>
                </w:tcPr>
                <w:p>
                  <w:pPr>
                    <w:keepNext w:val="0"/>
                    <w:keepLines w:val="0"/>
                    <w:pageBreakBefore w:val="0"/>
                    <w:widowControl/>
                    <w:kinsoku/>
                    <w:wordWrap/>
                    <w:overflowPunct/>
                    <w:topLinePunct w:val="0"/>
                    <w:bidi w:val="0"/>
                    <w:spacing w:line="360" w:lineRule="exact"/>
                    <w:ind w:left="0" w:left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相符</w:t>
                  </w:r>
                </w:p>
              </w:tc>
            </w:tr>
          </w:tbl>
          <w:p>
            <w:pPr>
              <w:spacing w:line="360" w:lineRule="auto"/>
              <w:ind w:firstLine="480" w:firstLineChars="200"/>
              <w:rPr>
                <w:rFonts w:ascii="Times New Roman" w:hAnsi="Times New Roman"/>
                <w:b/>
                <w:sz w:val="24"/>
                <w:szCs w:val="24"/>
              </w:rPr>
            </w:pPr>
            <w:r>
              <w:rPr>
                <w:rFonts w:ascii="Times New Roman"/>
                <w:sz w:val="24"/>
                <w:szCs w:val="24"/>
              </w:rPr>
              <w:t>由上表可知，本项目的建设符合《工业涂装工序挥发性有机物污染防治技术规范》。</w:t>
            </w:r>
          </w:p>
          <w:p>
            <w:pPr>
              <w:spacing w:line="360" w:lineRule="auto"/>
              <w:rPr>
                <w:rFonts w:ascii="Times New Roman" w:hAnsi="Times New Roman"/>
                <w:b/>
                <w:bCs/>
                <w:sz w:val="24"/>
                <w:szCs w:val="24"/>
              </w:rPr>
            </w:pPr>
            <w:r>
              <w:rPr>
                <w:rFonts w:hint="eastAsia" w:ascii="Times New Roman" w:hAnsi="Times New Roman"/>
                <w:b/>
                <w:bCs/>
                <w:sz w:val="24"/>
                <w:szCs w:val="24"/>
              </w:rPr>
              <w:t>3</w:t>
            </w:r>
            <w:r>
              <w:rPr>
                <w:rFonts w:ascii="Times New Roman" w:hAnsi="Times New Roman"/>
                <w:b/>
                <w:bCs/>
                <w:sz w:val="24"/>
                <w:szCs w:val="24"/>
              </w:rPr>
              <w:t>.</w:t>
            </w:r>
            <w:r>
              <w:rPr>
                <w:rFonts w:hint="eastAsia" w:ascii="Times New Roman" w:hAnsi="Times New Roman"/>
                <w:b/>
                <w:bCs/>
                <w:sz w:val="24"/>
                <w:szCs w:val="24"/>
              </w:rPr>
              <w:t>4</w:t>
            </w:r>
            <w:r>
              <w:rPr>
                <w:rFonts w:ascii="Times New Roman"/>
                <w:b/>
                <w:bCs/>
                <w:sz w:val="24"/>
                <w:szCs w:val="24"/>
              </w:rPr>
              <w:t>《洛阳市</w:t>
            </w:r>
            <w:r>
              <w:rPr>
                <w:rFonts w:ascii="Times New Roman" w:hAnsi="Times New Roman"/>
                <w:b/>
                <w:bCs/>
                <w:sz w:val="24"/>
                <w:szCs w:val="24"/>
              </w:rPr>
              <w:t>2020</w:t>
            </w:r>
            <w:r>
              <w:rPr>
                <w:rFonts w:ascii="Times New Roman"/>
                <w:b/>
                <w:bCs/>
                <w:sz w:val="24"/>
                <w:szCs w:val="24"/>
              </w:rPr>
              <w:t>年工业污染治理专项方案的通知》（洛环攻坚办〔</w:t>
            </w:r>
            <w:r>
              <w:rPr>
                <w:rFonts w:ascii="Times New Roman" w:hAnsi="Times New Roman"/>
                <w:b/>
                <w:bCs/>
                <w:sz w:val="24"/>
                <w:szCs w:val="24"/>
              </w:rPr>
              <w:t>2020</w:t>
            </w:r>
            <w:r>
              <w:rPr>
                <w:rFonts w:ascii="Times New Roman"/>
                <w:b/>
                <w:bCs/>
                <w:sz w:val="24"/>
                <w:szCs w:val="24"/>
              </w:rPr>
              <w:t>〕</w:t>
            </w:r>
            <w:r>
              <w:rPr>
                <w:rFonts w:ascii="Times New Roman" w:hAnsi="Times New Roman"/>
                <w:b/>
                <w:bCs/>
                <w:sz w:val="24"/>
                <w:szCs w:val="24"/>
              </w:rPr>
              <w:t>14</w:t>
            </w:r>
            <w:r>
              <w:rPr>
                <w:rFonts w:ascii="Times New Roman"/>
                <w:b/>
                <w:bCs/>
                <w:sz w:val="24"/>
                <w:szCs w:val="24"/>
              </w:rPr>
              <w:t>号）相符性分析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szCs w:val="24"/>
              </w:rPr>
            </w:pPr>
            <w:r>
              <w:rPr>
                <w:rFonts w:ascii="Times New Roman"/>
                <w:sz w:val="24"/>
                <w:szCs w:val="24"/>
              </w:rPr>
              <w:t>洛阳市污染防治攻坚战领导小组办公室关于印发洛阳市</w:t>
            </w:r>
            <w:r>
              <w:rPr>
                <w:rFonts w:ascii="Times New Roman" w:hAnsi="Times New Roman"/>
                <w:sz w:val="24"/>
                <w:szCs w:val="24"/>
              </w:rPr>
              <w:t>2020</w:t>
            </w:r>
            <w:r>
              <w:rPr>
                <w:rFonts w:ascii="Times New Roman"/>
                <w:sz w:val="24"/>
                <w:szCs w:val="24"/>
              </w:rPr>
              <w:t>年工业污染治理专项方案的通知（洛环攻坚办</w:t>
            </w:r>
            <w:r>
              <w:rPr>
                <w:rFonts w:ascii="Times New Roman" w:hAnsi="Times New Roman"/>
                <w:sz w:val="24"/>
                <w:szCs w:val="24"/>
              </w:rPr>
              <w:t>[2020]14</w:t>
            </w:r>
            <w:r>
              <w:rPr>
                <w:rFonts w:ascii="Times New Roman"/>
                <w:sz w:val="24"/>
                <w:szCs w:val="24"/>
              </w:rPr>
              <w:t>号）文件的相关要求见下表。</w:t>
            </w:r>
          </w:p>
          <w:p>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表1-6  洛环攻坚办〔2020〕14号文件相符性分析</w:t>
            </w: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6"/>
              <w:gridCol w:w="5154"/>
              <w:gridCol w:w="1828"/>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exact"/>
                    <w:ind w:left="0" w:leftChars="0"/>
                    <w:jc w:val="center"/>
                    <w:textAlignment w:val="auto"/>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序号</w:t>
                  </w:r>
                </w:p>
              </w:tc>
              <w:tc>
                <w:tcPr>
                  <w:tcW w:w="31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exact"/>
                    <w:ind w:left="0" w:leftChars="0"/>
                    <w:jc w:val="center"/>
                    <w:textAlignment w:val="auto"/>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要求</w:t>
                  </w:r>
                </w:p>
              </w:tc>
              <w:tc>
                <w:tcPr>
                  <w:tcW w:w="11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exact"/>
                    <w:ind w:left="0" w:leftChars="0"/>
                    <w:jc w:val="center"/>
                    <w:textAlignment w:val="auto"/>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环评要求</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exact"/>
                    <w:ind w:left="0" w:leftChars="0"/>
                    <w:jc w:val="center"/>
                    <w:textAlignment w:val="auto"/>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exact"/>
                    <w:ind w:left="0" w:leftChars="0"/>
                    <w:jc w:val="center"/>
                    <w:textAlignment w:val="auto"/>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1</w:t>
                  </w:r>
                </w:p>
              </w:tc>
              <w:tc>
                <w:tcPr>
                  <w:tcW w:w="31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工业无组织排放全面控制到位：工艺和工业堆场无组织排放治理。所有工业企业全面落实“密闭生产、密闭传输、密闭封装、密闭装卸、密闭储存、密闭运输”的工艺废气无组织排放控制措施；所有工业企业（除露天开采场所外）必须建设原料库和成品库，禁止露天作业、露天堆放。</w:t>
                  </w:r>
                </w:p>
              </w:tc>
              <w:tc>
                <w:tcPr>
                  <w:tcW w:w="11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本企业生产区位于密闭的生产车间内。</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exact"/>
                    <w:ind w:left="0" w:leftChars="0"/>
                    <w:jc w:val="center"/>
                    <w:textAlignment w:val="auto"/>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exact"/>
                    <w:ind w:left="0" w:leftChars="0"/>
                    <w:jc w:val="center"/>
                    <w:textAlignment w:val="auto"/>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2</w:t>
                  </w:r>
                </w:p>
              </w:tc>
              <w:tc>
                <w:tcPr>
                  <w:tcW w:w="31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工业焊接烟气无组织排放治理。全市机械加工、装备制造、钢构加工、钢制家具制造、锻造等凡排放工业焊接烟气的企业或工艺（不包括临时施工焊接烟气）淘汰移动式焊接烟气收集净化设施，进行工艺改造和整合，建设固定点位焊接烟气收集净化设施，配套建设袋式除尘器，颗粒物排放浓度不高于10毫克/立方米。</w:t>
                  </w:r>
                </w:p>
              </w:tc>
              <w:tc>
                <w:tcPr>
                  <w:tcW w:w="11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本项目设固定</w:t>
                  </w:r>
                  <w:r>
                    <w:rPr>
                      <w:rFonts w:hint="eastAsia" w:ascii="Times New Roman" w:hAnsi="Times New Roman" w:eastAsia="宋体" w:cs="Times New Roman"/>
                      <w:color w:val="000000"/>
                      <w:sz w:val="21"/>
                      <w:szCs w:val="21"/>
                      <w:lang w:val="en-US" w:eastAsia="zh-CN"/>
                    </w:rPr>
                    <w:t>的</w:t>
                  </w:r>
                  <w:r>
                    <w:rPr>
                      <w:rFonts w:hint="default" w:ascii="Times New Roman" w:hAnsi="Times New Roman" w:eastAsia="宋体" w:cs="Times New Roman"/>
                      <w:color w:val="000000"/>
                      <w:sz w:val="21"/>
                      <w:szCs w:val="21"/>
                    </w:rPr>
                    <w:t>焊接</w:t>
                  </w:r>
                  <w:r>
                    <w:rPr>
                      <w:rFonts w:hint="eastAsia" w:ascii="Times New Roman" w:hAnsi="Times New Roman" w:eastAsia="宋体" w:cs="Times New Roman"/>
                      <w:color w:val="000000"/>
                      <w:sz w:val="21"/>
                      <w:szCs w:val="21"/>
                      <w:lang w:val="en-US" w:eastAsia="zh-CN"/>
                    </w:rPr>
                    <w:t>间</w:t>
                  </w:r>
                  <w:r>
                    <w:rPr>
                      <w:rFonts w:hint="default" w:ascii="Times New Roman" w:hAnsi="Times New Roman" w:eastAsia="宋体" w:cs="Times New Roman"/>
                      <w:color w:val="000000"/>
                      <w:sz w:val="21"/>
                      <w:szCs w:val="21"/>
                    </w:rPr>
                    <w:t>，焊接烟尘经配套的袋式除尘器进行处理。</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exact"/>
                    <w:ind w:left="0" w:leftChars="0"/>
                    <w:jc w:val="center"/>
                    <w:textAlignment w:val="auto"/>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exact"/>
                    <w:ind w:left="0" w:leftChars="0"/>
                    <w:jc w:val="center"/>
                    <w:textAlignment w:val="auto"/>
                    <w:rPr>
                      <w:rFonts w:hint="eastAsia" w:ascii="Times New Roman" w:hAnsi="Times New Roman" w:eastAsia="宋体" w:cs="Times New Roman"/>
                      <w:snapToGrid w:val="0"/>
                      <w:sz w:val="21"/>
                      <w:szCs w:val="21"/>
                      <w:lang w:eastAsia="zh-CN"/>
                    </w:rPr>
                  </w:pPr>
                  <w:r>
                    <w:rPr>
                      <w:rFonts w:hint="eastAsia" w:ascii="Times New Roman" w:hAnsi="Times New Roman" w:eastAsia="宋体" w:cs="Times New Roman"/>
                      <w:snapToGrid w:val="0"/>
                      <w:sz w:val="21"/>
                      <w:szCs w:val="21"/>
                      <w:lang w:val="en-US" w:eastAsia="zh-CN"/>
                    </w:rPr>
                    <w:t>3</w:t>
                  </w:r>
                </w:p>
              </w:tc>
              <w:tc>
                <w:tcPr>
                  <w:tcW w:w="31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严格源头管控。全市新建涉气工业窑炉实行大气污染物排放等量替代，省控项目实行双倍减量替代；城市区和县城建成区工业窑炉原则上只减不增，城市建成区禁止新建耗煤（包括燃料煤和原料煤）工业窑炉，严控新建其他排放废气的工业窑炉；县（市）新建工业窑炉原则上进入产业集聚区，城市上风向的新安县、孟津县、偃师市新建工业炉窑可选址在资源禀赋好、环境承载力强、大气扩散条件优的区域；现有涉气工业窑炉的升级、改造、扩能不得增加大气污染物排放量。</w:t>
                  </w:r>
                </w:p>
              </w:tc>
              <w:tc>
                <w:tcPr>
                  <w:tcW w:w="11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本项目位于洛阳市偃师市大口镇工业区，项目烘干道污染物排放执行满足</w:t>
                  </w:r>
                  <w:r>
                    <w:rPr>
                      <w:rFonts w:hint="default" w:ascii="Times New Roman" w:hAnsi="Times New Roman" w:eastAsia="宋体" w:cs="Times New Roman"/>
                      <w:sz w:val="21"/>
                      <w:szCs w:val="21"/>
                    </w:rPr>
                    <w:t>《工业炉窑大气污染物排放标准》(DB41/1066-2020)表1标准</w:t>
                  </w:r>
                  <w:r>
                    <w:rPr>
                      <w:rFonts w:hint="default" w:ascii="Times New Roman" w:hAnsi="Times New Roman" w:eastAsia="宋体" w:cs="Times New Roman"/>
                      <w:color w:val="000000"/>
                      <w:sz w:val="21"/>
                      <w:szCs w:val="21"/>
                    </w:rPr>
                    <w:t>。</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exact"/>
                    <w:ind w:left="0" w:leftChars="0"/>
                    <w:jc w:val="center"/>
                    <w:textAlignment w:val="auto"/>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相符</w:t>
                  </w:r>
                </w:p>
              </w:tc>
            </w:tr>
          </w:tbl>
          <w:p>
            <w:pPr>
              <w:widowControl/>
              <w:spacing w:line="360" w:lineRule="auto"/>
              <w:ind w:firstLine="480" w:firstLineChars="200"/>
              <w:rPr>
                <w:rFonts w:ascii="Times New Roman" w:hAnsi="Times New Roman"/>
                <w:sz w:val="24"/>
                <w:szCs w:val="24"/>
              </w:rPr>
            </w:pPr>
            <w:r>
              <w:rPr>
                <w:rFonts w:ascii="Times New Roman"/>
                <w:sz w:val="24"/>
                <w:szCs w:val="24"/>
              </w:rPr>
              <w:t>由上述分析可知，</w:t>
            </w:r>
            <w:r>
              <w:rPr>
                <w:rFonts w:ascii="Times New Roman"/>
                <w:kern w:val="0"/>
                <w:sz w:val="24"/>
                <w:szCs w:val="21"/>
              </w:rPr>
              <w:t>本项目建设符合《</w:t>
            </w:r>
            <w:r>
              <w:rPr>
                <w:rFonts w:ascii="Times New Roman"/>
                <w:sz w:val="24"/>
                <w:szCs w:val="21"/>
              </w:rPr>
              <w:t>洛阳市</w:t>
            </w:r>
            <w:r>
              <w:rPr>
                <w:rFonts w:ascii="Times New Roman" w:hAnsi="Times New Roman"/>
                <w:sz w:val="24"/>
                <w:szCs w:val="21"/>
              </w:rPr>
              <w:t>2020</w:t>
            </w:r>
            <w:r>
              <w:rPr>
                <w:rFonts w:ascii="Times New Roman"/>
                <w:sz w:val="24"/>
                <w:szCs w:val="21"/>
              </w:rPr>
              <w:t>年工业污染治理专项方案的通知</w:t>
            </w:r>
            <w:r>
              <w:rPr>
                <w:rFonts w:ascii="Times New Roman"/>
                <w:kern w:val="0"/>
                <w:sz w:val="24"/>
                <w:szCs w:val="21"/>
              </w:rPr>
              <w:t>》</w:t>
            </w:r>
            <w:r>
              <w:rPr>
                <w:rFonts w:ascii="Times New Roman"/>
                <w:sz w:val="24"/>
                <w:szCs w:val="21"/>
              </w:rPr>
              <w:t>（洛环攻坚办</w:t>
            </w:r>
            <w:r>
              <w:rPr>
                <w:rFonts w:ascii="Times New Roman" w:hAnsi="Times New Roman"/>
                <w:sz w:val="24"/>
                <w:szCs w:val="21"/>
              </w:rPr>
              <w:t>[2020]14</w:t>
            </w:r>
            <w:r>
              <w:rPr>
                <w:rFonts w:ascii="Times New Roman"/>
                <w:sz w:val="24"/>
                <w:szCs w:val="21"/>
              </w:rPr>
              <w:t>号）</w:t>
            </w:r>
            <w:r>
              <w:rPr>
                <w:rFonts w:ascii="Times New Roman"/>
                <w:kern w:val="0"/>
                <w:sz w:val="24"/>
                <w:szCs w:val="21"/>
              </w:rPr>
              <w:t>中相关要求。</w:t>
            </w:r>
          </w:p>
          <w:p>
            <w:pPr>
              <w:spacing w:line="360" w:lineRule="auto"/>
              <w:rPr>
                <w:rFonts w:ascii="Times New Roman" w:hAnsi="Times New Roman"/>
                <w:b/>
                <w:bCs w:val="0"/>
                <w:sz w:val="24"/>
                <w:szCs w:val="24"/>
              </w:rPr>
            </w:pPr>
            <w:r>
              <w:rPr>
                <w:rFonts w:ascii="Times New Roman" w:hAnsi="Times New Roman"/>
                <w:b/>
                <w:bCs w:val="0"/>
                <w:color w:val="000000"/>
                <w:sz w:val="24"/>
                <w:szCs w:val="24"/>
              </w:rPr>
              <w:t>3.</w:t>
            </w:r>
            <w:r>
              <w:rPr>
                <w:rFonts w:hint="eastAsia" w:ascii="Times New Roman" w:hAnsi="Times New Roman"/>
                <w:b/>
                <w:bCs w:val="0"/>
                <w:color w:val="000000"/>
                <w:sz w:val="24"/>
                <w:szCs w:val="24"/>
              </w:rPr>
              <w:t>5</w:t>
            </w:r>
            <w:r>
              <w:rPr>
                <w:rFonts w:ascii="Times New Roman" w:hAnsi="Times New Roman"/>
                <w:b/>
                <w:bCs w:val="0"/>
                <w:color w:val="000000"/>
                <w:sz w:val="24"/>
                <w:szCs w:val="24"/>
              </w:rPr>
              <w:t>与《偃师区202</w:t>
            </w:r>
            <w:r>
              <w:rPr>
                <w:rFonts w:hint="eastAsia"/>
                <w:b/>
                <w:bCs w:val="0"/>
                <w:color w:val="000000"/>
                <w:sz w:val="24"/>
                <w:szCs w:val="24"/>
                <w:lang w:val="en-US" w:eastAsia="zh-CN"/>
              </w:rPr>
              <w:t>3</w:t>
            </w:r>
            <w:r>
              <w:rPr>
                <w:rFonts w:ascii="Times New Roman" w:hAnsi="Times New Roman"/>
                <w:b/>
                <w:bCs w:val="0"/>
                <w:color w:val="000000"/>
                <w:sz w:val="24"/>
                <w:szCs w:val="24"/>
              </w:rPr>
              <w:t>年</w:t>
            </w:r>
            <w:r>
              <w:rPr>
                <w:rFonts w:hint="eastAsia"/>
                <w:b/>
                <w:bCs w:val="0"/>
                <w:color w:val="000000"/>
                <w:sz w:val="24"/>
                <w:szCs w:val="24"/>
                <w:lang w:val="en-US" w:eastAsia="zh-CN"/>
              </w:rPr>
              <w:t>夏季</w:t>
            </w:r>
            <w:r>
              <w:rPr>
                <w:rFonts w:ascii="Times New Roman" w:hAnsi="Times New Roman"/>
                <w:b/>
                <w:bCs w:val="0"/>
                <w:color w:val="000000"/>
                <w:sz w:val="24"/>
                <w:szCs w:val="24"/>
              </w:rPr>
              <w:t>挥发性有机物污染防治实施方案》偃环</w:t>
            </w:r>
            <w:r>
              <w:rPr>
                <w:rFonts w:hint="eastAsia"/>
                <w:b/>
                <w:bCs w:val="0"/>
                <w:color w:val="000000"/>
                <w:sz w:val="24"/>
                <w:szCs w:val="24"/>
                <w:lang w:val="en-US" w:eastAsia="zh-CN"/>
              </w:rPr>
              <w:t>委</w:t>
            </w:r>
            <w:r>
              <w:rPr>
                <w:rFonts w:ascii="Times New Roman" w:hAnsi="Times New Roman"/>
                <w:b/>
                <w:bCs w:val="0"/>
                <w:color w:val="000000"/>
                <w:sz w:val="24"/>
                <w:szCs w:val="24"/>
              </w:rPr>
              <w:t>办[202</w:t>
            </w:r>
            <w:r>
              <w:rPr>
                <w:rFonts w:hint="eastAsia"/>
                <w:b/>
                <w:bCs w:val="0"/>
                <w:color w:val="000000"/>
                <w:sz w:val="24"/>
                <w:szCs w:val="24"/>
                <w:lang w:val="en-US" w:eastAsia="zh-CN"/>
              </w:rPr>
              <w:t>3</w:t>
            </w:r>
            <w:r>
              <w:rPr>
                <w:rFonts w:ascii="Times New Roman" w:hAnsi="Times New Roman"/>
                <w:b/>
                <w:bCs w:val="0"/>
                <w:color w:val="000000"/>
                <w:sz w:val="24"/>
                <w:szCs w:val="24"/>
              </w:rPr>
              <w:t>]</w:t>
            </w:r>
            <w:r>
              <w:rPr>
                <w:rFonts w:hint="eastAsia"/>
                <w:b/>
                <w:bCs w:val="0"/>
                <w:color w:val="000000"/>
                <w:sz w:val="24"/>
                <w:szCs w:val="24"/>
                <w:lang w:val="en-US" w:eastAsia="zh-CN"/>
              </w:rPr>
              <w:t>5</w:t>
            </w:r>
            <w:r>
              <w:rPr>
                <w:rFonts w:ascii="Times New Roman" w:hAnsi="Times New Roman"/>
                <w:b/>
                <w:bCs w:val="0"/>
                <w:color w:val="000000"/>
                <w:sz w:val="24"/>
                <w:szCs w:val="24"/>
              </w:rPr>
              <w:t>号相符性</w:t>
            </w:r>
            <w:r>
              <w:rPr>
                <w:rFonts w:ascii="Times New Roman" w:hAnsi="Times New Roman"/>
                <w:b/>
                <w:bCs w:val="0"/>
                <w:sz w:val="24"/>
                <w:szCs w:val="24"/>
              </w:rPr>
              <w:t>分析</w:t>
            </w:r>
          </w:p>
          <w:p>
            <w:pPr>
              <w:keepNext w:val="0"/>
              <w:keepLines w:val="0"/>
              <w:pageBreakBefore w:val="0"/>
              <w:widowControl w:val="0"/>
              <w:kinsoku/>
              <w:wordWrap/>
              <w:overflowPunct/>
              <w:topLinePunct w:val="0"/>
              <w:autoSpaceDE/>
              <w:autoSpaceDN/>
              <w:bidi w:val="0"/>
              <w:adjustRightInd w:val="0"/>
              <w:snapToGrid/>
              <w:spacing w:line="240" w:lineRule="auto"/>
              <w:ind w:right="0"/>
              <w:jc w:val="center"/>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表1-7  </w:t>
            </w:r>
            <w:r>
              <w:rPr>
                <w:rFonts w:hint="default" w:ascii="Times New Roman" w:hAnsi="Times New Roman" w:eastAsia="宋体" w:cs="Times New Roman"/>
                <w:bCs/>
                <w:kern w:val="0"/>
                <w:sz w:val="24"/>
                <w:szCs w:val="24"/>
              </w:rPr>
              <w:t>与</w:t>
            </w:r>
            <w:r>
              <w:rPr>
                <w:rFonts w:hint="default" w:ascii="Times New Roman" w:hAnsi="Times New Roman" w:eastAsia="宋体" w:cs="Times New Roman"/>
                <w:bCs/>
                <w:color w:val="000000"/>
                <w:kern w:val="0"/>
                <w:sz w:val="24"/>
                <w:szCs w:val="24"/>
              </w:rPr>
              <w:t>偃环</w:t>
            </w:r>
            <w:r>
              <w:rPr>
                <w:rFonts w:hint="default" w:ascii="Times New Roman" w:hAnsi="Times New Roman" w:eastAsia="宋体" w:cs="Times New Roman"/>
                <w:bCs/>
                <w:color w:val="000000"/>
                <w:kern w:val="0"/>
                <w:sz w:val="24"/>
                <w:szCs w:val="24"/>
                <w:lang w:val="en-US" w:eastAsia="zh-CN"/>
              </w:rPr>
              <w:t>委</w:t>
            </w:r>
            <w:r>
              <w:rPr>
                <w:rFonts w:hint="default" w:ascii="Times New Roman" w:hAnsi="Times New Roman" w:eastAsia="宋体" w:cs="Times New Roman"/>
                <w:bCs/>
                <w:color w:val="000000"/>
                <w:kern w:val="0"/>
                <w:sz w:val="24"/>
                <w:szCs w:val="24"/>
              </w:rPr>
              <w:t>办[202</w:t>
            </w:r>
            <w:r>
              <w:rPr>
                <w:rFonts w:hint="default" w:ascii="Times New Roman" w:hAnsi="Times New Roman" w:eastAsia="宋体" w:cs="Times New Roman"/>
                <w:bCs/>
                <w:color w:val="000000"/>
                <w:kern w:val="0"/>
                <w:sz w:val="24"/>
                <w:szCs w:val="24"/>
                <w:lang w:val="en-US" w:eastAsia="zh-CN"/>
              </w:rPr>
              <w:t>3</w:t>
            </w:r>
            <w:r>
              <w:rPr>
                <w:rFonts w:hint="default" w:ascii="Times New Roman" w:hAnsi="Times New Roman" w:eastAsia="宋体" w:cs="Times New Roman"/>
                <w:bCs/>
                <w:color w:val="000000"/>
                <w:kern w:val="0"/>
                <w:sz w:val="24"/>
                <w:szCs w:val="24"/>
              </w:rPr>
              <w:t>]</w:t>
            </w:r>
            <w:r>
              <w:rPr>
                <w:rFonts w:hint="default" w:ascii="Times New Roman" w:hAnsi="Times New Roman" w:eastAsia="宋体" w:cs="Times New Roman"/>
                <w:bCs/>
                <w:color w:val="000000"/>
                <w:kern w:val="0"/>
                <w:sz w:val="24"/>
                <w:szCs w:val="24"/>
                <w:lang w:val="en-US" w:eastAsia="zh-CN"/>
              </w:rPr>
              <w:t>5</w:t>
            </w:r>
            <w:r>
              <w:rPr>
                <w:rFonts w:hint="default" w:ascii="Times New Roman" w:hAnsi="Times New Roman" w:eastAsia="宋体" w:cs="Times New Roman"/>
                <w:bCs/>
                <w:color w:val="000000"/>
                <w:kern w:val="0"/>
                <w:sz w:val="24"/>
                <w:szCs w:val="24"/>
              </w:rPr>
              <w:t>号</w:t>
            </w:r>
            <w:r>
              <w:rPr>
                <w:rFonts w:hint="default" w:ascii="Times New Roman" w:hAnsi="Times New Roman" w:eastAsia="宋体" w:cs="Times New Roman"/>
                <w:bCs/>
                <w:kern w:val="0"/>
                <w:sz w:val="24"/>
                <w:szCs w:val="24"/>
              </w:rPr>
              <w:t>相符性</w:t>
            </w:r>
            <w:r>
              <w:rPr>
                <w:rFonts w:hint="default" w:ascii="Times New Roman" w:hAnsi="Times New Roman" w:eastAsia="宋体" w:cs="Times New Roman"/>
                <w:kern w:val="0"/>
                <w:sz w:val="24"/>
                <w:szCs w:val="24"/>
              </w:rPr>
              <w:t>一览表</w:t>
            </w: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84"/>
              <w:gridCol w:w="2951"/>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28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bCs/>
                      <w:snapToGrid w:val="0"/>
                      <w:sz w:val="21"/>
                      <w:szCs w:val="21"/>
                      <w:u w:val="single"/>
                    </w:rPr>
                  </w:pPr>
                  <w:r>
                    <w:rPr>
                      <w:rFonts w:hint="default" w:ascii="Times New Roman" w:hAnsi="Times New Roman" w:eastAsia="宋体" w:cs="Times New Roman"/>
                      <w:b/>
                      <w:bCs/>
                      <w:snapToGrid w:val="0"/>
                      <w:sz w:val="21"/>
                      <w:szCs w:val="21"/>
                      <w:u w:val="single"/>
                    </w:rPr>
                    <w:t>要求</w:t>
                  </w:r>
                </w:p>
              </w:tc>
              <w:tc>
                <w:tcPr>
                  <w:tcW w:w="1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bCs/>
                      <w:snapToGrid w:val="0"/>
                      <w:sz w:val="21"/>
                      <w:szCs w:val="21"/>
                      <w:u w:val="single"/>
                    </w:rPr>
                  </w:pPr>
                  <w:r>
                    <w:rPr>
                      <w:rFonts w:hint="default" w:ascii="Times New Roman" w:hAnsi="Times New Roman" w:eastAsia="宋体" w:cs="Times New Roman"/>
                      <w:b/>
                      <w:bCs/>
                      <w:snapToGrid w:val="0"/>
                      <w:sz w:val="21"/>
                      <w:szCs w:val="21"/>
                      <w:u w:val="single"/>
                    </w:rPr>
                    <w:t>本项目</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bCs/>
                      <w:snapToGrid w:val="0"/>
                      <w:sz w:val="21"/>
                      <w:szCs w:val="21"/>
                      <w:u w:val="single"/>
                    </w:rPr>
                  </w:pPr>
                  <w:r>
                    <w:rPr>
                      <w:rFonts w:hint="default" w:ascii="Times New Roman" w:hAnsi="Times New Roman" w:eastAsia="宋体" w:cs="Times New Roman"/>
                      <w:b/>
                      <w:bCs/>
                      <w:snapToGrid w:val="0"/>
                      <w:sz w:val="21"/>
                      <w:szCs w:val="21"/>
                      <w:u w:val="singl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28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firstLine="0" w:firstLineChars="0"/>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(二)实施源头削减，推进总量减排</w:t>
                  </w:r>
                  <w:r>
                    <w:rPr>
                      <w:rFonts w:hint="default" w:ascii="Times New Roman" w:hAnsi="Times New Roman" w:eastAsia="宋体" w:cs="Times New Roman"/>
                      <w:b/>
                      <w:bCs/>
                      <w:sz w:val="21"/>
                      <w:szCs w:val="21"/>
                      <w:u w:val="single"/>
                    </w:rPr>
                    <w:br w:type="textWrapping"/>
                  </w:r>
                  <w:r>
                    <w:rPr>
                      <w:rFonts w:hint="default" w:ascii="Times New Roman" w:hAnsi="Times New Roman" w:eastAsia="宋体" w:cs="Times New Roman"/>
                      <w:b/>
                      <w:bCs/>
                      <w:sz w:val="21"/>
                      <w:szCs w:val="21"/>
                      <w:u w:val="single"/>
                    </w:rPr>
                    <w:t>3、推动工业企业源头替代落实。</w:t>
                  </w:r>
                  <w:r>
                    <w:rPr>
                      <w:rFonts w:hint="default" w:ascii="Times New Roman" w:hAnsi="Times New Roman" w:eastAsia="宋体" w:cs="Times New Roman"/>
                      <w:b/>
                      <w:bCs/>
                      <w:sz w:val="21"/>
                      <w:szCs w:val="21"/>
                      <w:u w:val="single"/>
                    </w:rPr>
                    <w:br w:type="textWrapping"/>
                  </w:r>
                  <w:r>
                    <w:rPr>
                      <w:rFonts w:hint="default" w:ascii="Times New Roman" w:hAnsi="Times New Roman" w:eastAsia="宋体" w:cs="Times New Roman"/>
                      <w:b/>
                      <w:bCs/>
                      <w:sz w:val="21"/>
                      <w:szCs w:val="21"/>
                      <w:u w:val="single"/>
                    </w:rPr>
                    <w:t>按照“可替尽替、应代尽代”的原则，开展工业涂装、家具制造、包装印刷、钢结构制造、制鞋等行业溶剂型涂料、油墨、胶粘剂、清洗剂使用低 VOCs 含量原辅材料替代，明确治理任务，动态更新清单台账。建立保存期限不少于三年的台账，记录生产原料、辅料的使用量、废弃量、去向以及挥发性有机物含量。</w:t>
                  </w:r>
                </w:p>
              </w:tc>
              <w:tc>
                <w:tcPr>
                  <w:tcW w:w="1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firstLine="0" w:firstLineChars="0"/>
                    <w:textAlignment w:val="auto"/>
                    <w:rPr>
                      <w:rFonts w:hint="eastAsia"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本项目粉末涂料为固态低VOCs含量涂料。</w:t>
                  </w:r>
                  <w:r>
                    <w:rPr>
                      <w:rFonts w:hint="eastAsia" w:ascii="Times New Roman" w:hAnsi="Times New Roman" w:eastAsia="宋体" w:cs="Times New Roman"/>
                      <w:b/>
                      <w:bCs/>
                      <w:sz w:val="21"/>
                      <w:szCs w:val="21"/>
                      <w:u w:val="single"/>
                      <w:lang w:val="en-US" w:eastAsia="zh-CN"/>
                    </w:rPr>
                    <w:t>且项目运营期间要求建设单位</w:t>
                  </w:r>
                  <w:r>
                    <w:rPr>
                      <w:rFonts w:hint="default" w:ascii="Times New Roman" w:hAnsi="Times New Roman" w:eastAsia="宋体" w:cs="Times New Roman"/>
                      <w:b/>
                      <w:bCs/>
                      <w:sz w:val="21"/>
                      <w:szCs w:val="21"/>
                      <w:u w:val="single"/>
                    </w:rPr>
                    <w:t>建立保存期限不少于三年的台账，记录生产原料、辅料的使用量、废弃量、去向以及挥发性有机物含量</w:t>
                  </w:r>
                  <w:r>
                    <w:rPr>
                      <w:rFonts w:hint="eastAsia" w:ascii="Times New Roman" w:hAnsi="Times New Roman" w:eastAsia="宋体" w:cs="Times New Roman"/>
                      <w:b/>
                      <w:bCs/>
                      <w:sz w:val="21"/>
                      <w:szCs w:val="21"/>
                      <w:u w:val="single"/>
                      <w:lang w:eastAsia="zh-CN"/>
                    </w:rPr>
                    <w:t>。</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Times New Roman" w:hAnsi="Times New Roman" w:eastAsia="宋体" w:cs="Times New Roman"/>
                      <w:b/>
                      <w:bCs/>
                      <w:snapToGrid w:val="0"/>
                      <w:sz w:val="21"/>
                      <w:szCs w:val="21"/>
                      <w:u w:val="single"/>
                      <w:lang w:val="en-US" w:eastAsia="zh-CN"/>
                    </w:rPr>
                  </w:pPr>
                  <w:r>
                    <w:rPr>
                      <w:rFonts w:hint="eastAsia" w:cs="Times New Roman"/>
                      <w:b/>
                      <w:bCs/>
                      <w:snapToGrid w:val="0"/>
                      <w:sz w:val="21"/>
                      <w:szCs w:val="21"/>
                      <w:u w:val="single"/>
                      <w:lang w:val="en-US" w:eastAsia="zh-CN"/>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28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firstLine="0" w:firstLineChars="0"/>
                    <w:jc w:val="both"/>
                    <w:textAlignment w:val="auto"/>
                    <w:rPr>
                      <w:rFonts w:hint="eastAsia" w:ascii="Times New Roman" w:hAnsi="Times New Roman" w:eastAsia="宋体" w:cs="Times New Roman"/>
                      <w:b/>
                      <w:bCs/>
                      <w:sz w:val="21"/>
                      <w:szCs w:val="21"/>
                      <w:u w:val="single"/>
                      <w:lang w:eastAsia="zh-CN"/>
                    </w:rPr>
                  </w:pPr>
                  <w:r>
                    <w:rPr>
                      <w:rFonts w:hint="eastAsia" w:cs="Times New Roman"/>
                      <w:b/>
                      <w:bCs/>
                      <w:sz w:val="21"/>
                      <w:szCs w:val="21"/>
                      <w:u w:val="single"/>
                      <w:lang w:val="en-US" w:eastAsia="zh-CN"/>
                    </w:rPr>
                    <w:t>8、</w:t>
                  </w:r>
                  <w:r>
                    <w:rPr>
                      <w:rFonts w:hint="default" w:ascii="Times New Roman" w:hAnsi="Times New Roman" w:eastAsia="宋体" w:cs="Times New Roman"/>
                      <w:b/>
                      <w:bCs/>
                      <w:sz w:val="21"/>
                      <w:szCs w:val="21"/>
                      <w:u w:val="single"/>
                    </w:rPr>
                    <w:t>推进绿色生产工艺。</w:t>
                  </w:r>
                  <w:r>
                    <w:rPr>
                      <w:rFonts w:hint="default" w:ascii="Times New Roman" w:hAnsi="Times New Roman" w:eastAsia="宋体" w:cs="Times New Roman"/>
                      <w:b/>
                      <w:bCs/>
                      <w:sz w:val="21"/>
                      <w:szCs w:val="21"/>
                      <w:u w:val="single"/>
                    </w:rPr>
                    <w:br w:type="textWrapping"/>
                  </w:r>
                  <w:r>
                    <w:rPr>
                      <w:rFonts w:hint="default" w:ascii="Times New Roman" w:hAnsi="Times New Roman" w:eastAsia="宋体" w:cs="Times New Roman"/>
                      <w:b/>
                      <w:bCs/>
                      <w:sz w:val="21"/>
                      <w:szCs w:val="21"/>
                      <w:u w:val="single"/>
                    </w:rPr>
                    <w:t>在保证安全生产的前提下，工业涂装行业重点推进使用紧凑式涂装工艺，推广采用银涂静电喷涂、高压无气喷涂、空气辅助无气喷涂、热喷涂等技术，鼓励企业采用自动化、智能化喷涂设备替代人工喷涂减少使用空气喷涂技术</w:t>
                  </w:r>
                  <w:r>
                    <w:rPr>
                      <w:rFonts w:hint="eastAsia" w:cs="Times New Roman"/>
                      <w:b/>
                      <w:bCs/>
                      <w:sz w:val="21"/>
                      <w:szCs w:val="21"/>
                      <w:u w:val="single"/>
                      <w:lang w:eastAsia="zh-CN"/>
                    </w:rPr>
                    <w:t>；</w:t>
                  </w:r>
                  <w:r>
                    <w:rPr>
                      <w:rFonts w:hint="default" w:ascii="Times New Roman" w:hAnsi="Times New Roman" w:eastAsia="宋体" w:cs="Times New Roman"/>
                      <w:b/>
                      <w:bCs/>
                      <w:sz w:val="21"/>
                      <w:szCs w:val="21"/>
                      <w:u w:val="single"/>
                    </w:rPr>
                    <w:t>包装印刷行业要大力推广使用无溶剂复合、挤出复合、共挤出复合技术，鼓励采用水性凹印醇水凹印、辐射固化凹印、柔版印刷、无水胶印等印刷工艺</w:t>
                  </w:r>
                  <w:r>
                    <w:rPr>
                      <w:rFonts w:hint="eastAsia" w:cs="Times New Roman"/>
                      <w:b/>
                      <w:bCs/>
                      <w:sz w:val="21"/>
                      <w:szCs w:val="21"/>
                      <w:u w:val="single"/>
                      <w:lang w:eastAsia="zh-CN"/>
                    </w:rPr>
                    <w:t>。</w:t>
                  </w:r>
                </w:p>
              </w:tc>
              <w:tc>
                <w:tcPr>
                  <w:tcW w:w="1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firstLine="0" w:firstLineChars="0"/>
                    <w:textAlignment w:val="auto"/>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本项目喷塑工序采用静电喷涂工艺。</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cs="Times New Roman"/>
                      <w:b/>
                      <w:bCs/>
                      <w:snapToGrid w:val="0"/>
                      <w:sz w:val="21"/>
                      <w:szCs w:val="21"/>
                      <w:u w:val="single"/>
                      <w:lang w:val="en-US" w:eastAsia="zh-CN"/>
                    </w:rPr>
                  </w:pPr>
                  <w:r>
                    <w:rPr>
                      <w:rFonts w:hint="eastAsia" w:cs="Times New Roman"/>
                      <w:b/>
                      <w:bCs/>
                      <w:snapToGrid w:val="0"/>
                      <w:sz w:val="21"/>
                      <w:szCs w:val="21"/>
                      <w:u w:val="single"/>
                      <w:lang w:val="en-US" w:eastAsia="zh-CN"/>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28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firstLine="0" w:firstLineChars="0"/>
                    <w:textAlignment w:val="auto"/>
                    <w:rPr>
                      <w:rFonts w:hint="default" w:ascii="Times New Roman" w:hAnsi="Times New Roman" w:eastAsia="宋体" w:cs="Times New Roman"/>
                      <w:b/>
                      <w:bCs/>
                      <w:sz w:val="21"/>
                      <w:szCs w:val="21"/>
                      <w:u w:val="single"/>
                    </w:rPr>
                  </w:pPr>
                  <w:r>
                    <w:rPr>
                      <w:rFonts w:hint="eastAsia" w:cs="Times New Roman"/>
                      <w:b/>
                      <w:bCs/>
                      <w:sz w:val="21"/>
                      <w:szCs w:val="21"/>
                      <w:u w:val="single"/>
                      <w:lang w:eastAsia="zh-CN"/>
                    </w:rPr>
                    <w:t>（</w:t>
                  </w:r>
                  <w:r>
                    <w:rPr>
                      <w:rFonts w:hint="eastAsia" w:cs="Times New Roman"/>
                      <w:b/>
                      <w:bCs/>
                      <w:sz w:val="21"/>
                      <w:szCs w:val="21"/>
                      <w:u w:val="single"/>
                      <w:lang w:val="en-US" w:eastAsia="zh-CN"/>
                    </w:rPr>
                    <w:t>三</w:t>
                  </w:r>
                  <w:r>
                    <w:rPr>
                      <w:rFonts w:hint="eastAsia" w:cs="Times New Roman"/>
                      <w:b/>
                      <w:bCs/>
                      <w:sz w:val="21"/>
                      <w:szCs w:val="21"/>
                      <w:u w:val="single"/>
                      <w:lang w:eastAsia="zh-CN"/>
                    </w:rPr>
                    <w:t>）</w:t>
                  </w:r>
                  <w:r>
                    <w:rPr>
                      <w:rFonts w:hint="default" w:ascii="Times New Roman" w:hAnsi="Times New Roman" w:eastAsia="宋体" w:cs="Times New Roman"/>
                      <w:b/>
                      <w:bCs/>
                      <w:sz w:val="21"/>
                      <w:szCs w:val="21"/>
                      <w:u w:val="single"/>
                    </w:rPr>
                    <w:t>强化收集效果，减少无组织排放</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firstLine="0" w:firstLineChars="0"/>
                    <w:textAlignment w:val="auto"/>
                    <w:rPr>
                      <w:rFonts w:hint="default" w:ascii="Times New Roman" w:hAnsi="Times New Roman" w:eastAsia="宋体" w:cs="Times New Roman"/>
                      <w:b/>
                      <w:bCs/>
                      <w:sz w:val="21"/>
                      <w:szCs w:val="21"/>
                      <w:u w:val="single"/>
                    </w:rPr>
                  </w:pPr>
                  <w:r>
                    <w:rPr>
                      <w:rFonts w:hint="eastAsia" w:cs="Times New Roman"/>
                      <w:b/>
                      <w:bCs/>
                      <w:sz w:val="21"/>
                      <w:szCs w:val="21"/>
                      <w:u w:val="single"/>
                      <w:lang w:val="en-US" w:eastAsia="zh-CN"/>
                    </w:rPr>
                    <w:t>9、</w:t>
                  </w:r>
                  <w:r>
                    <w:rPr>
                      <w:rFonts w:hint="default" w:ascii="Times New Roman" w:hAnsi="Times New Roman" w:eastAsia="宋体" w:cs="Times New Roman"/>
                      <w:b/>
                      <w:bCs/>
                      <w:sz w:val="21"/>
                      <w:szCs w:val="21"/>
                      <w:u w:val="single"/>
                    </w:rPr>
                    <w:t>提升无组织废气收集效率。</w:t>
                  </w:r>
                  <w:r>
                    <w:rPr>
                      <w:rFonts w:hint="default" w:ascii="Times New Roman" w:hAnsi="Times New Roman" w:eastAsia="宋体" w:cs="Times New Roman"/>
                      <w:b/>
                      <w:bCs/>
                      <w:sz w:val="21"/>
                      <w:szCs w:val="21"/>
                      <w:u w:val="single"/>
                    </w:rPr>
                    <w:br w:type="textWrapping"/>
                  </w:r>
                  <w:r>
                    <w:rPr>
                      <w:rFonts w:hint="default" w:ascii="Times New Roman" w:hAnsi="Times New Roman" w:eastAsia="宋体" w:cs="Times New Roman"/>
                      <w:b/>
                      <w:bCs/>
                      <w:sz w:val="21"/>
                      <w:szCs w:val="21"/>
                      <w:u w:val="single"/>
                    </w:rPr>
                    <w:t>遵循“应收尽收、分质收集”的原则，科学设计废气收集系统，提升废气收集效率,尽可能将无组织排放转变为有组织排放进行控制。工业涂装包装印刷等行业优先采用密闭设备、在密闭空间中操作等方式收集无组织废气，并保持负压运行:采用集气罩、侧吸风等方式收集无组织废气的，距集气罩开口面最远处的控制风速不低于0.3米/秒或按相关行业要求规定执行。</w:t>
                  </w:r>
                </w:p>
              </w:tc>
              <w:tc>
                <w:tcPr>
                  <w:tcW w:w="1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firstLine="0" w:firstLineChars="0"/>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本项目粉末涂料为固态低VOCs含量涂料。烘干道除工件</w:t>
                  </w:r>
                  <w:r>
                    <w:rPr>
                      <w:rFonts w:hint="eastAsia" w:cs="Times New Roman"/>
                      <w:b/>
                      <w:bCs/>
                      <w:sz w:val="21"/>
                      <w:szCs w:val="21"/>
                      <w:u w:val="single"/>
                      <w:lang w:val="en-US" w:eastAsia="zh-CN"/>
                    </w:rPr>
                    <w:t>进</w:t>
                  </w:r>
                  <w:r>
                    <w:rPr>
                      <w:rFonts w:hint="default" w:ascii="Times New Roman" w:hAnsi="Times New Roman" w:eastAsia="宋体" w:cs="Times New Roman"/>
                      <w:b/>
                      <w:bCs/>
                      <w:sz w:val="21"/>
                      <w:szCs w:val="21"/>
                      <w:u w:val="single"/>
                    </w:rPr>
                    <w:t>出口为敞口式其他部分均为封闭式，</w:t>
                  </w:r>
                  <w:r>
                    <w:rPr>
                      <w:rFonts w:hint="eastAsia" w:cs="Times New Roman"/>
                      <w:b/>
                      <w:bCs/>
                      <w:sz w:val="21"/>
                      <w:szCs w:val="21"/>
                      <w:u w:val="single"/>
                      <w:lang w:val="en-US" w:eastAsia="zh-CN"/>
                    </w:rPr>
                    <w:t>进出口为同一口，工件出口</w:t>
                  </w:r>
                  <w:r>
                    <w:rPr>
                      <w:rFonts w:hint="default" w:ascii="Times New Roman" w:hAnsi="Times New Roman" w:eastAsia="宋体" w:cs="Times New Roman"/>
                      <w:b/>
                      <w:bCs/>
                      <w:sz w:val="21"/>
                      <w:szCs w:val="21"/>
                      <w:u w:val="single"/>
                    </w:rPr>
                    <w:t>上部设置集气罩（集气效率90%，保持微负压</w:t>
                  </w:r>
                  <w:r>
                    <w:rPr>
                      <w:rFonts w:hint="eastAsia" w:cs="Times New Roman"/>
                      <w:b/>
                      <w:bCs/>
                      <w:sz w:val="21"/>
                      <w:szCs w:val="21"/>
                      <w:u w:val="single"/>
                      <w:lang w:eastAsia="zh-CN"/>
                    </w:rPr>
                    <w:t>，</w:t>
                  </w:r>
                  <w:r>
                    <w:rPr>
                      <w:rFonts w:hint="eastAsia" w:cs="Times New Roman"/>
                      <w:b/>
                      <w:bCs/>
                      <w:sz w:val="21"/>
                      <w:szCs w:val="21"/>
                      <w:u w:val="single"/>
                      <w:lang w:val="en-US" w:eastAsia="zh-CN"/>
                    </w:rPr>
                    <w:t>并按项目废气排放特征设置</w:t>
                  </w:r>
                  <w:r>
                    <w:rPr>
                      <w:rFonts w:hint="default" w:ascii="Times New Roman" w:hAnsi="Times New Roman" w:eastAsia="宋体" w:cs="Times New Roman"/>
                      <w:b/>
                      <w:bCs/>
                      <w:sz w:val="21"/>
                      <w:szCs w:val="21"/>
                      <w:u w:val="single"/>
                    </w:rPr>
                    <w:t>），烘干固化废气经集气罩收集后由密闭、无破损管道进入</w:t>
                  </w:r>
                  <w:r>
                    <w:rPr>
                      <w:rFonts w:hint="default" w:ascii="Times New Roman" w:hAnsi="Times New Roman" w:eastAsia="宋体" w:cs="Times New Roman"/>
                      <w:b/>
                      <w:bCs/>
                      <w:snapToGrid w:val="0"/>
                      <w:kern w:val="0"/>
                      <w:sz w:val="21"/>
                      <w:szCs w:val="21"/>
                      <w:u w:val="single"/>
                    </w:rPr>
                    <w:t>UV光氧+活性炭吸附装置</w:t>
                  </w:r>
                  <w:r>
                    <w:rPr>
                      <w:rFonts w:hint="default" w:ascii="Times New Roman" w:hAnsi="Times New Roman" w:eastAsia="宋体" w:cs="Times New Roman"/>
                      <w:b/>
                      <w:bCs/>
                      <w:sz w:val="21"/>
                      <w:szCs w:val="21"/>
                      <w:u w:val="single"/>
                    </w:rPr>
                    <w:t>处理后达标排放；喷粉间除进出口为敞口式其他部分均为封闭式，喷塑粉尘经收集后引入旋风+滤筒二级收尘设施处理后达标排放。</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bCs/>
                      <w:snapToGrid w:val="0"/>
                      <w:sz w:val="21"/>
                      <w:szCs w:val="21"/>
                      <w:u w:val="single"/>
                    </w:rPr>
                  </w:pPr>
                  <w:r>
                    <w:rPr>
                      <w:rFonts w:hint="default" w:ascii="Times New Roman" w:hAnsi="Times New Roman" w:eastAsia="宋体" w:cs="Times New Roman"/>
                      <w:b/>
                      <w:bCs/>
                      <w:snapToGrid w:val="0"/>
                      <w:sz w:val="21"/>
                      <w:szCs w:val="21"/>
                      <w:u w:val="singl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28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firstLine="0" w:firstLineChars="0"/>
                    <w:textAlignment w:val="auto"/>
                    <w:rPr>
                      <w:rFonts w:hint="default" w:ascii="Times New Roman" w:hAnsi="Times New Roman" w:eastAsia="宋体" w:cs="Times New Roman"/>
                      <w:b/>
                      <w:bCs/>
                      <w:sz w:val="21"/>
                      <w:szCs w:val="21"/>
                      <w:u w:val="single"/>
                    </w:rPr>
                  </w:pPr>
                  <w:r>
                    <w:rPr>
                      <w:rFonts w:hint="eastAsia" w:cs="Times New Roman"/>
                      <w:b/>
                      <w:bCs/>
                      <w:sz w:val="21"/>
                      <w:szCs w:val="21"/>
                      <w:u w:val="single"/>
                      <w:lang w:eastAsia="zh-CN"/>
                    </w:rPr>
                    <w:t>（</w:t>
                  </w:r>
                  <w:r>
                    <w:rPr>
                      <w:rFonts w:hint="default" w:ascii="Times New Roman" w:hAnsi="Times New Roman" w:eastAsia="宋体" w:cs="Times New Roman"/>
                      <w:b/>
                      <w:bCs/>
                      <w:sz w:val="21"/>
                      <w:szCs w:val="21"/>
                      <w:u w:val="single"/>
                    </w:rPr>
                    <w:t>四</w:t>
                  </w:r>
                  <w:r>
                    <w:rPr>
                      <w:rFonts w:hint="eastAsia" w:cs="Times New Roman"/>
                      <w:b/>
                      <w:bCs/>
                      <w:sz w:val="21"/>
                      <w:szCs w:val="21"/>
                      <w:u w:val="single"/>
                      <w:lang w:eastAsia="zh-CN"/>
                    </w:rPr>
                    <w:t>）</w:t>
                  </w:r>
                  <w:r>
                    <w:rPr>
                      <w:rFonts w:hint="default" w:ascii="Times New Roman" w:hAnsi="Times New Roman" w:eastAsia="宋体" w:cs="Times New Roman"/>
                      <w:b/>
                      <w:bCs/>
                      <w:sz w:val="21"/>
                      <w:szCs w:val="21"/>
                      <w:u w:val="single"/>
                    </w:rPr>
                    <w:t>提升治理水平，全面达标排放</w:t>
                  </w:r>
                  <w:r>
                    <w:rPr>
                      <w:rFonts w:hint="default" w:ascii="Times New Roman" w:hAnsi="Times New Roman" w:eastAsia="宋体" w:cs="Times New Roman"/>
                      <w:b/>
                      <w:bCs/>
                      <w:sz w:val="21"/>
                      <w:szCs w:val="21"/>
                      <w:u w:val="single"/>
                    </w:rPr>
                    <w:br w:type="textWrapping"/>
                  </w:r>
                  <w:r>
                    <w:rPr>
                      <w:rFonts w:hint="default" w:ascii="Times New Roman" w:hAnsi="Times New Roman" w:eastAsia="宋体" w:cs="Times New Roman"/>
                      <w:b/>
                      <w:bCs/>
                      <w:sz w:val="21"/>
                      <w:szCs w:val="21"/>
                      <w:u w:val="single"/>
                    </w:rPr>
                    <w:t>10、取缔简易低效治理设施。</w:t>
                  </w:r>
                  <w:r>
                    <w:rPr>
                      <w:rFonts w:hint="default" w:ascii="Times New Roman" w:hAnsi="Times New Roman" w:eastAsia="宋体" w:cs="Times New Roman"/>
                      <w:b/>
                      <w:bCs/>
                      <w:sz w:val="21"/>
                      <w:szCs w:val="21"/>
                      <w:u w:val="single"/>
                    </w:rPr>
                    <w:br w:type="textWrapping"/>
                  </w:r>
                  <w:r>
                    <w:rPr>
                      <w:rFonts w:hint="default" w:ascii="Times New Roman" w:hAnsi="Times New Roman" w:eastAsia="宋体" w:cs="Times New Roman"/>
                      <w:b/>
                      <w:bCs/>
                      <w:sz w:val="21"/>
                      <w:szCs w:val="21"/>
                      <w:u w:val="single"/>
                    </w:rPr>
                    <w:t>在5月底前组织VOCs治理设施运行情况专项排查，重点关注单一低温等离子、光催化、光氧化以及非水溶性 VOCs 废气单一喷淋吸收等简易低效治理且无法稳定达标的设施，实施全面清理整治，指导企业依据废气浓度、组分、风量以及生产工况等选用适宜治理技术，加快推进升级改造，确保废气污染物稳定达标。</w:t>
                  </w:r>
                  <w:r>
                    <w:rPr>
                      <w:rFonts w:hint="default" w:ascii="Times New Roman" w:hAnsi="Times New Roman" w:eastAsia="宋体" w:cs="Times New Roman"/>
                      <w:b/>
                      <w:bCs/>
                      <w:sz w:val="21"/>
                      <w:szCs w:val="21"/>
                      <w:u w:val="single"/>
                    </w:rPr>
                    <w:br w:type="textWrapping"/>
                  </w:r>
                  <w:r>
                    <w:rPr>
                      <w:rFonts w:hint="default" w:ascii="Times New Roman" w:hAnsi="Times New Roman" w:eastAsia="宋体" w:cs="Times New Roman"/>
                      <w:b/>
                      <w:bCs/>
                      <w:sz w:val="21"/>
                      <w:szCs w:val="21"/>
                      <w:u w:val="single"/>
                    </w:rPr>
                    <w:t>11、提升污染防治设施治理效果。</w:t>
                  </w:r>
                  <w:r>
                    <w:rPr>
                      <w:rFonts w:hint="default" w:ascii="Times New Roman" w:hAnsi="Times New Roman" w:eastAsia="宋体" w:cs="Times New Roman"/>
                      <w:b/>
                      <w:bCs/>
                      <w:sz w:val="21"/>
                      <w:szCs w:val="21"/>
                      <w:u w:val="single"/>
                    </w:rPr>
                    <w:br w:type="textWrapping"/>
                  </w:r>
                  <w:r>
                    <w:rPr>
                      <w:rFonts w:hint="default" w:ascii="Times New Roman" w:hAnsi="Times New Roman" w:eastAsia="宋体" w:cs="Times New Roman"/>
                      <w:b/>
                      <w:bCs/>
                      <w:sz w:val="21"/>
                      <w:szCs w:val="21"/>
                      <w:u w:val="single"/>
                    </w:rPr>
                    <w:t>5月10日前对采用活性炭吸附工艺的企业开展现场帮扶指导，引导企业做好活性炭购买发票、活性炭质检报告、装填量、更换频次以及废活性炭暂存转运处理情况等台账记录，其中颗粒状、柱状活性炭碘值不应低于800 毫克/克，蜂窝状活性炭碘值不应低于650毫克/克，相关支撑材料至少要保存三年以上备查。5月底前，使用活性炭吸附的企业，VOCs 年产生量大于 0.5 吨且活性炭吸附效率低于 70%的，以及现场帮扶指导时无法提供半年内活性炭更换记录(自带自动脱附处理的除外)、碘值报告或活性炭碘值不满足要求的，要新一轮活性炭更换工作;采用催化燃烧工艺的企业应使用合格的催化剂并足额添加，催化剂床层的设计空速不得高于 40000 立方米/(立 方米催化剂·小时).RTO燃烧温度不低于 760 摄氏度，催化燃烧装置燃烧温度不低于300 摄氏度，运行温度、脱附频次等关键参数应自动记录存储，储存时间不得少于1年。</w:t>
                  </w:r>
                </w:p>
              </w:tc>
              <w:tc>
                <w:tcPr>
                  <w:tcW w:w="18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firstLine="0" w:firstLineChars="0"/>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本项目采用</w:t>
                  </w:r>
                  <w:r>
                    <w:rPr>
                      <w:rFonts w:hint="default" w:ascii="Times New Roman" w:hAnsi="Times New Roman" w:eastAsia="宋体" w:cs="Times New Roman"/>
                      <w:b/>
                      <w:bCs/>
                      <w:snapToGrid w:val="0"/>
                      <w:kern w:val="0"/>
                      <w:sz w:val="21"/>
                      <w:szCs w:val="21"/>
                      <w:u w:val="single"/>
                    </w:rPr>
                    <w:t>UV光氧+活性炭吸附装置对烘干固化有机废气进行处理，活性炭吸附装置拟采用</w:t>
                  </w:r>
                  <w:r>
                    <w:rPr>
                      <w:rFonts w:hint="default" w:ascii="Times New Roman" w:hAnsi="Times New Roman" w:eastAsia="宋体" w:cs="Times New Roman"/>
                      <w:b/>
                      <w:bCs/>
                      <w:sz w:val="21"/>
                      <w:szCs w:val="21"/>
                      <w:u w:val="single"/>
                    </w:rPr>
                    <w:t>碘值不低于650mg/g的蜂窝活性炭作为吸附剂。</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360" w:lineRule="exact"/>
                    <w:ind w:left="0" w:leftChars="0" w:right="0" w:rightChars="0" w:firstLine="0" w:firstLineChars="0"/>
                    <w:jc w:val="center"/>
                    <w:textAlignment w:val="auto"/>
                    <w:rPr>
                      <w:rFonts w:hint="default" w:ascii="Times New Roman" w:hAnsi="Times New Roman" w:eastAsia="宋体" w:cs="Times New Roman"/>
                      <w:b/>
                      <w:bCs/>
                      <w:snapToGrid w:val="0"/>
                      <w:sz w:val="21"/>
                      <w:szCs w:val="21"/>
                      <w:u w:val="single"/>
                    </w:rPr>
                  </w:pPr>
                  <w:r>
                    <w:rPr>
                      <w:rFonts w:hint="default" w:ascii="Times New Roman" w:hAnsi="Times New Roman" w:eastAsia="宋体" w:cs="Times New Roman"/>
                      <w:b/>
                      <w:bCs/>
                      <w:snapToGrid w:val="0"/>
                      <w:sz w:val="21"/>
                      <w:szCs w:val="21"/>
                      <w:u w:val="single"/>
                    </w:rPr>
                    <w:t>相符</w:t>
                  </w:r>
                </w:p>
              </w:tc>
            </w:tr>
          </w:tbl>
          <w:p>
            <w:pPr>
              <w:spacing w:line="360" w:lineRule="auto"/>
              <w:ind w:firstLine="480" w:firstLineChars="200"/>
              <w:rPr>
                <w:rFonts w:ascii="Times New Roman" w:hAnsi="Times New Roman"/>
                <w:b/>
                <w:bCs/>
                <w:sz w:val="24"/>
                <w:szCs w:val="24"/>
              </w:rPr>
            </w:pPr>
            <w:r>
              <w:rPr>
                <w:rFonts w:ascii="Times New Roman" w:hAnsi="Times New Roman"/>
                <w:bCs/>
                <w:sz w:val="24"/>
                <w:szCs w:val="24"/>
              </w:rPr>
              <w:t>根据以上分析内容，本项目符合</w:t>
            </w:r>
            <w:r>
              <w:rPr>
                <w:rFonts w:hint="eastAsia" w:ascii="Times New Roman" w:hAnsi="Times New Roman"/>
                <w:bCs/>
                <w:sz w:val="24"/>
                <w:szCs w:val="24"/>
              </w:rPr>
              <w:t>《偃师区</w:t>
            </w:r>
            <w:r>
              <w:rPr>
                <w:rFonts w:ascii="Times New Roman" w:hAnsi="Times New Roman"/>
                <w:bCs/>
                <w:sz w:val="24"/>
                <w:szCs w:val="24"/>
              </w:rPr>
              <w:t>2022年挥发性有机物污染防治实施方案》</w:t>
            </w:r>
            <w:r>
              <w:rPr>
                <w:rFonts w:hint="eastAsia" w:ascii="Times New Roman" w:hAnsi="Times New Roman"/>
                <w:bCs/>
                <w:sz w:val="24"/>
                <w:szCs w:val="24"/>
              </w:rPr>
              <w:t>偃环攻坚</w:t>
            </w:r>
            <w:r>
              <w:rPr>
                <w:rFonts w:ascii="Times New Roman" w:hAnsi="Times New Roman"/>
                <w:bCs/>
                <w:sz w:val="24"/>
                <w:szCs w:val="24"/>
              </w:rPr>
              <w:t>办[2022]</w:t>
            </w:r>
            <w:r>
              <w:rPr>
                <w:rFonts w:hint="eastAsia" w:ascii="Times New Roman" w:hAnsi="Times New Roman"/>
                <w:bCs/>
                <w:sz w:val="24"/>
                <w:szCs w:val="24"/>
              </w:rPr>
              <w:t>7</w:t>
            </w:r>
            <w:r>
              <w:rPr>
                <w:rFonts w:ascii="Times New Roman" w:hAnsi="Times New Roman"/>
                <w:bCs/>
                <w:sz w:val="24"/>
                <w:szCs w:val="24"/>
              </w:rPr>
              <w:t>号文件要求。</w:t>
            </w:r>
          </w:p>
          <w:p>
            <w:pPr>
              <w:spacing w:line="360" w:lineRule="auto"/>
              <w:rPr>
                <w:rFonts w:ascii="Times New Roman" w:hAnsi="Times New Roman"/>
                <w:b/>
                <w:bCs/>
                <w:sz w:val="24"/>
                <w:szCs w:val="24"/>
                <w:highlight w:val="none"/>
              </w:rPr>
            </w:pPr>
            <w:r>
              <w:rPr>
                <w:rFonts w:hint="eastAsia" w:ascii="Times New Roman" w:hAnsi="Times New Roman"/>
                <w:b/>
                <w:bCs/>
                <w:sz w:val="24"/>
                <w:szCs w:val="24"/>
                <w:highlight w:val="none"/>
              </w:rPr>
              <w:t>3.6</w:t>
            </w:r>
            <w:r>
              <w:rPr>
                <w:rFonts w:ascii="Times New Roman" w:hAnsi="Times New Roman"/>
                <w:b/>
                <w:bCs/>
                <w:sz w:val="24"/>
                <w:szCs w:val="24"/>
                <w:highlight w:val="none"/>
              </w:rPr>
              <w:t>与《偃师区</w:t>
            </w:r>
            <w:r>
              <w:rPr>
                <w:rFonts w:hint="eastAsia"/>
                <w:b/>
                <w:bCs/>
                <w:sz w:val="24"/>
                <w:szCs w:val="24"/>
                <w:highlight w:val="none"/>
                <w:lang w:val="en-US" w:eastAsia="zh-CN"/>
              </w:rPr>
              <w:t>2023年蓝天、碧水、净土保卫战实施方案的通知</w:t>
            </w:r>
            <w:r>
              <w:rPr>
                <w:rFonts w:ascii="Times New Roman" w:hAnsi="Times New Roman"/>
                <w:b/>
                <w:bCs/>
                <w:sz w:val="24"/>
                <w:szCs w:val="24"/>
                <w:highlight w:val="none"/>
              </w:rPr>
              <w:t>》（偃</w:t>
            </w:r>
            <w:r>
              <w:rPr>
                <w:rFonts w:hint="eastAsia"/>
                <w:b/>
                <w:bCs/>
                <w:sz w:val="24"/>
                <w:szCs w:val="24"/>
                <w:highlight w:val="none"/>
                <w:lang w:val="en-US" w:eastAsia="zh-CN"/>
              </w:rPr>
              <w:t>环委办</w:t>
            </w:r>
            <w:r>
              <w:rPr>
                <w:rFonts w:ascii="Times New Roman" w:hAnsi="Times New Roman"/>
                <w:b/>
                <w:bCs/>
                <w:sz w:val="24"/>
                <w:szCs w:val="24"/>
                <w:highlight w:val="none"/>
              </w:rPr>
              <w:t>〔202</w:t>
            </w:r>
            <w:r>
              <w:rPr>
                <w:rFonts w:hint="eastAsia"/>
                <w:b/>
                <w:bCs/>
                <w:sz w:val="24"/>
                <w:szCs w:val="24"/>
                <w:highlight w:val="none"/>
                <w:lang w:val="en-US" w:eastAsia="zh-CN"/>
              </w:rPr>
              <w:t>3</w:t>
            </w:r>
            <w:r>
              <w:rPr>
                <w:rFonts w:ascii="Times New Roman" w:hAnsi="Times New Roman"/>
                <w:b/>
                <w:bCs/>
                <w:sz w:val="24"/>
                <w:szCs w:val="24"/>
                <w:highlight w:val="none"/>
              </w:rPr>
              <w:t>〕</w:t>
            </w:r>
            <w:r>
              <w:rPr>
                <w:rFonts w:hint="eastAsia"/>
                <w:b/>
                <w:bCs/>
                <w:sz w:val="24"/>
                <w:szCs w:val="24"/>
                <w:highlight w:val="none"/>
                <w:lang w:val="en-US" w:eastAsia="zh-CN"/>
              </w:rPr>
              <w:t>3</w:t>
            </w:r>
            <w:r>
              <w:rPr>
                <w:rFonts w:ascii="Times New Roman" w:hAnsi="Times New Roman"/>
                <w:b/>
                <w:bCs/>
                <w:sz w:val="24"/>
                <w:szCs w:val="24"/>
                <w:highlight w:val="none"/>
              </w:rPr>
              <w:t>号）相符性分析</w:t>
            </w:r>
          </w:p>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黑体"/>
                <w:sz w:val="24"/>
                <w:szCs w:val="24"/>
              </w:rPr>
            </w:pPr>
            <w:r>
              <w:rPr>
                <w:rFonts w:hint="default" w:ascii="Times New Roman" w:hAnsi="Times New Roman" w:eastAsia="宋体" w:cs="Times New Roman"/>
                <w:sz w:val="24"/>
                <w:szCs w:val="24"/>
              </w:rPr>
              <w:t>表1-8  项目与</w:t>
            </w:r>
            <w:r>
              <w:rPr>
                <w:rFonts w:hint="default" w:ascii="Times New Roman" w:hAnsi="Times New Roman" w:eastAsia="宋体" w:cs="Times New Roman"/>
                <w:bCs/>
                <w:sz w:val="24"/>
                <w:szCs w:val="24"/>
              </w:rPr>
              <w:t>偃环委办〔2023〕3号文</w:t>
            </w:r>
            <w:r>
              <w:rPr>
                <w:rFonts w:hint="default" w:ascii="Times New Roman" w:hAnsi="Times New Roman" w:eastAsia="宋体" w:cs="Times New Roman"/>
                <w:sz w:val="24"/>
                <w:szCs w:val="24"/>
              </w:rPr>
              <w:t>相符性分析</w:t>
            </w:r>
          </w:p>
          <w:tbl>
            <w:tblPr>
              <w:tblStyle w:val="26"/>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49"/>
              <w:gridCol w:w="3826"/>
              <w:gridCol w:w="26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2" w:hRule="atLeast"/>
              </w:trPr>
              <w:tc>
                <w:tcPr>
                  <w:tcW w:w="4674"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方案要求</w:t>
                  </w:r>
                </w:p>
              </w:tc>
              <w:tc>
                <w:tcPr>
                  <w:tcW w:w="265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本项目情况</w:t>
                  </w:r>
                </w:p>
              </w:tc>
              <w:tc>
                <w:tcPr>
                  <w:tcW w:w="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2" w:hRule="atLeast"/>
              </w:trPr>
              <w:tc>
                <w:tcPr>
                  <w:tcW w:w="8188"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rPr>
                  </w:pPr>
                  <w:r>
                    <w:rPr>
                      <w:rFonts w:hint="eastAsia" w:cs="Times New Roman"/>
                      <w:b/>
                      <w:bCs/>
                      <w:sz w:val="21"/>
                      <w:szCs w:val="21"/>
                      <w:u w:val="single"/>
                      <w:lang w:val="en-US" w:eastAsia="zh-CN"/>
                    </w:rPr>
                    <w:t>偃师区2023年蓝天保卫战实施方案</w:t>
                  </w:r>
                  <w:r>
                    <w:rPr>
                      <w:rFonts w:hint="default" w:ascii="Times New Roman" w:hAnsi="Times New Roman" w:eastAsia="宋体" w:cs="Times New Roman"/>
                      <w:b/>
                      <w:bCs/>
                      <w:sz w:val="21"/>
                      <w:szCs w:val="21"/>
                      <w:u w:val="single"/>
                    </w:rPr>
                    <w:t>-三、主要任务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846" w:type="dxa"/>
                  <w:tcBorders>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（一）</w:t>
                  </w:r>
                  <w:r>
                    <w:rPr>
                      <w:rFonts w:hint="eastAsia" w:cs="Times New Roman"/>
                      <w:b/>
                      <w:bCs/>
                      <w:sz w:val="21"/>
                      <w:szCs w:val="21"/>
                      <w:u w:val="single"/>
                      <w:lang w:val="en-US" w:eastAsia="zh-CN"/>
                    </w:rPr>
                    <w:t>持续推进产业结构优化调整</w:t>
                  </w:r>
                </w:p>
              </w:tc>
              <w:tc>
                <w:tcPr>
                  <w:tcW w:w="3828"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1.加快传统产业集群升级改造。组织对耐火材料、工业涂装等行业产业集群开展排查摸底，2023 年6月底前建立重点行业产业集群及园区清单台账,研究制定“一群一策”整治提升方案，从生产工艺、产能规模、能耗水平、燃料类型、污染治理和区域环境综合整治等方面明确升级改造标准。根据产业集群特点,切实提升产业发展质量和环境治理水平,培育一批绿色工厂不断优化产业结构，推进工业企业绿色低碳高质量发展。</w:t>
                  </w:r>
                </w:p>
              </w:tc>
              <w:tc>
                <w:tcPr>
                  <w:tcW w:w="265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b/>
                      <w:bCs/>
                      <w:sz w:val="21"/>
                      <w:szCs w:val="21"/>
                      <w:u w:val="single"/>
                      <w:lang w:eastAsia="zh-CN"/>
                    </w:rPr>
                  </w:pPr>
                  <w:r>
                    <w:rPr>
                      <w:rFonts w:hint="default" w:ascii="Times New Roman" w:hAnsi="Times New Roman" w:eastAsia="宋体" w:cs="Times New Roman"/>
                      <w:b/>
                      <w:bCs/>
                      <w:sz w:val="21"/>
                      <w:szCs w:val="21"/>
                      <w:u w:val="single"/>
                    </w:rPr>
                    <w:t>本项目位于洛阳市偃师区大口镇工业区。项目为</w:t>
                  </w:r>
                  <w:r>
                    <w:rPr>
                      <w:rFonts w:hint="eastAsia" w:ascii="Times New Roman" w:hAnsi="Times New Roman" w:eastAsia="宋体" w:cs="Times New Roman"/>
                      <w:b/>
                      <w:bCs/>
                      <w:sz w:val="21"/>
                      <w:szCs w:val="21"/>
                      <w:u w:val="single"/>
                      <w:lang w:val="en-US" w:eastAsia="zh-CN"/>
                    </w:rPr>
                    <w:t>医疗器械制造</w:t>
                  </w:r>
                  <w:r>
                    <w:rPr>
                      <w:rFonts w:hint="default" w:ascii="Times New Roman" w:hAnsi="Times New Roman" w:eastAsia="宋体" w:cs="Times New Roman"/>
                      <w:b/>
                      <w:bCs/>
                      <w:sz w:val="21"/>
                      <w:szCs w:val="21"/>
                      <w:u w:val="single"/>
                    </w:rPr>
                    <w:t>，项目按环办大气函〔2020〕340号文件中《重污染天气重点行业绩效分级及减排措施—</w:t>
                  </w:r>
                  <w:r>
                    <w:rPr>
                      <w:rFonts w:hint="default" w:ascii="Times New Roman" w:hAnsi="Times New Roman" w:eastAsia="宋体" w:cs="Times New Roman"/>
                      <w:b/>
                      <w:bCs/>
                      <w:sz w:val="21"/>
                      <w:szCs w:val="21"/>
                      <w:highlight w:val="none"/>
                      <w:u w:val="single"/>
                    </w:rPr>
                    <w:t>三十九、工业涂装》</w:t>
                  </w:r>
                  <w:r>
                    <w:rPr>
                      <w:rFonts w:hint="default" w:ascii="Times New Roman" w:hAnsi="Times New Roman" w:eastAsia="宋体" w:cs="Times New Roman"/>
                      <w:b/>
                      <w:bCs/>
                      <w:sz w:val="21"/>
                      <w:szCs w:val="21"/>
                      <w:u w:val="single"/>
                    </w:rPr>
                    <w:t>A级企业的要求进行建设进行建设</w:t>
                  </w:r>
                  <w:r>
                    <w:rPr>
                      <w:rFonts w:hint="eastAsia" w:cs="Times New Roman"/>
                      <w:b/>
                      <w:bCs/>
                      <w:sz w:val="21"/>
                      <w:szCs w:val="21"/>
                      <w:u w:val="single"/>
                      <w:lang w:eastAsia="zh-CN"/>
                    </w:rPr>
                    <w:t>。</w:t>
                  </w:r>
                </w:p>
              </w:tc>
              <w:tc>
                <w:tcPr>
                  <w:tcW w:w="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846" w:type="dxa"/>
                  <w:tcBorders>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(五)推进工业企业综合治理</w:t>
                  </w:r>
                </w:p>
              </w:tc>
              <w:tc>
                <w:tcPr>
                  <w:tcW w:w="3828"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sz w:val="21"/>
                      <w:szCs w:val="21"/>
                      <w:u w:val="single"/>
                    </w:rPr>
                  </w:pPr>
                  <w:r>
                    <w:rPr>
                      <w:rFonts w:hint="eastAsia" w:cs="Times New Roman"/>
                      <w:b/>
                      <w:bCs/>
                      <w:sz w:val="21"/>
                      <w:szCs w:val="21"/>
                      <w:u w:val="single"/>
                      <w:lang w:val="en-US" w:eastAsia="zh-CN"/>
                    </w:rPr>
                    <w:t>19.实施工业污染排放深度治理。以砖瓦窑、玻璃、耐火材料等行业工业窑炉为重点，全面提升污染物治理设施、无组织排放管控和在线监控设施运行管理水平，加强物料运输、装卸储存及生产过程中的无组织排放控制，推进实施清洁生产改造，确保污染物稳定达标排放。2023 年 5月底前，全面排查除尘脱硫一体化、简易碱法脱硫、简易氨法脱硫脱硝、湿法脱硝、氧化法脱硝等低效治理设施以及低温等离子、光催化、光氧化等 VOCs 简易低效设施，10月底前，对无法稳定达标排放的通过更换适宜高效治理工艺、提升现有治污设施处理能力、清洁能源替代等方式完成分类整治，对人工投加脱硫脱硝剂的简易设施实施自动化改。</w:t>
                  </w:r>
                </w:p>
              </w:tc>
              <w:tc>
                <w:tcPr>
                  <w:tcW w:w="265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项目为医疗器械制造，</w:t>
                  </w:r>
                  <w:r>
                    <w:rPr>
                      <w:rFonts w:hint="eastAsia" w:cs="Times New Roman"/>
                      <w:b/>
                      <w:bCs/>
                      <w:sz w:val="21"/>
                      <w:szCs w:val="21"/>
                      <w:u w:val="single"/>
                      <w:lang w:val="en-US" w:eastAsia="zh-CN"/>
                    </w:rPr>
                    <w:t>不属于砖瓦窑、玻璃、耐火材料行业。</w:t>
                  </w:r>
                  <w:r>
                    <w:rPr>
                      <w:rFonts w:hint="default" w:ascii="Times New Roman" w:hAnsi="Times New Roman" w:eastAsia="宋体" w:cs="Times New Roman"/>
                      <w:b/>
                      <w:bCs/>
                      <w:sz w:val="21"/>
                      <w:szCs w:val="21"/>
                      <w:u w:val="single"/>
                    </w:rPr>
                    <w:t>项目烘干道热风炉属于工业炉窑，采用液化石油气清洁能源。</w:t>
                  </w:r>
                </w:p>
              </w:tc>
              <w:tc>
                <w:tcPr>
                  <w:tcW w:w="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846" w:type="dxa"/>
                  <w:vMerge w:val="restart"/>
                  <w:tcBorders>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（六）</w:t>
                  </w:r>
                  <w:r>
                    <w:rPr>
                      <w:rFonts w:hint="eastAsia" w:cs="Times New Roman"/>
                      <w:b/>
                      <w:bCs/>
                      <w:sz w:val="21"/>
                      <w:szCs w:val="21"/>
                      <w:u w:val="single"/>
                      <w:lang w:val="en-US" w:eastAsia="zh-CN"/>
                    </w:rPr>
                    <w:t>加快挥发性有机物治理</w:t>
                  </w:r>
                </w:p>
              </w:tc>
              <w:tc>
                <w:tcPr>
                  <w:tcW w:w="3828"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b/>
                      <w:bCs/>
                      <w:sz w:val="21"/>
                      <w:szCs w:val="21"/>
                      <w:u w:val="single"/>
                      <w:lang w:eastAsia="zh-CN"/>
                    </w:rPr>
                  </w:pPr>
                  <w:r>
                    <w:rPr>
                      <w:rFonts w:hint="eastAsia" w:cs="Times New Roman"/>
                      <w:b/>
                      <w:bCs/>
                      <w:sz w:val="21"/>
                      <w:szCs w:val="21"/>
                      <w:u w:val="single"/>
                      <w:lang w:val="en-US" w:eastAsia="zh-CN"/>
                    </w:rPr>
                    <w:t>23</w:t>
                  </w:r>
                  <w:r>
                    <w:rPr>
                      <w:rFonts w:hint="default" w:ascii="Times New Roman" w:hAnsi="Times New Roman" w:eastAsia="宋体" w:cs="Times New Roman"/>
                      <w:b/>
                      <w:bCs/>
                      <w:sz w:val="21"/>
                      <w:szCs w:val="21"/>
                      <w:u w:val="single"/>
                    </w:rPr>
                    <w:t>、推进低 VOCs 含量原辅材料源头替代</w:t>
                  </w:r>
                  <w:r>
                    <w:rPr>
                      <w:rFonts w:hint="eastAsia" w:cs="Times New Roman"/>
                      <w:b/>
                      <w:bCs/>
                      <w:sz w:val="21"/>
                      <w:szCs w:val="21"/>
                      <w:u w:val="single"/>
                      <w:lang w:eastAsia="zh-CN"/>
                    </w:rPr>
                    <w:t>。</w:t>
                  </w:r>
                  <w:r>
                    <w:rPr>
                      <w:rFonts w:hint="default" w:ascii="Times New Roman" w:hAnsi="Times New Roman" w:eastAsia="宋体" w:cs="Times New Roman"/>
                      <w:b/>
                      <w:bCs/>
                      <w:sz w:val="21"/>
                      <w:szCs w:val="21"/>
                      <w:u w:val="single"/>
                    </w:rPr>
                    <w:t>（1）按照“可替尽替、应代尽代”的原则，开展工业涂装家具制造、包装印刷、钢结构制造等行业溶剂型涂料、油墨、胶粘剂、清洗剂使用低 VOCs 含量原辅材料替代，明确治理任务，动态更新清单台账</w:t>
                  </w:r>
                  <w:r>
                    <w:rPr>
                      <w:rFonts w:hint="eastAsia" w:cs="Times New Roman"/>
                      <w:b/>
                      <w:bCs/>
                      <w:sz w:val="21"/>
                      <w:szCs w:val="21"/>
                      <w:u w:val="single"/>
                      <w:lang w:eastAsia="zh-CN"/>
                    </w:rPr>
                    <w:t>。</w:t>
                  </w:r>
                </w:p>
              </w:tc>
              <w:tc>
                <w:tcPr>
                  <w:tcW w:w="265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本项目使用粉末涂料，属于低VOCs含量的涂料。</w:t>
                  </w:r>
                </w:p>
              </w:tc>
              <w:tc>
                <w:tcPr>
                  <w:tcW w:w="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846" w:type="dxa"/>
                  <w:vMerge w:val="continue"/>
                  <w:tcBorders>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sz w:val="21"/>
                      <w:szCs w:val="21"/>
                      <w:u w:val="single"/>
                    </w:rPr>
                  </w:pPr>
                </w:p>
              </w:tc>
              <w:tc>
                <w:tcPr>
                  <w:tcW w:w="3828"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2</w:t>
                  </w:r>
                  <w:r>
                    <w:rPr>
                      <w:rFonts w:hint="eastAsia" w:cs="Times New Roman"/>
                      <w:b/>
                      <w:bCs/>
                      <w:sz w:val="21"/>
                      <w:szCs w:val="21"/>
                      <w:u w:val="single"/>
                      <w:lang w:val="en-US" w:eastAsia="zh-CN"/>
                    </w:rPr>
                    <w:t>4</w:t>
                  </w:r>
                  <w:r>
                    <w:rPr>
                      <w:rFonts w:hint="default" w:ascii="Times New Roman" w:hAnsi="Times New Roman" w:eastAsia="宋体" w:cs="Times New Roman"/>
                      <w:b/>
                      <w:bCs/>
                      <w:sz w:val="21"/>
                      <w:szCs w:val="21"/>
                      <w:u w:val="single"/>
                    </w:rPr>
                    <w:t>．持续加大无组织排放整治力度。2023 年5月底前，排查含 VOCs 物料储存、转移和输送、设备与管线组件泄漏、敞开液面逸散以及工艺过程等五类排放源，在保证安全生产前提下，督促企业通过采取设备与场所密闭、工艺改进、废气有效收集等措施，对 VOCs 无组织排放废气进行综合治理，将需要集气罩收集无组织排放的集气流速测量监控纳入日常管理工作中监督落实。</w:t>
                  </w:r>
                </w:p>
              </w:tc>
              <w:tc>
                <w:tcPr>
                  <w:tcW w:w="265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烘干道除工件</w:t>
                  </w:r>
                  <w:r>
                    <w:rPr>
                      <w:rFonts w:hint="eastAsia" w:cs="Times New Roman"/>
                      <w:b/>
                      <w:bCs/>
                      <w:sz w:val="21"/>
                      <w:szCs w:val="21"/>
                      <w:u w:val="single"/>
                      <w:lang w:val="en-US" w:eastAsia="zh-CN"/>
                    </w:rPr>
                    <w:t>进</w:t>
                  </w:r>
                  <w:r>
                    <w:rPr>
                      <w:rFonts w:hint="default" w:ascii="Times New Roman" w:hAnsi="Times New Roman" w:eastAsia="宋体" w:cs="Times New Roman"/>
                      <w:b/>
                      <w:bCs/>
                      <w:sz w:val="21"/>
                      <w:szCs w:val="21"/>
                      <w:u w:val="single"/>
                    </w:rPr>
                    <w:t>出口为敞口式其他部分均为封闭式，</w:t>
                  </w:r>
                  <w:r>
                    <w:rPr>
                      <w:rFonts w:hint="eastAsia" w:cs="Times New Roman"/>
                      <w:b/>
                      <w:bCs/>
                      <w:sz w:val="21"/>
                      <w:szCs w:val="21"/>
                      <w:u w:val="single"/>
                      <w:lang w:val="en-US" w:eastAsia="zh-CN"/>
                    </w:rPr>
                    <w:t>进出口为同一口，</w:t>
                  </w:r>
                  <w:r>
                    <w:rPr>
                      <w:rFonts w:hint="default" w:ascii="Times New Roman" w:hAnsi="Times New Roman" w:eastAsia="宋体" w:cs="Times New Roman"/>
                      <w:b/>
                      <w:bCs/>
                      <w:sz w:val="21"/>
                      <w:szCs w:val="21"/>
                      <w:u w:val="single"/>
                    </w:rPr>
                    <w:t>烘干道</w:t>
                  </w:r>
                  <w:r>
                    <w:rPr>
                      <w:rFonts w:hint="eastAsia" w:cs="Times New Roman"/>
                      <w:b/>
                      <w:bCs/>
                      <w:sz w:val="21"/>
                      <w:szCs w:val="21"/>
                      <w:u w:val="single"/>
                      <w:lang w:val="en-US" w:eastAsia="zh-CN"/>
                    </w:rPr>
                    <w:t>出</w:t>
                  </w:r>
                  <w:r>
                    <w:rPr>
                      <w:rFonts w:hint="default" w:ascii="Times New Roman" w:hAnsi="Times New Roman" w:eastAsia="宋体" w:cs="Times New Roman"/>
                      <w:b/>
                      <w:bCs/>
                      <w:sz w:val="21"/>
                      <w:szCs w:val="21"/>
                      <w:u w:val="single"/>
                    </w:rPr>
                    <w:t>口上部设置集气罩，烘干废气经收集进入UV光氧+活性炭吸附装置进行处理后达标排放。</w:t>
                  </w:r>
                </w:p>
              </w:tc>
              <w:tc>
                <w:tcPr>
                  <w:tcW w:w="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846" w:type="dxa"/>
                  <w:vMerge w:val="continue"/>
                  <w:tcBorders>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sz w:val="21"/>
                      <w:szCs w:val="21"/>
                      <w:u w:val="single"/>
                    </w:rPr>
                  </w:pPr>
                </w:p>
              </w:tc>
              <w:tc>
                <w:tcPr>
                  <w:tcW w:w="3828"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b/>
                      <w:bCs/>
                      <w:sz w:val="21"/>
                      <w:szCs w:val="21"/>
                      <w:u w:val="single"/>
                      <w:lang w:eastAsia="zh-CN"/>
                    </w:rPr>
                  </w:pPr>
                  <w:r>
                    <w:rPr>
                      <w:rFonts w:hint="default" w:ascii="Times New Roman" w:hAnsi="Times New Roman" w:eastAsia="宋体" w:cs="Times New Roman"/>
                      <w:b/>
                      <w:bCs/>
                      <w:sz w:val="21"/>
                      <w:szCs w:val="21"/>
                      <w:u w:val="single"/>
                    </w:rPr>
                    <w:t>25.大力提升治理设施去除效率。4 月底前，按照行业特点、企业规模、废气成分、废气量、含水 ( 尘 )率等，综合分析治理技术与 VOCs 废气处理工艺可行性、规模匹配性，建立问题企业清单台账，指导帮扶企业做好活性炭更换频次、更换量购买记录、活性炭质检报告等台账记录，RTO 和 RCO 设施吸附剂再生频次、焚烧温度等记录数据至少保留一年以上。6 月底前,对废气处理效率低下的企业实施提升治理</w:t>
                  </w:r>
                  <w:r>
                    <w:rPr>
                      <w:rFonts w:hint="eastAsia" w:cs="Times New Roman"/>
                      <w:b/>
                      <w:bCs/>
                      <w:sz w:val="21"/>
                      <w:szCs w:val="21"/>
                      <w:u w:val="single"/>
                      <w:lang w:eastAsia="zh-CN"/>
                    </w:rPr>
                    <w:t>。</w:t>
                  </w:r>
                </w:p>
              </w:tc>
              <w:tc>
                <w:tcPr>
                  <w:tcW w:w="265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烘干道除工件</w:t>
                  </w:r>
                  <w:r>
                    <w:rPr>
                      <w:rFonts w:hint="eastAsia" w:cs="Times New Roman"/>
                      <w:b/>
                      <w:bCs/>
                      <w:sz w:val="21"/>
                      <w:szCs w:val="21"/>
                      <w:u w:val="single"/>
                      <w:lang w:val="en-US" w:eastAsia="zh-CN"/>
                    </w:rPr>
                    <w:t>进</w:t>
                  </w:r>
                  <w:r>
                    <w:rPr>
                      <w:rFonts w:hint="default" w:ascii="Times New Roman" w:hAnsi="Times New Roman" w:eastAsia="宋体" w:cs="Times New Roman"/>
                      <w:b/>
                      <w:bCs/>
                      <w:sz w:val="21"/>
                      <w:szCs w:val="21"/>
                      <w:u w:val="single"/>
                    </w:rPr>
                    <w:t>出口为敞口式其他部分均为封闭式，</w:t>
                  </w:r>
                  <w:r>
                    <w:rPr>
                      <w:rFonts w:hint="eastAsia" w:cs="Times New Roman"/>
                      <w:b/>
                      <w:bCs/>
                      <w:sz w:val="21"/>
                      <w:szCs w:val="21"/>
                      <w:u w:val="single"/>
                      <w:lang w:val="en-US" w:eastAsia="zh-CN"/>
                    </w:rPr>
                    <w:t>进出口为同一口，</w:t>
                  </w:r>
                  <w:r>
                    <w:rPr>
                      <w:rFonts w:hint="default" w:ascii="Times New Roman" w:hAnsi="Times New Roman" w:eastAsia="宋体" w:cs="Times New Roman"/>
                      <w:b/>
                      <w:bCs/>
                      <w:sz w:val="21"/>
                      <w:szCs w:val="21"/>
                      <w:u w:val="single"/>
                    </w:rPr>
                    <w:t>烘干道</w:t>
                  </w:r>
                  <w:r>
                    <w:rPr>
                      <w:rFonts w:hint="eastAsia" w:cs="Times New Roman"/>
                      <w:b/>
                      <w:bCs/>
                      <w:sz w:val="21"/>
                      <w:szCs w:val="21"/>
                      <w:u w:val="single"/>
                      <w:lang w:val="en-US" w:eastAsia="zh-CN"/>
                    </w:rPr>
                    <w:t>出</w:t>
                  </w:r>
                  <w:r>
                    <w:rPr>
                      <w:rFonts w:hint="default" w:ascii="Times New Roman" w:hAnsi="Times New Roman" w:eastAsia="宋体" w:cs="Times New Roman"/>
                      <w:b/>
                      <w:bCs/>
                      <w:sz w:val="21"/>
                      <w:szCs w:val="21"/>
                      <w:u w:val="single"/>
                    </w:rPr>
                    <w:t>口上部设置集气罩，烘干废气经收集进入UV光氧+活性炭吸附装置进行处理后达标排放。</w:t>
                  </w:r>
                  <w:r>
                    <w:rPr>
                      <w:rFonts w:hint="eastAsia" w:cs="Times New Roman"/>
                      <w:b/>
                      <w:bCs/>
                      <w:sz w:val="21"/>
                      <w:szCs w:val="21"/>
                      <w:u w:val="single"/>
                      <w:lang w:val="en-US" w:eastAsia="zh-CN"/>
                    </w:rPr>
                    <w:t>环保设备处理效率85%，厂区定期更换的活性炭做好台账记录。</w:t>
                  </w:r>
                </w:p>
              </w:tc>
              <w:tc>
                <w:tcPr>
                  <w:tcW w:w="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rPr>
                  </w:pPr>
                </w:p>
              </w:tc>
            </w:tr>
          </w:tbl>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ascii="Times New Roman" w:hAnsi="Times New Roman"/>
                <w:b/>
                <w:bCs/>
                <w:sz w:val="24"/>
                <w:szCs w:val="24"/>
                <w:highlight w:val="none"/>
              </w:rPr>
            </w:pPr>
            <w:r>
              <w:rPr>
                <w:rFonts w:ascii="Times New Roman" w:hAnsi="Times New Roman"/>
                <w:sz w:val="24"/>
                <w:szCs w:val="24"/>
              </w:rPr>
              <w:t>由上表可知，本项目建设符合</w:t>
            </w:r>
            <w:r>
              <w:rPr>
                <w:rFonts w:hint="eastAsia" w:ascii="Times New Roman" w:hAnsi="Times New Roman"/>
                <w:sz w:val="24"/>
                <w:szCs w:val="24"/>
              </w:rPr>
              <w:t>偃环委办〔2023〕3号</w:t>
            </w:r>
            <w:r>
              <w:rPr>
                <w:rFonts w:hint="eastAsia"/>
                <w:sz w:val="24"/>
                <w:szCs w:val="24"/>
                <w:lang w:val="en-US" w:eastAsia="zh-CN"/>
              </w:rPr>
              <w:t>文</w:t>
            </w:r>
            <w:r>
              <w:rPr>
                <w:rFonts w:ascii="Times New Roman" w:hAnsi="Times New Roman"/>
                <w:sz w:val="24"/>
                <w:szCs w:val="24"/>
              </w:rPr>
              <w:t>相关要求。</w:t>
            </w:r>
            <w:r>
              <w:rPr>
                <w:rFonts w:ascii="Times New Roman" w:hAnsi="Times New Roman"/>
                <w:sz w:val="24"/>
                <w:szCs w:val="24"/>
              </w:rPr>
              <w:br w:type="textWrapping"/>
            </w:r>
            <w:r>
              <w:rPr>
                <w:rFonts w:hint="eastAsia"/>
                <w:b/>
                <w:bCs/>
                <w:sz w:val="24"/>
                <w:szCs w:val="24"/>
                <w:lang w:val="en-US" w:eastAsia="zh-CN"/>
              </w:rPr>
              <w:t>3.7与《河南省深入打好秋冬季重污染天气消除、夏季臭氧污染防治和柴油货车污染治理攻坚战行动方案》（豫环委办〔2023〕3号）</w:t>
            </w:r>
            <w:r>
              <w:rPr>
                <w:rFonts w:ascii="Times New Roman" w:hAnsi="Times New Roman"/>
                <w:b/>
                <w:bCs/>
                <w:sz w:val="24"/>
                <w:szCs w:val="24"/>
                <w:highlight w:val="none"/>
              </w:rPr>
              <w:t>相符性分析</w:t>
            </w:r>
          </w:p>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黑体"/>
                <w:sz w:val="24"/>
                <w:szCs w:val="24"/>
                <w:vertAlign w:val="baseline"/>
              </w:rPr>
            </w:pPr>
            <w:r>
              <w:rPr>
                <w:rFonts w:hint="default" w:ascii="Times New Roman" w:hAnsi="Times New Roman" w:eastAsia="宋体" w:cs="Times New Roman"/>
                <w:sz w:val="24"/>
                <w:szCs w:val="24"/>
              </w:rPr>
              <w:t>表1-8  项目与</w:t>
            </w:r>
            <w:r>
              <w:rPr>
                <w:rFonts w:hint="default" w:ascii="Times New Roman" w:hAnsi="Times New Roman" w:eastAsia="宋体" w:cs="Times New Roman"/>
                <w:bCs/>
                <w:sz w:val="24"/>
                <w:szCs w:val="24"/>
              </w:rPr>
              <w:t>偃环委办〔2023〕3号文</w:t>
            </w:r>
            <w:r>
              <w:rPr>
                <w:rFonts w:hint="default" w:ascii="Times New Roman" w:hAnsi="Times New Roman" w:eastAsia="宋体" w:cs="Times New Roman"/>
                <w:sz w:val="24"/>
                <w:szCs w:val="24"/>
              </w:rPr>
              <w:t>相符性分析</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4425"/>
              <w:gridCol w:w="215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sz w:val="21"/>
                      <w:szCs w:val="21"/>
                      <w:u w:val="single"/>
                      <w:vertAlign w:val="baseline"/>
                    </w:rPr>
                  </w:pPr>
                  <w:r>
                    <w:rPr>
                      <w:rFonts w:hint="default" w:ascii="Times New Roman" w:hAnsi="Times New Roman" w:eastAsia="宋体" w:cs="Times New Roman"/>
                      <w:b/>
                      <w:bCs/>
                      <w:sz w:val="21"/>
                      <w:szCs w:val="21"/>
                      <w:u w:val="single"/>
                      <w:vertAlign w:val="baseline"/>
                      <w:lang w:val="en-US" w:eastAsia="zh-CN"/>
                    </w:rPr>
                    <w:t>方案要求</w:t>
                  </w:r>
                </w:p>
              </w:tc>
              <w:tc>
                <w:tcPr>
                  <w:tcW w:w="215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sz w:val="21"/>
                      <w:szCs w:val="21"/>
                      <w:u w:val="single"/>
                      <w:vertAlign w:val="baseline"/>
                      <w:lang w:val="en-US" w:eastAsia="zh-CN"/>
                    </w:rPr>
                  </w:pPr>
                  <w:r>
                    <w:rPr>
                      <w:rFonts w:hint="eastAsia" w:ascii="Times New Roman" w:hAnsi="Times New Roman" w:eastAsia="宋体" w:cs="Times New Roman"/>
                      <w:b/>
                      <w:bCs/>
                      <w:sz w:val="21"/>
                      <w:szCs w:val="21"/>
                      <w:u w:val="single"/>
                      <w:vertAlign w:val="baseline"/>
                      <w:lang w:val="en-US" w:eastAsia="zh-CN"/>
                    </w:rPr>
                    <w:t>本项目情况</w:t>
                  </w:r>
                </w:p>
              </w:tc>
              <w:tc>
                <w:tcPr>
                  <w:tcW w:w="87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b/>
                      <w:bCs/>
                      <w:sz w:val="21"/>
                      <w:szCs w:val="21"/>
                      <w:u w:val="single"/>
                      <w:vertAlign w:val="baseline"/>
                      <w:lang w:val="en-US" w:eastAsia="zh-CN"/>
                    </w:rPr>
                  </w:pPr>
                  <w:r>
                    <w:rPr>
                      <w:rFonts w:hint="eastAsia" w:ascii="Times New Roman" w:hAnsi="Times New Roman" w:eastAsia="宋体" w:cs="Times New Roman"/>
                      <w:b/>
                      <w:bCs/>
                      <w:sz w:val="21"/>
                      <w:szCs w:val="21"/>
                      <w:u w:val="single"/>
                      <w:vertAlign w:val="baseli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imes New Roman" w:hAnsi="Times New Roman" w:eastAsia="宋体" w:cs="Times New Roman"/>
                      <w:b/>
                      <w:bCs/>
                      <w:sz w:val="21"/>
                      <w:szCs w:val="21"/>
                      <w:u w:val="single"/>
                      <w:vertAlign w:val="baseline"/>
                      <w:lang w:val="en-US" w:eastAsia="zh-CN"/>
                    </w:rPr>
                  </w:pPr>
                  <w:r>
                    <w:rPr>
                      <w:rFonts w:hint="eastAsia" w:ascii="Times New Roman" w:hAnsi="Times New Roman" w:eastAsia="宋体" w:cs="Times New Roman"/>
                      <w:b/>
                      <w:bCs/>
                      <w:sz w:val="21"/>
                      <w:szCs w:val="21"/>
                      <w:u w:val="single"/>
                      <w:vertAlign w:val="baseline"/>
                      <w:lang w:val="en-US" w:eastAsia="zh-CN"/>
                    </w:rPr>
                    <w:t>重点任务</w:t>
                  </w:r>
                </w:p>
              </w:tc>
              <w:tc>
                <w:tcPr>
                  <w:tcW w:w="4425"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b/>
                      <w:bCs/>
                      <w:sz w:val="21"/>
                      <w:szCs w:val="21"/>
                      <w:u w:val="single"/>
                      <w:vertAlign w:val="baseline"/>
                    </w:rPr>
                  </w:pPr>
                  <w:r>
                    <w:rPr>
                      <w:rFonts w:hint="default" w:ascii="Times New Roman" w:hAnsi="Times New Roman" w:eastAsia="宋体" w:cs="Times New Roman"/>
                      <w:b/>
                      <w:bCs/>
                      <w:sz w:val="21"/>
                      <w:szCs w:val="21"/>
                      <w:u w:val="single"/>
                      <w:vertAlign w:val="baseline"/>
                    </w:rPr>
                    <w:t>突出工程减排。统筹大气污染防治与“双碳”目标要求，推动产业结构和布局优化调整，坚决遏制“两高”项目盲目发展，依法依规淘汰落后、低效产能，实施落后产能“动态清零”；持续压减钢铁、水泥、砖瓦等行业过剩产能，推动水泥熟料、烧结砖瓦行业常态化错峰生产；推行钢铁、焦化、烧结一体化布局，推动长流程炼钢转型为电炉短流程炼钢；推进煤电“以大代小”、“以新换旧”容量替代建设，有序关停整合30万千瓦以上热电联产机组供热合理半径范围内落后燃煤小热电机组（含自备电厂）和燃煤锅炉；加快铁路干线建设，大力推进煤炭、矿石、焦炭、建材（含砂石骨料）等大宗货物铁路或水路运输，大力发展新能源车船，从源头上减少大气污染物和碳排放。强化VOCs、NO</w:t>
                  </w:r>
                  <w:r>
                    <w:rPr>
                      <w:rFonts w:hint="default" w:ascii="Times New Roman" w:hAnsi="Times New Roman" w:eastAsia="宋体" w:cs="Times New Roman"/>
                      <w:b/>
                      <w:bCs/>
                      <w:sz w:val="21"/>
                      <w:szCs w:val="21"/>
                      <w:u w:val="single"/>
                      <w:vertAlign w:val="subscript"/>
                    </w:rPr>
                    <w:t>X</w:t>
                  </w:r>
                  <w:r>
                    <w:rPr>
                      <w:rFonts w:hint="default" w:ascii="Times New Roman" w:hAnsi="Times New Roman" w:eastAsia="宋体" w:cs="Times New Roman"/>
                      <w:b/>
                      <w:bCs/>
                      <w:sz w:val="21"/>
                      <w:szCs w:val="21"/>
                      <w:u w:val="single"/>
                      <w:vertAlign w:val="baseline"/>
                    </w:rPr>
                    <w:t>等多污染物协同减排，实施工业炉窑清洁能源替代，推进产业集群节能降碳增效行动和重点行业超低排放改造，加快实施工业污染排放深度治理，实施低效治理设施全面提升改造；提升燃油清洁化水平，推进重点行业企业清洁运输。统筹做好大气污染防治过程中安全防范工作。</w:t>
                  </w:r>
                </w:p>
              </w:tc>
              <w:tc>
                <w:tcPr>
                  <w:tcW w:w="2150"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b/>
                      <w:bCs/>
                      <w:sz w:val="21"/>
                      <w:szCs w:val="21"/>
                      <w:u w:val="single"/>
                      <w:vertAlign w:val="baseline"/>
                      <w:lang w:val="en-US" w:eastAsia="zh-CN"/>
                    </w:rPr>
                  </w:pPr>
                  <w:r>
                    <w:rPr>
                      <w:rFonts w:hint="default" w:ascii="Times New Roman" w:hAnsi="Times New Roman" w:eastAsia="宋体" w:cs="Times New Roman"/>
                      <w:b/>
                      <w:bCs/>
                      <w:sz w:val="21"/>
                      <w:szCs w:val="21"/>
                      <w:u w:val="single"/>
                    </w:rPr>
                    <w:t>项目为医疗器械制造，</w:t>
                  </w:r>
                  <w:r>
                    <w:rPr>
                      <w:rFonts w:hint="eastAsia" w:cs="Times New Roman"/>
                      <w:b/>
                      <w:bCs/>
                      <w:sz w:val="21"/>
                      <w:szCs w:val="21"/>
                      <w:u w:val="single"/>
                      <w:lang w:val="en-US" w:eastAsia="zh-CN"/>
                    </w:rPr>
                    <w:t>不属于</w:t>
                  </w:r>
                  <w:r>
                    <w:rPr>
                      <w:rFonts w:hint="default" w:ascii="Times New Roman" w:hAnsi="Times New Roman" w:eastAsia="宋体" w:cs="Times New Roman"/>
                      <w:b/>
                      <w:bCs/>
                      <w:sz w:val="21"/>
                      <w:szCs w:val="21"/>
                      <w:u w:val="single"/>
                      <w:vertAlign w:val="baseline"/>
                    </w:rPr>
                    <w:t>钢铁、水泥、砖瓦</w:t>
                  </w:r>
                  <w:r>
                    <w:rPr>
                      <w:rFonts w:hint="eastAsia" w:cs="Times New Roman"/>
                      <w:b/>
                      <w:bCs/>
                      <w:sz w:val="21"/>
                      <w:szCs w:val="21"/>
                      <w:u w:val="single"/>
                      <w:lang w:val="en-US" w:eastAsia="zh-CN"/>
                    </w:rPr>
                    <w:t>行业，不属于梁高项目。</w:t>
                  </w:r>
                  <w:r>
                    <w:rPr>
                      <w:rFonts w:hint="default" w:ascii="Times New Roman" w:hAnsi="Times New Roman" w:eastAsia="宋体" w:cs="Times New Roman"/>
                      <w:b/>
                      <w:bCs/>
                      <w:sz w:val="21"/>
                      <w:szCs w:val="21"/>
                      <w:u w:val="single"/>
                    </w:rPr>
                    <w:t>项目烘干道热风炉属于工业炉窑，采用液化石油气清洁能源。</w:t>
                  </w:r>
                </w:p>
              </w:tc>
              <w:tc>
                <w:tcPr>
                  <w:tcW w:w="877"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imes New Roman" w:hAnsi="Times New Roman" w:eastAsia="宋体" w:cs="Times New Roman"/>
                      <w:b/>
                      <w:bCs/>
                      <w:sz w:val="21"/>
                      <w:szCs w:val="21"/>
                      <w:u w:val="single"/>
                      <w:vertAlign w:val="baseline"/>
                      <w:lang w:val="en-US" w:eastAsia="zh-CN"/>
                    </w:rPr>
                  </w:pPr>
                  <w:r>
                    <w:rPr>
                      <w:rFonts w:hint="eastAsia" w:ascii="Times New Roman" w:hAnsi="Times New Roman" w:eastAsia="宋体" w:cs="Times New Roman"/>
                      <w:b/>
                      <w:bCs/>
                      <w:sz w:val="21"/>
                      <w:szCs w:val="21"/>
                      <w:u w:val="singl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4"/>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b/>
                      <w:bCs/>
                      <w:sz w:val="21"/>
                      <w:szCs w:val="21"/>
                      <w:u w:val="single"/>
                      <w:vertAlign w:val="baseline"/>
                      <w:lang w:val="en-US" w:eastAsia="zh-CN"/>
                    </w:rPr>
                  </w:pPr>
                  <w:r>
                    <w:rPr>
                      <w:rFonts w:hint="default" w:ascii="Times New Roman" w:hAnsi="Times New Roman" w:eastAsia="宋体" w:cs="Times New Roman"/>
                      <w:b/>
                      <w:bCs/>
                      <w:sz w:val="21"/>
                      <w:szCs w:val="21"/>
                      <w:u w:val="single"/>
                      <w:vertAlign w:val="baseline"/>
                      <w:lang w:val="en-US" w:eastAsia="zh-CN"/>
                    </w:rPr>
                    <w:t>秋冬季重污染天气消除攻坚战行动方案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1</w:t>
                  </w:r>
                </w:p>
              </w:tc>
              <w:tc>
                <w:tcPr>
                  <w:tcW w:w="4425"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b/>
                      <w:bCs/>
                      <w:sz w:val="21"/>
                      <w:szCs w:val="21"/>
                      <w:u w:val="single"/>
                      <w:vertAlign w:val="baseline"/>
                      <w:lang w:val="en-US" w:eastAsia="zh-CN"/>
                    </w:rPr>
                  </w:pPr>
                  <w:r>
                    <w:rPr>
                      <w:rFonts w:hint="default" w:ascii="Times New Roman" w:hAnsi="Times New Roman" w:eastAsia="宋体" w:cs="Times New Roman"/>
                      <w:b/>
                      <w:bCs/>
                      <w:sz w:val="21"/>
                      <w:szCs w:val="21"/>
                      <w:u w:val="single"/>
                      <w:vertAlign w:val="baseline"/>
                      <w:lang w:val="en-US" w:eastAsia="zh-CN"/>
                    </w:rPr>
                    <w:t>遏制“两高”项目盲目发展。严格落实国家产业规划、产业政策、“三线一单”、规划环评</w:t>
                  </w:r>
                  <w:r>
                    <w:rPr>
                      <w:rFonts w:hint="eastAsia" w:cs="Times New Roman"/>
                      <w:b/>
                      <w:bCs/>
                      <w:sz w:val="21"/>
                      <w:szCs w:val="21"/>
                      <w:u w:val="single"/>
                      <w:vertAlign w:val="baseline"/>
                      <w:lang w:val="en-US" w:eastAsia="zh-CN"/>
                    </w:rPr>
                    <w:t>，以及</w:t>
                  </w:r>
                  <w:r>
                    <w:rPr>
                      <w:rFonts w:hint="default" w:ascii="Times New Roman" w:hAnsi="Times New Roman" w:eastAsia="宋体" w:cs="Times New Roman"/>
                      <w:b/>
                      <w:bCs/>
                      <w:sz w:val="21"/>
                      <w:szCs w:val="21"/>
                      <w:u w:val="single"/>
                      <w:vertAlign w:val="baseline"/>
                      <w:lang w:val="en-US" w:eastAsia="zh-CN"/>
                    </w:rPr>
                    <w:t>产能置换、煤炭消费减量替代、区域污染物削减等要求，严把高耗能、高排放、低水平项目准入关口。全省大气污染防治重点区域禁止新增钢铁、电解铝、氧化铝、水泥熟料、平板玻璃（光伏压延玻璃除外）、煤化工、焦化、</w:t>
                  </w:r>
                </w:p>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b/>
                      <w:bCs/>
                      <w:sz w:val="21"/>
                      <w:szCs w:val="21"/>
                      <w:u w:val="single"/>
                      <w:vertAlign w:val="baseline"/>
                      <w:lang w:val="en-US" w:eastAsia="zh-CN"/>
                    </w:rPr>
                    <w:t>铝用炭素、含烧结工序的耐火材料和砖瓦制品等行业产能，合理控制煤制油气产能规模，严控新增炼油产能。强化项目环评及“三同时”管理，国家、省绩效分级重点行业以及涉及锅炉炉窑的其他行业，新建、扩建项目污染物排放限值、污染治理措施、无组织排放控制水平、运输方式等达到A级绩效水平，改建项目污染物排放限值、污染治理措施、无组织排放控制水平、运输方式等达到B级以上绩效水平。新建、改建、扩建项目大宗货物年货运量150万吨及以上的，原则上要接入铁路专用线或管道；具有铁路专用线的，大宗货物铁路运输比例应达</w:t>
                  </w:r>
                  <w:r>
                    <w:rPr>
                      <w:rFonts w:hint="eastAsia" w:cs="Times New Roman"/>
                      <w:b/>
                      <w:bCs/>
                      <w:sz w:val="21"/>
                      <w:szCs w:val="21"/>
                      <w:u w:val="single"/>
                      <w:vertAlign w:val="baseline"/>
                      <w:lang w:val="en-US" w:eastAsia="zh-CN"/>
                    </w:rPr>
                    <w:t>到</w:t>
                  </w:r>
                  <w:r>
                    <w:rPr>
                      <w:rFonts w:hint="default" w:ascii="Times New Roman" w:hAnsi="Times New Roman" w:eastAsia="宋体" w:cs="Times New Roman"/>
                      <w:b/>
                      <w:bCs/>
                      <w:sz w:val="21"/>
                      <w:szCs w:val="21"/>
                      <w:u w:val="single"/>
                      <w:vertAlign w:val="baseline"/>
                      <w:lang w:val="en-US" w:eastAsia="zh-CN"/>
                    </w:rPr>
                    <w:t>80%以上。</w:t>
                  </w:r>
                </w:p>
              </w:tc>
              <w:tc>
                <w:tcPr>
                  <w:tcW w:w="2150"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本项目</w:t>
                  </w:r>
                  <w:r>
                    <w:rPr>
                      <w:rFonts w:hint="default" w:ascii="Times New Roman" w:hAnsi="Times New Roman" w:eastAsia="宋体" w:cs="Times New Roman"/>
                      <w:b/>
                      <w:bCs/>
                      <w:sz w:val="21"/>
                      <w:szCs w:val="21"/>
                      <w:u w:val="single"/>
                    </w:rPr>
                    <w:t>医疗器械制造</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w:t>
                  </w:r>
                  <w:r>
                    <w:rPr>
                      <w:rFonts w:hint="eastAsia" w:cs="Times New Roman"/>
                      <w:b/>
                      <w:bCs w:val="0"/>
                      <w:color w:val="000000" w:themeColor="text1"/>
                      <w:sz w:val="21"/>
                      <w:szCs w:val="21"/>
                      <w:u w:val="single"/>
                      <w:lang w:val="en-US" w:eastAsia="zh-CN"/>
                      <w14:textFill>
                        <w14:solidFill>
                          <w14:schemeClr w14:val="tx1"/>
                        </w14:solidFill>
                      </w14:textFill>
                    </w:rPr>
                    <w:t>不属于“两高”项目，且项目建设符合国家产业规划、产业政策及“三线一单”相关要求。项目为技改项目，建设按照通用行业绩效先进性水平进行建设。项目原料及产品年运输量为</w:t>
                  </w:r>
                  <w:r>
                    <w:rPr>
                      <w:rFonts w:hint="eastAsia" w:cs="Times New Roman"/>
                      <w:b/>
                      <w:bCs w:val="0"/>
                      <w:color w:val="000000" w:themeColor="text1"/>
                      <w:sz w:val="21"/>
                      <w:szCs w:val="21"/>
                      <w:highlight w:val="none"/>
                      <w:u w:val="single"/>
                      <w:lang w:val="en-US" w:eastAsia="zh-CN"/>
                      <w14:textFill>
                        <w14:solidFill>
                          <w14:schemeClr w14:val="tx1"/>
                        </w14:solidFill>
                      </w14:textFill>
                    </w:rPr>
                    <w:t>650吨左右</w:t>
                  </w:r>
                  <w:r>
                    <w:rPr>
                      <w:rFonts w:hint="eastAsia" w:cs="Times New Roman"/>
                      <w:b/>
                      <w:bCs w:val="0"/>
                      <w:color w:val="000000" w:themeColor="text1"/>
                      <w:sz w:val="21"/>
                      <w:szCs w:val="21"/>
                      <w:u w:val="single"/>
                      <w:lang w:val="en-US" w:eastAsia="zh-CN"/>
                      <w14:textFill>
                        <w14:solidFill>
                          <w14:schemeClr w14:val="tx1"/>
                        </w14:solidFill>
                      </w14:textFill>
                    </w:rPr>
                    <w:t>，远远达不到150万吨，日常为货车运输等。</w:t>
                  </w:r>
                </w:p>
              </w:tc>
              <w:tc>
                <w:tcPr>
                  <w:tcW w:w="877"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u w:val="single"/>
                      <w:vertAlign w:val="baseline"/>
                    </w:rPr>
                  </w:pPr>
                  <w:r>
                    <w:rPr>
                      <w:rFonts w:hint="eastAsia" w:ascii="Times New Roman" w:hAnsi="Times New Roman" w:eastAsia="宋体" w:cs="Times New Roman"/>
                      <w:b/>
                      <w:bCs/>
                      <w:sz w:val="21"/>
                      <w:szCs w:val="21"/>
                      <w:u w:val="singl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 w:val="21"/>
                      <w:szCs w:val="21"/>
                      <w:vertAlign w:val="baseline"/>
                      <w:lang w:val="en-US" w:eastAsia="zh-CN"/>
                    </w:rPr>
                  </w:pPr>
                  <w:r>
                    <w:rPr>
                      <w:rFonts w:hint="eastAsia" w:cs="Times New Roman"/>
                      <w:b/>
                      <w:bCs/>
                      <w:sz w:val="21"/>
                      <w:szCs w:val="21"/>
                      <w:u w:val="single"/>
                      <w:vertAlign w:val="baseline"/>
                      <w:lang w:val="en-US" w:eastAsia="zh-CN"/>
                    </w:rPr>
                    <w:t>2</w:t>
                  </w:r>
                </w:p>
              </w:tc>
              <w:tc>
                <w:tcPr>
                  <w:tcW w:w="4425"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b/>
                      <w:bCs/>
                      <w:sz w:val="21"/>
                      <w:szCs w:val="21"/>
                      <w:u w:val="single"/>
                      <w:vertAlign w:val="baseline"/>
                      <w:lang w:val="en-US" w:eastAsia="zh-CN"/>
                    </w:rPr>
                    <w:t>依法依规淘汰落后产能。修订《河南省淘汰落后产能综合标</w:t>
                  </w:r>
                  <w:r>
                    <w:rPr>
                      <w:rFonts w:hint="eastAsia" w:ascii="Times New Roman" w:hAnsi="Times New Roman" w:eastAsia="宋体" w:cs="Times New Roman"/>
                      <w:b/>
                      <w:bCs/>
                      <w:sz w:val="21"/>
                      <w:szCs w:val="21"/>
                      <w:u w:val="single"/>
                      <w:vertAlign w:val="baseline"/>
                      <w:lang w:val="en-US" w:eastAsia="zh-CN"/>
                    </w:rPr>
                    <w:t>准体系》，落实国家《产业结构调整指导目录》，严格执行质量、环保、能耗、安全等法规标准，将大气污染物排放强度高、治理难度大以及产能过剩行业的工艺和装备纳入淘汰范围，实施落后产能</w:t>
                  </w:r>
                  <w:r>
                    <w:rPr>
                      <w:rFonts w:hint="default" w:ascii="Times New Roman" w:hAnsi="Times New Roman" w:eastAsia="宋体" w:cs="Times New Roman"/>
                      <w:b/>
                      <w:bCs/>
                      <w:sz w:val="21"/>
                      <w:szCs w:val="21"/>
                      <w:u w:val="single"/>
                      <w:vertAlign w:val="baseline"/>
                      <w:lang w:val="en-US" w:eastAsia="zh-CN"/>
                    </w:rPr>
                    <w:t>“</w:t>
                  </w:r>
                  <w:r>
                    <w:rPr>
                      <w:rFonts w:hint="eastAsia" w:ascii="Times New Roman" w:hAnsi="Times New Roman" w:eastAsia="宋体" w:cs="Times New Roman"/>
                      <w:b/>
                      <w:bCs/>
                      <w:sz w:val="21"/>
                      <w:szCs w:val="21"/>
                      <w:u w:val="single"/>
                      <w:vertAlign w:val="baseline"/>
                      <w:lang w:val="en-US" w:eastAsia="zh-CN"/>
                    </w:rPr>
                    <w:t>动态清零</w:t>
                  </w:r>
                  <w:r>
                    <w:rPr>
                      <w:rFonts w:hint="default" w:ascii="Times New Roman" w:hAnsi="Times New Roman" w:eastAsia="宋体" w:cs="Times New Roman"/>
                      <w:b/>
                      <w:bCs/>
                      <w:sz w:val="21"/>
                      <w:szCs w:val="21"/>
                      <w:u w:val="single"/>
                      <w:vertAlign w:val="baseline"/>
                      <w:lang w:val="en-US" w:eastAsia="zh-CN"/>
                    </w:rPr>
                    <w:t>”</w:t>
                  </w:r>
                  <w:r>
                    <w:rPr>
                      <w:rFonts w:hint="eastAsia" w:cs="Times New Roman"/>
                      <w:b/>
                      <w:bCs/>
                      <w:sz w:val="21"/>
                      <w:szCs w:val="21"/>
                      <w:u w:val="single"/>
                      <w:vertAlign w:val="baseline"/>
                      <w:lang w:val="en-US" w:eastAsia="zh-CN"/>
                    </w:rPr>
                    <w:t>。</w:t>
                  </w:r>
                </w:p>
              </w:tc>
              <w:tc>
                <w:tcPr>
                  <w:tcW w:w="2150"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本项目</w:t>
                  </w:r>
                  <w:r>
                    <w:rPr>
                      <w:rFonts w:hint="default" w:ascii="Times New Roman" w:hAnsi="Times New Roman" w:eastAsia="宋体" w:cs="Times New Roman"/>
                      <w:b/>
                      <w:bCs/>
                      <w:sz w:val="21"/>
                      <w:szCs w:val="21"/>
                      <w:u w:val="single"/>
                    </w:rPr>
                    <w:t>医疗器械制造</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，产品为</w:t>
                  </w:r>
                  <w:r>
                    <w:rPr>
                      <w:rFonts w:hint="eastAsia" w:cs="Times New Roman"/>
                      <w:b/>
                      <w:bCs w:val="0"/>
                      <w:color w:val="000000" w:themeColor="text1"/>
                      <w:sz w:val="21"/>
                      <w:szCs w:val="21"/>
                      <w:u w:val="single"/>
                      <w:lang w:val="en-US" w:eastAsia="zh-CN"/>
                      <w14:textFill>
                        <w14:solidFill>
                          <w14:schemeClr w14:val="tx1"/>
                        </w14:solidFill>
                      </w14:textFill>
                    </w:rPr>
                    <w:t>普通病床</w:t>
                  </w:r>
                  <w:r>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t>、</w:t>
                  </w:r>
                  <w:r>
                    <w:rPr>
                      <w:rFonts w:hint="eastAsia" w:cs="Times New Roman"/>
                      <w:b/>
                      <w:bCs w:val="0"/>
                      <w:color w:val="000000" w:themeColor="text1"/>
                      <w:sz w:val="21"/>
                      <w:szCs w:val="21"/>
                      <w:u w:val="single"/>
                      <w:lang w:val="en-US" w:eastAsia="zh-CN"/>
                      <w14:textFill>
                        <w14:solidFill>
                          <w14:schemeClr w14:val="tx1"/>
                        </w14:solidFill>
                      </w14:textFill>
                    </w:rPr>
                    <w:t>中药柜</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。经查阅《产业结构调整指导目录（2019年本）</w:t>
                  </w:r>
                  <w:r>
                    <w:rPr>
                      <w:rFonts w:hint="eastAsia" w:cs="Times New Roman"/>
                      <w:b/>
                      <w:bCs w:val="0"/>
                      <w:color w:val="000000" w:themeColor="text1"/>
                      <w:sz w:val="21"/>
                      <w:szCs w:val="21"/>
                      <w:u w:val="single"/>
                      <w:lang w:eastAsia="zh-CN"/>
                      <w14:textFill>
                        <w14:solidFill>
                          <w14:schemeClr w14:val="tx1"/>
                        </w14:solidFill>
                      </w14:textFill>
                    </w:rPr>
                    <w:t>（</w:t>
                  </w:r>
                  <w:r>
                    <w:rPr>
                      <w:rFonts w:hint="eastAsia" w:cs="Times New Roman"/>
                      <w:b/>
                      <w:bCs w:val="0"/>
                      <w:color w:val="000000" w:themeColor="text1"/>
                      <w:sz w:val="21"/>
                      <w:szCs w:val="21"/>
                      <w:u w:val="single"/>
                      <w:lang w:val="en-US" w:eastAsia="zh-CN"/>
                      <w14:textFill>
                        <w14:solidFill>
                          <w14:schemeClr w14:val="tx1"/>
                        </w14:solidFill>
                      </w14:textFill>
                    </w:rPr>
                    <w:t>2021年修改</w:t>
                  </w:r>
                  <w:r>
                    <w:rPr>
                      <w:rFonts w:hint="eastAsia" w:cs="Times New Roman"/>
                      <w:b/>
                      <w:bCs w:val="0"/>
                      <w:color w:val="000000" w:themeColor="text1"/>
                      <w:sz w:val="21"/>
                      <w:szCs w:val="21"/>
                      <w:u w:val="single"/>
                      <w:lang w:eastAsia="zh-CN"/>
                      <w14:textFill>
                        <w14:solidFill>
                          <w14:schemeClr w14:val="tx1"/>
                        </w14:solidFill>
                      </w14:textFill>
                    </w:rPr>
                    <w:t>）</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》，该项目不在其规定的鼓励类、限制类、淘汰类之列，</w:t>
                  </w:r>
                  <w:r>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t>属于</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允许</w:t>
                  </w:r>
                  <w:r>
                    <w:rPr>
                      <w:rFonts w:hint="eastAsia" w:cs="Times New Roman"/>
                      <w:b/>
                      <w:bCs w:val="0"/>
                      <w:color w:val="000000" w:themeColor="text1"/>
                      <w:sz w:val="21"/>
                      <w:szCs w:val="21"/>
                      <w:u w:val="single"/>
                      <w:lang w:val="en-US" w:eastAsia="zh-CN"/>
                      <w14:textFill>
                        <w14:solidFill>
                          <w14:schemeClr w14:val="tx1"/>
                        </w14:solidFill>
                      </w14:textFill>
                    </w:rPr>
                    <w:t>建设项目</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，且项目生产工艺及所用设备无目录中规定的淘汰类工艺装备。</w:t>
                  </w:r>
                </w:p>
              </w:tc>
              <w:tc>
                <w:tcPr>
                  <w:tcW w:w="877"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u w:val="single"/>
                      <w:vertAlign w:val="baseline"/>
                    </w:rPr>
                  </w:pPr>
                  <w:r>
                    <w:rPr>
                      <w:rFonts w:hint="eastAsia" w:ascii="Times New Roman" w:hAnsi="Times New Roman" w:eastAsia="宋体" w:cs="Times New Roman"/>
                      <w:b/>
                      <w:bCs/>
                      <w:sz w:val="21"/>
                      <w:szCs w:val="21"/>
                      <w:u w:val="singl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73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 w:val="21"/>
                      <w:szCs w:val="21"/>
                      <w:vertAlign w:val="baseline"/>
                      <w:lang w:val="en-US" w:eastAsia="zh-CN"/>
                    </w:rPr>
                  </w:pPr>
                  <w:r>
                    <w:rPr>
                      <w:rFonts w:hint="eastAsia" w:cs="Times New Roman"/>
                      <w:b/>
                      <w:bCs/>
                      <w:sz w:val="21"/>
                      <w:szCs w:val="21"/>
                      <w:u w:val="single"/>
                      <w:vertAlign w:val="baseline"/>
                      <w:lang w:val="en-US" w:eastAsia="zh-CN"/>
                    </w:rPr>
                    <w:t>3</w:t>
                  </w:r>
                </w:p>
              </w:tc>
              <w:tc>
                <w:tcPr>
                  <w:tcW w:w="4425"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b/>
                      <w:bCs/>
                      <w:sz w:val="21"/>
                      <w:szCs w:val="21"/>
                      <w:u w:val="single"/>
                      <w:vertAlign w:val="baseline"/>
                      <w:lang w:val="en-US" w:eastAsia="zh-CN"/>
                    </w:rPr>
                    <w:t>实施工业炉窑清洁能源替代。推动陶瓷、玻璃、石灰、耐火材料、有色、无机化工、矿物棉、铸造等行业炉窑实施清洁能源替代。大力推进电能替代煤炭，加快淘汰不能稳定达标的燃煤锅炉和以煤、石油焦、渣油、重油等为燃料的工业窑炉；在不影民生用气稳定、已落实合同气源的前提下，稳妥有序引导以气代煤。2024 年 12 月底前，全省基本完成分散建设的燃料类煤气发生炉的清洁能源替代，或者采取园区（集群）集中供气供热、分散使用的方式。</w:t>
                  </w:r>
                </w:p>
              </w:tc>
              <w:tc>
                <w:tcPr>
                  <w:tcW w:w="2150"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本项目</w:t>
                  </w:r>
                  <w:r>
                    <w:rPr>
                      <w:rFonts w:hint="default" w:ascii="Times New Roman" w:hAnsi="Times New Roman" w:eastAsia="宋体" w:cs="Times New Roman"/>
                      <w:b/>
                      <w:bCs/>
                      <w:sz w:val="21"/>
                      <w:szCs w:val="21"/>
                      <w:u w:val="single"/>
                    </w:rPr>
                    <w:t>医疗器械制造</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，产品为</w:t>
                  </w:r>
                  <w:r>
                    <w:rPr>
                      <w:rFonts w:hint="eastAsia" w:cs="Times New Roman"/>
                      <w:b/>
                      <w:bCs w:val="0"/>
                      <w:color w:val="000000" w:themeColor="text1"/>
                      <w:sz w:val="21"/>
                      <w:szCs w:val="21"/>
                      <w:u w:val="single"/>
                      <w:lang w:val="en-US" w:eastAsia="zh-CN"/>
                      <w14:textFill>
                        <w14:solidFill>
                          <w14:schemeClr w14:val="tx1"/>
                        </w14:solidFill>
                      </w14:textFill>
                    </w:rPr>
                    <w:t>普通病床</w:t>
                  </w:r>
                  <w:r>
                    <w:rPr>
                      <w:rFonts w:hint="eastAsia" w:ascii="Times New Roman" w:hAnsi="Times New Roman" w:eastAsia="宋体" w:cs="Times New Roman"/>
                      <w:b/>
                      <w:bCs w:val="0"/>
                      <w:color w:val="000000" w:themeColor="text1"/>
                      <w:sz w:val="21"/>
                      <w:szCs w:val="21"/>
                      <w:u w:val="single"/>
                      <w:lang w:val="en-US" w:eastAsia="zh-CN"/>
                      <w14:textFill>
                        <w14:solidFill>
                          <w14:schemeClr w14:val="tx1"/>
                        </w14:solidFill>
                      </w14:textFill>
                    </w:rPr>
                    <w:t>、</w:t>
                  </w:r>
                  <w:r>
                    <w:rPr>
                      <w:rFonts w:hint="eastAsia" w:cs="Times New Roman"/>
                      <w:b/>
                      <w:bCs w:val="0"/>
                      <w:color w:val="000000" w:themeColor="text1"/>
                      <w:sz w:val="21"/>
                      <w:szCs w:val="21"/>
                      <w:u w:val="single"/>
                      <w:lang w:val="en-US" w:eastAsia="zh-CN"/>
                      <w14:textFill>
                        <w14:solidFill>
                          <w14:schemeClr w14:val="tx1"/>
                        </w14:solidFill>
                      </w14:textFill>
                    </w:rPr>
                    <w:t>中药柜</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w:t>
                  </w:r>
                  <w:r>
                    <w:rPr>
                      <w:rFonts w:hint="eastAsia" w:cs="Times New Roman"/>
                      <w:b/>
                      <w:bCs w:val="0"/>
                      <w:color w:val="000000" w:themeColor="text1"/>
                      <w:sz w:val="21"/>
                      <w:szCs w:val="21"/>
                      <w:u w:val="single"/>
                      <w:lang w:val="en-US" w:eastAsia="zh-CN"/>
                      <w14:textFill>
                        <w14:solidFill>
                          <w14:schemeClr w14:val="tx1"/>
                        </w14:solidFill>
                      </w14:textFill>
                    </w:rPr>
                    <w:t>不属于陶瓷、玻璃、石灰、耐火材料、有色、无机化工、矿物棉、铸造等行业。</w:t>
                  </w:r>
                  <w:r>
                    <w:rPr>
                      <w:rFonts w:hint="default" w:ascii="Times New Roman" w:hAnsi="Times New Roman" w:eastAsia="宋体" w:cs="Times New Roman"/>
                      <w:b/>
                      <w:bCs/>
                      <w:sz w:val="21"/>
                      <w:szCs w:val="21"/>
                      <w:u w:val="single"/>
                    </w:rPr>
                    <w:t>项目烘干道热风炉属于工业炉窑，采用液化石油气清洁能源。</w:t>
                  </w:r>
                </w:p>
              </w:tc>
              <w:tc>
                <w:tcPr>
                  <w:tcW w:w="877"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vertAlign w:val="baseline"/>
                    </w:rPr>
                  </w:pPr>
                  <w:r>
                    <w:rPr>
                      <w:rFonts w:hint="eastAsia" w:ascii="Times New Roman" w:hAnsi="Times New Roman" w:eastAsia="宋体" w:cs="Times New Roman"/>
                      <w:b/>
                      <w:bCs/>
                      <w:sz w:val="21"/>
                      <w:szCs w:val="21"/>
                      <w:u w:val="singl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 w:val="21"/>
                      <w:szCs w:val="21"/>
                      <w:vertAlign w:val="baseline"/>
                      <w:lang w:val="en-US" w:eastAsia="zh-CN"/>
                    </w:rPr>
                  </w:pPr>
                  <w:r>
                    <w:rPr>
                      <w:rFonts w:hint="eastAsia" w:cs="Times New Roman"/>
                      <w:b/>
                      <w:bCs/>
                      <w:sz w:val="21"/>
                      <w:szCs w:val="21"/>
                      <w:u w:val="single"/>
                      <w:vertAlign w:val="baseline"/>
                      <w:lang w:val="en-US" w:eastAsia="zh-CN"/>
                    </w:rPr>
                    <w:t>4</w:t>
                  </w:r>
                </w:p>
              </w:tc>
              <w:tc>
                <w:tcPr>
                  <w:tcW w:w="4425"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b/>
                      <w:bCs/>
                      <w:sz w:val="21"/>
                      <w:szCs w:val="21"/>
                      <w:u w:val="single"/>
                      <w:vertAlign w:val="baseline"/>
                      <w:lang w:val="en-US" w:eastAsia="zh-CN"/>
                    </w:rPr>
                    <w:t>实施工业污染排放深度治理。推进玻璃、煤化工、无机化工、化肥、有色、铸造、石灰、砖瓦、耐火材料、炭素、生物质锅炉、生活垃圾焚烧等行业锅炉炉窑深度治理，全面提升治污设施处理能力和运行管理水平，加强物料运输、装卸储存及生产过程中的无组织排放控制，确保稳定达标排放。推进氨排放治理，加强电力、钢铁、水泥、焦化等重点行业烟气脱硫脱硝氨逃逸防控，减少大气氨排放。建立并动态更新重点行业企业全口径清单，实施精细化管理。</w:t>
                  </w:r>
                </w:p>
              </w:tc>
              <w:tc>
                <w:tcPr>
                  <w:tcW w:w="2150"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vertAlign w:val="baseline"/>
                    </w:rPr>
                  </w:pPr>
                  <w:r>
                    <w:rPr>
                      <w:rFonts w:hint="eastAsia" w:cs="Times New Roman"/>
                      <w:b/>
                      <w:bCs w:val="0"/>
                      <w:color w:val="000000" w:themeColor="text1"/>
                      <w:sz w:val="21"/>
                      <w:szCs w:val="21"/>
                      <w:u w:val="single"/>
                      <w:lang w:val="en-US" w:eastAsia="zh-CN"/>
                      <w14:textFill>
                        <w14:solidFill>
                          <w14:schemeClr w14:val="tx1"/>
                        </w14:solidFill>
                      </w14:textFill>
                    </w:rPr>
                    <w:t>本项目为</w:t>
                  </w:r>
                  <w:r>
                    <w:rPr>
                      <w:rFonts w:hint="default" w:ascii="Times New Roman" w:hAnsi="Times New Roman" w:eastAsia="宋体" w:cs="Times New Roman"/>
                      <w:b/>
                      <w:bCs/>
                      <w:sz w:val="21"/>
                      <w:szCs w:val="21"/>
                      <w:u w:val="single"/>
                    </w:rPr>
                    <w:t>医疗器械制造</w:t>
                  </w:r>
                  <w:r>
                    <w:rPr>
                      <w:rFonts w:hint="eastAsia" w:cs="Times New Roman"/>
                      <w:b/>
                      <w:bCs w:val="0"/>
                      <w:color w:val="000000" w:themeColor="text1"/>
                      <w:sz w:val="21"/>
                      <w:szCs w:val="21"/>
                      <w:u w:val="single"/>
                      <w:lang w:val="en-US" w:eastAsia="zh-CN"/>
                      <w14:textFill>
                        <w14:solidFill>
                          <w14:schemeClr w14:val="tx1"/>
                        </w14:solidFill>
                      </w14:textFill>
                    </w:rPr>
                    <w:t>项目，</w:t>
                  </w:r>
                  <w:r>
                    <w:rPr>
                      <w:rFonts w:hint="default" w:ascii="Times New Roman" w:hAnsi="Times New Roman" w:eastAsia="宋体" w:cs="Times New Roman"/>
                      <w:b/>
                      <w:bCs/>
                      <w:sz w:val="21"/>
                      <w:szCs w:val="21"/>
                      <w:u w:val="single"/>
                    </w:rPr>
                    <w:t>项目烘干道热风炉属于工业炉窑，采用液化石油气清洁能源</w:t>
                  </w:r>
                  <w:r>
                    <w:rPr>
                      <w:rFonts w:hint="eastAsia" w:cs="Times New Roman"/>
                      <w:b/>
                      <w:bCs w:val="0"/>
                      <w:color w:val="000000" w:themeColor="text1"/>
                      <w:sz w:val="21"/>
                      <w:szCs w:val="21"/>
                      <w:u w:val="single"/>
                      <w:lang w:val="en-US" w:eastAsia="zh-CN"/>
                      <w14:textFill>
                        <w14:solidFill>
                          <w14:schemeClr w14:val="tx1"/>
                        </w14:solidFill>
                      </w14:textFill>
                    </w:rPr>
                    <w:t>。厂区物料运输过程中不产生粉尘。厂区产生的废气均进行收集后引入环保设备处理，减少无组织排放。</w:t>
                  </w:r>
                </w:p>
              </w:tc>
              <w:tc>
                <w:tcPr>
                  <w:tcW w:w="877"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vertAlign w:val="baseline"/>
                    </w:rPr>
                  </w:pPr>
                  <w:r>
                    <w:rPr>
                      <w:rFonts w:hint="eastAsia" w:ascii="Times New Roman" w:hAnsi="Times New Roman" w:eastAsia="宋体" w:cs="Times New Roman"/>
                      <w:b/>
                      <w:bCs/>
                      <w:sz w:val="21"/>
                      <w:szCs w:val="21"/>
                      <w:u w:val="singl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4"/>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b/>
                      <w:bCs/>
                      <w:sz w:val="21"/>
                      <w:szCs w:val="21"/>
                      <w:u w:val="single"/>
                      <w:vertAlign w:val="baseline"/>
                      <w:lang w:val="en-US" w:eastAsia="zh-CN"/>
                    </w:rPr>
                  </w:pPr>
                  <w:r>
                    <w:rPr>
                      <w:rFonts w:hint="eastAsia" w:cs="Times New Roman"/>
                      <w:b/>
                      <w:bCs w:val="0"/>
                      <w:color w:val="000000" w:themeColor="text1"/>
                      <w:sz w:val="21"/>
                      <w:szCs w:val="21"/>
                      <w:u w:val="single"/>
                      <w:lang w:val="en-US" w:eastAsia="zh-CN"/>
                      <w14:textFill>
                        <w14:solidFill>
                          <w14:schemeClr w14:val="tx1"/>
                        </w14:solidFill>
                      </w14:textFill>
                    </w:rPr>
                    <w:t>夏季臭氧污染防治攻坚行动方案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cs="Times New Roman"/>
                      <w:b/>
                      <w:bCs w:val="0"/>
                      <w:color w:val="000000" w:themeColor="text1"/>
                      <w:sz w:val="21"/>
                      <w:szCs w:val="21"/>
                      <w:u w:val="single"/>
                      <w:lang w:val="en-US" w:eastAsia="zh-CN"/>
                      <w14:textFill>
                        <w14:solidFill>
                          <w14:schemeClr w14:val="tx1"/>
                        </w14:solidFill>
                      </w14:textFill>
                    </w:rPr>
                  </w:pPr>
                  <w:r>
                    <w:rPr>
                      <w:rFonts w:hint="eastAsia" w:cs="Times New Roman"/>
                      <w:b/>
                      <w:bCs w:val="0"/>
                      <w:color w:val="000000" w:themeColor="text1"/>
                      <w:sz w:val="21"/>
                      <w:szCs w:val="21"/>
                      <w:u w:val="single"/>
                      <w:lang w:val="en-US" w:eastAsia="zh-CN"/>
                      <w14:textFill>
                        <w14:solidFill>
                          <w14:schemeClr w14:val="tx1"/>
                        </w14:solidFill>
                      </w14:textFill>
                    </w:rPr>
                    <w:t>5</w:t>
                  </w:r>
                </w:p>
              </w:tc>
              <w:tc>
                <w:tcPr>
                  <w:tcW w:w="4425"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cs="Times New Roman"/>
                      <w:b/>
                      <w:bCs w:val="0"/>
                      <w:color w:val="000000" w:themeColor="text1"/>
                      <w:sz w:val="21"/>
                      <w:szCs w:val="21"/>
                      <w:u w:val="single"/>
                      <w:lang w:val="en-US" w:eastAsia="zh-CN"/>
                      <w14:textFill>
                        <w14:solidFill>
                          <w14:schemeClr w14:val="tx1"/>
                        </w14:solidFill>
                      </w14:textFill>
                    </w:rPr>
                  </w:pPr>
                  <w:r>
                    <w:rPr>
                      <w:rFonts w:hint="eastAsia" w:cs="Times New Roman"/>
                      <w:b/>
                      <w:bCs w:val="0"/>
                      <w:color w:val="000000" w:themeColor="text1"/>
                      <w:sz w:val="21"/>
                      <w:szCs w:val="21"/>
                      <w:u w:val="single"/>
                      <w:lang w:val="en-US" w:eastAsia="zh-CN"/>
                      <w14:textFill>
                        <w14:solidFill>
                          <w14:schemeClr w14:val="tx1"/>
                        </w14:solidFill>
                      </w14:textFill>
                    </w:rPr>
                    <w:t xml:space="preserve">二、含 </w:t>
                  </w:r>
                  <w:r>
                    <w:rPr>
                      <w:rFonts w:hint="default" w:cs="Times New Roman"/>
                      <w:b/>
                      <w:bCs w:val="0"/>
                      <w:color w:val="000000" w:themeColor="text1"/>
                      <w:sz w:val="21"/>
                      <w:szCs w:val="21"/>
                      <w:u w:val="single"/>
                      <w:lang w:val="en-US" w:eastAsia="zh-CN"/>
                      <w14:textFill>
                        <w14:solidFill>
                          <w14:schemeClr w14:val="tx1"/>
                        </w14:solidFill>
                      </w14:textFill>
                    </w:rPr>
                    <w:t xml:space="preserve">VOCs </w:t>
                  </w:r>
                  <w:r>
                    <w:rPr>
                      <w:rFonts w:hint="eastAsia" w:cs="Times New Roman"/>
                      <w:b/>
                      <w:bCs w:val="0"/>
                      <w:color w:val="000000" w:themeColor="text1"/>
                      <w:sz w:val="21"/>
                      <w:szCs w:val="21"/>
                      <w:u w:val="single"/>
                      <w:lang w:val="en-US" w:eastAsia="zh-CN"/>
                      <w14:textFill>
                        <w14:solidFill>
                          <w14:schemeClr w14:val="tx1"/>
                        </w14:solidFill>
                      </w14:textFill>
                    </w:rPr>
                    <w:t xml:space="preserve">原辅材料源头替代行动 </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cs="Times New Roman"/>
                      <w:b/>
                      <w:bCs w:val="0"/>
                      <w:color w:val="000000" w:themeColor="text1"/>
                      <w:sz w:val="21"/>
                      <w:szCs w:val="21"/>
                      <w:u w:val="single"/>
                      <w:lang w:val="en-US" w:eastAsia="zh-CN"/>
                      <w14:textFill>
                        <w14:solidFill>
                          <w14:schemeClr w14:val="tx1"/>
                        </w14:solidFill>
                      </w14:textFill>
                    </w:rPr>
                  </w:pPr>
                  <w:r>
                    <w:rPr>
                      <w:rFonts w:hint="eastAsia" w:cs="Times New Roman"/>
                      <w:b/>
                      <w:bCs w:val="0"/>
                      <w:color w:val="000000" w:themeColor="text1"/>
                      <w:sz w:val="21"/>
                      <w:szCs w:val="21"/>
                      <w:u w:val="single"/>
                      <w:lang w:val="en-US" w:eastAsia="zh-CN"/>
                      <w14:textFill>
                        <w14:solidFill>
                          <w14:schemeClr w14:val="tx1"/>
                        </w14:solidFill>
                      </w14:textFill>
                    </w:rPr>
                    <w:t>加快实施低 VOCs 含量原辅材料替代。全面排查使用涂料、油墨、胶粘剂、清洗剂等原辅材料的企业，摸清涉 VOCs 产品类型、原辅材料使用量，建立清单台账，每年指导企业制定低 VOCs原辅材料替代计划。工程机械制造、家具制造、钢结构、包装印刷、制鞋、人造板及其他含涂装工序行业，按照“可替尽替、应代尽代”的原则，全面推进使用低 VOCs 原辅材料；汽车整车制造行业大力提升底漆、中涂、色漆低 VOCs 含量涂料；房屋建筑和市政工程全面推广使用低 VOCs 含量涂料和胶粘剂，除特殊功能要求外，室内地坪施工、室外构筑物防护和城市道路交通标志基本使用低 VOCs 含量涂料。城市建成区严格控制生产和使用溶剂型涂料、油墨、胶粘剂、清洗剂等建设项目。原辅材料 VOCs 含 量应满足低 VOCs 原辅材料含量限值。</w:t>
                  </w:r>
                </w:p>
              </w:tc>
              <w:tc>
                <w:tcPr>
                  <w:tcW w:w="2150"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本项目属于</w:t>
                  </w:r>
                  <w:r>
                    <w:rPr>
                      <w:rFonts w:hint="default" w:ascii="Times New Roman" w:hAnsi="Times New Roman" w:eastAsia="宋体" w:cs="Times New Roman"/>
                      <w:b/>
                      <w:bCs/>
                      <w:sz w:val="21"/>
                      <w:szCs w:val="21"/>
                      <w:u w:val="single"/>
                    </w:rPr>
                    <w:t>医疗器械制造</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w:t>
                  </w: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项目生产过程中使用的</w:t>
                  </w:r>
                  <w:r>
                    <w:rPr>
                      <w:rFonts w:hint="eastAsia" w:cs="Times New Roman"/>
                      <w:b/>
                      <w:bCs/>
                      <w:color w:val="000000" w:themeColor="text1"/>
                      <w:sz w:val="21"/>
                      <w:szCs w:val="21"/>
                      <w:u w:val="single"/>
                      <w:lang w:val="en-US" w:eastAsia="zh-CN"/>
                      <w14:textFill>
                        <w14:solidFill>
                          <w14:schemeClr w14:val="tx1"/>
                        </w14:solidFill>
                      </w14:textFill>
                    </w:rPr>
                    <w:t>塑粉</w:t>
                  </w: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为环保型</w:t>
                  </w:r>
                  <w:r>
                    <w:rPr>
                      <w:rFonts w:hint="eastAsia" w:cs="Times New Roman"/>
                      <w:b/>
                      <w:bCs/>
                      <w:color w:val="000000" w:themeColor="text1"/>
                      <w:sz w:val="21"/>
                      <w:szCs w:val="21"/>
                      <w:u w:val="single"/>
                      <w:lang w:val="en-US" w:eastAsia="zh-CN"/>
                      <w14:textFill>
                        <w14:solidFill>
                          <w14:schemeClr w14:val="tx1"/>
                        </w14:solidFill>
                      </w14:textFill>
                    </w:rPr>
                    <w:t>塑粉，厂区原料使用，均要求你企业建设台账，对原料用量进行记录保存。</w:t>
                  </w:r>
                </w:p>
              </w:tc>
              <w:tc>
                <w:tcPr>
                  <w:tcW w:w="87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cs="Times New Roman"/>
                      <w:b/>
                      <w:bCs w:val="0"/>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b/>
                      <w:bCs/>
                      <w:sz w:val="21"/>
                      <w:szCs w:val="21"/>
                      <w:u w:val="singl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cs="Times New Roman"/>
                      <w:b/>
                      <w:bCs w:val="0"/>
                      <w:color w:val="000000" w:themeColor="text1"/>
                      <w:sz w:val="21"/>
                      <w:szCs w:val="21"/>
                      <w:u w:val="single"/>
                      <w:lang w:val="en-US" w:eastAsia="zh-CN"/>
                      <w14:textFill>
                        <w14:solidFill>
                          <w14:schemeClr w14:val="tx1"/>
                        </w14:solidFill>
                      </w14:textFill>
                    </w:rPr>
                  </w:pPr>
                  <w:r>
                    <w:rPr>
                      <w:rFonts w:hint="eastAsia" w:cs="Times New Roman"/>
                      <w:b/>
                      <w:bCs w:val="0"/>
                      <w:color w:val="000000" w:themeColor="text1"/>
                      <w:sz w:val="21"/>
                      <w:szCs w:val="21"/>
                      <w:u w:val="single"/>
                      <w:lang w:val="en-US" w:eastAsia="zh-CN"/>
                      <w14:textFill>
                        <w14:solidFill>
                          <w14:schemeClr w14:val="tx1"/>
                        </w14:solidFill>
                      </w14:textFill>
                    </w:rPr>
                    <w:t>6</w:t>
                  </w:r>
                </w:p>
              </w:tc>
              <w:tc>
                <w:tcPr>
                  <w:tcW w:w="442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b/>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三、VOCs 污染治理达标行动</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cs="Times New Roman"/>
                      <w:b w:val="0"/>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持续深化 VOCs 无组织排放整治。动态更新有机废气收集设施、泄漏检测与修复（LDAR）、挥发性有机液体储罐、有机液体装卸、敞开液面清单台账，实施含 VOCs 物料全方位、全链条、全环节密闭管理，对达不到无组织排放治理要求的实施限期治理，提升废气收集率，在保证安全生产前提下，做到“应收尽收”。工业涂装、包装印刷等行业优先采用密闭设备、在密闭空间中操作等方式收集无组织废气，并保持负压运行。采用集气罩、侧吸风等方式收集无组织废气的，距集气罩开口面最远处的控制风速不低于0.3米/秒；鼓励使用推拉式等硬质围挡进行封闭，尽可能缩小集气罩和污染源点的距离。</w:t>
                  </w:r>
                </w:p>
              </w:tc>
              <w:tc>
                <w:tcPr>
                  <w:tcW w:w="21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eastAsia="宋体" w:cs="Times New Roman"/>
                      <w:b w:val="0"/>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本项目产生的有机废气</w:t>
                  </w:r>
                  <w:r>
                    <w:rPr>
                      <w:rFonts w:hint="eastAsia" w:cs="Times New Roman"/>
                      <w:b/>
                      <w:bCs w:val="0"/>
                      <w:color w:val="000000" w:themeColor="text1"/>
                      <w:sz w:val="21"/>
                      <w:szCs w:val="21"/>
                      <w:u w:val="single"/>
                      <w:lang w:val="en-US" w:eastAsia="zh-CN"/>
                      <w14:textFill>
                        <w14:solidFill>
                          <w14:schemeClr w14:val="tx1"/>
                        </w14:solidFill>
                      </w14:textFill>
                    </w:rPr>
                    <w:t>设置四面围挡的集气罩装置，</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废气经收集后由</w:t>
                  </w:r>
                  <w:r>
                    <w:rPr>
                      <w:rFonts w:hint="default" w:ascii="Times New Roman" w:hAnsi="Times New Roman" w:eastAsia="宋体" w:cs="Times New Roman"/>
                      <w:b/>
                      <w:bCs w:val="0"/>
                      <w:color w:val="000000" w:themeColor="text1"/>
                      <w:spacing w:val="8"/>
                      <w:sz w:val="21"/>
                      <w:szCs w:val="21"/>
                      <w:u w:val="single"/>
                      <w:lang w:val="en-US" w:eastAsia="zh-CN"/>
                      <w14:textFill>
                        <w14:solidFill>
                          <w14:schemeClr w14:val="tx1"/>
                        </w14:solidFill>
                      </w14:textFill>
                    </w:rPr>
                    <w:t>“</w:t>
                  </w:r>
                  <w:r>
                    <w:rPr>
                      <w:rFonts w:hint="eastAsia" w:cs="Times New Roman"/>
                      <w:b/>
                      <w:bCs w:val="0"/>
                      <w:color w:val="000000" w:themeColor="text1"/>
                      <w:spacing w:val="8"/>
                      <w:sz w:val="21"/>
                      <w:szCs w:val="21"/>
                      <w:u w:val="single"/>
                      <w:lang w:val="en-US" w:eastAsia="zh-CN"/>
                      <w14:textFill>
                        <w14:solidFill>
                          <w14:schemeClr w14:val="tx1"/>
                        </w14:solidFill>
                      </w14:textFill>
                    </w:rPr>
                    <w:t>UV光氧</w:t>
                  </w:r>
                  <w:r>
                    <w:rPr>
                      <w:rFonts w:hint="default" w:ascii="Times New Roman" w:hAnsi="Times New Roman" w:eastAsia="宋体" w:cs="Times New Roman"/>
                      <w:b/>
                      <w:bCs w:val="0"/>
                      <w:color w:val="000000" w:themeColor="text1"/>
                      <w:spacing w:val="8"/>
                      <w:sz w:val="21"/>
                      <w:szCs w:val="21"/>
                      <w:u w:val="single"/>
                      <w:lang w:val="en-US" w:eastAsia="zh-CN"/>
                      <w14:textFill>
                        <w14:solidFill>
                          <w14:schemeClr w14:val="tx1"/>
                        </w14:solidFill>
                      </w14:textFill>
                    </w:rPr>
                    <w:t>+</w:t>
                  </w:r>
                  <w:r>
                    <w:rPr>
                      <w:rFonts w:hint="eastAsia" w:cs="Times New Roman"/>
                      <w:b/>
                      <w:bCs w:val="0"/>
                      <w:color w:val="000000" w:themeColor="text1"/>
                      <w:spacing w:val="8"/>
                      <w:sz w:val="21"/>
                      <w:szCs w:val="21"/>
                      <w:u w:val="single"/>
                      <w:lang w:val="en-US" w:eastAsia="zh-CN"/>
                      <w14:textFill>
                        <w14:solidFill>
                          <w14:schemeClr w14:val="tx1"/>
                        </w14:solidFill>
                      </w14:textFill>
                    </w:rPr>
                    <w:t>活性炭吸附</w:t>
                  </w:r>
                  <w:r>
                    <w:rPr>
                      <w:rFonts w:hint="default" w:ascii="Times New Roman" w:hAnsi="Times New Roman" w:eastAsia="宋体" w:cs="Times New Roman"/>
                      <w:b/>
                      <w:bCs w:val="0"/>
                      <w:color w:val="000000" w:themeColor="text1"/>
                      <w:spacing w:val="8"/>
                      <w:sz w:val="21"/>
                      <w:szCs w:val="21"/>
                      <w:u w:val="single"/>
                      <w:lang w:val="en-US" w:eastAsia="zh-CN"/>
                      <w14:textFill>
                        <w14:solidFill>
                          <w14:schemeClr w14:val="tx1"/>
                        </w14:solidFill>
                      </w14:textFill>
                    </w:rPr>
                    <w:t>”置+15m高排气筒排放。</w:t>
                  </w:r>
                  <w:r>
                    <w:rPr>
                      <w:rFonts w:hint="eastAsia" w:cs="Times New Roman"/>
                      <w:b/>
                      <w:bCs w:val="0"/>
                      <w:color w:val="000000" w:themeColor="text1"/>
                      <w:sz w:val="21"/>
                      <w:szCs w:val="21"/>
                      <w:u w:val="single"/>
                      <w:lang w:val="en-US" w:eastAsia="zh-CN"/>
                      <w14:textFill>
                        <w14:solidFill>
                          <w14:schemeClr w14:val="tx1"/>
                        </w14:solidFill>
                      </w14:textFill>
                    </w:rPr>
                    <w:t>均可达标排放。</w:t>
                  </w:r>
                </w:p>
              </w:tc>
              <w:tc>
                <w:tcPr>
                  <w:tcW w:w="87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cs="Times New Roman"/>
                      <w:b/>
                      <w:bCs w:val="0"/>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b/>
                      <w:bCs/>
                      <w:sz w:val="21"/>
                      <w:szCs w:val="21"/>
                      <w:u w:val="singl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cs="Times New Roman"/>
                      <w:b/>
                      <w:bCs w:val="0"/>
                      <w:color w:val="000000" w:themeColor="text1"/>
                      <w:sz w:val="21"/>
                      <w:szCs w:val="21"/>
                      <w:u w:val="single"/>
                      <w:lang w:val="en-US" w:eastAsia="zh-CN"/>
                      <w14:textFill>
                        <w14:solidFill>
                          <w14:schemeClr w14:val="tx1"/>
                        </w14:solidFill>
                      </w14:textFill>
                    </w:rPr>
                  </w:pPr>
                  <w:r>
                    <w:rPr>
                      <w:rFonts w:hint="eastAsia" w:cs="Times New Roman"/>
                      <w:b/>
                      <w:bCs w:val="0"/>
                      <w:color w:val="000000" w:themeColor="text1"/>
                      <w:sz w:val="21"/>
                      <w:szCs w:val="21"/>
                      <w:u w:val="single"/>
                      <w:lang w:val="en-US" w:eastAsia="zh-CN"/>
                      <w14:textFill>
                        <w14:solidFill>
                          <w14:schemeClr w14:val="tx1"/>
                        </w14:solidFill>
                      </w14:textFill>
                    </w:rPr>
                    <w:t>7</w:t>
                  </w:r>
                </w:p>
              </w:tc>
              <w:tc>
                <w:tcPr>
                  <w:tcW w:w="44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大力提升 VOCs 治理设施去除效率。全面排查 VOCs 治理设施，动态更新治理设施清单台账，分析治理技术与 VOCs 废气排放特征、组分等匹配性。低浓度、大风量有机废气，采用沸石转轮吸附、活性炭吸附、减风增浓等浓缩技术，提高 VOCs 浓度后采用高温焚烧、催化燃烧等技术；高浓度废气，优先进行溶剂回收预处理，难以回收的，采用高温焚烧、催化燃烧等技术。采用催化燃烧工艺的企业使用合格的催化剂并足额添加，高温焚烧温度不低于760摄氏度，催化燃烧装置燃烧温度不低于 300 摄氏度，相关温度参数自动记录存储，储存时间不少于1年。采用活性炭吸附工艺的，原则上VOCs 产生浓度不超过 300 毫克/立方米，废气中涉及颗粒物、油烟（油雾）、水分等影响吸附过程物质的，应采取相应的预处理措施，颗粒状、柱状活性炭碘值不低于800毫克/克，蜂窝状活性炭碘值不低于650毫克/克，活性炭填充量、更换频次满足环评要求，活性炭购买发票、更换记录、碘值报告等支撑材料保存3年以上；每年开展活性炭监督抽查，每年夏季对活性炭质量进行抽检，对活性炭质量不合格的企业依法追究责任</w:t>
                  </w:r>
                  <w:r>
                    <w:rPr>
                      <w:rFonts w:hint="eastAsia" w:cs="Times New Roman"/>
                      <w:b/>
                      <w:bCs w:val="0"/>
                      <w:color w:val="000000" w:themeColor="text1"/>
                      <w:sz w:val="21"/>
                      <w:szCs w:val="21"/>
                      <w:u w:val="single"/>
                      <w:lang w:eastAsia="zh-CN"/>
                      <w14:textFill>
                        <w14:solidFill>
                          <w14:schemeClr w14:val="tx1"/>
                        </w14:solidFill>
                      </w14:textFill>
                    </w:rPr>
                    <w:t>。</w:t>
                  </w:r>
                </w:p>
              </w:tc>
              <w:tc>
                <w:tcPr>
                  <w:tcW w:w="2150"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cs="Times New Roman"/>
                      <w:b/>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u w:val="single"/>
                      <w14:textFill>
                        <w14:solidFill>
                          <w14:schemeClr w14:val="tx1"/>
                        </w14:solidFill>
                      </w14:textFill>
                    </w:rPr>
                    <w:t>本项目产生的有机废气</w:t>
                  </w:r>
                  <w:r>
                    <w:rPr>
                      <w:rFonts w:hint="eastAsia" w:cs="Times New Roman"/>
                      <w:b/>
                      <w:bCs w:val="0"/>
                      <w:color w:val="000000" w:themeColor="text1"/>
                      <w:sz w:val="21"/>
                      <w:szCs w:val="21"/>
                      <w:u w:val="single"/>
                      <w:lang w:val="en-US" w:eastAsia="zh-CN"/>
                      <w14:textFill>
                        <w14:solidFill>
                          <w14:schemeClr w14:val="tx1"/>
                        </w14:solidFill>
                      </w14:textFill>
                    </w:rPr>
                    <w:t>设置四面围挡的集气罩装置，</w:t>
                  </w:r>
                  <w:r>
                    <w:rPr>
                      <w:rFonts w:hint="default" w:ascii="Times New Roman" w:hAnsi="Times New Roman" w:eastAsia="宋体" w:cs="Times New Roman"/>
                      <w:b/>
                      <w:bCs w:val="0"/>
                      <w:color w:val="000000" w:themeColor="text1"/>
                      <w:sz w:val="21"/>
                      <w:szCs w:val="21"/>
                      <w:u w:val="single"/>
                      <w14:textFill>
                        <w14:solidFill>
                          <w14:schemeClr w14:val="tx1"/>
                        </w14:solidFill>
                      </w14:textFill>
                    </w:rPr>
                    <w:t>废气经收集后由</w:t>
                  </w:r>
                  <w:r>
                    <w:rPr>
                      <w:rFonts w:hint="default" w:ascii="Times New Roman" w:hAnsi="Times New Roman" w:eastAsia="宋体" w:cs="Times New Roman"/>
                      <w:b/>
                      <w:bCs w:val="0"/>
                      <w:color w:val="000000" w:themeColor="text1"/>
                      <w:spacing w:val="8"/>
                      <w:sz w:val="21"/>
                      <w:szCs w:val="21"/>
                      <w:u w:val="single"/>
                      <w:lang w:val="en-US" w:eastAsia="zh-CN"/>
                      <w14:textFill>
                        <w14:solidFill>
                          <w14:schemeClr w14:val="tx1"/>
                        </w14:solidFill>
                      </w14:textFill>
                    </w:rPr>
                    <w:t>“</w:t>
                  </w:r>
                  <w:r>
                    <w:rPr>
                      <w:rFonts w:hint="eastAsia" w:cs="Times New Roman"/>
                      <w:b/>
                      <w:bCs w:val="0"/>
                      <w:color w:val="000000" w:themeColor="text1"/>
                      <w:spacing w:val="8"/>
                      <w:sz w:val="21"/>
                      <w:szCs w:val="21"/>
                      <w:u w:val="single"/>
                      <w:lang w:val="en-US" w:eastAsia="zh-CN"/>
                      <w14:textFill>
                        <w14:solidFill>
                          <w14:schemeClr w14:val="tx1"/>
                        </w14:solidFill>
                      </w14:textFill>
                    </w:rPr>
                    <w:t>UV光氧</w:t>
                  </w:r>
                  <w:r>
                    <w:rPr>
                      <w:rFonts w:hint="default" w:ascii="Times New Roman" w:hAnsi="Times New Roman" w:eastAsia="宋体" w:cs="Times New Roman"/>
                      <w:b/>
                      <w:bCs w:val="0"/>
                      <w:color w:val="000000" w:themeColor="text1"/>
                      <w:spacing w:val="8"/>
                      <w:sz w:val="21"/>
                      <w:szCs w:val="21"/>
                      <w:u w:val="single"/>
                      <w:lang w:val="en-US" w:eastAsia="zh-CN"/>
                      <w14:textFill>
                        <w14:solidFill>
                          <w14:schemeClr w14:val="tx1"/>
                        </w14:solidFill>
                      </w14:textFill>
                    </w:rPr>
                    <w:t>+</w:t>
                  </w:r>
                  <w:r>
                    <w:rPr>
                      <w:rFonts w:hint="eastAsia" w:cs="Times New Roman"/>
                      <w:b/>
                      <w:bCs w:val="0"/>
                      <w:color w:val="000000" w:themeColor="text1"/>
                      <w:spacing w:val="8"/>
                      <w:sz w:val="21"/>
                      <w:szCs w:val="21"/>
                      <w:u w:val="single"/>
                      <w:lang w:val="en-US" w:eastAsia="zh-CN"/>
                      <w14:textFill>
                        <w14:solidFill>
                          <w14:schemeClr w14:val="tx1"/>
                        </w14:solidFill>
                      </w14:textFill>
                    </w:rPr>
                    <w:t>活性炭吸附</w:t>
                  </w:r>
                  <w:r>
                    <w:rPr>
                      <w:rFonts w:hint="default" w:ascii="Times New Roman" w:hAnsi="Times New Roman" w:eastAsia="宋体" w:cs="Times New Roman"/>
                      <w:b/>
                      <w:bCs w:val="0"/>
                      <w:color w:val="000000" w:themeColor="text1"/>
                      <w:spacing w:val="8"/>
                      <w:sz w:val="21"/>
                      <w:szCs w:val="21"/>
                      <w:u w:val="single"/>
                      <w:lang w:val="en-US" w:eastAsia="zh-CN"/>
                      <w14:textFill>
                        <w14:solidFill>
                          <w14:schemeClr w14:val="tx1"/>
                        </w14:solidFill>
                      </w14:textFill>
                    </w:rPr>
                    <w:t>”置+15m高排气筒排放。</w:t>
                  </w:r>
                  <w:r>
                    <w:rPr>
                      <w:rFonts w:hint="eastAsia" w:cs="Times New Roman"/>
                      <w:b/>
                      <w:bCs w:val="0"/>
                      <w:color w:val="000000" w:themeColor="text1"/>
                      <w:sz w:val="21"/>
                      <w:szCs w:val="21"/>
                      <w:u w:val="single"/>
                      <w:lang w:val="en-US" w:eastAsia="zh-CN"/>
                      <w14:textFill>
                        <w14:solidFill>
                          <w14:schemeClr w14:val="tx1"/>
                        </w14:solidFill>
                      </w14:textFill>
                    </w:rPr>
                    <w:t>均可达标排放。</w:t>
                  </w:r>
                </w:p>
              </w:tc>
              <w:tc>
                <w:tcPr>
                  <w:tcW w:w="87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cs="Times New Roman"/>
                      <w:b/>
                      <w:bCs w:val="0"/>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b/>
                      <w:bCs/>
                      <w:sz w:val="21"/>
                      <w:szCs w:val="21"/>
                      <w:u w:val="single"/>
                      <w:vertAlign w:val="baseline"/>
                      <w:lang w:val="en-US" w:eastAsia="zh-CN"/>
                    </w:rPr>
                    <w:t>相符</w:t>
                  </w:r>
                </w:p>
              </w:tc>
            </w:tr>
          </w:tbl>
          <w:p>
            <w:pPr>
              <w:pStyle w:val="15"/>
              <w:keepNext w:val="0"/>
              <w:keepLines w:val="0"/>
              <w:pageBreakBefore w:val="0"/>
              <w:widowControl w:val="0"/>
              <w:kinsoku/>
              <w:wordWrap/>
              <w:overflowPunct/>
              <w:topLinePunct w:val="0"/>
              <w:autoSpaceDE/>
              <w:autoSpaceDN/>
              <w:bidi w:val="0"/>
              <w:adjustRightInd w:val="0"/>
              <w:snapToGrid w:val="0"/>
              <w:spacing w:line="360" w:lineRule="auto"/>
              <w:ind w:firstLine="470" w:firstLineChars="200"/>
              <w:textAlignment w:val="auto"/>
              <w:rPr>
                <w:rFonts w:hint="default" w:ascii="Times New Roman" w:hAnsi="Times New Roman" w:eastAsia="宋体" w:cs="Times New Roman"/>
                <w:b/>
                <w:bCs w:val="0"/>
                <w:color w:val="000000" w:themeColor="text1"/>
                <w:spacing w:val="-3"/>
                <w:sz w:val="24"/>
                <w:szCs w:val="24"/>
                <w:u w:val="single"/>
                <w14:textFill>
                  <w14:solidFill>
                    <w14:schemeClr w14:val="tx1"/>
                  </w14:solidFill>
                </w14:textFill>
              </w:rPr>
            </w:pPr>
            <w:r>
              <w:rPr>
                <w:rFonts w:hint="eastAsia" w:ascii="Times New Roman" w:hAnsi="Times New Roman" w:cs="Times New Roman"/>
                <w:b/>
                <w:bCs w:val="0"/>
                <w:color w:val="000000" w:themeColor="text1"/>
                <w:spacing w:val="-3"/>
                <w:sz w:val="24"/>
                <w:szCs w:val="24"/>
                <w:u w:val="single"/>
                <w:lang w:val="en-US" w:eastAsia="zh-CN"/>
                <w14:textFill>
                  <w14:solidFill>
                    <w14:schemeClr w14:val="tx1"/>
                  </w14:solidFill>
                </w14:textFill>
              </w:rPr>
              <w:t>由上表可知</w:t>
            </w:r>
            <w:r>
              <w:rPr>
                <w:rFonts w:hint="default" w:ascii="Times New Roman" w:hAnsi="Times New Roman" w:eastAsia="宋体" w:cs="Times New Roman"/>
                <w:b/>
                <w:bCs w:val="0"/>
                <w:color w:val="000000" w:themeColor="text1"/>
                <w:spacing w:val="-3"/>
                <w:sz w:val="24"/>
                <w:szCs w:val="24"/>
                <w:u w:val="single"/>
                <w14:textFill>
                  <w14:solidFill>
                    <w14:schemeClr w14:val="tx1"/>
                  </w14:solidFill>
                </w14:textFill>
              </w:rPr>
              <w:t>，本项目建设内容与《河南省深入打好秋冬季重污染天气消除、夏季臭氧污染防治和柴油货车污染治理攻坚战行动方案》的相关要求具有相符性。</w:t>
            </w:r>
          </w:p>
          <w:p>
            <w:pPr>
              <w:snapToGrid w:val="0"/>
              <w:spacing w:line="360" w:lineRule="auto"/>
              <w:ind w:firstLine="420" w:firstLineChars="200"/>
              <w:rPr>
                <w:rFonts w:hint="eastAsia"/>
                <w:color w:val="FF0000"/>
                <w:kern w:val="0"/>
                <w:szCs w:val="21"/>
                <w:lang w:val="en-US" w:eastAsia="zh-CN"/>
              </w:rPr>
            </w:pPr>
          </w:p>
          <w:p>
            <w:pPr>
              <w:snapToGrid w:val="0"/>
              <w:spacing w:line="360" w:lineRule="auto"/>
              <w:ind w:firstLine="420" w:firstLineChars="200"/>
              <w:rPr>
                <w:rFonts w:hint="default" w:eastAsia="宋体"/>
                <w:color w:val="FF0000"/>
                <w:kern w:val="0"/>
                <w:szCs w:val="21"/>
                <w:lang w:val="en-US" w:eastAsia="zh-CN"/>
              </w:rPr>
            </w:pPr>
          </w:p>
        </w:tc>
      </w:tr>
    </w:tbl>
    <w:p>
      <w:pPr>
        <w:spacing w:line="360" w:lineRule="auto"/>
        <w:outlineLvl w:val="0"/>
        <w:rPr>
          <w:rFonts w:eastAsia="黑体"/>
          <w:color w:val="FF0000"/>
          <w:sz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2" w:type="dxa"/>
          </w:tcPr>
          <w:p>
            <w:pPr>
              <w:pStyle w:val="9"/>
              <w:keepNext w:val="0"/>
              <w:keepLines w:val="0"/>
              <w:pageBreakBefore w:val="0"/>
              <w:kinsoku/>
              <w:wordWrap/>
              <w:overflowPunct/>
              <w:topLinePunct w:val="0"/>
              <w:autoSpaceDE/>
              <w:autoSpaceDN/>
              <w:bidi w:val="0"/>
              <w:adjustRightInd/>
              <w:snapToGrid w:val="0"/>
              <w:spacing w:beforeAutospacing="0" w:afterAutospacing="0" w:line="360" w:lineRule="auto"/>
              <w:ind w:firstLine="0" w:firstLineChars="0"/>
              <w:textAlignment w:val="auto"/>
              <w:rPr>
                <w:rFonts w:hint="default" w:ascii="Times New Roman" w:hAnsi="Times New Roman" w:cs="Times New Roman"/>
                <w:b/>
                <w:bCs/>
                <w:color w:val="000000" w:themeColor="text1"/>
                <w:sz w:val="24"/>
                <w:szCs w:val="24"/>
                <w:u w:val="none"/>
                <w:shd w:val="clear" w:color="FFFFFF" w:fill="D9D9D9"/>
                <w14:textFill>
                  <w14:solidFill>
                    <w14:schemeClr w14:val="tx1"/>
                  </w14:solidFill>
                </w14:textFill>
              </w:rPr>
            </w:pPr>
            <w:r>
              <w:rPr>
                <w:rFonts w:hint="eastAsia"/>
                <w:b/>
                <w:bCs/>
                <w:color w:val="000000" w:themeColor="text1"/>
                <w:sz w:val="24"/>
                <w:szCs w:val="24"/>
                <w:u w:val="none"/>
                <w:shd w:val="clear" w:color="auto" w:fill="auto"/>
                <w:lang w:val="en-US" w:eastAsia="zh-CN"/>
                <w14:textFill>
                  <w14:solidFill>
                    <w14:schemeClr w14:val="tx1"/>
                  </w14:solidFill>
                </w14:textFill>
              </w:rPr>
              <w:t>3.7、</w:t>
            </w:r>
            <w:r>
              <w:rPr>
                <w:rFonts w:hint="eastAsia"/>
                <w:b/>
                <w:bCs/>
                <w:color w:val="000000" w:themeColor="text1"/>
                <w:sz w:val="24"/>
                <w:szCs w:val="24"/>
                <w:u w:val="none"/>
                <w:shd w:val="clear" w:color="auto" w:fill="auto"/>
                <w14:textFill>
                  <w14:solidFill>
                    <w14:schemeClr w14:val="tx1"/>
                  </w14:solidFill>
                </w14:textFill>
              </w:rPr>
              <w:t>项目与</w:t>
            </w:r>
            <w:r>
              <w:rPr>
                <w:rFonts w:hint="eastAsia"/>
                <w:b/>
                <w:bCs/>
                <w:color w:val="000000" w:themeColor="text1"/>
                <w:sz w:val="24"/>
                <w:szCs w:val="24"/>
                <w:u w:val="none"/>
                <w:shd w:val="clear" w:color="auto" w:fill="auto"/>
                <w:lang w:val="en-US" w:eastAsia="zh-CN"/>
                <w14:textFill>
                  <w14:solidFill>
                    <w14:schemeClr w14:val="tx1"/>
                  </w14:solidFill>
                </w14:textFill>
              </w:rPr>
              <w:t>绩效分级文件的</w:t>
            </w:r>
            <w:r>
              <w:rPr>
                <w:rFonts w:hint="default" w:ascii="Times New Roman" w:hAnsi="Times New Roman" w:cs="Times New Roman"/>
                <w:b/>
                <w:bCs/>
                <w:color w:val="000000" w:themeColor="text1"/>
                <w:sz w:val="24"/>
                <w:szCs w:val="24"/>
                <w:u w:val="none"/>
                <w:shd w:val="clear" w:color="auto" w:fill="auto"/>
                <w14:textFill>
                  <w14:solidFill>
                    <w14:schemeClr w14:val="tx1"/>
                  </w14:solidFill>
                </w14:textFill>
              </w:rPr>
              <w:t>相符性分析。</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b w:val="0"/>
                <w:bCs w:val="0"/>
                <w:color w:val="000000" w:themeColor="text1"/>
                <w:sz w:val="24"/>
                <w:szCs w:val="24"/>
                <w:u w:val="none"/>
                <w:shd w:val="clear" w:color="auto" w:fill="auto"/>
                <w14:textFill>
                  <w14:solidFill>
                    <w14:schemeClr w14:val="tx1"/>
                  </w14:solidFill>
                </w14:textFill>
              </w:rPr>
            </w:pPr>
            <w:r>
              <w:rPr>
                <w:rFonts w:hint="eastAsia" w:ascii="宋体" w:hAnsi="宋体" w:eastAsia="宋体" w:cs="宋体"/>
                <w:color w:val="auto"/>
                <w:kern w:val="2"/>
                <w:sz w:val="24"/>
                <w:szCs w:val="24"/>
                <w:u w:val="none"/>
                <w:lang w:val="en-US" w:eastAsia="zh-CN" w:bidi="ar-SA"/>
              </w:rPr>
              <w:t>①</w:t>
            </w:r>
            <w:r>
              <w:rPr>
                <w:rFonts w:hint="eastAsia" w:ascii="Times New Roman" w:hAnsi="Times New Roman" w:cs="Times New Roman"/>
                <w:color w:val="auto"/>
                <w:kern w:val="2"/>
                <w:sz w:val="24"/>
                <w:szCs w:val="24"/>
                <w:u w:val="none"/>
                <w:lang w:val="en-US" w:eastAsia="zh-CN" w:bidi="ar-SA"/>
              </w:rPr>
              <w:t>项目喷粉工序对照绩效分级文件为：《重污染天气重点行业应急减排措施制定技术指南（2020年修订版）》（环办大气函[2020]340号）中“三十九、工业涂装</w:t>
            </w:r>
            <w:r>
              <w:rPr>
                <w:rFonts w:hint="eastAsia" w:ascii="Times New Roman" w:hAnsi="Times New Roman" w:eastAsia="宋体" w:cs="Times New Roman"/>
                <w:color w:val="auto"/>
                <w:kern w:val="2"/>
                <w:sz w:val="24"/>
                <w:szCs w:val="24"/>
                <w:u w:val="none"/>
                <w:lang w:val="en-US" w:eastAsia="zh-CN" w:bidi="ar-SA"/>
              </w:rPr>
              <w:t>绩效分级指标</w:t>
            </w:r>
            <w:r>
              <w:rPr>
                <w:rFonts w:hint="eastAsia" w:ascii="Times New Roman" w:hAnsi="Times New Roman" w:cs="Times New Roman"/>
                <w:color w:val="auto"/>
                <w:kern w:val="2"/>
                <w:sz w:val="24"/>
                <w:szCs w:val="24"/>
                <w:u w:val="none"/>
                <w:lang w:val="en-US" w:eastAsia="zh-CN" w:bidi="ar-SA"/>
              </w:rPr>
              <w:t>”；</w:t>
            </w:r>
            <w:r>
              <w:rPr>
                <w:rFonts w:hint="eastAsia" w:ascii="宋体" w:hAnsi="宋体" w:eastAsia="宋体" w:cs="宋体"/>
                <w:color w:val="auto"/>
                <w:kern w:val="2"/>
                <w:sz w:val="24"/>
                <w:szCs w:val="24"/>
                <w:u w:val="none"/>
                <w:lang w:val="en-US" w:eastAsia="zh-CN" w:bidi="ar-SA"/>
              </w:rPr>
              <w:t>②涉及颗粒物工序对照绩效分级文件为：</w:t>
            </w:r>
            <w:r>
              <w:rPr>
                <w:rFonts w:hint="eastAsia" w:ascii="Times New Roman" w:hAnsi="Times New Roman" w:eastAsia="宋体" w:cs="Times New Roman"/>
                <w:color w:val="auto"/>
                <w:kern w:val="2"/>
                <w:sz w:val="24"/>
                <w:szCs w:val="24"/>
                <w:u w:val="none"/>
                <w:lang w:val="en-US" w:eastAsia="zh-CN" w:bidi="ar-SA"/>
              </w:rPr>
              <w:t>《关于印发洛阳市2021年重污染天气通用行业差异化应急减排措施制定技术指南的通知》</w:t>
            </w:r>
            <w:r>
              <w:rPr>
                <w:rFonts w:hint="eastAsia" w:ascii="Times New Roman" w:hAnsi="Times New Roman" w:cs="Times New Roman"/>
                <w:color w:val="auto"/>
                <w:kern w:val="2"/>
                <w:sz w:val="24"/>
                <w:szCs w:val="24"/>
                <w:u w:val="none"/>
                <w:lang w:val="en-US" w:eastAsia="zh-CN" w:bidi="ar-SA"/>
              </w:rPr>
              <w:t>（</w:t>
            </w:r>
            <w:r>
              <w:rPr>
                <w:rFonts w:hint="eastAsia" w:ascii="Times New Roman" w:hAnsi="Times New Roman" w:eastAsia="宋体" w:cs="Times New Roman"/>
                <w:color w:val="auto"/>
                <w:kern w:val="2"/>
                <w:sz w:val="24"/>
                <w:szCs w:val="24"/>
                <w:u w:val="none"/>
                <w:lang w:val="en-US" w:eastAsia="zh-CN" w:bidi="ar-SA"/>
              </w:rPr>
              <w:t>洛市环〔2021〕47号</w:t>
            </w:r>
            <w:r>
              <w:rPr>
                <w:rFonts w:hint="eastAsia" w:ascii="Times New Roman" w:hAnsi="Times New Roman" w:cs="Times New Roman"/>
                <w:color w:val="auto"/>
                <w:kern w:val="2"/>
                <w:sz w:val="24"/>
                <w:szCs w:val="24"/>
                <w:u w:val="none"/>
                <w:lang w:val="en-US" w:eastAsia="zh-CN" w:bidi="ar-SA"/>
              </w:rPr>
              <w:t>）中“涉颗粒物排放工序差异化管控措施”；</w:t>
            </w:r>
            <w:r>
              <w:rPr>
                <w:rFonts w:hint="default" w:ascii="Times New Roman" w:hAnsi="Times New Roman" w:eastAsia="微软雅黑" w:cs="Times New Roman"/>
                <w:color w:val="auto"/>
                <w:kern w:val="2"/>
                <w:sz w:val="24"/>
                <w:szCs w:val="24"/>
                <w:u w:val="none"/>
                <w:lang w:val="en-US" w:eastAsia="zh-CN" w:bidi="ar-SA"/>
              </w:rPr>
              <w:t>③</w:t>
            </w:r>
            <w:r>
              <w:rPr>
                <w:rFonts w:hint="default" w:ascii="Times New Roman" w:hAnsi="Times New Roman" w:eastAsia="宋体" w:cs="Times New Roman"/>
                <w:color w:val="auto"/>
                <w:kern w:val="2"/>
                <w:sz w:val="24"/>
                <w:szCs w:val="24"/>
                <w:u w:val="none"/>
                <w:lang w:val="en-US" w:eastAsia="zh-CN" w:bidi="ar-SA"/>
              </w:rPr>
              <w:t>涉及颗粒物工序对照绩效分级文件为《河南省重污染天气通用行业应急减排措施制定技术指南（2021年修订版）》</w:t>
            </w:r>
            <w:r>
              <w:rPr>
                <w:rFonts w:hint="eastAsia" w:ascii="Times New Roman" w:hAnsi="Times New Roman" w:cs="Times New Roman"/>
                <w:color w:val="auto"/>
                <w:kern w:val="2"/>
                <w:sz w:val="24"/>
                <w:szCs w:val="24"/>
                <w:u w:val="none"/>
                <w:lang w:val="en-US" w:eastAsia="zh-CN" w:bidi="ar-SA"/>
              </w:rPr>
              <w:t>（</w:t>
            </w:r>
            <w:r>
              <w:rPr>
                <w:rFonts w:hint="eastAsia" w:ascii="Times New Roman" w:hAnsi="Times New Roman" w:eastAsia="宋体" w:cs="Times New Roman"/>
                <w:color w:val="auto"/>
                <w:kern w:val="2"/>
                <w:sz w:val="24"/>
                <w:szCs w:val="24"/>
                <w:u w:val="none"/>
                <w:lang w:val="en-US" w:eastAsia="zh-CN" w:bidi="ar-SA"/>
              </w:rPr>
              <w:t>豫环文〔2021〕94号</w:t>
            </w:r>
            <w:r>
              <w:rPr>
                <w:rFonts w:hint="eastAsia" w:ascii="Times New Roman" w:hAnsi="Times New Roman" w:cs="Times New Roman"/>
                <w:color w:val="auto"/>
                <w:kern w:val="2"/>
                <w:sz w:val="24"/>
                <w:szCs w:val="24"/>
                <w:u w:val="none"/>
                <w:lang w:val="en-US" w:eastAsia="zh-CN" w:bidi="ar-SA"/>
              </w:rPr>
              <w:t>）。</w:t>
            </w:r>
            <w:r>
              <w:rPr>
                <w:rFonts w:hint="default" w:ascii="Times New Roman" w:hAnsi="Times New Roman" w:cs="Times New Roman"/>
                <w:b w:val="0"/>
                <w:bCs w:val="0"/>
                <w:color w:val="000000" w:themeColor="text1"/>
                <w:sz w:val="24"/>
                <w:szCs w:val="24"/>
                <w:u w:val="none"/>
                <w14:textFill>
                  <w14:solidFill>
                    <w14:schemeClr w14:val="tx1"/>
                  </w14:solidFill>
                </w14:textFill>
              </w:rPr>
              <w:t>项目与</w:t>
            </w:r>
            <w:r>
              <w:rPr>
                <w:rFonts w:hint="eastAsia" w:ascii="Times New Roman" w:hAnsi="Times New Roman" w:cs="Times New Roman"/>
                <w:b w:val="0"/>
                <w:bCs w:val="0"/>
                <w:color w:val="000000" w:themeColor="text1"/>
                <w:sz w:val="24"/>
                <w:szCs w:val="24"/>
                <w:u w:val="none"/>
                <w:lang w:eastAsia="zh-CN"/>
                <w14:textFill>
                  <w14:solidFill>
                    <w14:schemeClr w14:val="tx1"/>
                  </w14:solidFill>
                </w14:textFill>
              </w:rPr>
              <w:t>其</w:t>
            </w:r>
            <w:r>
              <w:rPr>
                <w:rFonts w:hint="default" w:ascii="Times New Roman" w:hAnsi="Times New Roman" w:cs="Times New Roman"/>
                <w:b w:val="0"/>
                <w:bCs w:val="0"/>
                <w:color w:val="000000" w:themeColor="text1"/>
                <w:sz w:val="24"/>
                <w:szCs w:val="24"/>
                <w:u w:val="none"/>
                <w14:textFill>
                  <w14:solidFill>
                    <w14:schemeClr w14:val="tx1"/>
                  </w14:solidFill>
                </w14:textFill>
              </w:rPr>
              <w:t>相符性见表1-</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9</w:t>
            </w:r>
            <w:r>
              <w:rPr>
                <w:rFonts w:hint="default" w:ascii="Times New Roman" w:hAnsi="Times New Roman" w:cs="Times New Roman"/>
                <w:b w:val="0"/>
                <w:bCs w:val="0"/>
                <w:color w:val="000000" w:themeColor="text1"/>
                <w:sz w:val="24"/>
                <w:szCs w:val="24"/>
                <w:u w:val="none"/>
                <w14:textFill>
                  <w14:solidFill>
                    <w14:schemeClr w14:val="tx1"/>
                  </w14:solidFill>
                </w14:textFill>
              </w:rPr>
              <w:t>。</w:t>
            </w:r>
          </w:p>
          <w:p>
            <w:pPr>
              <w:pStyle w:val="9"/>
              <w:adjustRightInd w:val="0"/>
              <w:snapToGrid w:val="0"/>
              <w:ind w:firstLine="0" w:firstLineChars="0"/>
              <w:jc w:val="center"/>
              <w:rPr>
                <w:b w:val="0"/>
                <w:bCs w:val="0"/>
                <w:color w:val="000000" w:themeColor="text1"/>
                <w:sz w:val="24"/>
                <w:szCs w:val="24"/>
                <w:u w:val="none"/>
                <w:shd w:val="clear" w:color="FFFFFF" w:fill="D9D9D9"/>
                <w14:textFill>
                  <w14:solidFill>
                    <w14:schemeClr w14:val="tx1"/>
                  </w14:solidFill>
                </w14:textFill>
              </w:rPr>
            </w:pPr>
            <w:r>
              <w:rPr>
                <w:rFonts w:hint="eastAsia"/>
                <w:b w:val="0"/>
                <w:bCs w:val="0"/>
                <w:color w:val="000000" w:themeColor="text1"/>
                <w:sz w:val="24"/>
                <w:szCs w:val="24"/>
                <w:u w:val="none"/>
                <w:shd w:val="clear" w:color="auto" w:fill="auto"/>
                <w14:textFill>
                  <w14:solidFill>
                    <w14:schemeClr w14:val="tx1"/>
                  </w14:solidFill>
                </w14:textFill>
              </w:rPr>
              <w:t>表1</w:t>
            </w:r>
            <w:r>
              <w:rPr>
                <w:rFonts w:hint="eastAsia"/>
                <w:b w:val="0"/>
                <w:bCs w:val="0"/>
                <w:color w:val="000000" w:themeColor="text1"/>
                <w:sz w:val="24"/>
                <w:szCs w:val="24"/>
                <w:u w:val="none"/>
                <w:shd w:val="clear" w:color="auto" w:fill="auto"/>
                <w:lang w:val="en-US" w:eastAsia="zh-CN"/>
                <w14:textFill>
                  <w14:solidFill>
                    <w14:schemeClr w14:val="tx1"/>
                  </w14:solidFill>
                </w14:textFill>
              </w:rPr>
              <w:t>-9</w:t>
            </w:r>
            <w:r>
              <w:rPr>
                <w:rFonts w:hint="eastAsia"/>
                <w:b w:val="0"/>
                <w:bCs w:val="0"/>
                <w:color w:val="000000" w:themeColor="text1"/>
                <w:sz w:val="24"/>
                <w:szCs w:val="24"/>
                <w:u w:val="none"/>
                <w:shd w:val="clear" w:color="auto" w:fill="auto"/>
                <w14:textFill>
                  <w14:solidFill>
                    <w14:schemeClr w14:val="tx1"/>
                  </w14:solidFill>
                </w14:textFill>
              </w:rPr>
              <w:t xml:space="preserve">  项目与</w:t>
            </w:r>
            <w:r>
              <w:rPr>
                <w:rFonts w:hint="eastAsia"/>
                <w:b w:val="0"/>
                <w:bCs w:val="0"/>
                <w:color w:val="000000" w:themeColor="text1"/>
                <w:sz w:val="24"/>
                <w:szCs w:val="24"/>
                <w:u w:val="none"/>
                <w:shd w:val="clear" w:color="auto" w:fill="auto"/>
                <w:lang w:val="en-US" w:eastAsia="zh-CN"/>
                <w14:textFill>
                  <w14:solidFill>
                    <w14:schemeClr w14:val="tx1"/>
                  </w14:solidFill>
                </w14:textFill>
              </w:rPr>
              <w:t>绩效分级文件</w:t>
            </w:r>
            <w:r>
              <w:rPr>
                <w:rFonts w:hint="eastAsia"/>
                <w:b w:val="0"/>
                <w:bCs w:val="0"/>
                <w:color w:val="000000" w:themeColor="text1"/>
                <w:sz w:val="24"/>
                <w:szCs w:val="24"/>
                <w:u w:val="none"/>
                <w:shd w:val="clear" w:color="auto" w:fill="auto"/>
                <w14:textFill>
                  <w14:solidFill>
                    <w14:schemeClr w14:val="tx1"/>
                  </w14:solidFill>
                </w14:textFill>
              </w:rPr>
              <w:t>相符性</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386"/>
              <w:gridCol w:w="6632"/>
              <w:gridCol w:w="3706"/>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5"/>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spacing w:val="-16"/>
                      <w:kern w:val="0"/>
                      <w:sz w:val="21"/>
                      <w:szCs w:val="21"/>
                      <w:u w:val="none"/>
                    </w:rPr>
                  </w:pPr>
                  <w:r>
                    <w:rPr>
                      <w:rFonts w:hint="default" w:ascii="Times New Roman" w:hAnsi="Times New Roman" w:eastAsia="宋体" w:cs="Times New Roman"/>
                      <w:b w:val="0"/>
                      <w:bCs w:val="0"/>
                      <w:color w:val="auto"/>
                      <w:kern w:val="2"/>
                      <w:sz w:val="21"/>
                      <w:szCs w:val="21"/>
                      <w:u w:val="none"/>
                      <w:lang w:val="en-US" w:eastAsia="zh-CN" w:bidi="ar-SA"/>
                    </w:rPr>
                    <w:t>环办大气函[2020]340号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26" w:type="pct"/>
                  <w:gridSpan w:val="3"/>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工业涂装</w:t>
                  </w:r>
                  <w:r>
                    <w:rPr>
                      <w:rFonts w:hint="eastAsia" w:ascii="Times New Roman" w:hAnsi="Times New Roman" w:eastAsia="宋体" w:cs="Times New Roman"/>
                      <w:b w:val="0"/>
                      <w:bCs w:val="0"/>
                      <w:kern w:val="0"/>
                      <w:sz w:val="21"/>
                      <w:szCs w:val="21"/>
                      <w:u w:val="none"/>
                      <w:lang w:val="en-US" w:eastAsia="zh-CN"/>
                    </w:rPr>
                    <w:t>A</w:t>
                  </w:r>
                  <w:r>
                    <w:rPr>
                      <w:rFonts w:hint="default" w:ascii="Times New Roman" w:hAnsi="Times New Roman" w:eastAsia="宋体" w:cs="Times New Roman"/>
                      <w:b w:val="0"/>
                      <w:bCs w:val="0"/>
                      <w:kern w:val="0"/>
                      <w:sz w:val="21"/>
                      <w:szCs w:val="21"/>
                      <w:u w:val="none"/>
                    </w:rPr>
                    <w:t>级指标</w:t>
                  </w:r>
                </w:p>
              </w:tc>
              <w:tc>
                <w:tcPr>
                  <w:tcW w:w="138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highlight w:val="yellow"/>
                      <w:u w:val="none"/>
                    </w:rPr>
                  </w:pPr>
                  <w:r>
                    <w:rPr>
                      <w:rFonts w:hint="default" w:ascii="Times New Roman" w:hAnsi="Times New Roman" w:eastAsia="宋体" w:cs="Times New Roman"/>
                      <w:b w:val="0"/>
                      <w:bCs w:val="0"/>
                      <w:kern w:val="0"/>
                      <w:sz w:val="21"/>
                      <w:szCs w:val="21"/>
                      <w:highlight w:val="none"/>
                      <w:u w:val="none"/>
                    </w:rPr>
                    <w:t>本项目特点</w:t>
                  </w:r>
                </w:p>
              </w:tc>
              <w:tc>
                <w:tcPr>
                  <w:tcW w:w="29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spacing w:val="-16"/>
                      <w:kern w:val="0"/>
                      <w:sz w:val="21"/>
                      <w:szCs w:val="21"/>
                      <w:u w:val="none"/>
                    </w:rPr>
                  </w:pPr>
                  <w:r>
                    <w:rPr>
                      <w:rFonts w:hint="default" w:ascii="Times New Roman" w:hAnsi="Times New Roman" w:eastAsia="宋体" w:cs="Times New Roman"/>
                      <w:b w:val="0"/>
                      <w:bCs w:val="0"/>
                      <w:spacing w:val="-16"/>
                      <w:kern w:val="0"/>
                      <w:sz w:val="21"/>
                      <w:szCs w:val="21"/>
                      <w:u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原辅</w:t>
                  </w:r>
                </w:p>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sz w:val="21"/>
                      <w:szCs w:val="21"/>
                      <w:u w:val="none"/>
                    </w:rPr>
                    <w:t>材料</w:t>
                  </w:r>
                </w:p>
              </w:tc>
              <w:tc>
                <w:tcPr>
                  <w:tcW w:w="2985" w:type="pct"/>
                  <w:gridSpan w:val="2"/>
                  <w:tcBorders>
                    <w:tl2br w:val="nil"/>
                    <w:tr2bl w:val="nil"/>
                  </w:tcBorders>
                  <w:shd w:val="clear" w:color="auto" w:fill="auto"/>
                  <w:noWrap w:val="0"/>
                  <w:vAlign w:val="center"/>
                </w:tcPr>
                <w:p>
                  <w:pPr>
                    <w:pStyle w:val="63"/>
                    <w:keepNext w:val="0"/>
                    <w:keepLines w:val="0"/>
                    <w:pageBreakBefore w:val="0"/>
                    <w:widowControl w:val="0"/>
                    <w:numPr>
                      <w:ilvl w:val="0"/>
                      <w:numId w:val="0"/>
                    </w:numPr>
                    <w:kinsoku/>
                    <w:wordWrap/>
                    <w:overflowPunct/>
                    <w:topLinePunct w:val="0"/>
                    <w:bidi w:val="0"/>
                    <w:adjustRightInd w:val="0"/>
                    <w:snapToGrid w:val="0"/>
                    <w:spacing w:line="350" w:lineRule="exact"/>
                    <w:jc w:val="both"/>
                    <w:textAlignment w:val="auto"/>
                    <w:rPr>
                      <w:rFonts w:hint="default" w:ascii="Times New Roman" w:hAnsi="Times New Roman" w:eastAsia="宋体" w:cs="Times New Roman"/>
                      <w:b w:val="0"/>
                      <w:bCs w:val="0"/>
                      <w:kern w:val="0"/>
                      <w:sz w:val="21"/>
                      <w:szCs w:val="21"/>
                      <w:u w:val="none"/>
                    </w:rPr>
                  </w:pPr>
                  <w:r>
                    <w:rPr>
                      <w:rFonts w:hint="eastAsia" w:ascii="Times New Roman" w:hAnsi="Times New Roman" w:eastAsia="宋体" w:cs="Times New Roman"/>
                      <w:b w:val="0"/>
                      <w:bCs w:val="0"/>
                      <w:color w:val="000000"/>
                      <w:sz w:val="21"/>
                      <w:szCs w:val="21"/>
                      <w:u w:val="none"/>
                      <w:lang w:val="en-US" w:eastAsia="zh-CN"/>
                    </w:rPr>
                    <w:t>1、</w:t>
                  </w:r>
                  <w:r>
                    <w:rPr>
                      <w:rFonts w:hint="default" w:ascii="Times New Roman" w:hAnsi="Times New Roman" w:eastAsia="宋体" w:cs="Times New Roman"/>
                      <w:b w:val="0"/>
                      <w:bCs w:val="0"/>
                      <w:color w:val="000000"/>
                      <w:sz w:val="21"/>
                      <w:szCs w:val="21"/>
                      <w:u w:val="none"/>
                    </w:rPr>
                    <w:t>使用</w:t>
                  </w:r>
                  <w:r>
                    <w:rPr>
                      <w:rFonts w:hint="eastAsia" w:ascii="Times New Roman" w:hAnsi="Times New Roman" w:eastAsia="宋体" w:cs="Times New Roman"/>
                      <w:b w:val="0"/>
                      <w:bCs w:val="0"/>
                      <w:color w:val="000000"/>
                      <w:sz w:val="21"/>
                      <w:szCs w:val="21"/>
                      <w:u w:val="none"/>
                      <w:lang w:val="en-US" w:eastAsia="zh-CN"/>
                    </w:rPr>
                    <w:t>粉末涂料；</w:t>
                  </w:r>
                  <w:r>
                    <w:rPr>
                      <w:rFonts w:hint="default" w:ascii="Times New Roman" w:hAnsi="Times New Roman" w:eastAsia="宋体" w:cs="Times New Roman"/>
                      <w:b w:val="0"/>
                      <w:bCs w:val="0"/>
                      <w:color w:val="000000"/>
                      <w:sz w:val="21"/>
                      <w:szCs w:val="21"/>
                      <w:u w:val="none"/>
                    </w:rPr>
                    <w:t>2、使用符合《低挥发性有机化合物含量涂料产品技术要求》（GB/T38597-2020）规定的</w:t>
                  </w:r>
                  <w:r>
                    <w:rPr>
                      <w:rFonts w:hint="eastAsia" w:ascii="Times New Roman" w:hAnsi="Times New Roman" w:eastAsia="宋体" w:cs="Times New Roman"/>
                      <w:b w:val="0"/>
                      <w:bCs w:val="0"/>
                      <w:color w:val="000000"/>
                      <w:sz w:val="21"/>
                      <w:szCs w:val="21"/>
                      <w:u w:val="none"/>
                      <w:lang w:val="en-US" w:eastAsia="zh-CN"/>
                    </w:rPr>
                    <w:t>低VOCs含量</w:t>
                  </w:r>
                  <w:r>
                    <w:rPr>
                      <w:rFonts w:hint="default" w:ascii="Times New Roman" w:hAnsi="Times New Roman" w:eastAsia="宋体" w:cs="Times New Roman"/>
                      <w:b w:val="0"/>
                      <w:bCs w:val="0"/>
                      <w:color w:val="000000"/>
                      <w:sz w:val="21"/>
                      <w:szCs w:val="21"/>
                      <w:u w:val="none"/>
                    </w:rPr>
                    <w:t>涂料产品。</w:t>
                  </w:r>
                </w:p>
              </w:tc>
              <w:tc>
                <w:tcPr>
                  <w:tcW w:w="138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highlight w:val="none"/>
                      <w:u w:val="none"/>
                    </w:rPr>
                    <w:t>本项目使用粉末涂料，符合</w:t>
                  </w:r>
                  <w:r>
                    <w:rPr>
                      <w:rFonts w:hint="default" w:ascii="Times New Roman" w:hAnsi="Times New Roman" w:eastAsia="宋体" w:cs="Times New Roman"/>
                      <w:b w:val="0"/>
                      <w:bCs w:val="0"/>
                      <w:color w:val="000000"/>
                      <w:sz w:val="21"/>
                      <w:szCs w:val="21"/>
                      <w:highlight w:val="none"/>
                      <w:u w:val="none"/>
                    </w:rPr>
                    <w:t>《低挥发性有机化合物含量涂料产品技术要求》（GB/T38597-2020）的相关技术要求。</w:t>
                  </w:r>
                </w:p>
              </w:tc>
              <w:tc>
                <w:tcPr>
                  <w:tcW w:w="29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无组织排放</w:t>
                  </w:r>
                </w:p>
              </w:tc>
              <w:tc>
                <w:tcPr>
                  <w:tcW w:w="2985" w:type="pct"/>
                  <w:gridSpan w:val="2"/>
                  <w:tcBorders>
                    <w:tl2br w:val="nil"/>
                    <w:tr2bl w:val="nil"/>
                  </w:tcBorders>
                  <w:shd w:val="clear" w:color="auto" w:fill="auto"/>
                  <w:noWrap w:val="0"/>
                  <w:vAlign w:val="center"/>
                </w:tcPr>
                <w:p>
                  <w:pPr>
                    <w:pStyle w:val="63"/>
                    <w:keepNext w:val="0"/>
                    <w:keepLines w:val="0"/>
                    <w:pageBreakBefore w:val="0"/>
                    <w:widowControl w:val="0"/>
                    <w:kinsoku/>
                    <w:wordWrap/>
                    <w:overflowPunct/>
                    <w:topLinePunct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1、满足《挥发性有机物无组织排放控制标准》（GB37822-2019）特别控制要求；</w:t>
                  </w:r>
                </w:p>
                <w:p>
                  <w:pPr>
                    <w:pStyle w:val="63"/>
                    <w:keepNext w:val="0"/>
                    <w:keepLines w:val="0"/>
                    <w:pageBreakBefore w:val="0"/>
                    <w:widowControl w:val="0"/>
                    <w:kinsoku/>
                    <w:wordWrap/>
                    <w:overflowPunct/>
                    <w:topLinePunct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sz w:val="21"/>
                      <w:szCs w:val="21"/>
                      <w:highlight w:val="none"/>
                      <w:u w:val="none"/>
                    </w:rPr>
                    <w:t>2、</w:t>
                  </w:r>
                  <w:r>
                    <w:rPr>
                      <w:rFonts w:hint="default" w:ascii="Times New Roman" w:hAnsi="Times New Roman" w:eastAsia="宋体" w:cs="Times New Roman"/>
                      <w:b w:val="0"/>
                      <w:bCs w:val="0"/>
                      <w:color w:val="000000"/>
                      <w:sz w:val="21"/>
                      <w:szCs w:val="21"/>
                      <w:highlight w:val="none"/>
                      <w:u w:val="none"/>
                    </w:rPr>
                    <w:t>VOCs物料储存于密闭容器或包装袋</w:t>
                  </w:r>
                  <w:r>
                    <w:rPr>
                      <w:rFonts w:hint="default" w:ascii="Times New Roman" w:hAnsi="Times New Roman" w:eastAsia="宋体" w:cs="Times New Roman"/>
                      <w:b w:val="0"/>
                      <w:bCs w:val="0"/>
                      <w:color w:val="000000"/>
                      <w:sz w:val="21"/>
                      <w:szCs w:val="21"/>
                      <w:u w:val="none"/>
                    </w:rPr>
                    <w:t>中，盛装VOCs物料的容器或包装袋存放</w:t>
                  </w:r>
                </w:p>
                <w:p>
                  <w:pPr>
                    <w:pStyle w:val="63"/>
                    <w:keepNext w:val="0"/>
                    <w:keepLines w:val="0"/>
                    <w:pageBreakBefore w:val="0"/>
                    <w:widowControl w:val="0"/>
                    <w:kinsoku/>
                    <w:wordWrap/>
                    <w:overflowPunct/>
                    <w:topLinePunct w:val="0"/>
                    <w:bidi w:val="0"/>
                    <w:adjustRightInd w:val="0"/>
                    <w:snapToGrid w:val="0"/>
                    <w:spacing w:line="350" w:lineRule="exact"/>
                    <w:ind w:firstLine="0" w:firstLineChars="0"/>
                    <w:jc w:val="both"/>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于密闭负压的储库、料仓内；3、除大型工件特殊作业（例如，船舶制造行业的分段总组、船台、船坞、造船码头等涂装工序）外，调漆、喷漆、流平、烘干、清洗等工序在密闭设备或密闭负压空间内操作；4、密闭回收废清洗剂；5、建设干式喷漆房；使用湿式喷漆房时，循环水泵间和刮渣间应密闭，安装废气收集设施；</w:t>
                  </w:r>
                </w:p>
                <w:p>
                  <w:pPr>
                    <w:pStyle w:val="63"/>
                    <w:keepNext w:val="0"/>
                    <w:keepLines w:val="0"/>
                    <w:pageBreakBefore w:val="0"/>
                    <w:widowControl w:val="0"/>
                    <w:numPr>
                      <w:ilvl w:val="0"/>
                      <w:numId w:val="3"/>
                    </w:numPr>
                    <w:kinsoku/>
                    <w:wordWrap/>
                    <w:overflowPunct/>
                    <w:topLinePunct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采用静电喷涂、自动喷涂、高压无气喷涂或高流低压（HVLP）喷枪等高效涂</w:t>
                  </w:r>
                </w:p>
                <w:p>
                  <w:pPr>
                    <w:pStyle w:val="63"/>
                    <w:keepNext w:val="0"/>
                    <w:keepLines w:val="0"/>
                    <w:pageBreakBefore w:val="0"/>
                    <w:widowControl w:val="0"/>
                    <w:numPr>
                      <w:ilvl w:val="0"/>
                      <w:numId w:val="0"/>
                    </w:numPr>
                    <w:kinsoku/>
                    <w:wordWrap/>
                    <w:overflowPunct/>
                    <w:topLinePunct w:val="0"/>
                    <w:bidi w:val="0"/>
                    <w:adjustRightInd w:val="0"/>
                    <w:snapToGrid w:val="0"/>
                    <w:spacing w:line="350" w:lineRule="exact"/>
                    <w:jc w:val="both"/>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装技术，不可使用手动空气喷涂技术。</w:t>
                  </w:r>
                </w:p>
              </w:tc>
              <w:tc>
                <w:tcPr>
                  <w:tcW w:w="138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sz w:val="21"/>
                      <w:szCs w:val="21"/>
                      <w:highlight w:val="none"/>
                      <w:u w:val="none"/>
                      <w:lang w:eastAsia="zh-CN"/>
                    </w:rPr>
                  </w:pPr>
                  <w:r>
                    <w:rPr>
                      <w:rFonts w:hint="default" w:ascii="Times New Roman" w:hAnsi="Times New Roman" w:eastAsia="宋体" w:cs="Times New Roman"/>
                      <w:b w:val="0"/>
                      <w:bCs w:val="0"/>
                      <w:kern w:val="0"/>
                      <w:sz w:val="21"/>
                      <w:szCs w:val="21"/>
                      <w:u w:val="none"/>
                    </w:rPr>
                    <w:t>1、项目</w:t>
                  </w:r>
                  <w:r>
                    <w:rPr>
                      <w:rFonts w:hint="default" w:ascii="Times New Roman" w:hAnsi="Times New Roman" w:eastAsia="宋体" w:cs="Times New Roman"/>
                      <w:b w:val="0"/>
                      <w:bCs w:val="0"/>
                      <w:kern w:val="0"/>
                      <w:sz w:val="21"/>
                      <w:szCs w:val="21"/>
                      <w:u w:val="none"/>
                      <w:lang w:eastAsia="zh-CN"/>
                    </w:rPr>
                    <w:t>建成后污染物无组织排放执行</w:t>
                  </w:r>
                  <w:r>
                    <w:rPr>
                      <w:rFonts w:hint="default" w:ascii="Times New Roman" w:hAnsi="Times New Roman" w:eastAsia="宋体" w:cs="Times New Roman"/>
                      <w:b w:val="0"/>
                      <w:bCs w:val="0"/>
                      <w:sz w:val="21"/>
                      <w:szCs w:val="21"/>
                      <w:highlight w:val="none"/>
                      <w:u w:val="none"/>
                    </w:rPr>
                    <w:t>《挥发性有机物无组织排放控制标准》（GB37822-2019）特别控制要求</w:t>
                  </w:r>
                  <w:r>
                    <w:rPr>
                      <w:rFonts w:hint="default" w:ascii="Times New Roman" w:hAnsi="Times New Roman" w:eastAsia="宋体" w:cs="Times New Roman"/>
                      <w:b w:val="0"/>
                      <w:bCs w:val="0"/>
                      <w:sz w:val="21"/>
                      <w:szCs w:val="21"/>
                      <w:highlight w:val="none"/>
                      <w:u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both"/>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2、本项目</w:t>
                  </w:r>
                  <w:r>
                    <w:rPr>
                      <w:rFonts w:hint="default" w:ascii="Times New Roman" w:hAnsi="Times New Roman" w:eastAsia="宋体" w:cs="Times New Roman"/>
                      <w:b w:val="0"/>
                      <w:bCs w:val="0"/>
                      <w:kern w:val="0"/>
                      <w:sz w:val="21"/>
                      <w:szCs w:val="21"/>
                      <w:u w:val="none"/>
                      <w:lang w:eastAsia="zh-CN"/>
                    </w:rPr>
                    <w:t>使用塑粉</w:t>
                  </w:r>
                  <w:r>
                    <w:rPr>
                      <w:rFonts w:hint="default" w:ascii="Times New Roman" w:hAnsi="Times New Roman" w:eastAsia="宋体" w:cs="Times New Roman"/>
                      <w:b w:val="0"/>
                      <w:bCs w:val="0"/>
                      <w:kern w:val="0"/>
                      <w:sz w:val="21"/>
                      <w:szCs w:val="21"/>
                      <w:u w:val="none"/>
                    </w:rPr>
                    <w:t>全部采用密闭包装袋包装存放于</w:t>
                  </w:r>
                  <w:r>
                    <w:rPr>
                      <w:rFonts w:hint="eastAsia" w:ascii="Times New Roman" w:hAnsi="Times New Roman" w:eastAsia="宋体" w:cs="Times New Roman"/>
                      <w:b w:val="0"/>
                      <w:bCs w:val="0"/>
                      <w:kern w:val="0"/>
                      <w:sz w:val="21"/>
                      <w:szCs w:val="21"/>
                      <w:u w:val="none"/>
                      <w:lang w:val="en-US" w:eastAsia="zh-CN"/>
                    </w:rPr>
                    <w:t>包装箱</w:t>
                  </w:r>
                  <w:r>
                    <w:rPr>
                      <w:rFonts w:hint="default" w:ascii="Times New Roman" w:hAnsi="Times New Roman" w:eastAsia="宋体" w:cs="Times New Roman"/>
                      <w:b w:val="0"/>
                      <w:bCs w:val="0"/>
                      <w:kern w:val="0"/>
                      <w:sz w:val="21"/>
                      <w:szCs w:val="21"/>
                      <w:u w:val="none"/>
                    </w:rPr>
                    <w:t>；</w:t>
                  </w:r>
                </w:p>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both"/>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3、烘干道除工件进出口为敞口式其他均为封闭式，烘干道进出口</w:t>
                  </w:r>
                  <w:r>
                    <w:rPr>
                      <w:rFonts w:hint="eastAsia" w:cs="Times New Roman"/>
                      <w:b w:val="0"/>
                      <w:bCs w:val="0"/>
                      <w:kern w:val="0"/>
                      <w:sz w:val="21"/>
                      <w:szCs w:val="21"/>
                      <w:u w:val="none"/>
                      <w:lang w:eastAsia="zh-CN"/>
                    </w:rPr>
                    <w:t>（</w:t>
                  </w:r>
                  <w:r>
                    <w:rPr>
                      <w:rFonts w:hint="eastAsia" w:cs="Times New Roman"/>
                      <w:b w:val="0"/>
                      <w:bCs w:val="0"/>
                      <w:kern w:val="0"/>
                      <w:sz w:val="21"/>
                      <w:szCs w:val="21"/>
                      <w:u w:val="none"/>
                      <w:lang w:val="en-US" w:eastAsia="zh-CN"/>
                    </w:rPr>
                    <w:t>同一个口</w:t>
                  </w:r>
                  <w:r>
                    <w:rPr>
                      <w:rFonts w:hint="eastAsia" w:cs="Times New Roman"/>
                      <w:b w:val="0"/>
                      <w:bCs w:val="0"/>
                      <w:kern w:val="0"/>
                      <w:sz w:val="21"/>
                      <w:szCs w:val="21"/>
                      <w:u w:val="none"/>
                      <w:lang w:eastAsia="zh-CN"/>
                    </w:rPr>
                    <w:t>）</w:t>
                  </w:r>
                  <w:r>
                    <w:rPr>
                      <w:rFonts w:hint="default" w:ascii="Times New Roman" w:hAnsi="Times New Roman" w:eastAsia="宋体" w:cs="Times New Roman"/>
                      <w:b w:val="0"/>
                      <w:bCs w:val="0"/>
                      <w:kern w:val="0"/>
                      <w:sz w:val="21"/>
                      <w:szCs w:val="21"/>
                      <w:u w:val="none"/>
                    </w:rPr>
                    <w:t>上部设置集气罩，烘干废气经收集进入UV光氧+活性炭吸附装置进行处理后达标排放。</w:t>
                  </w:r>
                </w:p>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4、本项目采用静电喷涂技术。</w:t>
                  </w:r>
                </w:p>
              </w:tc>
              <w:tc>
                <w:tcPr>
                  <w:tcW w:w="29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vMerge w:val="restar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sz w:val="21"/>
                      <w:szCs w:val="21"/>
                      <w:u w:val="none"/>
                    </w:rPr>
                    <w:t>VOCs治理设施</w:t>
                  </w:r>
                </w:p>
              </w:tc>
              <w:tc>
                <w:tcPr>
                  <w:tcW w:w="2985" w:type="pct"/>
                  <w:gridSpan w:val="2"/>
                  <w:tcBorders>
                    <w:tl2br w:val="nil"/>
                    <w:tr2bl w:val="nil"/>
                  </w:tcBorders>
                  <w:shd w:val="clear" w:color="auto" w:fill="auto"/>
                  <w:noWrap w:val="0"/>
                  <w:vAlign w:val="center"/>
                </w:tcPr>
                <w:p>
                  <w:pPr>
                    <w:pStyle w:val="63"/>
                    <w:keepNext w:val="0"/>
                    <w:keepLines w:val="0"/>
                    <w:pageBreakBefore w:val="0"/>
                    <w:widowControl w:val="0"/>
                    <w:kinsoku/>
                    <w:wordWrap/>
                    <w:overflowPunct/>
                    <w:topLinePunct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1、喷涂废气设置干式的石灰石、纸盒或湿式的文丘里等高效漆雾处理装置；</w:t>
                  </w:r>
                </w:p>
                <w:p>
                  <w:pPr>
                    <w:pStyle w:val="63"/>
                    <w:keepNext w:val="0"/>
                    <w:keepLines w:val="0"/>
                    <w:pageBreakBefore w:val="0"/>
                    <w:widowControl w:val="0"/>
                    <w:kinsoku/>
                    <w:wordWrap/>
                    <w:overflowPunct/>
                    <w:topLinePunct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2、使用溶剂型涂料时，调漆、喷漆、流平、烘干、清洗等工序含VOCs废气采用</w:t>
                  </w:r>
                </w:p>
                <w:p>
                  <w:pPr>
                    <w:pStyle w:val="63"/>
                    <w:keepNext w:val="0"/>
                    <w:keepLines w:val="0"/>
                    <w:pageBreakBefore w:val="0"/>
                    <w:widowControl w:val="0"/>
                    <w:kinsoku/>
                    <w:wordWrap/>
                    <w:overflowPunct/>
                    <w:topLinePunct w:val="0"/>
                    <w:bidi w:val="0"/>
                    <w:adjustRightInd w:val="0"/>
                    <w:snapToGrid w:val="0"/>
                    <w:spacing w:line="350" w:lineRule="exact"/>
                    <w:ind w:firstLine="0" w:firstLineChars="0"/>
                    <w:jc w:val="both"/>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color w:val="000000"/>
                      <w:sz w:val="21"/>
                      <w:szCs w:val="21"/>
                      <w:u w:val="none"/>
                    </w:rPr>
                    <w:t>吸附浓缩+燃烧、燃烧等治理技术，处理效率≥</w:t>
                  </w:r>
                  <w:r>
                    <w:rPr>
                      <w:rFonts w:hint="eastAsia" w:ascii="Times New Roman" w:hAnsi="Times New Roman" w:eastAsia="宋体" w:cs="Times New Roman"/>
                      <w:b w:val="0"/>
                      <w:bCs w:val="0"/>
                      <w:color w:val="000000"/>
                      <w:sz w:val="21"/>
                      <w:szCs w:val="21"/>
                      <w:u w:val="none"/>
                      <w:lang w:val="en-US" w:eastAsia="zh-CN"/>
                    </w:rPr>
                    <w:t>9</w:t>
                  </w:r>
                  <w:r>
                    <w:rPr>
                      <w:rFonts w:hint="default" w:ascii="Times New Roman" w:hAnsi="Times New Roman" w:eastAsia="宋体" w:cs="Times New Roman"/>
                      <w:b w:val="0"/>
                      <w:bCs w:val="0"/>
                      <w:color w:val="000000"/>
                      <w:sz w:val="21"/>
                      <w:szCs w:val="21"/>
                      <w:u w:val="none"/>
                    </w:rPr>
                    <w:t>5%；3、使用水性涂料（含水性UV）时，当车间或生产设施排气中NMHC初始排放速率≥2kg/h时，建设末端治污设施。</w:t>
                  </w:r>
                </w:p>
              </w:tc>
              <w:tc>
                <w:tcPr>
                  <w:tcW w:w="1380" w:type="pct"/>
                  <w:vMerge w:val="restar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lang w:eastAsia="zh-CN"/>
                    </w:rPr>
                  </w:pPr>
                  <w:r>
                    <w:rPr>
                      <w:rFonts w:hint="default" w:ascii="Times New Roman" w:hAnsi="Times New Roman" w:eastAsia="宋体" w:cs="Times New Roman"/>
                      <w:b w:val="0"/>
                      <w:bCs w:val="0"/>
                      <w:kern w:val="0"/>
                      <w:sz w:val="21"/>
                      <w:szCs w:val="21"/>
                      <w:u w:val="none"/>
                    </w:rPr>
                    <w:t>本项目采用粉末涂料，</w:t>
                  </w:r>
                  <w:r>
                    <w:rPr>
                      <w:rFonts w:hint="default" w:ascii="Times New Roman" w:hAnsi="Times New Roman" w:eastAsia="宋体" w:cs="Times New Roman"/>
                      <w:b w:val="0"/>
                      <w:bCs w:val="0"/>
                      <w:kern w:val="0"/>
                      <w:sz w:val="21"/>
                      <w:szCs w:val="21"/>
                      <w:u w:val="none"/>
                      <w:lang w:eastAsia="zh-CN"/>
                    </w:rPr>
                    <w:t>烘干废气经收集进入UV光氧+活性炭吸附装置进行处理后达标排放。</w:t>
                  </w:r>
                </w:p>
              </w:tc>
              <w:tc>
                <w:tcPr>
                  <w:tcW w:w="29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vMerge w:val="continue"/>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p>
              </w:tc>
              <w:tc>
                <w:tcPr>
                  <w:tcW w:w="2985" w:type="pct"/>
                  <w:gridSpan w:val="2"/>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color w:val="000000"/>
                      <w:sz w:val="21"/>
                      <w:szCs w:val="21"/>
                      <w:u w:val="none"/>
                    </w:rPr>
                    <w:t>备注：采用粉末涂料或VOCs含量≤60g/L的无溶剂涂料时，排放浓度稳定达标且排放速率、排放绩效等满足相关规定的，相应生产工序可不要求建设末端治理设施。</w:t>
                  </w:r>
                </w:p>
              </w:tc>
              <w:tc>
                <w:tcPr>
                  <w:tcW w:w="1380" w:type="pct"/>
                  <w:vMerge w:val="continue"/>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p>
              </w:tc>
              <w:tc>
                <w:tcPr>
                  <w:tcW w:w="29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排放</w:t>
                  </w:r>
                </w:p>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sz w:val="21"/>
                      <w:szCs w:val="21"/>
                      <w:u w:val="none"/>
                    </w:rPr>
                    <w:t>限值</w:t>
                  </w:r>
                </w:p>
              </w:tc>
              <w:tc>
                <w:tcPr>
                  <w:tcW w:w="2985" w:type="pct"/>
                  <w:gridSpan w:val="2"/>
                  <w:tcBorders>
                    <w:tl2br w:val="nil"/>
                    <w:tr2bl w:val="nil"/>
                  </w:tcBorders>
                  <w:shd w:val="clear" w:color="auto" w:fill="auto"/>
                  <w:noWrap w:val="0"/>
                  <w:vAlign w:val="center"/>
                </w:tcPr>
                <w:p>
                  <w:pPr>
                    <w:pStyle w:val="63"/>
                    <w:keepNext w:val="0"/>
                    <w:keepLines w:val="0"/>
                    <w:pageBreakBefore w:val="0"/>
                    <w:widowControl w:val="0"/>
                    <w:numPr>
                      <w:ilvl w:val="0"/>
                      <w:numId w:val="4"/>
                    </w:numPr>
                    <w:kinsoku/>
                    <w:wordWrap/>
                    <w:overflowPunct/>
                    <w:topLinePunct w:val="0"/>
                    <w:bidi w:val="0"/>
                    <w:adjustRightInd w:val="0"/>
                    <w:snapToGrid w:val="0"/>
                    <w:spacing w:line="350" w:lineRule="exact"/>
                    <w:ind w:firstLine="0" w:firstLineChars="0"/>
                    <w:jc w:val="both"/>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在连续一年的监测数据中，车间或生产设施排气筒排放的NMHC为</w:t>
                  </w:r>
                  <w:r>
                    <w:rPr>
                      <w:rFonts w:hint="eastAsia" w:ascii="Times New Roman" w:hAnsi="Times New Roman" w:eastAsia="宋体" w:cs="Times New Roman"/>
                      <w:b w:val="0"/>
                      <w:bCs w:val="0"/>
                      <w:color w:val="000000"/>
                      <w:sz w:val="21"/>
                      <w:szCs w:val="21"/>
                      <w:u w:val="none"/>
                      <w:lang w:val="en-US" w:eastAsia="zh-CN"/>
                    </w:rPr>
                    <w:t>2</w:t>
                  </w:r>
                  <w:r>
                    <w:rPr>
                      <w:rFonts w:hint="default" w:ascii="Times New Roman" w:hAnsi="Times New Roman" w:eastAsia="宋体" w:cs="Times New Roman"/>
                      <w:b w:val="0"/>
                      <w:bCs w:val="0"/>
                      <w:color w:val="000000"/>
                      <w:sz w:val="21"/>
                      <w:szCs w:val="21"/>
                      <w:u w:val="none"/>
                    </w:rPr>
                    <w:t>0-</w:t>
                  </w:r>
                  <w:r>
                    <w:rPr>
                      <w:rFonts w:hint="eastAsia" w:ascii="Times New Roman" w:hAnsi="Times New Roman" w:eastAsia="宋体" w:cs="Times New Roman"/>
                      <w:b w:val="0"/>
                      <w:bCs w:val="0"/>
                      <w:color w:val="000000"/>
                      <w:sz w:val="21"/>
                      <w:szCs w:val="21"/>
                      <w:u w:val="none"/>
                      <w:lang w:val="en-US" w:eastAsia="zh-CN"/>
                    </w:rPr>
                    <w:t>3</w:t>
                  </w:r>
                  <w:r>
                    <w:rPr>
                      <w:rFonts w:hint="default" w:ascii="Times New Roman" w:hAnsi="Times New Roman" w:eastAsia="宋体" w:cs="Times New Roman"/>
                      <w:b w:val="0"/>
                      <w:bCs w:val="0"/>
                      <w:color w:val="000000"/>
                      <w:sz w:val="21"/>
                      <w:szCs w:val="21"/>
                      <w:u w:val="none"/>
                    </w:rPr>
                    <w:t>0mg/m</w:t>
                  </w:r>
                  <w:r>
                    <w:rPr>
                      <w:rFonts w:hint="default" w:ascii="Times New Roman" w:hAnsi="Times New Roman" w:eastAsia="宋体" w:cs="Times New Roman"/>
                      <w:b w:val="0"/>
                      <w:bCs w:val="0"/>
                      <w:color w:val="000000"/>
                      <w:sz w:val="21"/>
                      <w:szCs w:val="21"/>
                      <w:u w:val="none"/>
                      <w:vertAlign w:val="superscript"/>
                    </w:rPr>
                    <w:t>3</w:t>
                  </w:r>
                  <w:r>
                    <w:rPr>
                      <w:rFonts w:hint="default" w:ascii="Times New Roman" w:hAnsi="Times New Roman" w:eastAsia="宋体" w:cs="Times New Roman"/>
                      <w:b w:val="0"/>
                      <w:bCs w:val="0"/>
                      <w:color w:val="000000"/>
                      <w:sz w:val="21"/>
                      <w:szCs w:val="21"/>
                      <w:u w:val="none"/>
                    </w:rPr>
                    <w:t>、TVOC为</w:t>
                  </w:r>
                  <w:r>
                    <w:rPr>
                      <w:rFonts w:hint="eastAsia" w:ascii="Times New Roman" w:hAnsi="Times New Roman" w:eastAsia="宋体" w:cs="Times New Roman"/>
                      <w:b w:val="0"/>
                      <w:bCs w:val="0"/>
                      <w:color w:val="000000"/>
                      <w:sz w:val="21"/>
                      <w:szCs w:val="21"/>
                      <w:u w:val="none"/>
                      <w:lang w:val="en-US" w:eastAsia="zh-CN"/>
                    </w:rPr>
                    <w:t>4</w:t>
                  </w:r>
                  <w:r>
                    <w:rPr>
                      <w:rFonts w:hint="default" w:ascii="Times New Roman" w:hAnsi="Times New Roman" w:eastAsia="宋体" w:cs="Times New Roman"/>
                      <w:b w:val="0"/>
                      <w:bCs w:val="0"/>
                      <w:color w:val="000000"/>
                      <w:sz w:val="21"/>
                      <w:szCs w:val="21"/>
                      <w:u w:val="none"/>
                    </w:rPr>
                    <w:t>0-</w:t>
                  </w:r>
                  <w:r>
                    <w:rPr>
                      <w:rFonts w:hint="eastAsia" w:ascii="Times New Roman" w:hAnsi="Times New Roman" w:eastAsia="宋体" w:cs="Times New Roman"/>
                      <w:b w:val="0"/>
                      <w:bCs w:val="0"/>
                      <w:color w:val="000000"/>
                      <w:sz w:val="21"/>
                      <w:szCs w:val="21"/>
                      <w:u w:val="none"/>
                      <w:lang w:val="en-US" w:eastAsia="zh-CN"/>
                    </w:rPr>
                    <w:t>5</w:t>
                  </w:r>
                  <w:r>
                    <w:rPr>
                      <w:rFonts w:hint="default" w:ascii="Times New Roman" w:hAnsi="Times New Roman" w:eastAsia="宋体" w:cs="Times New Roman"/>
                      <w:b w:val="0"/>
                      <w:bCs w:val="0"/>
                      <w:color w:val="000000"/>
                      <w:sz w:val="21"/>
                      <w:szCs w:val="21"/>
                      <w:u w:val="none"/>
                    </w:rPr>
                    <w:t>0mg/m</w:t>
                  </w:r>
                  <w:r>
                    <w:rPr>
                      <w:rFonts w:hint="default" w:ascii="Times New Roman" w:hAnsi="Times New Roman" w:eastAsia="宋体" w:cs="Times New Roman"/>
                      <w:b w:val="0"/>
                      <w:bCs w:val="0"/>
                      <w:color w:val="000000"/>
                      <w:sz w:val="21"/>
                      <w:szCs w:val="21"/>
                      <w:u w:val="none"/>
                      <w:vertAlign w:val="superscript"/>
                    </w:rPr>
                    <w:t>3</w:t>
                  </w:r>
                  <w:r>
                    <w:rPr>
                      <w:rFonts w:hint="default" w:ascii="Times New Roman" w:hAnsi="Times New Roman" w:eastAsia="宋体" w:cs="Times New Roman"/>
                      <w:b w:val="0"/>
                      <w:bCs w:val="0"/>
                      <w:color w:val="000000"/>
                      <w:sz w:val="21"/>
                      <w:szCs w:val="21"/>
                      <w:u w:val="none"/>
                    </w:rPr>
                    <w:t>；2、厂区内无组织排放监控点NMHC的小时平均浓度值不超过6mg/m</w:t>
                  </w:r>
                  <w:r>
                    <w:rPr>
                      <w:rFonts w:hint="default" w:ascii="Times New Roman" w:hAnsi="Times New Roman" w:eastAsia="宋体" w:cs="Times New Roman"/>
                      <w:b w:val="0"/>
                      <w:bCs w:val="0"/>
                      <w:color w:val="000000"/>
                      <w:sz w:val="21"/>
                      <w:szCs w:val="21"/>
                      <w:u w:val="none"/>
                      <w:vertAlign w:val="superscript"/>
                    </w:rPr>
                    <w:t>3</w:t>
                  </w:r>
                  <w:r>
                    <w:rPr>
                      <w:rFonts w:hint="default" w:ascii="Times New Roman" w:hAnsi="Times New Roman" w:eastAsia="宋体" w:cs="Times New Roman"/>
                      <w:b w:val="0"/>
                      <w:bCs w:val="0"/>
                      <w:color w:val="000000"/>
                      <w:sz w:val="21"/>
                      <w:szCs w:val="21"/>
                      <w:u w:val="none"/>
                    </w:rPr>
                    <w:t>、任意一次浓度值不超过20mg/m</w:t>
                  </w:r>
                  <w:r>
                    <w:rPr>
                      <w:rFonts w:hint="default" w:ascii="Times New Roman" w:hAnsi="Times New Roman" w:eastAsia="宋体" w:cs="Times New Roman"/>
                      <w:b w:val="0"/>
                      <w:bCs w:val="0"/>
                      <w:color w:val="000000"/>
                      <w:sz w:val="21"/>
                      <w:szCs w:val="21"/>
                      <w:u w:val="none"/>
                      <w:vertAlign w:val="superscript"/>
                    </w:rPr>
                    <w:t>3</w:t>
                  </w:r>
                  <w:r>
                    <w:rPr>
                      <w:rFonts w:hint="default" w:ascii="Times New Roman" w:hAnsi="Times New Roman" w:eastAsia="宋体" w:cs="Times New Roman"/>
                      <w:b w:val="0"/>
                      <w:bCs w:val="0"/>
                      <w:color w:val="000000"/>
                      <w:sz w:val="21"/>
                      <w:szCs w:val="21"/>
                      <w:u w:val="none"/>
                    </w:rPr>
                    <w:t>；3、其他各项污染物稳定达到现行排放控制要求，并从严地方要求。</w:t>
                  </w:r>
                </w:p>
              </w:tc>
              <w:tc>
                <w:tcPr>
                  <w:tcW w:w="138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项目非甲烷总烃排放浓度不超过</w:t>
                  </w:r>
                  <w:r>
                    <w:rPr>
                      <w:rFonts w:hint="eastAsia" w:ascii="Times New Roman" w:hAnsi="Times New Roman" w:eastAsia="宋体" w:cs="Times New Roman"/>
                      <w:b w:val="0"/>
                      <w:bCs w:val="0"/>
                      <w:kern w:val="0"/>
                      <w:sz w:val="21"/>
                      <w:szCs w:val="21"/>
                      <w:u w:val="none"/>
                      <w:lang w:val="en-US" w:eastAsia="zh-CN"/>
                    </w:rPr>
                    <w:t>2</w:t>
                  </w:r>
                  <w:r>
                    <w:rPr>
                      <w:rFonts w:hint="default" w:ascii="Times New Roman" w:hAnsi="Times New Roman" w:eastAsia="宋体" w:cs="Times New Roman"/>
                      <w:b w:val="0"/>
                      <w:bCs w:val="0"/>
                      <w:kern w:val="0"/>
                      <w:sz w:val="21"/>
                      <w:szCs w:val="21"/>
                      <w:u w:val="none"/>
                    </w:rPr>
                    <w:t>0</w:t>
                  </w:r>
                  <w:r>
                    <w:rPr>
                      <w:rFonts w:hint="default" w:ascii="Times New Roman" w:hAnsi="Times New Roman" w:eastAsia="宋体" w:cs="Times New Roman"/>
                      <w:b w:val="0"/>
                      <w:bCs w:val="0"/>
                      <w:color w:val="000000"/>
                      <w:sz w:val="21"/>
                      <w:szCs w:val="21"/>
                      <w:u w:val="none"/>
                    </w:rPr>
                    <w:t>mg/m</w:t>
                  </w:r>
                  <w:r>
                    <w:rPr>
                      <w:rFonts w:hint="default" w:ascii="Times New Roman" w:hAnsi="Times New Roman" w:eastAsia="宋体" w:cs="Times New Roman"/>
                      <w:b w:val="0"/>
                      <w:bCs w:val="0"/>
                      <w:color w:val="000000"/>
                      <w:sz w:val="21"/>
                      <w:szCs w:val="21"/>
                      <w:u w:val="none"/>
                      <w:vertAlign w:val="superscript"/>
                    </w:rPr>
                    <w:t>3</w:t>
                  </w:r>
                  <w:r>
                    <w:rPr>
                      <w:rFonts w:hint="default" w:ascii="Times New Roman" w:hAnsi="Times New Roman" w:eastAsia="宋体" w:cs="Times New Roman"/>
                      <w:b w:val="0"/>
                      <w:bCs w:val="0"/>
                      <w:color w:val="000000"/>
                      <w:sz w:val="21"/>
                      <w:szCs w:val="21"/>
                      <w:u w:val="none"/>
                    </w:rPr>
                    <w:t>，厂区内无组织排放</w:t>
                  </w:r>
                  <w:r>
                    <w:rPr>
                      <w:rFonts w:hint="default" w:ascii="Times New Roman" w:hAnsi="Times New Roman" w:eastAsia="宋体" w:cs="Times New Roman"/>
                      <w:b w:val="0"/>
                      <w:bCs w:val="0"/>
                      <w:kern w:val="0"/>
                      <w:sz w:val="21"/>
                      <w:szCs w:val="21"/>
                      <w:u w:val="none"/>
                    </w:rPr>
                    <w:t>非甲烷总烃</w:t>
                  </w:r>
                  <w:r>
                    <w:rPr>
                      <w:rFonts w:hint="default" w:ascii="Times New Roman" w:hAnsi="Times New Roman" w:eastAsia="宋体" w:cs="Times New Roman"/>
                      <w:b w:val="0"/>
                      <w:bCs w:val="0"/>
                      <w:color w:val="000000"/>
                      <w:sz w:val="21"/>
                      <w:szCs w:val="21"/>
                      <w:u w:val="none"/>
                    </w:rPr>
                    <w:t>小时平均浓度值不超过6mg/m</w:t>
                  </w:r>
                  <w:r>
                    <w:rPr>
                      <w:rFonts w:hint="default" w:ascii="Times New Roman" w:hAnsi="Times New Roman" w:eastAsia="宋体" w:cs="Times New Roman"/>
                      <w:b w:val="0"/>
                      <w:bCs w:val="0"/>
                      <w:color w:val="000000"/>
                      <w:sz w:val="21"/>
                      <w:szCs w:val="21"/>
                      <w:u w:val="none"/>
                      <w:vertAlign w:val="superscript"/>
                    </w:rPr>
                    <w:t>3</w:t>
                  </w:r>
                  <w:r>
                    <w:rPr>
                      <w:rFonts w:hint="default" w:ascii="Times New Roman" w:hAnsi="Times New Roman" w:eastAsia="宋体" w:cs="Times New Roman"/>
                      <w:b w:val="0"/>
                      <w:bCs w:val="0"/>
                      <w:color w:val="000000"/>
                      <w:sz w:val="21"/>
                      <w:szCs w:val="21"/>
                      <w:u w:val="none"/>
                    </w:rPr>
                    <w:t>、任意一次浓度值不超过20mg/m</w:t>
                  </w:r>
                  <w:r>
                    <w:rPr>
                      <w:rFonts w:hint="default" w:ascii="Times New Roman" w:hAnsi="Times New Roman" w:eastAsia="宋体" w:cs="Times New Roman"/>
                      <w:b w:val="0"/>
                      <w:bCs w:val="0"/>
                      <w:color w:val="000000"/>
                      <w:sz w:val="21"/>
                      <w:szCs w:val="21"/>
                      <w:u w:val="none"/>
                      <w:vertAlign w:val="superscript"/>
                    </w:rPr>
                    <w:t>3</w:t>
                  </w:r>
                  <w:r>
                    <w:rPr>
                      <w:rFonts w:hint="default" w:ascii="Times New Roman" w:hAnsi="Times New Roman" w:eastAsia="宋体" w:cs="Times New Roman"/>
                      <w:b w:val="0"/>
                      <w:bCs w:val="0"/>
                      <w:color w:val="000000"/>
                      <w:sz w:val="21"/>
                      <w:szCs w:val="21"/>
                      <w:u w:val="none"/>
                    </w:rPr>
                    <w:t>；其他各项污染物均满足现行控制要求。</w:t>
                  </w:r>
                </w:p>
              </w:tc>
              <w:tc>
                <w:tcPr>
                  <w:tcW w:w="29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监测监控水平</w:t>
                  </w:r>
                </w:p>
              </w:tc>
              <w:tc>
                <w:tcPr>
                  <w:tcW w:w="2985" w:type="pct"/>
                  <w:gridSpan w:val="2"/>
                  <w:tcBorders>
                    <w:tl2br w:val="nil"/>
                    <w:tr2bl w:val="nil"/>
                  </w:tcBorders>
                  <w:shd w:val="clear" w:color="auto" w:fill="auto"/>
                  <w:noWrap w:val="0"/>
                  <w:vAlign w:val="center"/>
                </w:tcPr>
                <w:p>
                  <w:pPr>
                    <w:pStyle w:val="63"/>
                    <w:keepNext w:val="0"/>
                    <w:keepLines w:val="0"/>
                    <w:pageBreakBefore w:val="0"/>
                    <w:widowControl w:val="0"/>
                    <w:kinsoku/>
                    <w:wordWrap/>
                    <w:overflowPunct/>
                    <w:topLinePunct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1、严格执行《排污许可证申请与核发技术规范 总则》（HJ942-2018）以及相关行业排污许可证申请与核发技术规范规定的自行监测管理要求；2、重点排污企业风量大于10000m</w:t>
                  </w:r>
                  <w:r>
                    <w:rPr>
                      <w:rFonts w:hint="default" w:ascii="Times New Roman" w:hAnsi="Times New Roman" w:eastAsia="宋体" w:cs="Times New Roman"/>
                      <w:b w:val="0"/>
                      <w:bCs w:val="0"/>
                      <w:color w:val="000000"/>
                      <w:sz w:val="21"/>
                      <w:szCs w:val="21"/>
                      <w:u w:val="none"/>
                      <w:vertAlign w:val="superscript"/>
                    </w:rPr>
                    <w:t>3</w:t>
                  </w:r>
                  <w:r>
                    <w:rPr>
                      <w:rFonts w:hint="default" w:ascii="Times New Roman" w:hAnsi="Times New Roman" w:eastAsia="宋体" w:cs="Times New Roman"/>
                      <w:b w:val="0"/>
                      <w:bCs w:val="0"/>
                      <w:color w:val="000000"/>
                      <w:sz w:val="21"/>
                      <w:szCs w:val="21"/>
                      <w:u w:val="none"/>
                    </w:rPr>
                    <w:t>/h的主要排放口，有机废气排放口安装NMHC在线监测设施（FID检测器），自动监控数据保存一年以上；3、安装DCS系统、仪器仪表等装置，连续测量并记录治理设施控制指标温度、压力（压差）、时间和频率值。再生式活性炭连续自动测量并记录温度、再生时间和更换周期；更换式活性炭记录温度、更换周期及更换量；数据保存一年以上。</w:t>
                  </w:r>
                </w:p>
              </w:tc>
              <w:tc>
                <w:tcPr>
                  <w:tcW w:w="138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lang w:val="en-US" w:eastAsia="zh-CN"/>
                    </w:rPr>
                  </w:pPr>
                  <w:r>
                    <w:rPr>
                      <w:rFonts w:hint="default" w:ascii="Times New Roman" w:hAnsi="Times New Roman" w:eastAsia="宋体" w:cs="Times New Roman"/>
                      <w:b w:val="0"/>
                      <w:bCs w:val="0"/>
                      <w:kern w:val="0"/>
                      <w:sz w:val="21"/>
                      <w:szCs w:val="21"/>
                      <w:u w:val="none"/>
                    </w:rPr>
                    <w:t>企业按照排污许可</w:t>
                  </w:r>
                  <w:r>
                    <w:rPr>
                      <w:rFonts w:hint="default" w:ascii="Times New Roman" w:hAnsi="Times New Roman" w:eastAsia="宋体" w:cs="Times New Roman"/>
                      <w:b w:val="0"/>
                      <w:bCs w:val="0"/>
                      <w:color w:val="000000"/>
                      <w:sz w:val="21"/>
                      <w:szCs w:val="21"/>
                      <w:u w:val="none"/>
                    </w:rPr>
                    <w:t>证申请与核发技术规范规定</w:t>
                  </w:r>
                  <w:r>
                    <w:rPr>
                      <w:rFonts w:hint="default" w:ascii="Times New Roman" w:hAnsi="Times New Roman" w:eastAsia="宋体" w:cs="Times New Roman"/>
                      <w:b w:val="0"/>
                      <w:bCs w:val="0"/>
                      <w:kern w:val="0"/>
                      <w:sz w:val="21"/>
                      <w:szCs w:val="21"/>
                      <w:u w:val="none"/>
                    </w:rPr>
                    <w:t>要求进行自行监测；本项目无需安装在线监测设施</w:t>
                  </w:r>
                  <w:r>
                    <w:rPr>
                      <w:rFonts w:hint="eastAsia" w:ascii="Times New Roman" w:hAnsi="Times New Roman" w:eastAsia="宋体" w:cs="Times New Roman"/>
                      <w:b w:val="0"/>
                      <w:bCs w:val="0"/>
                      <w:kern w:val="0"/>
                      <w:sz w:val="21"/>
                      <w:szCs w:val="21"/>
                      <w:u w:val="none"/>
                      <w:lang w:eastAsia="zh-CN"/>
                    </w:rPr>
                    <w:t>；</w:t>
                  </w:r>
                  <w:r>
                    <w:rPr>
                      <w:rFonts w:hint="eastAsia" w:ascii="Times New Roman" w:hAnsi="Times New Roman" w:eastAsia="宋体" w:cs="Times New Roman"/>
                      <w:b w:val="0"/>
                      <w:bCs w:val="0"/>
                      <w:kern w:val="0"/>
                      <w:sz w:val="21"/>
                      <w:szCs w:val="21"/>
                      <w:u w:val="none"/>
                      <w:lang w:val="en-US" w:eastAsia="zh-CN"/>
                    </w:rPr>
                    <w:t>本项目采用更换式活性炭，记录温度、更换周期及更换量，数据保存一年以上。</w:t>
                  </w:r>
                </w:p>
              </w:tc>
              <w:tc>
                <w:tcPr>
                  <w:tcW w:w="29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vMerge w:val="restar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sz w:val="21"/>
                      <w:szCs w:val="21"/>
                      <w:u w:val="none"/>
                    </w:rPr>
                    <w:t>环境管理水平</w:t>
                  </w:r>
                </w:p>
              </w:tc>
              <w:tc>
                <w:tcPr>
                  <w:tcW w:w="2985" w:type="pct"/>
                  <w:gridSpan w:val="2"/>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color w:val="000000"/>
                      <w:sz w:val="21"/>
                      <w:szCs w:val="21"/>
                      <w:u w:val="none"/>
                    </w:rPr>
                    <w:t>环保档案齐全：1、环评批复文件；2、排污许可证及季度、年度执行报告；3、竣工验收文件；4、废气治理设施运行管理规程；5、一年内废气监测报告</w:t>
                  </w:r>
                </w:p>
              </w:tc>
              <w:tc>
                <w:tcPr>
                  <w:tcW w:w="138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sz w:val="21"/>
                      <w:szCs w:val="21"/>
                      <w:u w:val="none"/>
                    </w:rPr>
                    <w:t>项目环评取得批复文件后及时申报排污许可证，并在满足生产条件后及时验收；项目建成后要制定环境管理制度、废气治理设施运行管理制度；定时按排污许可证要求进行监测。</w:t>
                  </w:r>
                </w:p>
              </w:tc>
              <w:tc>
                <w:tcPr>
                  <w:tcW w:w="29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vMerge w:val="continue"/>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sz w:val="21"/>
                      <w:szCs w:val="21"/>
                      <w:u w:val="none"/>
                    </w:rPr>
                  </w:pPr>
                </w:p>
              </w:tc>
              <w:tc>
                <w:tcPr>
                  <w:tcW w:w="2985" w:type="pct"/>
                  <w:gridSpan w:val="2"/>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color w:val="000000"/>
                      <w:sz w:val="21"/>
                      <w:szCs w:val="21"/>
                      <w:u w:val="none"/>
                    </w:rPr>
                    <w:t>台账记录：1、生产设施运行管理信息（生产时间、运行负荷、产品产量等，必须具备近一年及以上所用涂料的密度、扣水后VOCs含量、含水率（水性涂料）等信息的检测报告）；2、废气污染治理设施运行管理信息（燃烧室温度、冷凝温度、过滤材料更换频次、吸附剂更换频次、催化剂更换频次）；3、监测记录信息（主要污染排放口废气排放记录（手工监测或在线监测）等）；4、主要原辅材料消耗记录；5、燃料（天然气）消耗记录。</w:t>
                  </w:r>
                </w:p>
              </w:tc>
              <w:tc>
                <w:tcPr>
                  <w:tcW w:w="138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sz w:val="21"/>
                      <w:szCs w:val="21"/>
                      <w:u w:val="none"/>
                    </w:rPr>
                    <w:t>项目运营期安排专人负责台账记录，加强台账管理。</w:t>
                  </w:r>
                </w:p>
              </w:tc>
              <w:tc>
                <w:tcPr>
                  <w:tcW w:w="29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vMerge w:val="continue"/>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sz w:val="21"/>
                      <w:szCs w:val="21"/>
                      <w:u w:val="none"/>
                    </w:rPr>
                  </w:pPr>
                </w:p>
              </w:tc>
              <w:tc>
                <w:tcPr>
                  <w:tcW w:w="2985" w:type="pct"/>
                  <w:gridSpan w:val="2"/>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color w:val="000000"/>
                      <w:sz w:val="21"/>
                      <w:szCs w:val="21"/>
                      <w:u w:val="none"/>
                    </w:rPr>
                    <w:t>人员配置：设置环保部门，配备专职环保人员，并具备相应的环境管理能力。</w:t>
                  </w:r>
                </w:p>
              </w:tc>
              <w:tc>
                <w:tcPr>
                  <w:tcW w:w="138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lang w:eastAsia="zh-CN"/>
                    </w:rPr>
                  </w:pPr>
                  <w:r>
                    <w:rPr>
                      <w:rFonts w:hint="default" w:ascii="Times New Roman" w:hAnsi="Times New Roman" w:eastAsia="宋体" w:cs="Times New Roman"/>
                      <w:b w:val="0"/>
                      <w:bCs w:val="0"/>
                      <w:sz w:val="21"/>
                      <w:szCs w:val="21"/>
                      <w:u w:val="none"/>
                    </w:rPr>
                    <w:t>企业按要求配备专职环保人员</w:t>
                  </w:r>
                  <w:r>
                    <w:rPr>
                      <w:rFonts w:hint="default" w:ascii="Times New Roman" w:hAnsi="Times New Roman" w:eastAsia="宋体" w:cs="Times New Roman"/>
                      <w:b w:val="0"/>
                      <w:bCs w:val="0"/>
                      <w:sz w:val="21"/>
                      <w:szCs w:val="21"/>
                      <w:u w:val="none"/>
                      <w:lang w:eastAsia="zh-CN"/>
                    </w:rPr>
                    <w:t>。</w:t>
                  </w:r>
                </w:p>
              </w:tc>
              <w:tc>
                <w:tcPr>
                  <w:tcW w:w="29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sz w:val="21"/>
                      <w:szCs w:val="21"/>
                      <w:u w:val="none"/>
                    </w:rPr>
                    <w:t>运输方式</w:t>
                  </w:r>
                </w:p>
              </w:tc>
              <w:tc>
                <w:tcPr>
                  <w:tcW w:w="2985" w:type="pct"/>
                  <w:gridSpan w:val="2"/>
                  <w:tcBorders>
                    <w:tl2br w:val="nil"/>
                    <w:tr2bl w:val="nil"/>
                  </w:tcBorders>
                  <w:shd w:val="clear" w:color="auto" w:fill="auto"/>
                  <w:noWrap w:val="0"/>
                  <w:vAlign w:val="center"/>
                </w:tcPr>
                <w:p>
                  <w:pPr>
                    <w:pStyle w:val="63"/>
                    <w:keepNext w:val="0"/>
                    <w:keepLines w:val="0"/>
                    <w:pageBreakBefore w:val="0"/>
                    <w:widowControl w:val="0"/>
                    <w:kinsoku/>
                    <w:wordWrap/>
                    <w:overflowPunct/>
                    <w:topLinePunct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color w:val="000000"/>
                      <w:sz w:val="21"/>
                      <w:szCs w:val="21"/>
                      <w:u w:val="none"/>
                    </w:rPr>
                    <w:t>1、物料公路运输全部使用达到国五及以上排放标准重型载货车辆（含燃气）或新能源车辆；2、厂内运输使用达到国五及以上排放标准车辆（含燃气）或新能源车辆；3、厂内非道路移动机械使用达到国三及以上排放标准或使用新能源机械</w:t>
                  </w:r>
                </w:p>
              </w:tc>
              <w:tc>
                <w:tcPr>
                  <w:tcW w:w="1380" w:type="pct"/>
                  <w:tcBorders>
                    <w:tl2br w:val="nil"/>
                    <w:tr2bl w:val="nil"/>
                  </w:tcBorders>
                  <w:shd w:val="clear" w:color="auto" w:fill="auto"/>
                  <w:noWrap w:val="0"/>
                  <w:vAlign w:val="center"/>
                </w:tcPr>
                <w:p>
                  <w:pPr>
                    <w:pStyle w:val="64"/>
                    <w:keepNext w:val="0"/>
                    <w:keepLines w:val="0"/>
                    <w:pageBreakBefore w:val="0"/>
                    <w:widowControl w:val="0"/>
                    <w:kinsoku/>
                    <w:wordWrap/>
                    <w:overflowPunct/>
                    <w:topLinePunct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1、物料、产品运输全部使用国五及以上车辆；2、厂区</w:t>
                  </w:r>
                  <w:r>
                    <w:rPr>
                      <w:rFonts w:hint="default" w:ascii="Times New Roman" w:hAnsi="Times New Roman" w:eastAsia="宋体" w:cs="Times New Roman"/>
                      <w:b w:val="0"/>
                      <w:bCs w:val="0"/>
                      <w:sz w:val="21"/>
                      <w:szCs w:val="21"/>
                      <w:u w:val="none"/>
                      <w:lang w:val="en-US" w:eastAsia="zh-CN"/>
                    </w:rPr>
                    <w:t>不设运输车辆</w:t>
                  </w:r>
                  <w:r>
                    <w:rPr>
                      <w:rFonts w:hint="default" w:ascii="Times New Roman" w:hAnsi="Times New Roman" w:eastAsia="宋体" w:cs="Times New Roman"/>
                      <w:b w:val="0"/>
                      <w:bCs w:val="0"/>
                      <w:sz w:val="21"/>
                      <w:szCs w:val="21"/>
                      <w:u w:val="none"/>
                    </w:rPr>
                    <w:t>。</w:t>
                  </w:r>
                </w:p>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sz w:val="21"/>
                      <w:szCs w:val="21"/>
                      <w:u w:val="none"/>
                    </w:rPr>
                    <w:t>3、厂内非道路移动机械全部</w:t>
                  </w:r>
                  <w:r>
                    <w:rPr>
                      <w:rFonts w:hint="eastAsia" w:cs="Times New Roman"/>
                      <w:b w:val="0"/>
                      <w:bCs w:val="0"/>
                      <w:sz w:val="21"/>
                      <w:szCs w:val="21"/>
                      <w:u w:val="none"/>
                      <w:lang w:val="en-US" w:eastAsia="zh-CN"/>
                    </w:rPr>
                    <w:t>达到</w:t>
                  </w:r>
                  <w:r>
                    <w:rPr>
                      <w:rFonts w:hint="default" w:ascii="Times New Roman" w:hAnsi="Times New Roman" w:eastAsia="宋体" w:cs="Times New Roman"/>
                      <w:b w:val="0"/>
                      <w:bCs w:val="0"/>
                      <w:sz w:val="21"/>
                      <w:szCs w:val="21"/>
                      <w:u w:val="none"/>
                    </w:rPr>
                    <w:t>国三</w:t>
                  </w:r>
                  <w:r>
                    <w:rPr>
                      <w:rFonts w:hint="default" w:ascii="Times New Roman" w:hAnsi="Times New Roman" w:eastAsia="宋体" w:cs="Times New Roman"/>
                      <w:b w:val="0"/>
                      <w:bCs w:val="0"/>
                      <w:color w:val="000000"/>
                      <w:sz w:val="21"/>
                      <w:szCs w:val="21"/>
                      <w:u w:val="none"/>
                    </w:rPr>
                    <w:t>及以上排放标准</w:t>
                  </w:r>
                  <w:r>
                    <w:rPr>
                      <w:rFonts w:hint="default" w:ascii="Times New Roman" w:hAnsi="Times New Roman" w:eastAsia="宋体" w:cs="Times New Roman"/>
                      <w:b w:val="0"/>
                      <w:bCs w:val="0"/>
                      <w:sz w:val="21"/>
                      <w:szCs w:val="21"/>
                      <w:u w:val="none"/>
                    </w:rPr>
                    <w:t>。</w:t>
                  </w:r>
                </w:p>
              </w:tc>
              <w:tc>
                <w:tcPr>
                  <w:tcW w:w="29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运输监管</w:t>
                  </w:r>
                </w:p>
              </w:tc>
              <w:tc>
                <w:tcPr>
                  <w:tcW w:w="2985" w:type="pct"/>
                  <w:gridSpan w:val="2"/>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sz w:val="21"/>
                      <w:szCs w:val="21"/>
                      <w:u w:val="none"/>
                    </w:rPr>
                    <w:t>参照《重污染天气重点行业移动源应急管理技术指南》建立门禁系统和电子台账</w:t>
                  </w:r>
                </w:p>
              </w:tc>
              <w:tc>
                <w:tcPr>
                  <w:tcW w:w="138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本项目</w:t>
                  </w:r>
                  <w:r>
                    <w:rPr>
                      <w:rFonts w:hint="default" w:ascii="Times New Roman" w:hAnsi="Times New Roman" w:eastAsia="宋体" w:cs="Times New Roman"/>
                      <w:b w:val="0"/>
                      <w:bCs w:val="0"/>
                      <w:kern w:val="0"/>
                      <w:sz w:val="21"/>
                      <w:szCs w:val="21"/>
                      <w:u w:val="none"/>
                      <w:lang w:val="en-US" w:eastAsia="zh-CN"/>
                    </w:rPr>
                    <w:t>在厂区</w:t>
                  </w:r>
                  <w:r>
                    <w:rPr>
                      <w:rFonts w:hint="default" w:ascii="Times New Roman" w:hAnsi="Times New Roman" w:eastAsia="宋体" w:cs="Times New Roman"/>
                      <w:b w:val="0"/>
                      <w:bCs w:val="0"/>
                      <w:kern w:val="0"/>
                      <w:sz w:val="21"/>
                      <w:szCs w:val="21"/>
                      <w:u w:val="none"/>
                    </w:rPr>
                    <w:t>出入口安装门禁系统</w:t>
                  </w:r>
                  <w:r>
                    <w:rPr>
                      <w:rFonts w:hint="default" w:ascii="Times New Roman" w:hAnsi="Times New Roman" w:eastAsia="宋体" w:cs="Times New Roman"/>
                      <w:b w:val="0"/>
                      <w:bCs w:val="0"/>
                      <w:kern w:val="0"/>
                      <w:sz w:val="21"/>
                      <w:szCs w:val="21"/>
                      <w:u w:val="none"/>
                      <w:lang w:val="en-US" w:eastAsia="zh-CN"/>
                    </w:rPr>
                    <w:t>和</w:t>
                  </w:r>
                  <w:r>
                    <w:rPr>
                      <w:rFonts w:hint="default" w:ascii="Times New Roman" w:hAnsi="Times New Roman" w:eastAsia="宋体" w:cs="Times New Roman"/>
                      <w:b w:val="0"/>
                      <w:bCs w:val="0"/>
                      <w:kern w:val="0"/>
                      <w:sz w:val="21"/>
                      <w:szCs w:val="21"/>
                      <w:u w:val="none"/>
                    </w:rPr>
                    <w:t>电子台账。</w:t>
                  </w:r>
                </w:p>
              </w:tc>
              <w:tc>
                <w:tcPr>
                  <w:tcW w:w="29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5"/>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color w:val="auto"/>
                      <w:kern w:val="2"/>
                      <w:sz w:val="21"/>
                      <w:szCs w:val="21"/>
                      <w:u w:val="none"/>
                      <w:lang w:val="en-US" w:eastAsia="zh-CN" w:bidi="ar-SA"/>
                    </w:rPr>
                    <w:t>洛市环〔2021〕47号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sz w:val="21"/>
                      <w:szCs w:val="21"/>
                      <w:u w:val="none"/>
                      <w:vertAlign w:val="baseline"/>
                      <w:lang w:val="en-US" w:eastAsia="zh-CN"/>
                    </w:rPr>
                    <w:t>差异化指标</w:t>
                  </w:r>
                </w:p>
              </w:tc>
              <w:tc>
                <w:tcPr>
                  <w:tcW w:w="2985" w:type="pct"/>
                  <w:gridSpan w:val="2"/>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sz w:val="21"/>
                      <w:szCs w:val="21"/>
                      <w:u w:val="none"/>
                      <w:vertAlign w:val="baseline"/>
                      <w:lang w:val="en-US" w:eastAsia="zh-CN"/>
                    </w:rPr>
                    <w:t>绩效先进性指标要求</w:t>
                  </w:r>
                </w:p>
              </w:tc>
              <w:tc>
                <w:tcPr>
                  <w:tcW w:w="138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sz w:val="21"/>
                      <w:szCs w:val="21"/>
                      <w:u w:val="none"/>
                      <w:vertAlign w:val="baseline"/>
                      <w:lang w:val="en-US" w:eastAsia="zh-CN"/>
                    </w:rPr>
                    <w:t>项目实际情况</w:t>
                  </w:r>
                </w:p>
              </w:tc>
              <w:tc>
                <w:tcPr>
                  <w:tcW w:w="29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lang w:val="en-US" w:eastAsia="zh-CN"/>
                    </w:rPr>
                  </w:pPr>
                  <w:r>
                    <w:rPr>
                      <w:rFonts w:hint="default" w:ascii="Times New Roman" w:hAnsi="Times New Roman" w:eastAsia="宋体" w:cs="Times New Roman"/>
                      <w:b w:val="0"/>
                      <w:bCs w:val="0"/>
                      <w:kern w:val="0"/>
                      <w:sz w:val="21"/>
                      <w:szCs w:val="21"/>
                      <w:u w:val="no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能源</w:t>
                  </w:r>
                </w:p>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sz w:val="21"/>
                      <w:szCs w:val="21"/>
                      <w:u w:val="none"/>
                      <w:vertAlign w:val="baseline"/>
                      <w:lang w:val="en-US" w:eastAsia="zh-CN"/>
                    </w:rPr>
                    <w:t>类型</w:t>
                  </w:r>
                </w:p>
              </w:tc>
              <w:tc>
                <w:tcPr>
                  <w:tcW w:w="2985"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color w:val="000000"/>
                      <w:spacing w:val="0"/>
                      <w:w w:val="100"/>
                      <w:position w:val="0"/>
                      <w:sz w:val="21"/>
                      <w:szCs w:val="21"/>
                      <w:u w:val="none"/>
                    </w:rPr>
                    <w:t>以电、天然气为能源。</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sz w:val="21"/>
                      <w:szCs w:val="21"/>
                      <w:u w:val="none"/>
                      <w:vertAlign w:val="baseline"/>
                      <w:lang w:val="en-US" w:eastAsia="zh-CN"/>
                    </w:rPr>
                    <w:t>本项目所用能源为电</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生产</w:t>
                  </w:r>
                </w:p>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sz w:val="21"/>
                      <w:szCs w:val="21"/>
                      <w:u w:val="none"/>
                      <w:vertAlign w:val="baseline"/>
                      <w:lang w:val="en-US" w:eastAsia="zh-CN"/>
                    </w:rPr>
                    <w:t>工艺</w:t>
                  </w:r>
                </w:p>
              </w:tc>
              <w:tc>
                <w:tcPr>
                  <w:tcW w:w="2985"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color w:val="000000"/>
                      <w:spacing w:val="0"/>
                      <w:w w:val="100"/>
                      <w:position w:val="0"/>
                      <w:sz w:val="21"/>
                      <w:szCs w:val="21"/>
                      <w:u w:val="none"/>
                    </w:rPr>
                    <w:t>不属于《产业结构调整指导目录（2019年版）》淘汰类，不属于省级和市级政府部门明确列入已经限期淘汰类项目。</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color w:val="000000"/>
                      <w:spacing w:val="0"/>
                      <w:w w:val="100"/>
                      <w:position w:val="0"/>
                      <w:sz w:val="21"/>
                      <w:szCs w:val="21"/>
                      <w:u w:val="none"/>
                      <w:lang w:val="en-US" w:eastAsia="zh-CN"/>
                    </w:rPr>
                    <w:t>本项目属于允许</w:t>
                  </w:r>
                  <w:r>
                    <w:rPr>
                      <w:rFonts w:hint="eastAsia" w:cs="Times New Roman"/>
                      <w:b w:val="0"/>
                      <w:bCs w:val="0"/>
                      <w:color w:val="000000"/>
                      <w:spacing w:val="0"/>
                      <w:w w:val="100"/>
                      <w:position w:val="0"/>
                      <w:sz w:val="21"/>
                      <w:szCs w:val="21"/>
                      <w:u w:val="none"/>
                      <w:lang w:val="en-US" w:eastAsia="zh-CN"/>
                    </w:rPr>
                    <w:t>建设</w:t>
                  </w:r>
                  <w:r>
                    <w:rPr>
                      <w:rFonts w:hint="default" w:ascii="Times New Roman" w:hAnsi="Times New Roman" w:eastAsia="宋体" w:cs="Times New Roman"/>
                      <w:b w:val="0"/>
                      <w:bCs w:val="0"/>
                      <w:color w:val="000000"/>
                      <w:spacing w:val="0"/>
                      <w:w w:val="100"/>
                      <w:position w:val="0"/>
                      <w:sz w:val="21"/>
                      <w:szCs w:val="21"/>
                      <w:u w:val="none"/>
                      <w:lang w:val="en-US" w:eastAsia="zh-CN"/>
                    </w:rPr>
                    <w:t>项目，符合要求</w:t>
                  </w:r>
                  <w:r>
                    <w:rPr>
                      <w:rFonts w:hint="default" w:ascii="Times New Roman" w:hAnsi="Times New Roman" w:eastAsia="宋体" w:cs="Times New Roman"/>
                      <w:b w:val="0"/>
                      <w:bCs w:val="0"/>
                      <w:color w:val="000000"/>
                      <w:spacing w:val="0"/>
                      <w:w w:val="100"/>
                      <w:position w:val="0"/>
                      <w:sz w:val="21"/>
                      <w:szCs w:val="21"/>
                      <w:u w:val="none"/>
                    </w:rPr>
                    <w:t>。</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污染</w:t>
                  </w:r>
                </w:p>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治理</w:t>
                  </w:r>
                </w:p>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sz w:val="21"/>
                      <w:szCs w:val="21"/>
                      <w:u w:val="none"/>
                      <w:vertAlign w:val="baseline"/>
                      <w:lang w:val="en-US" w:eastAsia="zh-CN"/>
                    </w:rPr>
                    <w:t>技术</w:t>
                  </w:r>
                </w:p>
              </w:tc>
              <w:tc>
                <w:tcPr>
                  <w:tcW w:w="2985"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firstLine="0" w:firstLineChars="0"/>
                    <w:jc w:val="center"/>
                    <w:textAlignment w:val="auto"/>
                    <w:rPr>
                      <w:rFonts w:hint="default" w:ascii="Times New Roman" w:hAnsi="Times New Roman" w:eastAsia="宋体" w:cs="Times New Roman"/>
                      <w:b w:val="0"/>
                      <w:bCs w:val="0"/>
                      <w:color w:val="000000"/>
                      <w:spacing w:val="0"/>
                      <w:w w:val="100"/>
                      <w:kern w:val="2"/>
                      <w:position w:val="0"/>
                      <w:sz w:val="21"/>
                      <w:szCs w:val="21"/>
                      <w:u w:val="none"/>
                      <w:lang w:val="en-US" w:eastAsia="zh-CN" w:bidi="ar-SA"/>
                    </w:rPr>
                  </w:pPr>
                  <w:r>
                    <w:rPr>
                      <w:rFonts w:hint="default" w:ascii="Times New Roman" w:hAnsi="Times New Roman" w:eastAsia="宋体" w:cs="Times New Roman"/>
                      <w:b w:val="0"/>
                      <w:bCs w:val="0"/>
                      <w:color w:val="000000"/>
                      <w:spacing w:val="0"/>
                      <w:w w:val="100"/>
                      <w:position w:val="0"/>
                      <w:sz w:val="21"/>
                      <w:szCs w:val="21"/>
                      <w:u w:val="none"/>
                    </w:rPr>
                    <w:t>除尘釆用覆膜滤袋、滤筒等高效除尘技术</w:t>
                  </w:r>
                  <w:r>
                    <w:rPr>
                      <w:rFonts w:hint="default" w:ascii="Times New Roman" w:hAnsi="Times New Roman" w:eastAsia="宋体" w:cs="Times New Roman"/>
                      <w:b w:val="0"/>
                      <w:bCs w:val="0"/>
                      <w:color w:val="000000"/>
                      <w:spacing w:val="0"/>
                      <w:w w:val="100"/>
                      <w:position w:val="0"/>
                      <w:sz w:val="21"/>
                      <w:szCs w:val="21"/>
                      <w:u w:val="none"/>
                      <w:lang w:eastAsia="zh-CN"/>
                    </w:rPr>
                    <w:t>（</w:t>
                  </w:r>
                  <w:r>
                    <w:rPr>
                      <w:rFonts w:hint="default" w:ascii="Times New Roman" w:hAnsi="Times New Roman" w:eastAsia="宋体" w:cs="Times New Roman"/>
                      <w:b w:val="0"/>
                      <w:bCs w:val="0"/>
                      <w:color w:val="000000"/>
                      <w:spacing w:val="0"/>
                      <w:w w:val="100"/>
                      <w:position w:val="0"/>
                      <w:sz w:val="21"/>
                      <w:szCs w:val="21"/>
                      <w:u w:val="none"/>
                      <w:lang w:val="en-US" w:eastAsia="zh-CN"/>
                    </w:rPr>
                    <w:t>设计除尘效率不低于99%</w:t>
                  </w:r>
                  <w:r>
                    <w:rPr>
                      <w:rFonts w:hint="default" w:ascii="Times New Roman" w:hAnsi="Times New Roman" w:eastAsia="宋体" w:cs="Times New Roman"/>
                      <w:b w:val="0"/>
                      <w:bCs w:val="0"/>
                      <w:color w:val="000000"/>
                      <w:spacing w:val="0"/>
                      <w:w w:val="100"/>
                      <w:position w:val="0"/>
                      <w:sz w:val="21"/>
                      <w:szCs w:val="21"/>
                      <w:u w:val="none"/>
                      <w:lang w:eastAsia="zh-CN"/>
                    </w:rPr>
                    <w:t>）。</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color w:val="000000"/>
                      <w:spacing w:val="0"/>
                      <w:w w:val="100"/>
                      <w:kern w:val="2"/>
                      <w:position w:val="0"/>
                      <w:sz w:val="21"/>
                      <w:szCs w:val="21"/>
                      <w:u w:val="none"/>
                      <w:lang w:val="en-US" w:eastAsia="zh-CN" w:bidi="ar-SA"/>
                    </w:rPr>
                  </w:pPr>
                  <w:r>
                    <w:rPr>
                      <w:rFonts w:hint="default" w:ascii="Times New Roman" w:hAnsi="Times New Roman" w:eastAsia="宋体" w:cs="Times New Roman"/>
                      <w:b w:val="0"/>
                      <w:bCs w:val="0"/>
                      <w:sz w:val="21"/>
                      <w:szCs w:val="21"/>
                      <w:u w:val="none"/>
                      <w:lang w:val="en-US" w:eastAsia="zh-CN"/>
                    </w:rPr>
                    <w:t>本项目颗粒物收集后采用覆膜滤袋袋式除尘器处理，设计除尘效率不低于99%。</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sz w:val="21"/>
                      <w:szCs w:val="21"/>
                      <w:u w:val="none"/>
                      <w:vertAlign w:val="baseline"/>
                      <w:lang w:val="en-US" w:eastAsia="zh-CN"/>
                    </w:rPr>
                    <w:t>无组织管控要求</w:t>
                  </w:r>
                </w:p>
              </w:tc>
              <w:tc>
                <w:tcPr>
                  <w:tcW w:w="2985" w:type="pct"/>
                  <w:gridSpan w:val="2"/>
                  <w:tcBorders>
                    <w:tl2br w:val="nil"/>
                    <w:tr2bl w:val="nil"/>
                  </w:tcBorders>
                  <w:vAlign w:val="center"/>
                </w:tcPr>
                <w:p>
                  <w:pPr>
                    <w:pStyle w:val="53"/>
                    <w:keepNext w:val="0"/>
                    <w:keepLines w:val="0"/>
                    <w:pageBreakBefore w:val="0"/>
                    <w:widowControl w:val="0"/>
                    <w:shd w:val="clear" w:color="auto" w:fill="auto"/>
                    <w:kinsoku/>
                    <w:wordWrap/>
                    <w:overflowPunct/>
                    <w:topLinePunct w:val="0"/>
                    <w:autoSpaceDE/>
                    <w:autoSpaceDN/>
                    <w:bidi w:val="0"/>
                    <w:adjustRightInd/>
                    <w:snapToGrid/>
                    <w:spacing w:before="0" w:after="0" w:line="35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w w:val="100"/>
                      <w:kern w:val="2"/>
                      <w:position w:val="0"/>
                      <w:sz w:val="21"/>
                      <w:szCs w:val="21"/>
                      <w:u w:val="none"/>
                      <w:shd w:val="clear" w:color="auto" w:fill="auto"/>
                      <w:lang w:val="en-US" w:eastAsia="zh-CN" w:bidi="ar-SA"/>
                    </w:rPr>
                  </w:pPr>
                  <w:r>
                    <w:rPr>
                      <w:rFonts w:hint="default" w:ascii="Times New Roman" w:hAnsi="Times New Roman" w:eastAsia="宋体" w:cs="Times New Roman"/>
                      <w:b w:val="0"/>
                      <w:bCs w:val="0"/>
                      <w:color w:val="000000"/>
                      <w:spacing w:val="0"/>
                      <w:w w:val="100"/>
                      <w:position w:val="0"/>
                      <w:sz w:val="21"/>
                      <w:szCs w:val="21"/>
                      <w:u w:val="none"/>
                      <w:lang w:val="en-US" w:eastAsia="zh-CN"/>
                    </w:rPr>
                    <w:t>物料装卸：</w:t>
                  </w:r>
                  <w:r>
                    <w:rPr>
                      <w:rFonts w:hint="default" w:ascii="Times New Roman" w:hAnsi="Times New Roman" w:eastAsia="宋体" w:cs="Times New Roman"/>
                      <w:b w:val="0"/>
                      <w:bCs w:val="0"/>
                      <w:sz w:val="21"/>
                      <w:szCs w:val="21"/>
                      <w:u w:val="none"/>
                      <w:lang w:val="en-US" w:eastAsia="zh-CN"/>
                    </w:rPr>
                    <w:t>车辆运输的物料应采取封闭措施。粉状、粒状、块状散装物料在封闭料场内装卸，装卸过程中产尘点应设置集气除尘装置，料堆应采取有效抑尘措施。不易产尘的袋装物料宜在料棚中装卸，如需露天装卸应采取防止破袋及粉尘外逸措施。</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sz w:val="21"/>
                      <w:szCs w:val="21"/>
                      <w:u w:val="none"/>
                      <w:lang w:val="en-US" w:eastAsia="zh-CN"/>
                    </w:rPr>
                    <w:t>车辆运输物料采取封闭措施，无散装物料，物料均采用封闭容器包装。</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sz w:val="21"/>
                      <w:szCs w:val="21"/>
                      <w:u w:val="none"/>
                    </w:rPr>
                  </w:pPr>
                </w:p>
              </w:tc>
              <w:tc>
                <w:tcPr>
                  <w:tcW w:w="2985" w:type="pct"/>
                  <w:gridSpan w:val="2"/>
                  <w:tcBorders>
                    <w:tl2br w:val="nil"/>
                    <w:tr2bl w:val="nil"/>
                  </w:tcBorders>
                  <w:vAlign w:val="center"/>
                </w:tcPr>
                <w:p>
                  <w:pPr>
                    <w:pStyle w:val="53"/>
                    <w:keepNext w:val="0"/>
                    <w:keepLines w:val="0"/>
                    <w:pageBreakBefore w:val="0"/>
                    <w:widowControl w:val="0"/>
                    <w:shd w:val="clear" w:color="auto" w:fill="auto"/>
                    <w:kinsoku/>
                    <w:wordWrap/>
                    <w:overflowPunct/>
                    <w:topLinePunct w:val="0"/>
                    <w:autoSpaceDE/>
                    <w:autoSpaceDN/>
                    <w:bidi w:val="0"/>
                    <w:adjustRightInd/>
                    <w:snapToGrid/>
                    <w:spacing w:before="0" w:after="0" w:line="350" w:lineRule="exact"/>
                    <w:ind w:left="0" w:right="0" w:firstLine="0" w:firstLineChars="0"/>
                    <w:jc w:val="center"/>
                    <w:textAlignment w:val="auto"/>
                    <w:rPr>
                      <w:rFonts w:hint="default" w:ascii="Times New Roman" w:hAnsi="Times New Roman" w:eastAsia="宋体" w:cs="Times New Roman"/>
                      <w:b w:val="0"/>
                      <w:bCs w:val="0"/>
                      <w:color w:val="000000"/>
                      <w:spacing w:val="0"/>
                      <w:w w:val="100"/>
                      <w:position w:val="0"/>
                      <w:sz w:val="21"/>
                      <w:szCs w:val="21"/>
                      <w:u w:val="none"/>
                      <w:lang w:val="en-US" w:eastAsia="zh-CN"/>
                    </w:rPr>
                  </w:pPr>
                  <w:r>
                    <w:rPr>
                      <w:rFonts w:hint="default" w:ascii="Times New Roman" w:hAnsi="Times New Roman" w:eastAsia="宋体" w:cs="Times New Roman"/>
                      <w:b w:val="0"/>
                      <w:bCs w:val="0"/>
                      <w:color w:val="000000"/>
                      <w:spacing w:val="0"/>
                      <w:w w:val="100"/>
                      <w:position w:val="0"/>
                      <w:sz w:val="21"/>
                      <w:szCs w:val="21"/>
                      <w:u w:val="none"/>
                      <w:lang w:val="en-US" w:eastAsia="zh-CN"/>
                    </w:rPr>
                    <w:t>物料储存：一般物料。粉状物料应储存于密闭/封闭料仓中：粒状、块状物料应储存于封闭料场中，并采取喷淋、清扫或其他有效抑尘措施:袋装物料应储存干封闭/半封闭料场中。封闭料场项棚和四周围墙完整，料场内路面全部硬化，料场货物进出大门为硬质材料门或自动感应门，在确保安全的情况下，所有门窗保持常闭状态。不产尘物料(如钢材、管件)及产品如露天储存应在规定的存储区域码放整齐。</w:t>
                  </w:r>
                </w:p>
                <w:p>
                  <w:pPr>
                    <w:keepNext w:val="0"/>
                    <w:keepLines w:val="0"/>
                    <w:pageBreakBefore w:val="0"/>
                    <w:widowControl w:val="0"/>
                    <w:kinsoku/>
                    <w:wordWrap/>
                    <w:overflowPunct/>
                    <w:topLinePunct w:val="0"/>
                    <w:autoSpaceDE w:val="0"/>
                    <w:autoSpaceDN w:val="0"/>
                    <w:bidi w:val="0"/>
                    <w:adjustRightInd w:val="0"/>
                    <w:snapToGrid w:val="0"/>
                    <w:spacing w:after="0" w:line="350" w:lineRule="exact"/>
                    <w:ind w:firstLine="0" w:firstLineChars="0"/>
                    <w:jc w:val="center"/>
                    <w:textAlignment w:val="auto"/>
                    <w:rPr>
                      <w:rFonts w:hint="default" w:ascii="Times New Roman" w:hAnsi="Times New Roman" w:eastAsia="宋体" w:cs="Times New Roman"/>
                      <w:b w:val="0"/>
                      <w:bCs w:val="0"/>
                      <w:color w:val="000000"/>
                      <w:spacing w:val="0"/>
                      <w:w w:val="100"/>
                      <w:kern w:val="2"/>
                      <w:position w:val="0"/>
                      <w:sz w:val="21"/>
                      <w:szCs w:val="21"/>
                      <w:u w:val="none"/>
                      <w:lang w:val="en-US" w:eastAsia="zh-CN" w:bidi="ar-SA"/>
                    </w:rPr>
                  </w:pPr>
                  <w:r>
                    <w:rPr>
                      <w:rFonts w:hint="default" w:ascii="Times New Roman" w:hAnsi="Times New Roman" w:eastAsia="宋体" w:cs="Times New Roman"/>
                      <w:b w:val="0"/>
                      <w:bCs w:val="0"/>
                      <w:color w:val="000000"/>
                      <w:spacing w:val="0"/>
                      <w:w w:val="100"/>
                      <w:position w:val="0"/>
                      <w:sz w:val="21"/>
                      <w:szCs w:val="21"/>
                      <w:u w:val="none"/>
                      <w:lang w:val="en-US" w:eastAsia="zh-CN"/>
                    </w:rPr>
                    <w:t>危险废物。应有符合规范要求的危险废物储存间，危险废物储存间门口应张贴标准规范的危险废物标识和危废信息板，建立台账并挂于危废间内，危险废物的记录和货单保存3年以上。危废间内禁止存放除危险废物和应急工具外的其他物品。</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sz w:val="21"/>
                      <w:szCs w:val="21"/>
                      <w:u w:val="none"/>
                      <w:vertAlign w:val="baseline"/>
                      <w:lang w:val="en-US" w:eastAsia="zh-CN"/>
                    </w:rPr>
                    <w:t>本项目无散装物料，物料均采用封闭容器包装；生产车间内全部硬化；项目建成后建设危废暂存间，张贴标准规范的标识和信息板，危险废物的记录和货单保存3年以上。</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sz w:val="21"/>
                      <w:szCs w:val="21"/>
                      <w:u w:val="none"/>
                    </w:rPr>
                  </w:pPr>
                </w:p>
              </w:tc>
              <w:tc>
                <w:tcPr>
                  <w:tcW w:w="2985"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firstLine="0" w:firstLineChars="0"/>
                    <w:jc w:val="center"/>
                    <w:textAlignment w:val="auto"/>
                    <w:rPr>
                      <w:rFonts w:hint="default" w:ascii="Times New Roman" w:hAnsi="Times New Roman" w:eastAsia="宋体" w:cs="Times New Roman"/>
                      <w:b w:val="0"/>
                      <w:bCs w:val="0"/>
                      <w:color w:val="000000"/>
                      <w:spacing w:val="0"/>
                      <w:w w:val="100"/>
                      <w:kern w:val="2"/>
                      <w:position w:val="0"/>
                      <w:sz w:val="21"/>
                      <w:szCs w:val="21"/>
                      <w:u w:val="none"/>
                      <w:lang w:val="en-US" w:eastAsia="zh-CN" w:bidi="ar-SA"/>
                    </w:rPr>
                  </w:pPr>
                  <w:r>
                    <w:rPr>
                      <w:rFonts w:hint="default" w:ascii="Times New Roman" w:hAnsi="Times New Roman" w:eastAsia="宋体" w:cs="Times New Roman"/>
                      <w:b w:val="0"/>
                      <w:bCs w:val="0"/>
                      <w:color w:val="000000"/>
                      <w:spacing w:val="0"/>
                      <w:w w:val="100"/>
                      <w:position w:val="0"/>
                      <w:sz w:val="21"/>
                      <w:szCs w:val="21"/>
                      <w:u w:val="none"/>
                      <w:lang w:val="en-US" w:eastAsia="zh-CN"/>
                    </w:rPr>
                    <w:t>物料转移和输送：粉状、粒状等易产尘物料厂内转移、输送过程应采用气力输送、密闭输送，块状和粘湿粉状物料采用封闭输送；无法封闭的产尘点(物料转载、下料口等)应采取集气除尘措施，或有效抑尘措施。</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color w:val="000000"/>
                      <w:kern w:val="0"/>
                      <w:sz w:val="21"/>
                      <w:szCs w:val="21"/>
                      <w:u w:val="none"/>
                      <w:lang w:val="en-US" w:eastAsia="zh-CN" w:bidi="ar"/>
                    </w:rPr>
                    <w:t>本项目物料采用密闭容器输送。</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sz w:val="21"/>
                      <w:szCs w:val="21"/>
                      <w:u w:val="none"/>
                    </w:rPr>
                  </w:pPr>
                </w:p>
              </w:tc>
              <w:tc>
                <w:tcPr>
                  <w:tcW w:w="2985"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firstLine="0" w:firstLineChars="0"/>
                    <w:jc w:val="center"/>
                    <w:textAlignment w:val="auto"/>
                    <w:rPr>
                      <w:rFonts w:hint="default" w:ascii="Times New Roman" w:hAnsi="Times New Roman" w:eastAsia="宋体" w:cs="Times New Roman"/>
                      <w:b w:val="0"/>
                      <w:bCs w:val="0"/>
                      <w:color w:val="000000"/>
                      <w:spacing w:val="0"/>
                      <w:w w:val="100"/>
                      <w:kern w:val="2"/>
                      <w:position w:val="0"/>
                      <w:sz w:val="21"/>
                      <w:szCs w:val="21"/>
                      <w:u w:val="none"/>
                      <w:lang w:val="en-US" w:eastAsia="zh-CN" w:bidi="ar-SA"/>
                    </w:rPr>
                  </w:pPr>
                  <w:r>
                    <w:rPr>
                      <w:rFonts w:hint="default" w:ascii="Times New Roman" w:hAnsi="Times New Roman" w:eastAsia="宋体" w:cs="Times New Roman"/>
                      <w:b w:val="0"/>
                      <w:bCs w:val="0"/>
                      <w:color w:val="000000"/>
                      <w:spacing w:val="0"/>
                      <w:w w:val="100"/>
                      <w:position w:val="0"/>
                      <w:sz w:val="21"/>
                      <w:szCs w:val="21"/>
                      <w:u w:val="none"/>
                      <w:lang w:val="en-US" w:eastAsia="zh-CN"/>
                    </w:rPr>
                    <w:t>成品包装：卸料口应完全封闭，如不能封闭应采取局部集气除尘措施。卸料口地面应及时清扫，地面无明显积尘。</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kern w:val="2"/>
                      <w:sz w:val="21"/>
                      <w:szCs w:val="21"/>
                      <w:u w:val="none"/>
                      <w:vertAlign w:val="baseline"/>
                      <w:lang w:val="en-US" w:eastAsia="zh-CN" w:bidi="ar-SA"/>
                    </w:rPr>
                    <w:t>本项目成品不涉及粉尘。</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sz w:val="21"/>
                      <w:szCs w:val="21"/>
                      <w:u w:val="none"/>
                    </w:rPr>
                  </w:pPr>
                </w:p>
              </w:tc>
              <w:tc>
                <w:tcPr>
                  <w:tcW w:w="2985"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firstLine="0" w:firstLineChars="0"/>
                    <w:jc w:val="center"/>
                    <w:textAlignment w:val="auto"/>
                    <w:rPr>
                      <w:rFonts w:hint="default" w:ascii="Times New Roman" w:hAnsi="Times New Roman" w:eastAsia="宋体" w:cs="Times New Roman"/>
                      <w:b w:val="0"/>
                      <w:bCs w:val="0"/>
                      <w:color w:val="000000"/>
                      <w:spacing w:val="0"/>
                      <w:w w:val="100"/>
                      <w:kern w:val="2"/>
                      <w:position w:val="0"/>
                      <w:sz w:val="21"/>
                      <w:szCs w:val="21"/>
                      <w:u w:val="none"/>
                      <w:lang w:val="en-US" w:eastAsia="zh-CN" w:bidi="ar-SA"/>
                    </w:rPr>
                  </w:pPr>
                  <w:r>
                    <w:rPr>
                      <w:rFonts w:hint="default" w:ascii="Times New Roman" w:hAnsi="Times New Roman" w:eastAsia="宋体" w:cs="Times New Roman"/>
                      <w:b w:val="0"/>
                      <w:bCs w:val="0"/>
                      <w:color w:val="000000"/>
                      <w:spacing w:val="0"/>
                      <w:w w:val="100"/>
                      <w:position w:val="0"/>
                      <w:sz w:val="21"/>
                      <w:szCs w:val="21"/>
                      <w:u w:val="none"/>
                      <w:lang w:val="en-US" w:eastAsia="zh-CN"/>
                    </w:rPr>
                    <w:t>工艺过程：各种物料破碎、筛分、配料、混料等过程应在封闭厂房内进行，并采取局部收尘/抑尘措施。破碎筛分设备在进、出料口和配料混料过程等产尘点应设置集气除尘设施。各生产工序的车间地面干净，无积料、积灰现象。生产车间不得有可见烟粉尘外逸。</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sz w:val="21"/>
                      <w:szCs w:val="21"/>
                      <w:u w:val="none"/>
                      <w:vertAlign w:val="baseline"/>
                      <w:lang w:val="en-US" w:eastAsia="zh-CN"/>
                    </w:rPr>
                    <w:t>本项目无破碎、筛分等工序，所有产尘工序均在厂房内进行，并采取局部收尘措施；生产车间保持干净、无积灰、无烟尘外溢</w:t>
                  </w:r>
                  <w:r>
                    <w:rPr>
                      <w:rFonts w:hint="default" w:ascii="Times New Roman" w:hAnsi="Times New Roman" w:eastAsia="宋体" w:cs="Times New Roman"/>
                      <w:b w:val="0"/>
                      <w:bCs w:val="0"/>
                      <w:color w:val="000000"/>
                      <w:kern w:val="0"/>
                      <w:sz w:val="21"/>
                      <w:szCs w:val="21"/>
                      <w:u w:val="none"/>
                      <w:lang w:val="en-US" w:eastAsia="zh-CN" w:bidi="ar"/>
                    </w:rPr>
                    <w:t>。</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sz w:val="21"/>
                      <w:szCs w:val="21"/>
                      <w:u w:val="none"/>
                    </w:rPr>
                  </w:pPr>
                </w:p>
              </w:tc>
              <w:tc>
                <w:tcPr>
                  <w:tcW w:w="2985"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firstLine="0" w:firstLineChars="0"/>
                    <w:jc w:val="center"/>
                    <w:textAlignment w:val="auto"/>
                    <w:rPr>
                      <w:rFonts w:hint="default" w:ascii="Times New Roman" w:hAnsi="Times New Roman" w:eastAsia="宋体" w:cs="Times New Roman"/>
                      <w:b w:val="0"/>
                      <w:bCs w:val="0"/>
                      <w:color w:val="000000"/>
                      <w:spacing w:val="0"/>
                      <w:w w:val="100"/>
                      <w:kern w:val="2"/>
                      <w:position w:val="0"/>
                      <w:sz w:val="21"/>
                      <w:szCs w:val="21"/>
                      <w:u w:val="none"/>
                      <w:lang w:val="en-US" w:eastAsia="zh-CN" w:bidi="ar-SA"/>
                    </w:rPr>
                  </w:pPr>
                  <w:r>
                    <w:rPr>
                      <w:rFonts w:hint="default" w:ascii="Times New Roman" w:hAnsi="Times New Roman" w:eastAsia="宋体" w:cs="Times New Roman"/>
                      <w:b w:val="0"/>
                      <w:bCs w:val="0"/>
                      <w:color w:val="000000"/>
                      <w:spacing w:val="0"/>
                      <w:w w:val="100"/>
                      <w:position w:val="0"/>
                      <w:sz w:val="21"/>
                      <w:szCs w:val="21"/>
                      <w:u w:val="none"/>
                      <w:lang w:val="en-US" w:eastAsia="zh-CN"/>
                    </w:rPr>
                    <w:t>厂容厂貌：厂区内道路、原辅材料和燃料堆场等路面应硬化。厂区内道路采取定期清扫、洒水等措施，保持清洁，路面无明显可见积尘。其他未利用地优先绿化，或进行硬化，无成片裸露土地。</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sz w:val="21"/>
                      <w:szCs w:val="21"/>
                      <w:u w:val="none"/>
                      <w:vertAlign w:val="baseline"/>
                      <w:lang w:val="en-US" w:eastAsia="zh-CN"/>
                    </w:rPr>
                    <w:t>本项目购买已建厂房进行建设，车间内全部硬化，</w:t>
                  </w:r>
                  <w:r>
                    <w:rPr>
                      <w:rFonts w:hint="default" w:ascii="Times New Roman" w:hAnsi="Times New Roman" w:eastAsia="宋体" w:cs="Times New Roman"/>
                      <w:b w:val="0"/>
                      <w:bCs w:val="0"/>
                      <w:color w:val="000000"/>
                      <w:spacing w:val="0"/>
                      <w:w w:val="100"/>
                      <w:position w:val="0"/>
                      <w:sz w:val="21"/>
                      <w:szCs w:val="21"/>
                      <w:u w:val="none"/>
                    </w:rPr>
                    <w:t>其他未利用地</w:t>
                  </w:r>
                  <w:r>
                    <w:rPr>
                      <w:rFonts w:hint="default" w:ascii="Times New Roman" w:hAnsi="Times New Roman" w:eastAsia="宋体" w:cs="Times New Roman"/>
                      <w:b w:val="0"/>
                      <w:bCs w:val="0"/>
                      <w:color w:val="000000"/>
                      <w:spacing w:val="0"/>
                      <w:w w:val="100"/>
                      <w:position w:val="0"/>
                      <w:sz w:val="21"/>
                      <w:szCs w:val="21"/>
                      <w:u w:val="none"/>
                      <w:lang w:val="en-US" w:eastAsia="zh-CN"/>
                    </w:rPr>
                    <w:t>优先绿化</w:t>
                  </w:r>
                  <w:r>
                    <w:rPr>
                      <w:rFonts w:hint="default" w:ascii="Times New Roman" w:hAnsi="Times New Roman" w:eastAsia="宋体" w:cs="Times New Roman"/>
                      <w:b w:val="0"/>
                      <w:bCs w:val="0"/>
                      <w:color w:val="000000"/>
                      <w:spacing w:val="0"/>
                      <w:w w:val="100"/>
                      <w:position w:val="0"/>
                      <w:sz w:val="21"/>
                      <w:szCs w:val="21"/>
                      <w:u w:val="none"/>
                    </w:rPr>
                    <w:t>，无成片裸露土地。</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排放</w:t>
                  </w:r>
                </w:p>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sz w:val="21"/>
                      <w:szCs w:val="21"/>
                      <w:u w:val="none"/>
                      <w:vertAlign w:val="baseline"/>
                      <w:lang w:val="en-US" w:eastAsia="zh-CN"/>
                    </w:rPr>
                    <w:t>限值</w:t>
                  </w:r>
                </w:p>
              </w:tc>
              <w:tc>
                <w:tcPr>
                  <w:tcW w:w="2985" w:type="pct"/>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50" w:lineRule="exact"/>
                    <w:ind w:firstLine="0" w:firstLineChars="0"/>
                    <w:jc w:val="center"/>
                    <w:textAlignment w:val="auto"/>
                    <w:rPr>
                      <w:rFonts w:hint="default" w:ascii="Times New Roman" w:hAnsi="Times New Roman" w:eastAsia="宋体" w:cs="Times New Roman"/>
                      <w:b w:val="0"/>
                      <w:bCs w:val="0"/>
                      <w:color w:val="000000"/>
                      <w:spacing w:val="0"/>
                      <w:w w:val="100"/>
                      <w:kern w:val="2"/>
                      <w:position w:val="0"/>
                      <w:sz w:val="21"/>
                      <w:szCs w:val="21"/>
                      <w:u w:val="none"/>
                      <w:lang w:val="en-US" w:eastAsia="zh-CN" w:bidi="ar-SA"/>
                    </w:rPr>
                  </w:pPr>
                  <w:r>
                    <w:rPr>
                      <w:rFonts w:hint="default" w:ascii="Times New Roman" w:hAnsi="Times New Roman" w:eastAsia="宋体" w:cs="Times New Roman"/>
                      <w:b w:val="0"/>
                      <w:bCs w:val="0"/>
                      <w:color w:val="000000"/>
                      <w:sz w:val="21"/>
                      <w:szCs w:val="21"/>
                      <w:u w:val="none"/>
                      <w:lang w:val="en-US" w:eastAsia="zh-CN"/>
                    </w:rPr>
                    <w:t>1.</w:t>
                  </w:r>
                  <w:r>
                    <w:rPr>
                      <w:rFonts w:hint="default" w:ascii="Times New Roman" w:hAnsi="Times New Roman" w:eastAsia="宋体" w:cs="Times New Roman"/>
                      <w:b w:val="0"/>
                      <w:bCs w:val="0"/>
                      <w:color w:val="000000"/>
                      <w:sz w:val="21"/>
                      <w:szCs w:val="21"/>
                      <w:u w:val="none"/>
                      <w:lang w:eastAsia="zh-CN"/>
                    </w:rPr>
                    <w:t>PM排放浓度分别不</w:t>
                  </w:r>
                  <w:r>
                    <w:rPr>
                      <w:rFonts w:hint="default" w:ascii="Times New Roman" w:hAnsi="Times New Roman" w:eastAsia="宋体" w:cs="Times New Roman"/>
                      <w:b w:val="0"/>
                      <w:bCs w:val="0"/>
                      <w:color w:val="000000"/>
                      <w:sz w:val="21"/>
                      <w:szCs w:val="21"/>
                      <w:u w:val="none"/>
                      <w:lang w:val="en-US" w:eastAsia="zh-CN"/>
                    </w:rPr>
                    <w:t>超过10</w:t>
                  </w:r>
                  <w:r>
                    <w:rPr>
                      <w:rFonts w:hint="default" w:ascii="Times New Roman" w:hAnsi="Times New Roman" w:eastAsia="宋体" w:cs="Times New Roman"/>
                      <w:b w:val="0"/>
                      <w:bCs w:val="0"/>
                      <w:color w:val="000000"/>
                      <w:sz w:val="21"/>
                      <w:szCs w:val="21"/>
                      <w:u w:val="none"/>
                      <w:lang w:eastAsia="zh-CN"/>
                    </w:rPr>
                    <w:t>mg/m</w:t>
                  </w:r>
                  <w:r>
                    <w:rPr>
                      <w:rFonts w:hint="default" w:ascii="Times New Roman" w:hAnsi="Times New Roman" w:eastAsia="宋体" w:cs="Times New Roman"/>
                      <w:b w:val="0"/>
                      <w:bCs w:val="0"/>
                      <w:color w:val="000000"/>
                      <w:sz w:val="21"/>
                      <w:szCs w:val="21"/>
                      <w:u w:val="none"/>
                      <w:vertAlign w:val="superscript"/>
                      <w:lang w:eastAsia="zh-CN"/>
                    </w:rPr>
                    <w:t>3</w:t>
                  </w:r>
                  <w:r>
                    <w:rPr>
                      <w:rFonts w:hint="default" w:ascii="Times New Roman" w:hAnsi="Times New Roman" w:eastAsia="宋体" w:cs="Times New Roman"/>
                      <w:b w:val="0"/>
                      <w:bCs w:val="0"/>
                      <w:color w:val="000000"/>
                      <w:sz w:val="21"/>
                      <w:szCs w:val="21"/>
                      <w:u w:val="none"/>
                      <w:lang w:eastAsia="zh-CN"/>
                    </w:rPr>
                    <w:t>；</w:t>
                  </w:r>
                  <w:r>
                    <w:rPr>
                      <w:rFonts w:hint="default" w:ascii="Times New Roman" w:hAnsi="Times New Roman" w:eastAsia="宋体" w:cs="Times New Roman"/>
                      <w:b w:val="0"/>
                      <w:bCs w:val="0"/>
                      <w:color w:val="000000"/>
                      <w:sz w:val="21"/>
                      <w:szCs w:val="21"/>
                      <w:u w:val="none"/>
                      <w:lang w:val="en-US" w:eastAsia="zh-CN"/>
                    </w:rPr>
                    <w:t>2.其他特定污染物符合所属行业相关排放要求。</w:t>
                  </w:r>
                  <w:r>
                    <w:rPr>
                      <w:rFonts w:hint="default" w:ascii="Times New Roman" w:hAnsi="Times New Roman" w:eastAsia="宋体" w:cs="Times New Roman"/>
                      <w:b w:val="0"/>
                      <w:bCs w:val="0"/>
                      <w:color w:val="000000"/>
                      <w:spacing w:val="0"/>
                      <w:w w:val="100"/>
                      <w:position w:val="0"/>
                      <w:sz w:val="21"/>
                      <w:szCs w:val="21"/>
                      <w:u w:val="none"/>
                    </w:rPr>
                    <w:t>其他特定污染物符合所属行业相关排放要求。</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right="0" w:firstLine="0" w:firstLineChars="0"/>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sz w:val="21"/>
                      <w:szCs w:val="21"/>
                      <w:u w:val="none"/>
                      <w:lang w:val="en-US" w:eastAsia="zh-CN"/>
                    </w:rPr>
                    <w:t>1、本项目在运营期全</w:t>
                  </w:r>
                  <w:r>
                    <w:rPr>
                      <w:rFonts w:hint="eastAsia" w:cs="Times New Roman"/>
                      <w:b w:val="0"/>
                      <w:bCs w:val="0"/>
                      <w:sz w:val="21"/>
                      <w:szCs w:val="21"/>
                      <w:u w:val="none"/>
                      <w:lang w:val="en-US" w:eastAsia="zh-CN"/>
                    </w:rPr>
                    <w:t>厂</w:t>
                  </w:r>
                  <w:r>
                    <w:rPr>
                      <w:rFonts w:hint="default" w:ascii="Times New Roman" w:hAnsi="Times New Roman" w:eastAsia="宋体" w:cs="Times New Roman"/>
                      <w:b w:val="0"/>
                      <w:bCs w:val="0"/>
                      <w:sz w:val="21"/>
                      <w:szCs w:val="21"/>
                      <w:u w:val="none"/>
                      <w:lang w:val="en-US" w:eastAsia="en-US"/>
                    </w:rPr>
                    <w:t>PM</w:t>
                  </w:r>
                  <w:r>
                    <w:rPr>
                      <w:rFonts w:hint="default" w:ascii="Times New Roman" w:hAnsi="Times New Roman" w:eastAsia="宋体" w:cs="Times New Roman"/>
                      <w:b w:val="0"/>
                      <w:bCs w:val="0"/>
                      <w:sz w:val="21"/>
                      <w:szCs w:val="21"/>
                      <w:u w:val="none"/>
                    </w:rPr>
                    <w:t>有组织排放浓度分别</w:t>
                  </w:r>
                  <w:r>
                    <w:rPr>
                      <w:rFonts w:hint="default" w:ascii="Times New Roman" w:hAnsi="Times New Roman" w:eastAsia="宋体" w:cs="Times New Roman"/>
                      <w:b w:val="0"/>
                      <w:bCs w:val="0"/>
                      <w:sz w:val="21"/>
                      <w:szCs w:val="21"/>
                      <w:highlight w:val="none"/>
                      <w:u w:val="none"/>
                      <w:lang w:val="en-US" w:eastAsia="zh-CN"/>
                    </w:rPr>
                    <w:t>为</w:t>
                  </w:r>
                  <w:r>
                    <w:rPr>
                      <w:rFonts w:hint="eastAsia" w:cs="Times New Roman"/>
                      <w:b w:val="0"/>
                      <w:bCs w:val="0"/>
                      <w:sz w:val="21"/>
                      <w:szCs w:val="21"/>
                      <w:highlight w:val="none"/>
                      <w:u w:val="none"/>
                      <w:lang w:val="en-US" w:eastAsia="zh-CN"/>
                    </w:rPr>
                    <w:t>1.508</w:t>
                  </w:r>
                  <w:r>
                    <w:rPr>
                      <w:rFonts w:hint="default" w:ascii="Times New Roman" w:hAnsi="Times New Roman" w:eastAsia="宋体" w:cs="Times New Roman"/>
                      <w:b w:val="0"/>
                      <w:bCs w:val="0"/>
                      <w:sz w:val="21"/>
                      <w:szCs w:val="21"/>
                      <w:highlight w:val="none"/>
                      <w:u w:val="none"/>
                      <w:lang w:val="en-US" w:eastAsia="en-US"/>
                    </w:rPr>
                    <w:t>mg/m</w:t>
                  </w:r>
                  <w:r>
                    <w:rPr>
                      <w:rFonts w:hint="default" w:ascii="Times New Roman" w:hAnsi="Times New Roman" w:eastAsia="宋体" w:cs="Times New Roman"/>
                      <w:b w:val="0"/>
                      <w:bCs w:val="0"/>
                      <w:sz w:val="21"/>
                      <w:szCs w:val="21"/>
                      <w:highlight w:val="none"/>
                      <w:u w:val="none"/>
                      <w:vertAlign w:val="superscript"/>
                      <w:lang w:val="en-US" w:eastAsia="en-US"/>
                    </w:rPr>
                    <w:t>3</w:t>
                  </w:r>
                  <w:r>
                    <w:rPr>
                      <w:rFonts w:hint="default" w:ascii="Times New Roman" w:hAnsi="Times New Roman" w:eastAsia="宋体" w:cs="Times New Roman"/>
                      <w:b w:val="0"/>
                      <w:bCs w:val="0"/>
                      <w:sz w:val="21"/>
                      <w:szCs w:val="21"/>
                      <w:highlight w:val="none"/>
                      <w:u w:val="none"/>
                      <w:lang w:eastAsia="zh-CN"/>
                    </w:rPr>
                    <w:t>、</w:t>
                  </w:r>
                  <w:r>
                    <w:rPr>
                      <w:rFonts w:hint="eastAsia" w:cs="Times New Roman"/>
                      <w:b w:val="0"/>
                      <w:bCs w:val="0"/>
                      <w:sz w:val="21"/>
                      <w:szCs w:val="21"/>
                      <w:highlight w:val="none"/>
                      <w:u w:val="none"/>
                      <w:lang w:val="en-US" w:eastAsia="zh-CN"/>
                    </w:rPr>
                    <w:t>6.0</w:t>
                  </w:r>
                  <w:r>
                    <w:rPr>
                      <w:rFonts w:hint="default" w:ascii="Times New Roman" w:hAnsi="Times New Roman" w:eastAsia="宋体" w:cs="Times New Roman"/>
                      <w:b w:val="0"/>
                      <w:bCs w:val="0"/>
                      <w:sz w:val="21"/>
                      <w:szCs w:val="21"/>
                      <w:highlight w:val="none"/>
                      <w:u w:val="none"/>
                      <w:lang w:val="en-US" w:eastAsia="en-US"/>
                    </w:rPr>
                    <w:t>mg/m</w:t>
                  </w:r>
                  <w:r>
                    <w:rPr>
                      <w:rFonts w:hint="default" w:ascii="Times New Roman" w:hAnsi="Times New Roman" w:eastAsia="宋体" w:cs="Times New Roman"/>
                      <w:b w:val="0"/>
                      <w:bCs w:val="0"/>
                      <w:sz w:val="21"/>
                      <w:szCs w:val="21"/>
                      <w:highlight w:val="none"/>
                      <w:u w:val="none"/>
                      <w:vertAlign w:val="superscript"/>
                      <w:lang w:val="en-US" w:eastAsia="en-US"/>
                    </w:rPr>
                    <w:t>3</w:t>
                  </w:r>
                  <w:r>
                    <w:rPr>
                      <w:rFonts w:hint="default" w:ascii="Times New Roman" w:hAnsi="Times New Roman" w:eastAsia="宋体" w:cs="Times New Roman"/>
                      <w:b w:val="0"/>
                      <w:bCs w:val="0"/>
                      <w:sz w:val="21"/>
                      <w:szCs w:val="21"/>
                      <w:highlight w:val="none"/>
                      <w:u w:val="none"/>
                      <w:lang w:eastAsia="zh-CN"/>
                    </w:rPr>
                    <w:t>、</w:t>
                  </w:r>
                  <w:r>
                    <w:rPr>
                      <w:rFonts w:hint="eastAsia" w:cs="Times New Roman"/>
                      <w:b w:val="0"/>
                      <w:bCs w:val="0"/>
                      <w:sz w:val="21"/>
                      <w:szCs w:val="21"/>
                      <w:highlight w:val="none"/>
                      <w:u w:val="none"/>
                      <w:lang w:val="en-US" w:eastAsia="zh-CN"/>
                    </w:rPr>
                    <w:t>1.07</w:t>
                  </w:r>
                  <w:r>
                    <w:rPr>
                      <w:rFonts w:hint="default" w:ascii="Times New Roman" w:hAnsi="Times New Roman" w:eastAsia="宋体" w:cs="Times New Roman"/>
                      <w:b w:val="0"/>
                      <w:bCs w:val="0"/>
                      <w:sz w:val="21"/>
                      <w:szCs w:val="21"/>
                      <w:highlight w:val="none"/>
                      <w:u w:val="none"/>
                      <w:lang w:val="en-US" w:eastAsia="en-US"/>
                    </w:rPr>
                    <w:t>mg/m</w:t>
                  </w:r>
                  <w:r>
                    <w:rPr>
                      <w:rFonts w:hint="default" w:ascii="Times New Roman" w:hAnsi="Times New Roman" w:eastAsia="宋体" w:cs="Times New Roman"/>
                      <w:b w:val="0"/>
                      <w:bCs w:val="0"/>
                      <w:sz w:val="21"/>
                      <w:szCs w:val="21"/>
                      <w:highlight w:val="none"/>
                      <w:u w:val="none"/>
                      <w:vertAlign w:val="superscript"/>
                      <w:lang w:val="en-US" w:eastAsia="en-US"/>
                    </w:rPr>
                    <w:t>3</w:t>
                  </w:r>
                  <w:r>
                    <w:rPr>
                      <w:rFonts w:hint="default" w:ascii="Times New Roman" w:hAnsi="Times New Roman" w:eastAsia="宋体" w:cs="Times New Roman"/>
                      <w:b w:val="0"/>
                      <w:bCs w:val="0"/>
                      <w:sz w:val="21"/>
                      <w:szCs w:val="21"/>
                      <w:highlight w:val="none"/>
                      <w:u w:val="none"/>
                      <w:lang w:val="en-US" w:eastAsia="zh-CN"/>
                    </w:rPr>
                    <w:t>，</w:t>
                  </w:r>
                  <w:r>
                    <w:rPr>
                      <w:rFonts w:hint="default" w:ascii="Times New Roman" w:hAnsi="Times New Roman" w:eastAsia="宋体" w:cs="Times New Roman"/>
                      <w:b w:val="0"/>
                      <w:bCs w:val="0"/>
                      <w:sz w:val="21"/>
                      <w:szCs w:val="21"/>
                      <w:highlight w:val="none"/>
                      <w:u w:val="none"/>
                    </w:rPr>
                    <w:t>不高于10</w:t>
                  </w:r>
                  <w:r>
                    <w:rPr>
                      <w:rFonts w:hint="default" w:ascii="Times New Roman" w:hAnsi="Times New Roman" w:eastAsia="宋体" w:cs="Times New Roman"/>
                      <w:b w:val="0"/>
                      <w:bCs w:val="0"/>
                      <w:sz w:val="21"/>
                      <w:szCs w:val="21"/>
                      <w:highlight w:val="none"/>
                      <w:u w:val="none"/>
                      <w:lang w:val="en-US" w:eastAsia="en-US"/>
                    </w:rPr>
                    <w:t>mg/m</w:t>
                  </w:r>
                  <w:r>
                    <w:rPr>
                      <w:rFonts w:hint="default" w:ascii="Times New Roman" w:hAnsi="Times New Roman" w:eastAsia="宋体" w:cs="Times New Roman"/>
                      <w:b w:val="0"/>
                      <w:bCs w:val="0"/>
                      <w:sz w:val="21"/>
                      <w:szCs w:val="21"/>
                      <w:highlight w:val="none"/>
                      <w:u w:val="none"/>
                      <w:vertAlign w:val="superscript"/>
                      <w:lang w:val="en-US" w:eastAsia="en-US"/>
                    </w:rPr>
                    <w:t>3</w:t>
                  </w:r>
                  <w:r>
                    <w:rPr>
                      <w:rFonts w:hint="default" w:ascii="Times New Roman" w:hAnsi="Times New Roman" w:eastAsia="宋体" w:cs="Times New Roman"/>
                      <w:b w:val="0"/>
                      <w:bCs w:val="0"/>
                      <w:sz w:val="21"/>
                      <w:szCs w:val="21"/>
                      <w:highlight w:val="none"/>
                      <w:u w:val="none"/>
                      <w:lang w:val="en-US" w:eastAsia="en-US"/>
                    </w:rPr>
                    <w:t>；</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监控</w:t>
                  </w:r>
                </w:p>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sz w:val="21"/>
                      <w:szCs w:val="21"/>
                      <w:u w:val="none"/>
                      <w:vertAlign w:val="baseline"/>
                      <w:lang w:val="en-US" w:eastAsia="zh-CN"/>
                    </w:rPr>
                    <w:t>水平</w:t>
                  </w:r>
                </w:p>
              </w:tc>
              <w:tc>
                <w:tcPr>
                  <w:tcW w:w="2985" w:type="pct"/>
                  <w:gridSpan w:val="2"/>
                  <w:tcBorders>
                    <w:tl2br w:val="nil"/>
                    <w:tr2bl w:val="nil"/>
                  </w:tcBorders>
                  <w:vAlign w:val="center"/>
                </w:tcPr>
                <w:p>
                  <w:pPr>
                    <w:pStyle w:val="53"/>
                    <w:keepNext w:val="0"/>
                    <w:keepLines w:val="0"/>
                    <w:pageBreakBefore w:val="0"/>
                    <w:widowControl w:val="0"/>
                    <w:shd w:val="clear" w:color="auto" w:fill="auto"/>
                    <w:kinsoku/>
                    <w:wordWrap/>
                    <w:overflowPunct/>
                    <w:topLinePunct w:val="0"/>
                    <w:autoSpaceDE/>
                    <w:autoSpaceDN/>
                    <w:bidi w:val="0"/>
                    <w:adjustRightInd/>
                    <w:snapToGrid/>
                    <w:spacing w:before="0" w:after="0" w:line="350" w:lineRule="exact"/>
                    <w:ind w:left="0" w:right="0" w:firstLine="0" w:firstLineChars="0"/>
                    <w:jc w:val="center"/>
                    <w:textAlignment w:val="auto"/>
                    <w:rPr>
                      <w:rFonts w:hint="default" w:ascii="Times New Roman" w:hAnsi="Times New Roman" w:eastAsia="宋体" w:cs="Times New Roman"/>
                      <w:b w:val="0"/>
                      <w:bCs w:val="0"/>
                      <w:color w:val="000000"/>
                      <w:sz w:val="21"/>
                      <w:szCs w:val="21"/>
                      <w:u w:val="none"/>
                      <w:lang w:eastAsia="zh-CN"/>
                    </w:rPr>
                  </w:pPr>
                  <w:r>
                    <w:rPr>
                      <w:rFonts w:hint="default" w:ascii="Times New Roman" w:hAnsi="Times New Roman" w:eastAsia="宋体" w:cs="Times New Roman"/>
                      <w:b w:val="0"/>
                      <w:bCs w:val="0"/>
                      <w:color w:val="000000"/>
                      <w:sz w:val="21"/>
                      <w:szCs w:val="21"/>
                      <w:u w:val="none"/>
                      <w:lang w:eastAsia="zh-CN"/>
                    </w:rPr>
                    <w:t>1、重点排污单位按照生态环境部门要求安装烟气排放自动监控设施（CEMS）,并按要求联网；2、有组织排放口按照排污许可证要求开展自行监测；</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0" w:after="0" w:line="350" w:lineRule="exact"/>
                    <w:ind w:left="0" w:right="0" w:firstLine="0" w:firstLineChars="0"/>
                    <w:jc w:val="center"/>
                    <w:textAlignment w:val="auto"/>
                    <w:rPr>
                      <w:rFonts w:hint="default" w:ascii="Times New Roman" w:hAnsi="Times New Roman" w:eastAsia="宋体" w:cs="Times New Roman"/>
                      <w:b w:val="0"/>
                      <w:bCs w:val="0"/>
                      <w:color w:val="000000"/>
                      <w:sz w:val="21"/>
                      <w:szCs w:val="21"/>
                      <w:u w:val="none"/>
                      <w:lang w:eastAsia="zh-CN"/>
                    </w:rPr>
                  </w:pPr>
                  <w:r>
                    <w:rPr>
                      <w:rFonts w:hint="default" w:ascii="Times New Roman" w:hAnsi="Times New Roman" w:eastAsia="宋体" w:cs="Times New Roman"/>
                      <w:b w:val="0"/>
                      <w:bCs w:val="0"/>
                      <w:color w:val="000000"/>
                      <w:sz w:val="21"/>
                      <w:szCs w:val="21"/>
                      <w:u w:val="none"/>
                      <w:lang w:eastAsia="zh-CN"/>
                    </w:rPr>
                    <w:t>3、主要涉气工序、生产装置及污染治理设施，按照生态环境部门要求</w:t>
                  </w:r>
                  <w:r>
                    <w:rPr>
                      <w:rFonts w:hint="default" w:ascii="Times New Roman" w:hAnsi="Times New Roman" w:eastAsia="宋体" w:cs="Times New Roman"/>
                      <w:b w:val="0"/>
                      <w:bCs w:val="0"/>
                      <w:color w:val="000000"/>
                      <w:sz w:val="21"/>
                      <w:szCs w:val="21"/>
                      <w:u w:val="none"/>
                      <w:lang w:val="en-US" w:eastAsia="zh-CN"/>
                    </w:rPr>
                    <w:t>用电</w:t>
                  </w:r>
                  <w:r>
                    <w:rPr>
                      <w:rFonts w:hint="default" w:ascii="Times New Roman" w:hAnsi="Times New Roman" w:eastAsia="宋体" w:cs="Times New Roman"/>
                      <w:b w:val="0"/>
                      <w:bCs w:val="0"/>
                      <w:color w:val="000000"/>
                      <w:sz w:val="21"/>
                      <w:szCs w:val="21"/>
                      <w:u w:val="none"/>
                      <w:lang w:eastAsia="zh-CN"/>
                    </w:rPr>
                    <w:t>安装用电监管设备，用电监管数据与省、市生态环境部门用电监管平台联网；</w:t>
                  </w:r>
                </w:p>
                <w:p>
                  <w:pPr>
                    <w:keepNext w:val="0"/>
                    <w:keepLines w:val="0"/>
                    <w:pageBreakBefore w:val="0"/>
                    <w:widowControl w:val="0"/>
                    <w:kinsoku/>
                    <w:wordWrap/>
                    <w:overflowPunct/>
                    <w:topLinePunct w:val="0"/>
                    <w:autoSpaceDE w:val="0"/>
                    <w:autoSpaceDN w:val="0"/>
                    <w:bidi w:val="0"/>
                    <w:adjustRightInd w:val="0"/>
                    <w:snapToGrid w:val="0"/>
                    <w:spacing w:after="0" w:line="350" w:lineRule="exact"/>
                    <w:ind w:firstLine="0" w:firstLineChars="0"/>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eastAsia="宋体" w:cs="Times New Roman"/>
                      <w:b w:val="0"/>
                      <w:bCs w:val="0"/>
                      <w:color w:val="000000"/>
                      <w:sz w:val="21"/>
                      <w:szCs w:val="21"/>
                      <w:u w:val="none"/>
                      <w:lang w:eastAsia="zh-CN"/>
                    </w:rPr>
                    <w:t>4、未安装自动在线监控和用电量监管企业，应在主要生产设备（投料口、卸料口等位置）安装视频监控设施，相关数据可保存三个月以上。</w:t>
                  </w:r>
                </w:p>
              </w:tc>
              <w:tc>
                <w:tcPr>
                  <w:tcW w:w="138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leftChars="0" w:right="0" w:rightChars="0" w:firstLine="0" w:firstLineChars="0"/>
                    <w:jc w:val="center"/>
                    <w:textAlignment w:val="auto"/>
                    <w:rPr>
                      <w:rFonts w:hint="default" w:ascii="Times New Roman" w:hAnsi="Times New Roman" w:eastAsia="宋体" w:cs="Times New Roman"/>
                      <w:b w:val="0"/>
                      <w:bCs w:val="0"/>
                      <w:kern w:val="2"/>
                      <w:sz w:val="21"/>
                      <w:szCs w:val="21"/>
                      <w:highlight w:val="none"/>
                      <w:u w:val="none"/>
                      <w:vertAlign w:val="baseline"/>
                      <w:lang w:val="en-US" w:eastAsia="zh-CN" w:bidi="ar-SA"/>
                    </w:rPr>
                  </w:pPr>
                  <w:r>
                    <w:rPr>
                      <w:rFonts w:hint="default" w:ascii="Times New Roman" w:hAnsi="Times New Roman" w:eastAsia="宋体" w:cs="Times New Roman"/>
                      <w:b w:val="0"/>
                      <w:bCs w:val="0"/>
                      <w:color w:val="000000"/>
                      <w:spacing w:val="0"/>
                      <w:w w:val="100"/>
                      <w:position w:val="0"/>
                      <w:sz w:val="21"/>
                      <w:szCs w:val="21"/>
                      <w:highlight w:val="none"/>
                      <w:u w:val="none"/>
                      <w:lang w:val="en-US" w:eastAsia="zh-CN"/>
                    </w:rPr>
                    <w:t>项目不属于重点排污单位；</w:t>
                  </w:r>
                  <w:r>
                    <w:rPr>
                      <w:rFonts w:hint="default" w:ascii="Times New Roman" w:hAnsi="Times New Roman" w:eastAsia="宋体" w:cs="Times New Roman"/>
                      <w:b w:val="0"/>
                      <w:bCs w:val="0"/>
                      <w:color w:val="000000"/>
                      <w:kern w:val="0"/>
                      <w:sz w:val="21"/>
                      <w:szCs w:val="21"/>
                      <w:highlight w:val="none"/>
                      <w:u w:val="none"/>
                      <w:vertAlign w:val="baseline"/>
                      <w:lang w:val="en-US" w:eastAsia="zh-CN" w:bidi="ar-SA"/>
                    </w:rPr>
                    <w:t>本项目为</w:t>
                  </w:r>
                  <w:r>
                    <w:rPr>
                      <w:rFonts w:hint="eastAsia" w:cs="Times New Roman"/>
                      <w:b w:val="0"/>
                      <w:bCs w:val="0"/>
                      <w:color w:val="000000"/>
                      <w:kern w:val="0"/>
                      <w:sz w:val="21"/>
                      <w:szCs w:val="21"/>
                      <w:highlight w:val="none"/>
                      <w:u w:val="none"/>
                      <w:vertAlign w:val="baseline"/>
                      <w:lang w:val="en-US" w:eastAsia="zh-CN" w:bidi="ar-SA"/>
                    </w:rPr>
                    <w:t>技改</w:t>
                  </w:r>
                  <w:r>
                    <w:rPr>
                      <w:rFonts w:hint="default" w:ascii="Times New Roman" w:hAnsi="Times New Roman" w:eastAsia="宋体" w:cs="Times New Roman"/>
                      <w:b w:val="0"/>
                      <w:bCs w:val="0"/>
                      <w:color w:val="000000"/>
                      <w:kern w:val="0"/>
                      <w:sz w:val="21"/>
                      <w:szCs w:val="21"/>
                      <w:highlight w:val="none"/>
                      <w:u w:val="none"/>
                      <w:vertAlign w:val="baseline"/>
                      <w:lang w:val="en-US" w:eastAsia="zh-CN" w:bidi="ar-SA"/>
                    </w:rPr>
                    <w:t>项目，</w:t>
                  </w:r>
                  <w:r>
                    <w:rPr>
                      <w:rFonts w:hint="eastAsia" w:cs="Times New Roman"/>
                      <w:b w:val="0"/>
                      <w:bCs w:val="0"/>
                      <w:color w:val="000000"/>
                      <w:kern w:val="0"/>
                      <w:sz w:val="21"/>
                      <w:szCs w:val="21"/>
                      <w:highlight w:val="none"/>
                      <w:u w:val="none"/>
                      <w:vertAlign w:val="baseline"/>
                      <w:lang w:val="en-US" w:eastAsia="zh-CN" w:bidi="ar-SA"/>
                    </w:rPr>
                    <w:t>前期由于疫情原因</w:t>
                  </w:r>
                  <w:r>
                    <w:rPr>
                      <w:rFonts w:hint="default" w:ascii="Times New Roman" w:hAnsi="Times New Roman" w:eastAsia="宋体" w:cs="Times New Roman"/>
                      <w:b w:val="0"/>
                      <w:bCs w:val="0"/>
                      <w:color w:val="000000"/>
                      <w:kern w:val="0"/>
                      <w:sz w:val="21"/>
                      <w:szCs w:val="21"/>
                      <w:highlight w:val="none"/>
                      <w:u w:val="none"/>
                      <w:vertAlign w:val="baseline"/>
                      <w:lang w:val="en-US" w:eastAsia="zh-CN" w:bidi="ar-SA"/>
                    </w:rPr>
                    <w:t>未开始生产，环评要求厂区生产后有组织排放口</w:t>
                  </w:r>
                  <w:r>
                    <w:rPr>
                      <w:rFonts w:hint="default" w:ascii="Times New Roman" w:hAnsi="Times New Roman" w:eastAsia="宋体" w:cs="Times New Roman"/>
                      <w:b w:val="0"/>
                      <w:bCs w:val="0"/>
                      <w:color w:val="000000"/>
                      <w:spacing w:val="0"/>
                      <w:w w:val="100"/>
                      <w:position w:val="0"/>
                      <w:sz w:val="21"/>
                      <w:szCs w:val="21"/>
                      <w:highlight w:val="none"/>
                      <w:u w:val="none"/>
                    </w:rPr>
                    <w:t>按照排污许</w:t>
                  </w:r>
                  <w:r>
                    <w:rPr>
                      <w:rFonts w:hint="eastAsia" w:cs="Times New Roman"/>
                      <w:b w:val="0"/>
                      <w:bCs w:val="0"/>
                      <w:color w:val="000000"/>
                      <w:spacing w:val="0"/>
                      <w:w w:val="100"/>
                      <w:position w:val="0"/>
                      <w:sz w:val="21"/>
                      <w:szCs w:val="21"/>
                      <w:highlight w:val="none"/>
                      <w:u w:val="none"/>
                      <w:lang w:val="en-US" w:eastAsia="zh-CN"/>
                    </w:rPr>
                    <w:t>证</w:t>
                  </w:r>
                  <w:r>
                    <w:rPr>
                      <w:rFonts w:hint="default" w:ascii="Times New Roman" w:hAnsi="Times New Roman" w:eastAsia="宋体" w:cs="Times New Roman"/>
                      <w:b w:val="0"/>
                      <w:bCs w:val="0"/>
                      <w:color w:val="000000"/>
                      <w:spacing w:val="0"/>
                      <w:w w:val="100"/>
                      <w:position w:val="0"/>
                      <w:sz w:val="21"/>
                      <w:szCs w:val="21"/>
                      <w:highlight w:val="none"/>
                      <w:u w:val="none"/>
                    </w:rPr>
                    <w:t>可要求开展自行监测</w:t>
                  </w:r>
                  <w:r>
                    <w:rPr>
                      <w:rFonts w:hint="default" w:ascii="Times New Roman" w:hAnsi="Times New Roman" w:eastAsia="宋体" w:cs="Times New Roman"/>
                      <w:b w:val="0"/>
                      <w:bCs w:val="0"/>
                      <w:color w:val="000000"/>
                      <w:spacing w:val="0"/>
                      <w:w w:val="100"/>
                      <w:position w:val="0"/>
                      <w:sz w:val="21"/>
                      <w:szCs w:val="21"/>
                      <w:highlight w:val="none"/>
                      <w:u w:val="none"/>
                      <w:lang w:eastAsia="zh-CN"/>
                    </w:rPr>
                    <w:t>；</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color w:val="000000"/>
                      <w:spacing w:val="0"/>
                      <w:w w:val="100"/>
                      <w:position w:val="0"/>
                      <w:sz w:val="21"/>
                      <w:szCs w:val="21"/>
                      <w:u w:val="none"/>
                    </w:rPr>
                    <w:t>环境管理水平</w:t>
                  </w:r>
                </w:p>
              </w:tc>
              <w:tc>
                <w:tcPr>
                  <w:tcW w:w="2985" w:type="pct"/>
                  <w:gridSpan w:val="2"/>
                  <w:tcBorders>
                    <w:tl2br w:val="nil"/>
                    <w:tr2bl w:val="nil"/>
                  </w:tcBorders>
                  <w:vAlign w:val="center"/>
                </w:tcPr>
                <w:p>
                  <w:pPr>
                    <w:pStyle w:val="53"/>
                    <w:keepNext w:val="0"/>
                    <w:keepLines w:val="0"/>
                    <w:pageBreakBefore w:val="0"/>
                    <w:widowControl w:val="0"/>
                    <w:shd w:val="clear" w:color="auto" w:fill="auto"/>
                    <w:kinsoku/>
                    <w:wordWrap/>
                    <w:overflowPunct/>
                    <w:topLinePunct w:val="0"/>
                    <w:autoSpaceDE/>
                    <w:autoSpaceDN/>
                    <w:bidi w:val="0"/>
                    <w:adjustRightInd/>
                    <w:snapToGrid/>
                    <w:spacing w:before="0" w:after="0" w:line="350" w:lineRule="exact"/>
                    <w:ind w:left="0" w:right="0" w:firstLine="0" w:firstLineChars="0"/>
                    <w:jc w:val="center"/>
                    <w:textAlignment w:val="auto"/>
                    <w:rPr>
                      <w:rFonts w:hint="default" w:ascii="Times New Roman" w:hAnsi="Times New Roman" w:eastAsia="宋体" w:cs="Times New Roman"/>
                      <w:b w:val="0"/>
                      <w:bCs w:val="0"/>
                      <w:color w:val="000000"/>
                      <w:sz w:val="21"/>
                      <w:szCs w:val="21"/>
                      <w:u w:val="none"/>
                      <w:lang w:eastAsia="zh-CN"/>
                    </w:rPr>
                  </w:pPr>
                  <w:r>
                    <w:rPr>
                      <w:rFonts w:hint="default" w:ascii="Times New Roman" w:hAnsi="Times New Roman" w:eastAsia="宋体" w:cs="Times New Roman"/>
                      <w:b w:val="0"/>
                      <w:bCs w:val="0"/>
                      <w:color w:val="000000"/>
                      <w:spacing w:val="0"/>
                      <w:w w:val="100"/>
                      <w:position w:val="0"/>
                      <w:sz w:val="21"/>
                      <w:szCs w:val="21"/>
                      <w:u w:val="none"/>
                      <w:lang w:val="en-US" w:eastAsia="zh-CN"/>
                    </w:rPr>
                    <w:t>环保档案：</w:t>
                  </w:r>
                  <w:r>
                    <w:rPr>
                      <w:rFonts w:hint="default" w:ascii="Times New Roman" w:hAnsi="Times New Roman" w:eastAsia="宋体" w:cs="Times New Roman"/>
                      <w:b w:val="0"/>
                      <w:bCs w:val="0"/>
                      <w:color w:val="000000"/>
                      <w:sz w:val="21"/>
                      <w:szCs w:val="21"/>
                      <w:u w:val="none"/>
                      <w:lang w:eastAsia="zh-CN"/>
                    </w:rPr>
                    <w:t>1、环评批复文件和竣工验收文件或现状评估备案证明；</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0" w:after="0" w:line="350" w:lineRule="exact"/>
                    <w:ind w:left="0" w:right="0" w:firstLine="0" w:firstLineChars="0"/>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eastAsia="宋体" w:cs="Times New Roman"/>
                      <w:b w:val="0"/>
                      <w:bCs w:val="0"/>
                      <w:color w:val="000000"/>
                      <w:sz w:val="21"/>
                      <w:szCs w:val="21"/>
                      <w:u w:val="none"/>
                      <w:lang w:eastAsia="zh-CN"/>
                    </w:rPr>
                    <w:t>2、国家版排污许可证；3、环境管理制度（有组织、无组织排放长效管理机制，主要包括岗位责任制度、达标公示制度和定期巡查维护制度等）；4、废气治理设施运行管理规程；5、一年内废气监测报告（符合排污许可证监测项目及频次要求）。</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firstLine="0" w:firstLineChars="0"/>
                    <w:jc w:val="center"/>
                    <w:textAlignment w:val="auto"/>
                    <w:rPr>
                      <w:rFonts w:hint="default" w:ascii="Times New Roman" w:hAnsi="Times New Roman" w:eastAsia="宋体" w:cs="Times New Roman"/>
                      <w:b w:val="0"/>
                      <w:bCs w:val="0"/>
                      <w:kern w:val="2"/>
                      <w:sz w:val="21"/>
                      <w:szCs w:val="21"/>
                      <w:highlight w:val="none"/>
                      <w:u w:val="none"/>
                      <w:vertAlign w:val="baseline"/>
                      <w:lang w:val="en-US" w:eastAsia="zh-CN" w:bidi="ar-SA"/>
                    </w:rPr>
                  </w:pPr>
                  <w:r>
                    <w:rPr>
                      <w:rFonts w:hint="default" w:ascii="Times New Roman" w:hAnsi="Times New Roman" w:eastAsia="宋体" w:cs="Times New Roman"/>
                      <w:b w:val="0"/>
                      <w:bCs w:val="0"/>
                      <w:sz w:val="21"/>
                      <w:szCs w:val="21"/>
                      <w:highlight w:val="none"/>
                      <w:u w:val="none"/>
                      <w:vertAlign w:val="baseline"/>
                      <w:lang w:val="en-US" w:eastAsia="zh-CN"/>
                    </w:rPr>
                    <w:t>本项目为</w:t>
                  </w:r>
                  <w:r>
                    <w:rPr>
                      <w:rFonts w:hint="eastAsia" w:cs="Times New Roman"/>
                      <w:b w:val="0"/>
                      <w:bCs w:val="0"/>
                      <w:sz w:val="21"/>
                      <w:szCs w:val="21"/>
                      <w:highlight w:val="none"/>
                      <w:u w:val="none"/>
                      <w:vertAlign w:val="baseline"/>
                      <w:lang w:val="en-US" w:eastAsia="zh-CN"/>
                    </w:rPr>
                    <w:t>技改</w:t>
                  </w:r>
                  <w:r>
                    <w:rPr>
                      <w:rFonts w:hint="default" w:ascii="Times New Roman" w:hAnsi="Times New Roman" w:eastAsia="宋体" w:cs="Times New Roman"/>
                      <w:b w:val="0"/>
                      <w:bCs w:val="0"/>
                      <w:sz w:val="21"/>
                      <w:szCs w:val="21"/>
                      <w:highlight w:val="none"/>
                      <w:u w:val="none"/>
                      <w:vertAlign w:val="baseline"/>
                      <w:lang w:val="en-US" w:eastAsia="zh-CN"/>
                    </w:rPr>
                    <w:t>项目，</w:t>
                  </w:r>
                  <w:r>
                    <w:rPr>
                      <w:rFonts w:hint="eastAsia" w:cs="Times New Roman"/>
                      <w:b w:val="0"/>
                      <w:bCs w:val="0"/>
                      <w:sz w:val="21"/>
                      <w:szCs w:val="21"/>
                      <w:highlight w:val="none"/>
                      <w:u w:val="none"/>
                      <w:vertAlign w:val="baseline"/>
                      <w:lang w:val="en-US" w:eastAsia="zh-CN"/>
                    </w:rPr>
                    <w:t>前期</w:t>
                  </w:r>
                  <w:r>
                    <w:rPr>
                      <w:rFonts w:hint="default" w:ascii="Times New Roman" w:hAnsi="Times New Roman" w:eastAsia="宋体" w:cs="Times New Roman"/>
                      <w:b w:val="0"/>
                      <w:bCs w:val="0"/>
                      <w:sz w:val="21"/>
                      <w:szCs w:val="21"/>
                      <w:highlight w:val="none"/>
                      <w:u w:val="none"/>
                      <w:vertAlign w:val="baseline"/>
                      <w:lang w:val="en-US" w:eastAsia="zh-CN"/>
                    </w:rPr>
                    <w:t>暂无环评手续，企业需在</w:t>
                  </w:r>
                  <w:r>
                    <w:rPr>
                      <w:rFonts w:hint="default" w:ascii="Times New Roman" w:hAnsi="Times New Roman" w:eastAsia="宋体" w:cs="Times New Roman"/>
                      <w:b w:val="0"/>
                      <w:bCs w:val="0"/>
                      <w:color w:val="000000"/>
                      <w:spacing w:val="0"/>
                      <w:w w:val="100"/>
                      <w:position w:val="0"/>
                      <w:sz w:val="21"/>
                      <w:szCs w:val="21"/>
                      <w:highlight w:val="none"/>
                      <w:u w:val="none"/>
                    </w:rPr>
                    <w:t>环评批复文件</w:t>
                  </w:r>
                  <w:r>
                    <w:rPr>
                      <w:rFonts w:hint="default" w:ascii="Times New Roman" w:hAnsi="Times New Roman" w:eastAsia="宋体" w:cs="Times New Roman"/>
                      <w:b w:val="0"/>
                      <w:bCs w:val="0"/>
                      <w:color w:val="000000"/>
                      <w:spacing w:val="0"/>
                      <w:w w:val="100"/>
                      <w:position w:val="0"/>
                      <w:sz w:val="21"/>
                      <w:szCs w:val="21"/>
                      <w:highlight w:val="none"/>
                      <w:u w:val="none"/>
                      <w:lang w:eastAsia="zh-CN"/>
                    </w:rPr>
                    <w:t>、</w:t>
                  </w:r>
                  <w:r>
                    <w:rPr>
                      <w:rFonts w:hint="default" w:ascii="Times New Roman" w:hAnsi="Times New Roman" w:eastAsia="宋体" w:cs="Times New Roman"/>
                      <w:b w:val="0"/>
                      <w:bCs w:val="0"/>
                      <w:color w:val="000000"/>
                      <w:spacing w:val="0"/>
                      <w:w w:val="100"/>
                      <w:position w:val="0"/>
                      <w:sz w:val="21"/>
                      <w:szCs w:val="21"/>
                      <w:highlight w:val="none"/>
                      <w:u w:val="none"/>
                    </w:rPr>
                    <w:t>竣工验收文件</w:t>
                  </w:r>
                  <w:r>
                    <w:rPr>
                      <w:rFonts w:hint="default" w:ascii="Times New Roman" w:hAnsi="Times New Roman" w:eastAsia="宋体" w:cs="Times New Roman"/>
                      <w:b w:val="0"/>
                      <w:bCs w:val="0"/>
                      <w:color w:val="000000"/>
                      <w:spacing w:val="0"/>
                      <w:w w:val="100"/>
                      <w:position w:val="0"/>
                      <w:sz w:val="21"/>
                      <w:szCs w:val="21"/>
                      <w:highlight w:val="none"/>
                      <w:u w:val="none"/>
                      <w:lang w:val="en-US" w:eastAsia="zh-CN"/>
                    </w:rPr>
                    <w:t>以及排污许可手续办理完成后方可生产；在运营期制定</w:t>
                  </w:r>
                  <w:r>
                    <w:rPr>
                      <w:rFonts w:hint="default" w:ascii="Times New Roman" w:hAnsi="Times New Roman" w:eastAsia="宋体" w:cs="Times New Roman"/>
                      <w:b w:val="0"/>
                      <w:bCs w:val="0"/>
                      <w:color w:val="000000"/>
                      <w:spacing w:val="0"/>
                      <w:w w:val="100"/>
                      <w:position w:val="0"/>
                      <w:sz w:val="21"/>
                      <w:szCs w:val="21"/>
                      <w:highlight w:val="none"/>
                      <w:u w:val="none"/>
                    </w:rPr>
                    <w:t>环境管理制度</w:t>
                  </w:r>
                  <w:r>
                    <w:rPr>
                      <w:rFonts w:hint="default" w:ascii="Times New Roman" w:hAnsi="Times New Roman" w:eastAsia="宋体" w:cs="Times New Roman"/>
                      <w:b w:val="0"/>
                      <w:bCs w:val="0"/>
                      <w:color w:val="000000"/>
                      <w:spacing w:val="0"/>
                      <w:w w:val="100"/>
                      <w:position w:val="0"/>
                      <w:sz w:val="21"/>
                      <w:szCs w:val="21"/>
                      <w:highlight w:val="none"/>
                      <w:u w:val="none"/>
                      <w:lang w:eastAsia="zh-CN"/>
                    </w:rPr>
                    <w:t>、</w:t>
                  </w:r>
                  <w:r>
                    <w:rPr>
                      <w:rFonts w:hint="default" w:ascii="Times New Roman" w:hAnsi="Times New Roman" w:eastAsia="宋体" w:cs="Times New Roman"/>
                      <w:b w:val="0"/>
                      <w:bCs w:val="0"/>
                      <w:color w:val="000000"/>
                      <w:spacing w:val="0"/>
                      <w:w w:val="100"/>
                      <w:position w:val="0"/>
                      <w:sz w:val="21"/>
                      <w:szCs w:val="21"/>
                      <w:highlight w:val="none"/>
                      <w:u w:val="none"/>
                    </w:rPr>
                    <w:t>废气治理设施运行管理规程</w:t>
                  </w:r>
                  <w:r>
                    <w:rPr>
                      <w:rFonts w:hint="default" w:ascii="Times New Roman" w:hAnsi="Times New Roman" w:eastAsia="宋体" w:cs="Times New Roman"/>
                      <w:b w:val="0"/>
                      <w:bCs w:val="0"/>
                      <w:color w:val="000000"/>
                      <w:spacing w:val="0"/>
                      <w:w w:val="100"/>
                      <w:position w:val="0"/>
                      <w:sz w:val="21"/>
                      <w:szCs w:val="21"/>
                      <w:highlight w:val="none"/>
                      <w:u w:val="none"/>
                      <w:lang w:eastAsia="zh-CN"/>
                    </w:rPr>
                    <w:t>；</w:t>
                  </w:r>
                  <w:r>
                    <w:rPr>
                      <w:rFonts w:hint="default" w:ascii="Times New Roman" w:hAnsi="Times New Roman" w:eastAsia="宋体" w:cs="Times New Roman"/>
                      <w:b w:val="0"/>
                      <w:bCs w:val="0"/>
                      <w:color w:val="000000"/>
                      <w:spacing w:val="0"/>
                      <w:w w:val="100"/>
                      <w:position w:val="0"/>
                      <w:sz w:val="21"/>
                      <w:szCs w:val="21"/>
                      <w:highlight w:val="none"/>
                      <w:u w:val="none"/>
                      <w:lang w:val="en-US" w:eastAsia="zh-CN"/>
                    </w:rPr>
                    <w:t>企业需按照</w:t>
                  </w:r>
                  <w:r>
                    <w:rPr>
                      <w:rFonts w:hint="default" w:ascii="Times New Roman" w:hAnsi="Times New Roman" w:eastAsia="宋体" w:cs="Times New Roman"/>
                      <w:b w:val="0"/>
                      <w:bCs w:val="0"/>
                      <w:color w:val="000000"/>
                      <w:spacing w:val="0"/>
                      <w:w w:val="100"/>
                      <w:position w:val="0"/>
                      <w:sz w:val="21"/>
                      <w:szCs w:val="21"/>
                      <w:highlight w:val="none"/>
                      <w:u w:val="none"/>
                    </w:rPr>
                    <w:t>监测项目及频次要求</w:t>
                  </w:r>
                  <w:r>
                    <w:rPr>
                      <w:rFonts w:hint="default" w:ascii="Times New Roman" w:hAnsi="Times New Roman" w:eastAsia="宋体" w:cs="Times New Roman"/>
                      <w:b w:val="0"/>
                      <w:bCs w:val="0"/>
                      <w:color w:val="000000"/>
                      <w:spacing w:val="0"/>
                      <w:w w:val="100"/>
                      <w:position w:val="0"/>
                      <w:sz w:val="21"/>
                      <w:szCs w:val="21"/>
                      <w:highlight w:val="none"/>
                      <w:u w:val="none"/>
                      <w:lang w:val="en-US" w:eastAsia="zh-CN"/>
                    </w:rPr>
                    <w:t>进行自行监测。</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sz w:val="21"/>
                      <w:szCs w:val="21"/>
                      <w:u w:val="none"/>
                    </w:rPr>
                  </w:pPr>
                </w:p>
              </w:tc>
              <w:tc>
                <w:tcPr>
                  <w:tcW w:w="2985" w:type="pct"/>
                  <w:gridSpan w:val="2"/>
                  <w:tcBorders>
                    <w:tl2br w:val="nil"/>
                    <w:tr2bl w:val="nil"/>
                  </w:tcBorders>
                  <w:vAlign w:val="center"/>
                </w:tcPr>
                <w:p>
                  <w:pPr>
                    <w:pStyle w:val="53"/>
                    <w:keepNext w:val="0"/>
                    <w:keepLines w:val="0"/>
                    <w:pageBreakBefore w:val="0"/>
                    <w:widowControl w:val="0"/>
                    <w:shd w:val="clear" w:color="auto" w:fill="auto"/>
                    <w:kinsoku/>
                    <w:wordWrap/>
                    <w:overflowPunct/>
                    <w:topLinePunct w:val="0"/>
                    <w:autoSpaceDE/>
                    <w:autoSpaceDN/>
                    <w:bidi w:val="0"/>
                    <w:adjustRightInd/>
                    <w:snapToGrid/>
                    <w:spacing w:before="0" w:after="0" w:line="350" w:lineRule="exact"/>
                    <w:ind w:left="0" w:right="0" w:firstLine="0" w:firstLineChars="0"/>
                    <w:jc w:val="center"/>
                    <w:textAlignment w:val="auto"/>
                    <w:rPr>
                      <w:rFonts w:hint="default" w:ascii="Times New Roman" w:hAnsi="Times New Roman" w:eastAsia="宋体" w:cs="Times New Roman"/>
                      <w:b w:val="0"/>
                      <w:bCs w:val="0"/>
                      <w:color w:val="000000"/>
                      <w:sz w:val="21"/>
                      <w:szCs w:val="21"/>
                      <w:u w:val="none"/>
                      <w:lang w:eastAsia="zh-CN"/>
                    </w:rPr>
                  </w:pPr>
                  <w:r>
                    <w:rPr>
                      <w:rFonts w:hint="default" w:ascii="Times New Roman" w:hAnsi="Times New Roman" w:eastAsia="宋体" w:cs="Times New Roman"/>
                      <w:b w:val="0"/>
                      <w:bCs w:val="0"/>
                      <w:color w:val="000000"/>
                      <w:sz w:val="21"/>
                      <w:szCs w:val="21"/>
                      <w:u w:val="none"/>
                      <w:lang w:eastAsia="zh-CN"/>
                    </w:rPr>
                    <w:t>台账记录：1、生产设施运行管理信息（生产时间、运行负荷、产品产量等）；</w:t>
                  </w:r>
                </w:p>
                <w:p>
                  <w:pPr>
                    <w:pStyle w:val="53"/>
                    <w:keepNext w:val="0"/>
                    <w:keepLines w:val="0"/>
                    <w:pageBreakBefore w:val="0"/>
                    <w:widowControl w:val="0"/>
                    <w:shd w:val="clear" w:color="auto" w:fill="auto"/>
                    <w:kinsoku/>
                    <w:wordWrap/>
                    <w:overflowPunct/>
                    <w:topLinePunct w:val="0"/>
                    <w:autoSpaceDE/>
                    <w:autoSpaceDN/>
                    <w:bidi w:val="0"/>
                    <w:adjustRightInd/>
                    <w:snapToGrid/>
                    <w:spacing w:before="0" w:after="0" w:line="350" w:lineRule="exact"/>
                    <w:ind w:left="0" w:right="0" w:firstLine="0" w:firstLineChars="0"/>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eastAsia="宋体" w:cs="Times New Roman"/>
                      <w:b w:val="0"/>
                      <w:bCs w:val="0"/>
                      <w:color w:val="000000"/>
                      <w:sz w:val="21"/>
                      <w:szCs w:val="21"/>
                      <w:u w:val="none"/>
                      <w:lang w:eastAsia="zh-CN"/>
                    </w:rPr>
                    <w:t>2、废气污染治理设施运行管理信息；3、监测记录信息（主要污染排放口废气排放记录等）；4、主要原辅材料、燃料消耗记录；5、电消耗记录；</w:t>
                  </w:r>
                  <w:r>
                    <w:rPr>
                      <w:rFonts w:hint="default" w:ascii="Times New Roman" w:hAnsi="Times New Roman" w:eastAsia="宋体" w:cs="Times New Roman"/>
                      <w:b w:val="0"/>
                      <w:bCs w:val="0"/>
                      <w:color w:val="000000"/>
                      <w:sz w:val="21"/>
                      <w:szCs w:val="21"/>
                      <w:u w:val="none"/>
                      <w:lang w:val="en-US" w:eastAsia="zh-CN"/>
                    </w:rPr>
                    <w:t>6</w:t>
                  </w:r>
                  <w:r>
                    <w:rPr>
                      <w:rFonts w:hint="default" w:ascii="Times New Roman" w:hAnsi="Times New Roman" w:eastAsia="宋体" w:cs="Times New Roman"/>
                      <w:b w:val="0"/>
                      <w:bCs w:val="0"/>
                      <w:color w:val="000000"/>
                      <w:sz w:val="21"/>
                      <w:szCs w:val="21"/>
                      <w:u w:val="none"/>
                      <w:lang w:eastAsia="zh-CN"/>
                    </w:rPr>
                    <w:t>、</w:t>
                  </w:r>
                  <w:r>
                    <w:rPr>
                      <w:rFonts w:hint="default" w:ascii="Times New Roman" w:hAnsi="Times New Roman" w:eastAsia="宋体" w:cs="Times New Roman"/>
                      <w:b w:val="0"/>
                      <w:bCs w:val="0"/>
                      <w:color w:val="000000"/>
                      <w:sz w:val="21"/>
                      <w:szCs w:val="21"/>
                      <w:u w:val="none"/>
                      <w:lang w:val="en-US" w:eastAsia="zh-CN"/>
                    </w:rPr>
                    <w:t>固废、危废处理记录；7</w:t>
                  </w:r>
                  <w:r>
                    <w:rPr>
                      <w:rFonts w:hint="default" w:ascii="Times New Roman" w:hAnsi="Times New Roman" w:eastAsia="宋体" w:cs="Times New Roman"/>
                      <w:b w:val="0"/>
                      <w:bCs w:val="0"/>
                      <w:color w:val="000000"/>
                      <w:sz w:val="21"/>
                      <w:szCs w:val="21"/>
                      <w:u w:val="none"/>
                      <w:lang w:eastAsia="zh-CN"/>
                    </w:rPr>
                    <w:t>、</w:t>
                  </w:r>
                  <w:r>
                    <w:rPr>
                      <w:rFonts w:hint="default" w:ascii="Times New Roman" w:hAnsi="Times New Roman" w:eastAsia="宋体" w:cs="Times New Roman"/>
                      <w:b w:val="0"/>
                      <w:bCs w:val="0"/>
                      <w:color w:val="000000"/>
                      <w:sz w:val="21"/>
                      <w:szCs w:val="21"/>
                      <w:u w:val="none"/>
                      <w:lang w:val="en-US" w:eastAsia="zh-CN"/>
                    </w:rPr>
                    <w:t>运输车辆、厂内车辆、非道路移动机械电子台账（进出场时间、车辆或非道路移动机械信息、运送货物名称及运量等）</w:t>
                  </w:r>
                  <w:r>
                    <w:rPr>
                      <w:rFonts w:hint="default" w:ascii="Times New Roman" w:hAnsi="Times New Roman" w:eastAsia="宋体" w:cs="Times New Roman"/>
                      <w:b w:val="0"/>
                      <w:bCs w:val="0"/>
                      <w:color w:val="000000"/>
                      <w:sz w:val="21"/>
                      <w:szCs w:val="21"/>
                      <w:u w:val="none"/>
                      <w:lang w:eastAsia="zh-CN"/>
                    </w:rPr>
                    <w:t>。</w:t>
                  </w:r>
                </w:p>
              </w:tc>
              <w:tc>
                <w:tcPr>
                  <w:tcW w:w="138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leftChars="0" w:right="0" w:righ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color w:val="000000"/>
                      <w:kern w:val="0"/>
                      <w:sz w:val="21"/>
                      <w:szCs w:val="21"/>
                      <w:u w:val="none"/>
                      <w:vertAlign w:val="baseline"/>
                      <w:lang w:val="en-US" w:eastAsia="zh-CN" w:bidi="ar-SA"/>
                    </w:rPr>
                    <w:t>项目尚未开始生产，开始生产后将进行台账记录。</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sz w:val="21"/>
                      <w:szCs w:val="21"/>
                      <w:u w:val="none"/>
                    </w:rPr>
                  </w:pPr>
                </w:p>
              </w:tc>
              <w:tc>
                <w:tcPr>
                  <w:tcW w:w="2985"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firstLine="0" w:firstLineChars="0"/>
                    <w:jc w:val="center"/>
                    <w:textAlignment w:val="auto"/>
                    <w:rPr>
                      <w:rFonts w:hint="default" w:ascii="Times New Roman" w:hAnsi="Times New Roman" w:eastAsia="宋体" w:cs="Times New Roman"/>
                      <w:b w:val="0"/>
                      <w:bCs w:val="0"/>
                      <w:color w:val="000000"/>
                      <w:spacing w:val="0"/>
                      <w:w w:val="100"/>
                      <w:position w:val="0"/>
                      <w:sz w:val="21"/>
                      <w:szCs w:val="21"/>
                      <w:u w:val="none"/>
                    </w:rPr>
                  </w:pPr>
                  <w:r>
                    <w:rPr>
                      <w:rFonts w:hint="default" w:ascii="Times New Roman" w:hAnsi="Times New Roman" w:eastAsia="宋体" w:cs="Times New Roman"/>
                      <w:b w:val="0"/>
                      <w:bCs w:val="0"/>
                      <w:color w:val="000000"/>
                      <w:spacing w:val="0"/>
                      <w:w w:val="100"/>
                      <w:position w:val="0"/>
                      <w:sz w:val="21"/>
                      <w:szCs w:val="21"/>
                      <w:u w:val="none"/>
                      <w:lang w:val="en-US" w:eastAsia="zh-CN"/>
                    </w:rPr>
                    <w:t>人员配置：</w:t>
                  </w:r>
                  <w:r>
                    <w:rPr>
                      <w:rFonts w:hint="default" w:ascii="Times New Roman" w:hAnsi="Times New Roman" w:eastAsia="宋体" w:cs="Times New Roman"/>
                      <w:b w:val="0"/>
                      <w:bCs w:val="0"/>
                      <w:color w:val="000000"/>
                      <w:spacing w:val="0"/>
                      <w:w w:val="100"/>
                      <w:position w:val="0"/>
                      <w:sz w:val="21"/>
                      <w:szCs w:val="21"/>
                      <w:u w:val="none"/>
                    </w:rPr>
                    <w:t>配备专职环保人员，并具备相应的环境管理能力（学历、培训从业经</w:t>
                  </w:r>
                </w:p>
                <w:p>
                  <w:pPr>
                    <w:keepNext w:val="0"/>
                    <w:keepLines w:val="0"/>
                    <w:pageBreakBefore w:val="0"/>
                    <w:widowControl w:val="0"/>
                    <w:kinsoku/>
                    <w:wordWrap/>
                    <w:overflowPunct/>
                    <w:topLinePunct w:val="0"/>
                    <w:autoSpaceDE w:val="0"/>
                    <w:autoSpaceDN w:val="0"/>
                    <w:bidi w:val="0"/>
                    <w:adjustRightInd w:val="0"/>
                    <w:snapToGrid w:val="0"/>
                    <w:spacing w:after="0" w:line="350" w:lineRule="exact"/>
                    <w:ind w:firstLine="0" w:firstLineChars="0"/>
                    <w:jc w:val="both"/>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eastAsia="宋体" w:cs="Times New Roman"/>
                      <w:b w:val="0"/>
                      <w:bCs w:val="0"/>
                      <w:color w:val="000000"/>
                      <w:spacing w:val="0"/>
                      <w:w w:val="100"/>
                      <w:position w:val="0"/>
                      <w:sz w:val="21"/>
                      <w:szCs w:val="21"/>
                      <w:u w:val="none"/>
                    </w:rPr>
                    <w:t>验等）。</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color w:val="000000"/>
                      <w:kern w:val="0"/>
                      <w:sz w:val="21"/>
                      <w:szCs w:val="21"/>
                      <w:u w:val="none"/>
                      <w:vertAlign w:val="baseline"/>
                      <w:lang w:val="en-US" w:eastAsia="zh-CN" w:bidi="ar-SA"/>
                    </w:rPr>
                    <w:t>项目开始生产后将配备具备环境管理能力的环保人员。</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color w:val="000000"/>
                      <w:spacing w:val="0"/>
                      <w:w w:val="100"/>
                      <w:kern w:val="2"/>
                      <w:position w:val="0"/>
                      <w:sz w:val="21"/>
                      <w:szCs w:val="21"/>
                      <w:u w:val="none"/>
                      <w:lang w:val="en-US" w:eastAsia="zh-CN" w:bidi="ar-SA"/>
                    </w:rPr>
                  </w:pPr>
                  <w:r>
                    <w:rPr>
                      <w:rFonts w:hint="default" w:ascii="Times New Roman" w:hAnsi="Times New Roman" w:eastAsia="宋体" w:cs="Times New Roman"/>
                      <w:b w:val="0"/>
                      <w:bCs w:val="0"/>
                      <w:color w:val="000000"/>
                      <w:spacing w:val="0"/>
                      <w:w w:val="100"/>
                      <w:position w:val="0"/>
                      <w:sz w:val="21"/>
                      <w:szCs w:val="21"/>
                      <w:u w:val="none"/>
                      <w:lang w:val="en-US" w:eastAsia="zh-CN"/>
                    </w:rPr>
                    <w:t>运输方式</w:t>
                  </w:r>
                </w:p>
              </w:tc>
              <w:tc>
                <w:tcPr>
                  <w:tcW w:w="298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color w:val="000000"/>
                      <w:sz w:val="21"/>
                      <w:szCs w:val="21"/>
                      <w:u w:val="none"/>
                      <w:lang w:eastAsia="zh-CN"/>
                    </w:rPr>
                  </w:pPr>
                  <w:r>
                    <w:rPr>
                      <w:rFonts w:hint="default" w:ascii="Times New Roman" w:hAnsi="Times New Roman" w:eastAsia="宋体" w:cs="Times New Roman"/>
                      <w:b w:val="0"/>
                      <w:bCs w:val="0"/>
                      <w:color w:val="000000"/>
                      <w:sz w:val="21"/>
                      <w:szCs w:val="21"/>
                      <w:u w:val="none"/>
                      <w:lang w:eastAsia="zh-CN"/>
                    </w:rPr>
                    <w:t>1、物料、产品公路运输全部使用国五及以上排放标准的重型载货车辆（重型燃气车辆达到国六排放标准）或新能源车辆；2、厂区车辆全部达到国五及以上排放标准（重型燃气车辆达到国六排放标准）或使用新能源车辆；</w:t>
                  </w:r>
                </w:p>
                <w:p>
                  <w:pPr>
                    <w:keepNext w:val="0"/>
                    <w:keepLines w:val="0"/>
                    <w:pageBreakBefore w:val="0"/>
                    <w:widowControl w:val="0"/>
                    <w:kinsoku/>
                    <w:wordWrap/>
                    <w:overflowPunct/>
                    <w:topLinePunct w:val="0"/>
                    <w:autoSpaceDE/>
                    <w:autoSpaceDN/>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color w:val="000000"/>
                      <w:spacing w:val="0"/>
                      <w:w w:val="100"/>
                      <w:kern w:val="2"/>
                      <w:position w:val="0"/>
                      <w:sz w:val="21"/>
                      <w:szCs w:val="21"/>
                      <w:u w:val="none"/>
                      <w:lang w:val="en-US" w:eastAsia="zh-CN" w:bidi="ar-SA"/>
                    </w:rPr>
                  </w:pPr>
                  <w:r>
                    <w:rPr>
                      <w:rFonts w:hint="default" w:ascii="Times New Roman" w:hAnsi="Times New Roman" w:eastAsia="宋体" w:cs="Times New Roman"/>
                      <w:b w:val="0"/>
                      <w:bCs w:val="0"/>
                      <w:color w:val="000000"/>
                      <w:sz w:val="21"/>
                      <w:szCs w:val="21"/>
                      <w:u w:val="none"/>
                      <w:lang w:eastAsia="zh-CN"/>
                    </w:rPr>
                    <w:t>3、厂内非道路移动机械达到国三及以上排放标准或使用新能源机械。</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color w:val="000000"/>
                      <w:kern w:val="0"/>
                      <w:sz w:val="21"/>
                      <w:szCs w:val="21"/>
                      <w:highlight w:val="none"/>
                      <w:u w:val="none"/>
                      <w:vertAlign w:val="baseline"/>
                      <w:lang w:val="en-US" w:eastAsia="zh-CN" w:bidi="ar-SA"/>
                    </w:rPr>
                    <w:t>本项目为</w:t>
                  </w:r>
                  <w:r>
                    <w:rPr>
                      <w:rFonts w:hint="eastAsia" w:cs="Times New Roman"/>
                      <w:b w:val="0"/>
                      <w:bCs w:val="0"/>
                      <w:color w:val="000000"/>
                      <w:kern w:val="0"/>
                      <w:sz w:val="21"/>
                      <w:szCs w:val="21"/>
                      <w:highlight w:val="none"/>
                      <w:u w:val="none"/>
                      <w:vertAlign w:val="baseline"/>
                      <w:lang w:val="en-US" w:eastAsia="zh-CN" w:bidi="ar-SA"/>
                    </w:rPr>
                    <w:t>技改</w:t>
                  </w:r>
                  <w:r>
                    <w:rPr>
                      <w:rFonts w:hint="default" w:ascii="Times New Roman" w:hAnsi="Times New Roman" w:eastAsia="宋体" w:cs="Times New Roman"/>
                      <w:b w:val="0"/>
                      <w:bCs w:val="0"/>
                      <w:color w:val="000000"/>
                      <w:kern w:val="0"/>
                      <w:sz w:val="21"/>
                      <w:szCs w:val="21"/>
                      <w:highlight w:val="none"/>
                      <w:u w:val="none"/>
                      <w:vertAlign w:val="baseline"/>
                      <w:lang w:val="en-US" w:eastAsia="zh-CN" w:bidi="ar-SA"/>
                    </w:rPr>
                    <w:t>项目，营运期厂区</w:t>
                  </w:r>
                  <w:r>
                    <w:rPr>
                      <w:rFonts w:hint="default" w:ascii="Times New Roman" w:hAnsi="Times New Roman" w:eastAsia="宋体" w:cs="Times New Roman"/>
                      <w:b w:val="0"/>
                      <w:bCs w:val="0"/>
                      <w:sz w:val="21"/>
                      <w:szCs w:val="21"/>
                      <w:highlight w:val="none"/>
                      <w:u w:val="none"/>
                    </w:rPr>
                    <w:t>内非道路移动机械全部</w:t>
                  </w:r>
                  <w:r>
                    <w:rPr>
                      <w:rFonts w:hint="eastAsia" w:cs="Times New Roman"/>
                      <w:b w:val="0"/>
                      <w:bCs w:val="0"/>
                      <w:sz w:val="21"/>
                      <w:szCs w:val="21"/>
                      <w:highlight w:val="none"/>
                      <w:u w:val="none"/>
                      <w:lang w:val="en-US" w:eastAsia="zh-CN"/>
                    </w:rPr>
                    <w:t>达到</w:t>
                  </w:r>
                  <w:r>
                    <w:rPr>
                      <w:rFonts w:hint="default" w:ascii="Times New Roman" w:hAnsi="Times New Roman" w:eastAsia="宋体" w:cs="Times New Roman"/>
                      <w:b w:val="0"/>
                      <w:bCs w:val="0"/>
                      <w:sz w:val="21"/>
                      <w:szCs w:val="21"/>
                      <w:highlight w:val="none"/>
                      <w:u w:val="none"/>
                    </w:rPr>
                    <w:t>国三</w:t>
                  </w:r>
                  <w:r>
                    <w:rPr>
                      <w:rFonts w:hint="default" w:ascii="Times New Roman" w:hAnsi="Times New Roman" w:eastAsia="宋体" w:cs="Times New Roman"/>
                      <w:b w:val="0"/>
                      <w:bCs w:val="0"/>
                      <w:color w:val="000000"/>
                      <w:sz w:val="21"/>
                      <w:szCs w:val="21"/>
                      <w:highlight w:val="none"/>
                      <w:u w:val="none"/>
                    </w:rPr>
                    <w:t>及以上排放标准</w:t>
                  </w:r>
                  <w:r>
                    <w:rPr>
                      <w:rFonts w:hint="default" w:ascii="Times New Roman" w:hAnsi="Times New Roman" w:eastAsia="宋体" w:cs="Times New Roman"/>
                      <w:b w:val="0"/>
                      <w:bCs w:val="0"/>
                      <w:sz w:val="21"/>
                      <w:szCs w:val="21"/>
                      <w:highlight w:val="none"/>
                      <w:u w:val="none"/>
                    </w:rPr>
                    <w:t>。</w:t>
                  </w:r>
                  <w:r>
                    <w:rPr>
                      <w:rFonts w:hint="default" w:ascii="Times New Roman" w:hAnsi="Times New Roman" w:eastAsia="宋体" w:cs="Times New Roman"/>
                      <w:b w:val="0"/>
                      <w:bCs w:val="0"/>
                      <w:color w:val="000000"/>
                      <w:kern w:val="0"/>
                      <w:sz w:val="21"/>
                      <w:szCs w:val="21"/>
                      <w:highlight w:val="none"/>
                      <w:u w:val="none"/>
                      <w:vertAlign w:val="baseline"/>
                      <w:lang w:val="en-US" w:eastAsia="zh-CN" w:bidi="ar-SA"/>
                    </w:rPr>
                    <w:t>物料与产品运输使用国五及以上排放标准车辆。</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color w:val="000000"/>
                      <w:spacing w:val="0"/>
                      <w:w w:val="100"/>
                      <w:kern w:val="2"/>
                      <w:position w:val="0"/>
                      <w:sz w:val="21"/>
                      <w:szCs w:val="21"/>
                      <w:u w:val="none"/>
                      <w:lang w:val="en-US" w:eastAsia="zh-CN" w:bidi="ar-SA"/>
                    </w:rPr>
                  </w:pPr>
                  <w:r>
                    <w:rPr>
                      <w:rFonts w:hint="default" w:ascii="Times New Roman" w:hAnsi="Times New Roman" w:eastAsia="宋体" w:cs="Times New Roman"/>
                      <w:b w:val="0"/>
                      <w:bCs w:val="0"/>
                      <w:color w:val="000000"/>
                      <w:spacing w:val="0"/>
                      <w:w w:val="100"/>
                      <w:position w:val="0"/>
                      <w:sz w:val="21"/>
                      <w:szCs w:val="21"/>
                      <w:u w:val="none"/>
                      <w:lang w:val="en-US" w:eastAsia="zh-CN"/>
                    </w:rPr>
                    <w:t>运输监管</w:t>
                  </w:r>
                </w:p>
              </w:tc>
              <w:tc>
                <w:tcPr>
                  <w:tcW w:w="298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color w:val="000000"/>
                      <w:sz w:val="21"/>
                      <w:szCs w:val="21"/>
                      <w:u w:val="none"/>
                      <w:lang w:val="en-US" w:eastAsia="zh-CN"/>
                    </w:rPr>
                  </w:pPr>
                  <w:r>
                    <w:rPr>
                      <w:rFonts w:hint="default" w:ascii="Times New Roman" w:hAnsi="Times New Roman" w:eastAsia="宋体" w:cs="Times New Roman"/>
                      <w:b w:val="0"/>
                      <w:bCs w:val="0"/>
                      <w:color w:val="000000"/>
                      <w:sz w:val="21"/>
                      <w:szCs w:val="21"/>
                      <w:u w:val="none"/>
                      <w:lang w:val="en-US" w:eastAsia="zh-CN"/>
                    </w:rPr>
                    <w:t>日均进出货物150吨(或载货车辆日进出10辆次)及以上(货物包括原料、</w:t>
                  </w:r>
                </w:p>
                <w:p>
                  <w:pPr>
                    <w:keepNext w:val="0"/>
                    <w:keepLines w:val="0"/>
                    <w:pageBreakBefore w:val="0"/>
                    <w:widowControl w:val="0"/>
                    <w:kinsoku/>
                    <w:wordWrap/>
                    <w:overflowPunct/>
                    <w:topLinePunct w:val="0"/>
                    <w:autoSpaceDE/>
                    <w:autoSpaceDN/>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color w:val="000000"/>
                      <w:spacing w:val="0"/>
                      <w:w w:val="100"/>
                      <w:kern w:val="2"/>
                      <w:position w:val="0"/>
                      <w:sz w:val="21"/>
                      <w:szCs w:val="21"/>
                      <w:u w:val="none"/>
                      <w:lang w:val="en-US" w:eastAsia="zh-CN" w:bidi="ar-SA"/>
                    </w:rPr>
                  </w:pPr>
                  <w:r>
                    <w:rPr>
                      <w:rFonts w:hint="default" w:ascii="Times New Roman" w:hAnsi="Times New Roman" w:eastAsia="宋体" w:cs="Times New Roman"/>
                      <w:b w:val="0"/>
                      <w:bCs w:val="0"/>
                      <w:color w:val="000000"/>
                      <w:sz w:val="21"/>
                      <w:szCs w:val="21"/>
                      <w:u w:val="none"/>
                      <w:lang w:val="en-US" w:eastAsia="zh-CN"/>
                    </w:rPr>
                    <w:t>辅料、产品和其他与生产相关物料)的企业，或纳入我省重点行业年产值1000万及以上的企业，应参照《重污染天气重点行业移动源应急管理技术指南》建立门禁视频监控系统和电子台账;其他企业建立电子台账。</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5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sz w:val="21"/>
                      <w:szCs w:val="21"/>
                      <w:u w:val="none"/>
                      <w:lang w:val="en-US" w:eastAsia="zh-CN"/>
                    </w:rPr>
                    <w:t>项目按照其他企业的要求建立电子台账。</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firstLine="0" w:firstLineChars="0"/>
                    <w:jc w:val="center"/>
                    <w:textAlignment w:val="auto"/>
                    <w:rPr>
                      <w:rFonts w:hint="default" w:ascii="Times New Roman" w:hAnsi="Times New Roman" w:eastAsia="宋体" w:cs="Times New Roman"/>
                      <w:b w:val="0"/>
                      <w:bCs w:val="0"/>
                      <w:kern w:val="0"/>
                      <w:sz w:val="21"/>
                      <w:szCs w:val="21"/>
                      <w:u w:val="none"/>
                      <w:lang w:val="en-US" w:eastAsia="zh-CN"/>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5"/>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kern w:val="0"/>
                      <w:sz w:val="21"/>
                      <w:szCs w:val="21"/>
                      <w:u w:val="none"/>
                      <w:lang w:val="en-US" w:eastAsia="zh-CN"/>
                    </w:rPr>
                  </w:pPr>
                  <w:r>
                    <w:rPr>
                      <w:rFonts w:hint="default" w:ascii="Times New Roman" w:hAnsi="Times New Roman" w:eastAsia="宋体" w:cs="Times New Roman"/>
                      <w:b/>
                      <w:bCs/>
                      <w:i w:val="0"/>
                      <w:iCs w:val="0"/>
                      <w:color w:val="auto"/>
                      <w:kern w:val="2"/>
                      <w:sz w:val="21"/>
                      <w:szCs w:val="21"/>
                      <w:u w:val="single"/>
                      <w:lang w:val="en-US" w:eastAsia="zh-CN" w:bidi="ar-SA"/>
                    </w:rPr>
                    <w:t>豫环文〔2021〕94号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sz w:val="21"/>
                      <w:szCs w:val="21"/>
                      <w:u w:val="none"/>
                      <w:vertAlign w:val="baseline"/>
                      <w:lang w:val="en-US" w:eastAsia="zh-CN"/>
                    </w:rPr>
                    <w:t>差异化指标</w:t>
                  </w:r>
                </w:p>
              </w:tc>
              <w:tc>
                <w:tcPr>
                  <w:tcW w:w="2985"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sz w:val="21"/>
                      <w:szCs w:val="21"/>
                      <w:u w:val="none"/>
                      <w:vertAlign w:val="baseline"/>
                      <w:lang w:val="en-US" w:eastAsia="zh-CN"/>
                    </w:rPr>
                    <w:t>A级企业</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sz w:val="21"/>
                      <w:szCs w:val="21"/>
                      <w:u w:val="none"/>
                      <w:vertAlign w:val="baseline"/>
                      <w:lang w:val="en-US" w:eastAsia="zh-CN"/>
                    </w:rPr>
                    <w:t>项目实际情况</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kern w:val="0"/>
                      <w:sz w:val="21"/>
                      <w:szCs w:val="21"/>
                      <w:u w:val="none"/>
                      <w:lang w:val="en-US" w:eastAsia="zh-CN" w:bidi="ar-SA"/>
                    </w:rPr>
                  </w:pPr>
                  <w:r>
                    <w:rPr>
                      <w:rFonts w:hint="default" w:ascii="Times New Roman" w:hAnsi="Times New Roman" w:eastAsia="宋体" w:cs="Times New Roman"/>
                      <w:b w:val="0"/>
                      <w:bCs w:val="0"/>
                      <w:kern w:val="0"/>
                      <w:sz w:val="21"/>
                      <w:szCs w:val="21"/>
                      <w:u w:val="no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vAlign w:val="center"/>
                </w:tcPr>
                <w:p>
                  <w:pPr>
                    <w:pStyle w:val="53"/>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cs="Times New Roman"/>
                      <w:sz w:val="21"/>
                      <w:szCs w:val="21"/>
                      <w:lang w:val="en-US" w:eastAsia="zh-CN" w:bidi="ar-SA"/>
                    </w:rPr>
                  </w:pPr>
                  <w:r>
                    <w:rPr>
                      <w:rFonts w:hint="default" w:ascii="Times New Roman" w:hAnsi="Times New Roman" w:cs="Times New Roman"/>
                      <w:sz w:val="21"/>
                      <w:szCs w:val="21"/>
                      <w:lang w:val="en-US" w:eastAsia="zh-CN" w:bidi="ar-SA"/>
                    </w:rPr>
                    <w:t>能源</w:t>
                  </w:r>
                </w:p>
                <w:p>
                  <w:pPr>
                    <w:pStyle w:val="53"/>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cs="Times New Roman"/>
                      <w:sz w:val="21"/>
                      <w:szCs w:val="21"/>
                      <w:lang w:val="en-US" w:eastAsia="zh-CN" w:bidi="ar-SA"/>
                    </w:rPr>
                    <w:t>类型</w:t>
                  </w:r>
                </w:p>
              </w:tc>
              <w:tc>
                <w:tcPr>
                  <w:tcW w:w="2985"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sz w:val="21"/>
                      <w:szCs w:val="21"/>
                    </w:rPr>
                    <w:t>以电、天然气为能源</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sz w:val="21"/>
                      <w:szCs w:val="21"/>
                      <w:u w:val="none"/>
                      <w:vertAlign w:val="baseline"/>
                      <w:lang w:val="en-US" w:eastAsia="zh-CN"/>
                    </w:rPr>
                    <w:t>本项目所用能源为电</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kern w:val="0"/>
                      <w:sz w:val="21"/>
                      <w:szCs w:val="21"/>
                      <w:u w:val="none"/>
                      <w:lang w:val="en-US" w:eastAsia="zh-CN"/>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vAlign w:val="center"/>
                </w:tcPr>
                <w:p>
                  <w:pPr>
                    <w:pStyle w:val="53"/>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生产</w:t>
                  </w:r>
                </w:p>
                <w:p>
                  <w:pPr>
                    <w:pStyle w:val="53"/>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cs="Times New Roman"/>
                      <w:sz w:val="21"/>
                      <w:szCs w:val="21"/>
                      <w:lang w:val="en-US" w:eastAsia="zh-CN"/>
                    </w:rPr>
                    <w:t>工艺</w:t>
                  </w:r>
                </w:p>
              </w:tc>
              <w:tc>
                <w:tcPr>
                  <w:tcW w:w="2985"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sz w:val="21"/>
                      <w:szCs w:val="21"/>
                      <w:lang w:val="en-US" w:eastAsia="zh-CN"/>
                    </w:rPr>
                    <w:t>1.属于《产业结构调整指导目录（2019年版）》鼓励类和允许类；2.符合相关行业产业政策；3.符合河南省相关政策要求；4.符合市级规划。</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color w:val="000000"/>
                      <w:spacing w:val="0"/>
                      <w:w w:val="100"/>
                      <w:position w:val="0"/>
                      <w:sz w:val="21"/>
                      <w:szCs w:val="21"/>
                      <w:u w:val="none"/>
                      <w:lang w:val="en-US" w:eastAsia="zh-CN"/>
                    </w:rPr>
                    <w:t>本项目属于允许类项目，符合要求</w:t>
                  </w:r>
                  <w:r>
                    <w:rPr>
                      <w:rFonts w:hint="default" w:ascii="Times New Roman" w:hAnsi="Times New Roman" w:eastAsia="宋体" w:cs="Times New Roman"/>
                      <w:b w:val="0"/>
                      <w:bCs w:val="0"/>
                      <w:color w:val="000000"/>
                      <w:spacing w:val="0"/>
                      <w:w w:val="100"/>
                      <w:position w:val="0"/>
                      <w:sz w:val="21"/>
                      <w:szCs w:val="21"/>
                      <w:u w:val="none"/>
                    </w:rPr>
                    <w:t>。</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kern w:val="0"/>
                      <w:sz w:val="21"/>
                      <w:szCs w:val="21"/>
                      <w:u w:val="none"/>
                      <w:lang w:val="en-US" w:eastAsia="zh-CN"/>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vAlign w:val="center"/>
                </w:tcPr>
                <w:p>
                  <w:pPr>
                    <w:pStyle w:val="53"/>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cs="Times New Roman"/>
                      <w:spacing w:val="-5"/>
                      <w:sz w:val="21"/>
                      <w:szCs w:val="21"/>
                      <w:lang w:val="en-US" w:eastAsia="zh-CN" w:bidi="zh-CN"/>
                    </w:rPr>
                    <w:t>污染治理技术</w:t>
                  </w:r>
                </w:p>
              </w:tc>
              <w:tc>
                <w:tcPr>
                  <w:tcW w:w="2985"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sz w:val="21"/>
                      <w:szCs w:val="21"/>
                      <w:lang w:val="en-US" w:eastAsia="zh-CN" w:bidi="ar-SA"/>
                    </w:rPr>
                    <w:t>1.电窑：PM采用袋式除尘、电袋复合除尘、湿电除尘、静电除尘等高效除尘技术。2.燃气锅炉/炉窑：（1）PM</w:t>
                  </w:r>
                  <w:r>
                    <w:rPr>
                      <w:rFonts w:hint="default" w:ascii="Times New Roman" w:hAnsi="Times New Roman" w:cs="Times New Roman"/>
                      <w:sz w:val="21"/>
                      <w:szCs w:val="21"/>
                      <w:vertAlign w:val="superscript"/>
                      <w:lang w:val="en-US" w:eastAsia="zh-CN" w:bidi="ar-SA"/>
                    </w:rPr>
                    <w:t>【1】</w:t>
                  </w:r>
                  <w:r>
                    <w:rPr>
                      <w:rFonts w:hint="default" w:ascii="Times New Roman" w:hAnsi="Times New Roman" w:cs="Times New Roman"/>
                      <w:sz w:val="21"/>
                      <w:szCs w:val="21"/>
                      <w:lang w:val="en-US" w:eastAsia="zh-CN" w:bidi="ar-SA"/>
                    </w:rPr>
                    <w:t>采用袋式除尘、静电除尘、湿电除尘等高效除尘技术；（2）NOx</w:t>
                  </w:r>
                  <w:r>
                    <w:rPr>
                      <w:rFonts w:hint="default" w:ascii="Times New Roman" w:hAnsi="Times New Roman" w:cs="Times New Roman"/>
                      <w:sz w:val="21"/>
                      <w:szCs w:val="21"/>
                      <w:vertAlign w:val="superscript"/>
                      <w:lang w:val="en-US" w:eastAsia="zh-CN" w:bidi="ar-SA"/>
                    </w:rPr>
                    <w:t>【2】</w:t>
                  </w:r>
                  <w:r>
                    <w:rPr>
                      <w:rFonts w:hint="default" w:ascii="Times New Roman" w:hAnsi="Times New Roman" w:cs="Times New Roman"/>
                      <w:sz w:val="21"/>
                      <w:szCs w:val="21"/>
                      <w:lang w:val="en-US" w:eastAsia="zh-CN" w:bidi="ar-SA"/>
                    </w:rPr>
                    <w:t xml:space="preserve"> 采用低氮燃烧或SNCR/SCR等技术。3.其他工序（非锅炉/炉窑）：PM采用覆膜袋式除尘或其他先进除尘工艺。</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sz w:val="21"/>
                      <w:szCs w:val="21"/>
                      <w:lang w:val="en-US" w:eastAsia="zh-CN" w:bidi="en-US"/>
                    </w:rPr>
                    <w:t>本项目炉窑采用液化石油气，配备低氮燃烧机，产生的PM、NOx可达标排放。根据2燃气锅炉/炉窑：PM</w:t>
                  </w:r>
                  <w:r>
                    <w:rPr>
                      <w:rFonts w:hint="default" w:ascii="Times New Roman" w:hAnsi="Times New Roman" w:cs="Times New Roman"/>
                      <w:sz w:val="21"/>
                      <w:szCs w:val="21"/>
                      <w:vertAlign w:val="superscript"/>
                      <w:lang w:val="en-US" w:eastAsia="zh-CN" w:bidi="en-US"/>
                    </w:rPr>
                    <w:t>【1】</w:t>
                  </w:r>
                  <w:r>
                    <w:rPr>
                      <w:rFonts w:hint="default" w:ascii="Times New Roman" w:hAnsi="Times New Roman" w:cs="Times New Roman"/>
                      <w:sz w:val="21"/>
                      <w:szCs w:val="21"/>
                      <w:lang w:val="en-US" w:eastAsia="zh-CN" w:bidi="en-US"/>
                    </w:rPr>
                    <w:t>：燃气锅炉在PM稳定达到排放限值情况下可不采用除尘工艺；本项目PM已达标排放，故不采用除尘工艺。</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kern w:val="0"/>
                      <w:sz w:val="21"/>
                      <w:szCs w:val="21"/>
                      <w:u w:val="none"/>
                      <w:lang w:val="en-US" w:eastAsia="zh-CN"/>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60" w:lineRule="exact"/>
                    <w:ind w:left="0" w:lef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排放</w:t>
                  </w:r>
                </w:p>
                <w:p>
                  <w:pPr>
                    <w:keepNext w:val="0"/>
                    <w:keepLines w:val="0"/>
                    <w:pageBreakBefore w:val="0"/>
                    <w:widowControl w:val="0"/>
                    <w:kinsoku/>
                    <w:wordWrap/>
                    <w:overflowPunct/>
                    <w:topLinePunct w:val="0"/>
                    <w:autoSpaceDE w:val="0"/>
                    <w:autoSpaceDN w:val="0"/>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sz w:val="21"/>
                      <w:szCs w:val="21"/>
                      <w:lang w:val="en-US" w:eastAsia="zh-CN"/>
                    </w:rPr>
                    <w:t>限值</w:t>
                  </w:r>
                </w:p>
              </w:tc>
              <w:tc>
                <w:tcPr>
                  <w:tcW w:w="516" w:type="pct"/>
                  <w:tcBorders>
                    <w:tl2br w:val="nil"/>
                    <w:tr2bl w:val="nil"/>
                  </w:tcBorders>
                  <w:vAlign w:val="center"/>
                </w:tcPr>
                <w:p>
                  <w:pPr>
                    <w:pStyle w:val="53"/>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sz w:val="21"/>
                      <w:szCs w:val="21"/>
                      <w:lang w:val="en-US" w:eastAsia="zh-CN"/>
                    </w:rPr>
                    <w:t>锅炉</w:t>
                  </w:r>
                </w:p>
              </w:tc>
              <w:tc>
                <w:tcPr>
                  <w:tcW w:w="2469" w:type="pct"/>
                  <w:tcBorders>
                    <w:tl2br w:val="nil"/>
                    <w:tr2bl w:val="nil"/>
                  </w:tcBorders>
                  <w:vAlign w:val="center"/>
                </w:tcPr>
                <w:p>
                  <w:pPr>
                    <w:pStyle w:val="53"/>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sz w:val="21"/>
                      <w:szCs w:val="21"/>
                      <w:lang w:val="en-US" w:eastAsia="zh-CN"/>
                    </w:rPr>
                    <w:t>PM、SO</w:t>
                  </w:r>
                  <w:r>
                    <w:rPr>
                      <w:rFonts w:hint="default" w:ascii="Times New Roman" w:hAns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、NOx排放浓度分别不高于：燃气：5、10、50/30</w:t>
                  </w:r>
                  <w:r>
                    <w:rPr>
                      <w:rFonts w:hint="default" w:ascii="Times New Roman" w:hAnsi="Times New Roman" w:cs="Times New Roman"/>
                      <w:sz w:val="21"/>
                      <w:szCs w:val="21"/>
                      <w:vertAlign w:val="superscript"/>
                      <w:lang w:val="en-US" w:eastAsia="zh-CN"/>
                    </w:rPr>
                    <w:t>【4】</w:t>
                  </w:r>
                  <w:r>
                    <w:rPr>
                      <w:rFonts w:hint="default" w:ascii="Times New Roman" w:hAnsi="Times New Roman" w:cs="Times New Roman"/>
                      <w:sz w:val="21"/>
                      <w:szCs w:val="21"/>
                      <w:lang w:val="en-US" w:eastAsia="zh-CN"/>
                    </w:rPr>
                    <w:t>mg/m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（基准含氧量：3.5%）</w:t>
                  </w:r>
                </w:p>
              </w:tc>
              <w:tc>
                <w:tcPr>
                  <w:tcW w:w="1380" w:type="pct"/>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eastAsia" w:ascii="Times New Roman" w:hAnsi="Times New Roman" w:eastAsia="宋体" w:cs="Times New Roman"/>
                      <w:b w:val="0"/>
                      <w:bCs w:val="0"/>
                      <w:sz w:val="21"/>
                      <w:szCs w:val="21"/>
                      <w:u w:val="none"/>
                      <w:vertAlign w:val="baseline"/>
                      <w:lang w:val="en-US" w:eastAsia="zh-CN"/>
                    </w:rPr>
                    <w:t>本项目不涉及</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kern w:val="0"/>
                      <w:sz w:val="21"/>
                      <w:szCs w:val="21"/>
                      <w:u w:val="none"/>
                      <w:lang w:val="en-US" w:eastAsia="zh-CN"/>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p>
              </w:tc>
              <w:tc>
                <w:tcPr>
                  <w:tcW w:w="516" w:type="pct"/>
                  <w:tcBorders>
                    <w:tl2br w:val="nil"/>
                    <w:tr2bl w:val="nil"/>
                  </w:tcBorders>
                  <w:vAlign w:val="center"/>
                </w:tcPr>
                <w:p>
                  <w:pPr>
                    <w:pStyle w:val="53"/>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sz w:val="21"/>
                      <w:szCs w:val="21"/>
                      <w:lang w:val="en-US" w:eastAsia="zh-CN"/>
                    </w:rPr>
                    <w:t>加热炉、热处理炉、干燥炉</w:t>
                  </w:r>
                </w:p>
              </w:tc>
              <w:tc>
                <w:tcPr>
                  <w:tcW w:w="2469" w:type="pct"/>
                  <w:tcBorders>
                    <w:tl2br w:val="nil"/>
                    <w:tr2bl w:val="nil"/>
                  </w:tcBorders>
                  <w:vAlign w:val="center"/>
                </w:tcPr>
                <w:p>
                  <w:pPr>
                    <w:pStyle w:val="53"/>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PM、SO</w:t>
                  </w:r>
                  <w:r>
                    <w:rPr>
                      <w:rFonts w:hint="default" w:ascii="Times New Roman" w:hAns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、NOx排放浓度分别不高于：电窑：10 mg/m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（PM）</w:t>
                  </w:r>
                </w:p>
                <w:p>
                  <w:pPr>
                    <w:pStyle w:val="53"/>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sz w:val="21"/>
                      <w:szCs w:val="21"/>
                      <w:lang w:val="en-US" w:eastAsia="zh-CN"/>
                    </w:rPr>
                    <w:t>燃气：10、35、50mg/m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（基准含氧量：燃气3.5%，电窑和因工艺需要掺入空气/非密闭式生产的按实测浓度计）</w:t>
                  </w:r>
                </w:p>
              </w:tc>
              <w:tc>
                <w:tcPr>
                  <w:tcW w:w="1380"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kern w:val="0"/>
                      <w:sz w:val="21"/>
                      <w:szCs w:val="21"/>
                      <w:u w:val="none"/>
                      <w:lang w:val="en-US" w:eastAsia="zh-CN"/>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p>
              </w:tc>
              <w:tc>
                <w:tcPr>
                  <w:tcW w:w="516" w:type="pct"/>
                  <w:tcBorders>
                    <w:tl2br w:val="nil"/>
                    <w:tr2bl w:val="nil"/>
                  </w:tcBorders>
                  <w:vAlign w:val="center"/>
                </w:tcPr>
                <w:p>
                  <w:pPr>
                    <w:pStyle w:val="53"/>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sz w:val="21"/>
                      <w:szCs w:val="21"/>
                      <w:lang w:val="en-US" w:eastAsia="zh-CN"/>
                    </w:rPr>
                    <w:t>其他炉窑</w:t>
                  </w:r>
                </w:p>
              </w:tc>
              <w:tc>
                <w:tcPr>
                  <w:tcW w:w="2469" w:type="pct"/>
                  <w:tcBorders>
                    <w:tl2br w:val="nil"/>
                    <w:tr2bl w:val="nil"/>
                  </w:tcBorders>
                  <w:vAlign w:val="center"/>
                </w:tcPr>
                <w:p>
                  <w:pPr>
                    <w:pStyle w:val="53"/>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sz w:val="21"/>
                      <w:szCs w:val="21"/>
                      <w:lang w:val="en-US" w:eastAsia="zh-CN"/>
                    </w:rPr>
                    <w:t>PM、SO</w:t>
                  </w:r>
                  <w:r>
                    <w:rPr>
                      <w:rFonts w:hint="default" w:ascii="Times New Roman" w:hAns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、NOx排放浓度分别不高于10、50、100mg/m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（基准含氧量：9%）</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eastAsia" w:ascii="Times New Roman" w:hAnsi="Times New Roman" w:cs="Times New Roman"/>
                      <w:sz w:val="21"/>
                      <w:szCs w:val="21"/>
                      <w:lang w:val="en-US" w:eastAsia="zh-CN"/>
                    </w:rPr>
                    <w:t>本项目</w:t>
                  </w:r>
                  <w:r>
                    <w:rPr>
                      <w:rFonts w:ascii="Times New Roman" w:hAnsi="Times New Roman" w:cs="Times New Roman"/>
                      <w:sz w:val="21"/>
                      <w:szCs w:val="21"/>
                      <w:lang w:val="en-US" w:eastAsia="zh-CN"/>
                    </w:rPr>
                    <w:t>P</w:t>
                  </w:r>
                  <w:r>
                    <w:rPr>
                      <w:rFonts w:ascii="Times New Roman" w:hAnsi="Times New Roman" w:cs="Times New Roman"/>
                      <w:sz w:val="21"/>
                      <w:szCs w:val="21"/>
                      <w:highlight w:val="none"/>
                      <w:lang w:val="en-US" w:eastAsia="zh-CN"/>
                    </w:rPr>
                    <w:t>M、SO</w:t>
                  </w:r>
                  <w:r>
                    <w:rPr>
                      <w:rFonts w:ascii="Times New Roman" w:hAnsi="Times New Roman" w:cs="Times New Roman"/>
                      <w:sz w:val="21"/>
                      <w:szCs w:val="21"/>
                      <w:highlight w:val="none"/>
                      <w:vertAlign w:val="subscript"/>
                      <w:lang w:val="en-US" w:eastAsia="zh-CN"/>
                    </w:rPr>
                    <w:t>2</w:t>
                  </w:r>
                  <w:r>
                    <w:rPr>
                      <w:rFonts w:ascii="Times New Roman" w:hAnsi="Times New Roman" w:cs="Times New Roman"/>
                      <w:sz w:val="21"/>
                      <w:szCs w:val="21"/>
                      <w:highlight w:val="none"/>
                      <w:lang w:val="en-US" w:eastAsia="zh-CN"/>
                    </w:rPr>
                    <w:t>、NOx排放浓度</w:t>
                  </w:r>
                  <w:r>
                    <w:rPr>
                      <w:rFonts w:hint="eastAsia" w:ascii="Times New Roman" w:hAnsi="Times New Roman" w:cs="Times New Roman"/>
                      <w:sz w:val="21"/>
                      <w:szCs w:val="21"/>
                      <w:highlight w:val="none"/>
                      <w:lang w:val="en-US" w:eastAsia="zh-CN"/>
                    </w:rPr>
                    <w:t>分别为</w:t>
                  </w:r>
                  <w:r>
                    <w:rPr>
                      <w:rFonts w:hint="eastAsia" w:cs="Times New Roman"/>
                      <w:sz w:val="21"/>
                      <w:szCs w:val="21"/>
                      <w:highlight w:val="none"/>
                      <w:lang w:val="en-US" w:eastAsia="zh-CN"/>
                    </w:rPr>
                    <w:t>1.07</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2.92</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43.86</w:t>
                  </w:r>
                  <w:r>
                    <w:rPr>
                      <w:rFonts w:ascii="Times New Roman" w:hAnsi="Times New Roman" w:cs="Times New Roman"/>
                      <w:sz w:val="21"/>
                      <w:szCs w:val="21"/>
                      <w:highlight w:val="none"/>
                      <w:lang w:val="en-US" w:eastAsia="zh-CN"/>
                    </w:rPr>
                    <w:t>mg/m</w:t>
                  </w:r>
                  <w:r>
                    <w:rPr>
                      <w:rFonts w:ascii="Times New Roman" w:hAnsi="Times New Roman" w:cs="Times New Roman"/>
                      <w:sz w:val="21"/>
                      <w:szCs w:val="21"/>
                      <w:highlight w:val="none"/>
                      <w:vertAlign w:val="superscript"/>
                      <w:lang w:val="en-US" w:eastAsia="zh-CN"/>
                    </w:rPr>
                    <w:t>3</w:t>
                  </w:r>
                  <w:r>
                    <w:rPr>
                      <w:rFonts w:hint="eastAsia" w:ascii="Times New Roman" w:hAnsi="Times New Roman" w:cs="Times New Roman"/>
                      <w:sz w:val="21"/>
                      <w:szCs w:val="21"/>
                      <w:highlight w:val="none"/>
                      <w:lang w:val="en-US" w:eastAsia="zh-CN"/>
                    </w:rPr>
                    <w:t>，</w:t>
                  </w:r>
                  <w:r>
                    <w:rPr>
                      <w:rFonts w:ascii="Times New Roman" w:hAnsi="Times New Roman" w:cs="Times New Roman"/>
                      <w:sz w:val="21"/>
                      <w:szCs w:val="21"/>
                      <w:highlight w:val="none"/>
                      <w:lang w:val="en-US" w:eastAsia="zh-CN"/>
                    </w:rPr>
                    <w:t>不高于10、50、100mg/m</w:t>
                  </w:r>
                  <w:r>
                    <w:rPr>
                      <w:rFonts w:ascii="Times New Roman" w:hAnsi="Times New Roman" w:cs="Times New Roman"/>
                      <w:sz w:val="21"/>
                      <w:szCs w:val="21"/>
                      <w:highlight w:val="none"/>
                      <w:vertAlign w:val="superscript"/>
                      <w:lang w:val="en-US" w:eastAsia="zh-CN"/>
                    </w:rPr>
                    <w:t>3</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kern w:val="0"/>
                      <w:sz w:val="21"/>
                      <w:szCs w:val="21"/>
                      <w:u w:val="none"/>
                      <w:lang w:val="en-US" w:eastAsia="zh-CN"/>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p>
              </w:tc>
              <w:tc>
                <w:tcPr>
                  <w:tcW w:w="516" w:type="pct"/>
                  <w:tcBorders>
                    <w:tl2br w:val="nil"/>
                    <w:tr2bl w:val="nil"/>
                  </w:tcBorders>
                  <w:vAlign w:val="center"/>
                </w:tcPr>
                <w:p>
                  <w:pPr>
                    <w:pStyle w:val="53"/>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2"/>
                      <w:sz w:val="21"/>
                      <w:szCs w:val="21"/>
                      <w:lang w:val="en-US" w:eastAsia="zh-CN" w:bidi="zh-TW"/>
                    </w:rPr>
                  </w:pPr>
                  <w:r>
                    <w:rPr>
                      <w:rFonts w:hint="default" w:ascii="Times New Roman" w:hAnsi="Times New Roman" w:cs="Times New Roman"/>
                      <w:sz w:val="21"/>
                      <w:szCs w:val="21"/>
                      <w:lang w:val="en-US" w:eastAsia="zh-CN"/>
                    </w:rPr>
                    <w:t>其他工序</w:t>
                  </w:r>
                </w:p>
              </w:tc>
              <w:tc>
                <w:tcPr>
                  <w:tcW w:w="2469" w:type="pct"/>
                  <w:tcBorders>
                    <w:tl2br w:val="nil"/>
                    <w:tr2bl w:val="nil"/>
                  </w:tcBorders>
                  <w:vAlign w:val="center"/>
                </w:tcPr>
                <w:p>
                  <w:pPr>
                    <w:pStyle w:val="53"/>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2"/>
                      <w:sz w:val="21"/>
                      <w:szCs w:val="21"/>
                      <w:lang w:val="en-US" w:eastAsia="zh-CN" w:bidi="zh-TW"/>
                    </w:rPr>
                  </w:pPr>
                  <w:r>
                    <w:rPr>
                      <w:rFonts w:hint="default" w:ascii="Times New Roman" w:hAnsi="Times New Roman" w:cs="Times New Roman"/>
                      <w:sz w:val="21"/>
                      <w:szCs w:val="21"/>
                      <w:lang w:val="en-US" w:eastAsia="zh-CN"/>
                    </w:rPr>
                    <w:t>PM排放浓度不高于10mg/m</w:t>
                  </w:r>
                  <w:r>
                    <w:rPr>
                      <w:rFonts w:hint="default" w:ascii="Times New Roman" w:hAnsi="Times New Roman" w:cs="Times New Roman"/>
                      <w:sz w:val="21"/>
                      <w:szCs w:val="21"/>
                      <w:vertAlign w:val="superscript"/>
                      <w:lang w:val="en-US" w:eastAsia="zh-CN"/>
                    </w:rPr>
                    <w:t>3</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eastAsia" w:ascii="Times New Roman" w:hAnsi="Times New Roman" w:eastAsia="宋体" w:cs="Times New Roman"/>
                      <w:b w:val="0"/>
                      <w:bCs w:val="0"/>
                      <w:sz w:val="21"/>
                      <w:szCs w:val="21"/>
                      <w:u w:val="none"/>
                      <w:vertAlign w:val="baseline"/>
                      <w:lang w:val="en-US" w:eastAsia="zh-CN"/>
                    </w:rPr>
                    <w:t>其他工序PM排放浓度不高于</w:t>
                  </w:r>
                  <w:r>
                    <w:rPr>
                      <w:rFonts w:hint="default" w:ascii="Times New Roman" w:hAnsi="Times New Roman" w:cs="Times New Roman"/>
                      <w:sz w:val="21"/>
                      <w:szCs w:val="21"/>
                      <w:lang w:val="en-US" w:eastAsia="zh-CN"/>
                    </w:rPr>
                    <w:t>10mg/m</w:t>
                  </w:r>
                  <w:r>
                    <w:rPr>
                      <w:rFonts w:hint="default" w:ascii="Times New Roman" w:hAnsi="Times New Roman" w:cs="Times New Roman"/>
                      <w:sz w:val="21"/>
                      <w:szCs w:val="21"/>
                      <w:vertAlign w:val="superscript"/>
                      <w:lang w:val="en-US" w:eastAsia="zh-CN"/>
                    </w:rPr>
                    <w:t>3</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kern w:val="0"/>
                      <w:sz w:val="21"/>
                      <w:szCs w:val="21"/>
                      <w:u w:val="none"/>
                      <w:lang w:val="en-US" w:eastAsia="zh-CN"/>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 w:type="pct"/>
                  <w:tcBorders>
                    <w:tl2br w:val="nil"/>
                    <w:tr2bl w:val="nil"/>
                  </w:tcBorders>
                  <w:vAlign w:val="center"/>
                </w:tcPr>
                <w:p>
                  <w:pPr>
                    <w:pStyle w:val="53"/>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2"/>
                      <w:sz w:val="21"/>
                      <w:szCs w:val="21"/>
                      <w:lang w:val="en-US" w:eastAsia="zh-CN" w:bidi="zh-TW"/>
                    </w:rPr>
                  </w:pPr>
                  <w:r>
                    <w:rPr>
                      <w:rFonts w:hint="default" w:ascii="Times New Roman" w:hAnsi="Times New Roman" w:cs="Times New Roman"/>
                      <w:sz w:val="21"/>
                      <w:szCs w:val="21"/>
                      <w:lang w:val="en-US" w:eastAsia="zh-CN"/>
                    </w:rPr>
                    <w:t>监测监控水平</w:t>
                  </w:r>
                </w:p>
              </w:tc>
              <w:tc>
                <w:tcPr>
                  <w:tcW w:w="2985" w:type="pct"/>
                  <w:gridSpan w:val="2"/>
                  <w:tcBorders>
                    <w:tl2br w:val="nil"/>
                    <w:tr2bl w:val="nil"/>
                  </w:tcBorders>
                  <w:vAlign w:val="center"/>
                </w:tcPr>
                <w:p>
                  <w:pPr>
                    <w:pStyle w:val="53"/>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kern w:val="2"/>
                      <w:sz w:val="21"/>
                      <w:szCs w:val="21"/>
                      <w:lang w:val="en-US" w:eastAsia="zh-CN" w:bidi="zh-TW"/>
                    </w:rPr>
                  </w:pPr>
                  <w:r>
                    <w:rPr>
                      <w:rFonts w:hint="default" w:ascii="Times New Roman" w:hAnsi="Times New Roman" w:cs="Times New Roman"/>
                      <w:sz w:val="21"/>
                      <w:szCs w:val="21"/>
                      <w:lang w:val="en-US" w:eastAsia="zh-CN"/>
                    </w:rPr>
                    <w:t>重点排污企业主要排放口</w:t>
                  </w:r>
                  <w:r>
                    <w:rPr>
                      <w:rFonts w:hint="default" w:ascii="Times New Roman" w:hAnsi="Times New Roman" w:cs="Times New Roman"/>
                      <w:sz w:val="21"/>
                      <w:szCs w:val="21"/>
                      <w:vertAlign w:val="superscript"/>
                      <w:lang w:val="en-US" w:eastAsia="zh-CN"/>
                    </w:rPr>
                    <w:t>【6】</w:t>
                  </w:r>
                  <w:r>
                    <w:rPr>
                      <w:rFonts w:hint="default" w:ascii="Times New Roman" w:hAnsi="Times New Roman" w:cs="Times New Roman"/>
                      <w:sz w:val="21"/>
                      <w:szCs w:val="21"/>
                      <w:lang w:val="en-US" w:eastAsia="zh-CN"/>
                    </w:rPr>
                    <w:t>安装CEMS，记录生产设施运行情况，数据保存一年以上。</w:t>
                  </w:r>
                </w:p>
              </w:tc>
              <w:tc>
                <w:tcPr>
                  <w:tcW w:w="1380"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eastAsia" w:ascii="Times New Roman" w:hAnsi="Times New Roman" w:cs="Times New Roman"/>
                      <w:sz w:val="21"/>
                      <w:szCs w:val="21"/>
                      <w:lang w:val="en-US" w:eastAsia="zh-CN" w:bidi="ar-SA"/>
                    </w:rPr>
                    <w:t>本项目为一般排放口。</w:t>
                  </w:r>
                </w:p>
              </w:tc>
              <w:tc>
                <w:tcPr>
                  <w:tcW w:w="2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kern w:val="0"/>
                      <w:sz w:val="21"/>
                      <w:szCs w:val="21"/>
                      <w:u w:val="none"/>
                      <w:lang w:val="en-US" w:eastAsia="zh-CN"/>
                    </w:rPr>
                  </w:pPr>
                  <w:r>
                    <w:rPr>
                      <w:rFonts w:hint="default" w:ascii="Times New Roman" w:hAnsi="Times New Roman" w:eastAsia="宋体" w:cs="Times New Roman"/>
                      <w:b w:val="0"/>
                      <w:bCs w:val="0"/>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5"/>
                  <w:tcBorders>
                    <w:tl2br w:val="nil"/>
                    <w:tr2bl w:val="nil"/>
                  </w:tcBorders>
                  <w:vAlign w:val="center"/>
                </w:tcPr>
                <w:p>
                  <w:pPr>
                    <w:pStyle w:val="53"/>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r>
                    <w:rPr>
                      <w:rFonts w:hint="default" w:ascii="Times New Roman" w:hAnsi="Times New Roman" w:cs="Times New Roman"/>
                      <w:position w:val="11"/>
                      <w:sz w:val="21"/>
                      <w:szCs w:val="21"/>
                    </w:rPr>
                    <w:t>【</w:t>
                  </w:r>
                  <w:r>
                    <w:rPr>
                      <w:rFonts w:hint="default" w:ascii="Times New Roman" w:hAnsi="Times New Roman" w:eastAsia="Times New Roman" w:cs="Times New Roman"/>
                      <w:position w:val="10"/>
                      <w:sz w:val="21"/>
                      <w:szCs w:val="21"/>
                    </w:rPr>
                    <w:t>1</w:t>
                  </w:r>
                  <w:r>
                    <w:rPr>
                      <w:rFonts w:hint="default" w:ascii="Times New Roman" w:hAnsi="Times New Roman" w:cs="Times New Roman"/>
                      <w:position w:val="11"/>
                      <w:sz w:val="21"/>
                      <w:szCs w:val="21"/>
                    </w:rPr>
                    <w:t>】</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燃气锅炉在PM稳定达到排放限值情况下可不采用除尘工艺；</w:t>
                  </w:r>
                </w:p>
                <w:p>
                  <w:pPr>
                    <w:pStyle w:val="53"/>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r>
                    <w:rPr>
                      <w:rFonts w:hint="default" w:ascii="Times New Roman" w:hAnsi="Times New Roman" w:cs="Times New Roman"/>
                      <w:position w:val="11"/>
                      <w:sz w:val="21"/>
                      <w:szCs w:val="21"/>
                    </w:rPr>
                    <w:t>【</w:t>
                  </w:r>
                  <w:r>
                    <w:rPr>
                      <w:rFonts w:hint="default" w:ascii="Times New Roman" w:hAnsi="Times New Roman" w:cs="Times New Roman"/>
                      <w:position w:val="10"/>
                      <w:sz w:val="21"/>
                      <w:szCs w:val="21"/>
                      <w:lang w:val="en-US" w:eastAsia="zh-CN"/>
                    </w:rPr>
                    <w:t>2</w:t>
                  </w:r>
                  <w:r>
                    <w:rPr>
                      <w:rFonts w:hint="default" w:ascii="Times New Roman" w:hAnsi="Times New Roman" w:cs="Times New Roman"/>
                      <w:position w:val="11"/>
                      <w:sz w:val="21"/>
                      <w:szCs w:val="21"/>
                    </w:rPr>
                    <w:t>】</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温度低于800℃的燃气/燃油的干燥窑、热处理窑和燃气/生物质锅炉，在稳定达到排放限值情况下可不采用SCR/SNCR等工艺；</w:t>
                  </w:r>
                </w:p>
                <w:p>
                  <w:pPr>
                    <w:pStyle w:val="53"/>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备注</w:t>
                  </w:r>
                  <w:r>
                    <w:rPr>
                      <w:rFonts w:hint="default" w:ascii="Times New Roman" w:hAnsi="Times New Roman" w:cs="Times New Roman"/>
                      <w:position w:val="11"/>
                      <w:sz w:val="21"/>
                      <w:szCs w:val="21"/>
                    </w:rPr>
                    <w:t>【</w:t>
                  </w:r>
                  <w:r>
                    <w:rPr>
                      <w:rFonts w:hint="default" w:ascii="Times New Roman" w:hAnsi="Times New Roman" w:cs="Times New Roman"/>
                      <w:position w:val="10"/>
                      <w:sz w:val="21"/>
                      <w:szCs w:val="21"/>
                      <w:lang w:val="en-US" w:eastAsia="zh-CN"/>
                    </w:rPr>
                    <w:t>3</w:t>
                  </w:r>
                  <w:r>
                    <w:rPr>
                      <w:rFonts w:hint="default" w:ascii="Times New Roman" w:hAnsi="Times New Roman" w:cs="Times New Roman"/>
                      <w:position w:val="11"/>
                      <w:sz w:val="21"/>
                      <w:szCs w:val="21"/>
                    </w:rPr>
                    <w:t>】</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采用纯生物质锅炉、窑炉，在SO</w:t>
                  </w:r>
                  <w:r>
                    <w:rPr>
                      <w:rFonts w:hint="default" w:ascii="Times New Roman" w:hAns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稳定达到排放限值情况下可不采用脱硫工艺；</w:t>
                  </w:r>
                </w:p>
                <w:p>
                  <w:pPr>
                    <w:pStyle w:val="53"/>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rPr>
                    <w:t>备注</w:t>
                  </w:r>
                  <w:r>
                    <w:rPr>
                      <w:rFonts w:hint="default" w:ascii="Times New Roman" w:hAnsi="Times New Roman" w:cs="Times New Roman"/>
                      <w:position w:val="11"/>
                      <w:sz w:val="21"/>
                      <w:szCs w:val="21"/>
                    </w:rPr>
                    <w:t>【</w:t>
                  </w:r>
                  <w:r>
                    <w:rPr>
                      <w:rFonts w:hint="default" w:ascii="Times New Roman" w:hAnsi="Times New Roman" w:cs="Times New Roman"/>
                      <w:position w:val="10"/>
                      <w:sz w:val="21"/>
                      <w:szCs w:val="21"/>
                      <w:lang w:val="en-US" w:eastAsia="zh-CN"/>
                    </w:rPr>
                    <w:t>4</w:t>
                  </w:r>
                  <w:r>
                    <w:rPr>
                      <w:rFonts w:hint="default" w:ascii="Times New Roman" w:hAnsi="Times New Roman" w:cs="Times New Roman"/>
                      <w:position w:val="11"/>
                      <w:sz w:val="21"/>
                      <w:szCs w:val="21"/>
                    </w:rPr>
                    <w:t>】</w:t>
                  </w:r>
                  <w:r>
                    <w:rPr>
                      <w:rFonts w:hint="default" w:ascii="Times New Roman" w:hAnsi="Times New Roman" w:cs="Times New Roman"/>
                      <w:sz w:val="21"/>
                      <w:szCs w:val="21"/>
                    </w:rPr>
                    <w:t>：新建</w:t>
                  </w:r>
                  <w:r>
                    <w:rPr>
                      <w:rFonts w:hint="default" w:ascii="Times New Roman" w:hAnsi="Times New Roman" w:cs="Times New Roman"/>
                      <w:sz w:val="21"/>
                      <w:szCs w:val="21"/>
                      <w:lang w:val="en-US" w:eastAsia="zh-CN"/>
                    </w:rPr>
                    <w:t>燃气锅炉和需要采取特别保护措施的区域，执行该排放限值</w:t>
                  </w:r>
                  <w:r>
                    <w:rPr>
                      <w:rFonts w:hint="default" w:ascii="Times New Roman" w:hAnsi="Times New Roman" w:cs="Times New Roman"/>
                      <w:sz w:val="21"/>
                      <w:szCs w:val="21"/>
                      <w:lang w:eastAsia="zh-CN"/>
                    </w:rPr>
                    <w:t>；</w:t>
                  </w:r>
                </w:p>
                <w:p>
                  <w:pPr>
                    <w:pStyle w:val="53"/>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备注</w:t>
                  </w:r>
                  <w:r>
                    <w:rPr>
                      <w:rFonts w:hint="default" w:ascii="Times New Roman" w:hAnsi="Times New Roman" w:cs="Times New Roman"/>
                      <w:position w:val="11"/>
                      <w:sz w:val="21"/>
                      <w:szCs w:val="21"/>
                    </w:rPr>
                    <w:t>【</w:t>
                  </w:r>
                  <w:r>
                    <w:rPr>
                      <w:rFonts w:hint="default" w:ascii="Times New Roman" w:hAnsi="Times New Roman" w:cs="Times New Roman"/>
                      <w:position w:val="10"/>
                      <w:sz w:val="21"/>
                      <w:szCs w:val="21"/>
                      <w:lang w:val="en-US" w:eastAsia="zh-CN"/>
                    </w:rPr>
                    <w:t>5</w:t>
                  </w:r>
                  <w:r>
                    <w:rPr>
                      <w:rFonts w:hint="default" w:ascii="Times New Roman" w:hAnsi="Times New Roman" w:cs="Times New Roman"/>
                      <w:position w:val="11"/>
                      <w:sz w:val="21"/>
                      <w:szCs w:val="21"/>
                    </w:rPr>
                    <w:t>】</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确定生物质发电锅炉基准含氧量按6%计；</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default" w:ascii="Times New Roman" w:hAnsi="Times New Roman" w:eastAsia="宋体" w:cs="Times New Roman"/>
                      <w:b w:val="0"/>
                      <w:bCs w:val="0"/>
                      <w:kern w:val="0"/>
                      <w:sz w:val="21"/>
                      <w:szCs w:val="21"/>
                      <w:u w:val="none"/>
                      <w:lang w:val="en-US" w:eastAsia="zh-CN"/>
                    </w:rPr>
                  </w:pPr>
                  <w:r>
                    <w:rPr>
                      <w:rFonts w:hint="default" w:ascii="Times New Roman" w:hAnsi="Times New Roman" w:cs="Times New Roman"/>
                      <w:sz w:val="21"/>
                      <w:szCs w:val="21"/>
                    </w:rPr>
                    <w:t>备注</w:t>
                  </w:r>
                  <w:r>
                    <w:rPr>
                      <w:rFonts w:hint="default" w:ascii="Times New Roman" w:hAnsi="Times New Roman" w:cs="Times New Roman"/>
                      <w:position w:val="11"/>
                      <w:sz w:val="21"/>
                      <w:szCs w:val="21"/>
                    </w:rPr>
                    <w:t>【</w:t>
                  </w:r>
                  <w:r>
                    <w:rPr>
                      <w:rFonts w:hint="default" w:ascii="Times New Roman" w:hAnsi="Times New Roman" w:cs="Times New Roman"/>
                      <w:position w:val="10"/>
                      <w:sz w:val="21"/>
                      <w:szCs w:val="21"/>
                      <w:lang w:val="en-US" w:eastAsia="zh-CN"/>
                    </w:rPr>
                    <w:t>6</w:t>
                  </w:r>
                  <w:r>
                    <w:rPr>
                      <w:rFonts w:hint="default" w:ascii="Times New Roman" w:hAnsi="Times New Roman" w:cs="Times New Roman"/>
                      <w:position w:val="11"/>
                      <w:sz w:val="21"/>
                      <w:szCs w:val="21"/>
                    </w:rPr>
                    <w:t>】</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主要排放口按照《排污许可证申请与核发技术规范XX工业》确定</w:t>
                  </w:r>
                  <w:r>
                    <w:rPr>
                      <w:rFonts w:hint="default" w:ascii="Times New Roman" w:hAnsi="Times New Roman" w:cs="Times New Roman"/>
                      <w:sz w:val="21"/>
                      <w:szCs w:val="21"/>
                    </w:rPr>
                    <w:t>。</w:t>
                  </w:r>
                </w:p>
              </w:tc>
            </w:tr>
          </w:tbl>
          <w:p>
            <w:pPr>
              <w:pStyle w:val="9"/>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b w:val="0"/>
                <w:bCs w:val="0"/>
                <w:color w:val="000000" w:themeColor="text1"/>
                <w:u w:val="none"/>
                <w:shd w:val="clear" w:color="FFFFFF" w:fill="D9D9D9"/>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b w:val="0"/>
                <w:bCs w:val="0"/>
                <w:color w:val="000000" w:themeColor="text1"/>
                <w:u w:val="none"/>
                <w:shd w:val="clear" w:color="FFFFFF" w:fill="D9D9D9"/>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b w:val="0"/>
                <w:bCs w:val="0"/>
                <w:color w:val="000000" w:themeColor="text1"/>
                <w:u w:val="none"/>
                <w:shd w:val="clear" w:color="FFFFFF" w:fill="D9D9D9"/>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b w:val="0"/>
                <w:bCs w:val="0"/>
                <w:color w:val="000000" w:themeColor="text1"/>
                <w:u w:val="none"/>
                <w:shd w:val="clear" w:color="FFFFFF" w:fill="D9D9D9"/>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b w:val="0"/>
                <w:bCs w:val="0"/>
                <w:color w:val="000000" w:themeColor="text1"/>
                <w:u w:val="none"/>
                <w:shd w:val="clear" w:color="FFFFFF" w:fill="D9D9D9"/>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b w:val="0"/>
                <w:bCs w:val="0"/>
                <w:color w:val="000000" w:themeColor="text1"/>
                <w:u w:val="none"/>
                <w:shd w:val="clear" w:color="FFFFFF" w:fill="D9D9D9"/>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b w:val="0"/>
                <w:bCs w:val="0"/>
                <w:color w:val="000000" w:themeColor="text1"/>
                <w:u w:val="none"/>
                <w:shd w:val="clear" w:color="FFFFFF" w:fill="D9D9D9"/>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b w:val="0"/>
                <w:bCs w:val="0"/>
                <w:color w:val="000000" w:themeColor="text1"/>
                <w:u w:val="none"/>
                <w:shd w:val="clear" w:color="FFFFFF" w:fill="D9D9D9"/>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b w:val="0"/>
                <w:bCs w:val="0"/>
                <w:color w:val="000000" w:themeColor="text1"/>
                <w:u w:val="none"/>
                <w:shd w:val="clear" w:color="FFFFFF" w:fill="D9D9D9"/>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b w:val="0"/>
                <w:bCs w:val="0"/>
                <w:color w:val="000000" w:themeColor="text1"/>
                <w:u w:val="none"/>
                <w:shd w:val="clear" w:color="FFFFFF" w:fill="D9D9D9"/>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b w:val="0"/>
                <w:bCs w:val="0"/>
                <w:color w:val="000000" w:themeColor="text1"/>
                <w:u w:val="none"/>
                <w:shd w:val="clear" w:color="FFFFFF" w:fill="D9D9D9"/>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b w:val="0"/>
                <w:bCs w:val="0"/>
                <w:color w:val="000000" w:themeColor="text1"/>
                <w:u w:val="none"/>
                <w:shd w:val="clear" w:color="FFFFFF" w:fill="D9D9D9"/>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b w:val="0"/>
                <w:bCs w:val="0"/>
                <w:color w:val="000000" w:themeColor="text1"/>
                <w:u w:val="none"/>
                <w:shd w:val="clear" w:color="FFFFFF" w:fill="D9D9D9"/>
                <w14:textFill>
                  <w14:solidFill>
                    <w14:schemeClr w14:val="tx1"/>
                  </w14:solidFill>
                </w14:textFill>
              </w:rPr>
            </w:pPr>
          </w:p>
          <w:p>
            <w:pPr>
              <w:pStyle w:val="3"/>
              <w:ind w:left="0" w:leftChars="0" w:firstLine="0" w:firstLineChars="0"/>
              <w:rPr>
                <w:vertAlign w:val="baseline"/>
              </w:rPr>
            </w:pPr>
          </w:p>
        </w:tc>
      </w:tr>
    </w:tbl>
    <w:p>
      <w:pPr>
        <w:pStyle w:val="3"/>
        <w:sectPr>
          <w:footerReference r:id="rId4" w:type="default"/>
          <w:pgSz w:w="16838" w:h="11906" w:orient="landscape"/>
          <w:pgMar w:top="1531" w:right="1701" w:bottom="1531" w:left="1701" w:header="851" w:footer="1077" w:gutter="0"/>
          <w:pgBorders>
            <w:top w:val="none" w:sz="0" w:space="0"/>
            <w:left w:val="none" w:sz="0" w:space="0"/>
            <w:bottom w:val="none" w:sz="0" w:space="0"/>
            <w:right w:val="none" w:sz="0" w:space="0"/>
          </w:pgBorders>
          <w:pgNumType w:fmt="decimal" w:start="13"/>
          <w:cols w:space="720" w:num="1"/>
          <w:docGrid w:linePitch="312" w:charSpace="0"/>
        </w:sectPr>
      </w:pPr>
    </w:p>
    <w:p>
      <w:pPr>
        <w:pStyle w:val="23"/>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二、建设项目工程分析</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3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3" w:type="dxa"/>
            <w:vAlign w:val="center"/>
          </w:tcPr>
          <w:p>
            <w:pPr>
              <w:pStyle w:val="23"/>
              <w:adjustRightInd w:val="0"/>
              <w:snapToGrid w:val="0"/>
              <w:spacing w:before="0" w:beforeAutospacing="0" w:after="0" w:afterAutospacing="0"/>
              <w:jc w:val="center"/>
              <w:rPr>
                <w:rFonts w:ascii="Times New Roman" w:hAnsi="Times New Roman"/>
                <w:color w:val="FF0000"/>
                <w:sz w:val="21"/>
                <w:szCs w:val="21"/>
              </w:rPr>
            </w:pPr>
            <w:r>
              <w:rPr>
                <w:rFonts w:ascii="Times New Roman" w:hAnsi="Times New Roman"/>
                <w:color w:val="000000" w:themeColor="text1"/>
                <w:sz w:val="24"/>
                <w:szCs w:val="24"/>
                <w14:textFill>
                  <w14:solidFill>
                    <w14:schemeClr w14:val="tx1"/>
                  </w14:solidFill>
                </w14:textFill>
              </w:rPr>
              <w:t>建设内容</w:t>
            </w:r>
          </w:p>
        </w:tc>
        <w:tc>
          <w:tcPr>
            <w:tcW w:w="8357" w:type="dxa"/>
          </w:tcPr>
          <w:p>
            <w:pPr>
              <w:adjustRightInd w:val="0"/>
              <w:snapToGrid w:val="0"/>
              <w:spacing w:line="360" w:lineRule="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1、项目由来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河南豫德玛医疗器械有限公司</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位于洛阳市偃师区</w:t>
            </w:r>
            <w:r>
              <w:rPr>
                <w:rFonts w:hint="default" w:ascii="Times New Roman" w:hAnsi="Times New Roman" w:eastAsia="宋体" w:cs="Times New Roman"/>
                <w:color w:val="000000" w:themeColor="text1"/>
                <w:sz w:val="24"/>
                <w:szCs w:val="24"/>
                <w14:textFill>
                  <w14:solidFill>
                    <w14:schemeClr w14:val="tx1"/>
                  </w14:solidFill>
                </w14:textFill>
              </w:rPr>
              <w:t>大口镇后周村</w:t>
            </w: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企业</w:t>
            </w:r>
            <w:r>
              <w:rPr>
                <w:rFonts w:hint="default" w:ascii="Times New Roman" w:hAnsi="Times New Roman" w:eastAsia="宋体" w:cs="Times New Roman"/>
                <w:color w:val="000000" w:themeColor="text1"/>
                <w:sz w:val="24"/>
                <w:szCs w:val="24"/>
                <w14:textFill>
                  <w14:solidFill>
                    <w14:schemeClr w14:val="tx1"/>
                  </w14:solidFill>
                </w14:textFill>
              </w:rPr>
              <w:t>拟投资50万元</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建设年产1.5万套医疗器械项目</w:t>
            </w:r>
            <w:r>
              <w:rPr>
                <w:rFonts w:hint="default" w:ascii="Times New Roman" w:hAnsi="Times New Roman" w:eastAsia="宋体" w:cs="Times New Roman"/>
                <w:color w:val="000000" w:themeColor="text1"/>
                <w:sz w:val="24"/>
                <w:szCs w:val="24"/>
                <w14:textFill>
                  <w14:solidFill>
                    <w14:schemeClr w14:val="tx1"/>
                  </w14:solidFill>
                </w14:textFill>
              </w:rPr>
              <w:t>。生产工艺为外购原料经剪切、冲压、折弯、焊接、</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人工打磨、</w:t>
            </w:r>
            <w:r>
              <w:rPr>
                <w:rFonts w:hint="default" w:ascii="Times New Roman" w:hAnsi="Times New Roman" w:eastAsia="宋体" w:cs="Times New Roman"/>
                <w:color w:val="000000" w:themeColor="text1"/>
                <w:sz w:val="24"/>
                <w:szCs w:val="24"/>
                <w14:textFill>
                  <w14:solidFill>
                    <w14:schemeClr w14:val="tx1"/>
                  </w14:solidFill>
                </w14:textFill>
              </w:rPr>
              <w:t>喷塑、固化</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组装</w:t>
            </w:r>
            <w:r>
              <w:rPr>
                <w:rFonts w:hint="default" w:ascii="Times New Roman" w:hAnsi="Times New Roman" w:eastAsia="宋体" w:cs="Times New Roman"/>
                <w:color w:val="000000" w:themeColor="text1"/>
                <w:sz w:val="24"/>
                <w:szCs w:val="24"/>
                <w14:textFill>
                  <w14:solidFill>
                    <w14:schemeClr w14:val="tx1"/>
                  </w14:solidFill>
                </w14:textFill>
              </w:rPr>
              <w:t>即为成品</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成品包装后入库待售</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s="Times New Roman"/>
                <w:b/>
                <w:bCs w:val="0"/>
                <w:i w:val="0"/>
                <w:i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bCs w:val="0"/>
                <w:i w:val="0"/>
                <w:iCs w:val="0"/>
                <w:color w:val="000000" w:themeColor="text1"/>
                <w:sz w:val="24"/>
                <w:szCs w:val="24"/>
                <w:highlight w:val="none"/>
                <w:u w:val="single"/>
                <w14:textFill>
                  <w14:solidFill>
                    <w14:schemeClr w14:val="tx1"/>
                  </w14:solidFill>
                </w14:textFill>
              </w:rPr>
              <w:t>河南豫德玛医疗器械有限公司</w:t>
            </w:r>
            <w:r>
              <w:rPr>
                <w:rFonts w:hint="eastAsia" w:ascii="Times New Roman" w:hAnsi="Times New Roman" w:eastAsia="宋体" w:cs="Times New Roman"/>
                <w:b/>
                <w:bCs w:val="0"/>
                <w:color w:val="000000" w:themeColor="text1"/>
                <w:sz w:val="24"/>
                <w:szCs w:val="24"/>
                <w:highlight w:val="none"/>
                <w:u w:val="single"/>
                <w:lang w:val="en-US" w:eastAsia="zh-CN"/>
                <w14:textFill>
                  <w14:solidFill>
                    <w14:schemeClr w14:val="tx1"/>
                  </w14:solidFill>
                </w14:textFill>
              </w:rPr>
              <w:t>年产1.5万套医疗器械项目</w:t>
            </w:r>
            <w:r>
              <w:rPr>
                <w:rFonts w:hint="default" w:ascii="Times New Roman" w:hAnsi="Times New Roman" w:eastAsia="宋体" w:cs="Times New Roman"/>
                <w:b/>
                <w:bCs w:val="0"/>
                <w:i w:val="0"/>
                <w:iCs w:val="0"/>
                <w:color w:val="000000" w:themeColor="text1"/>
                <w:sz w:val="24"/>
                <w:szCs w:val="24"/>
                <w:highlight w:val="none"/>
                <w:u w:val="single"/>
                <w14:textFill>
                  <w14:solidFill>
                    <w14:schemeClr w14:val="tx1"/>
                  </w14:solidFill>
                </w14:textFill>
              </w:rPr>
              <w:t>租赁洛阳艾科堡实业有限公司</w:t>
            </w:r>
            <w:r>
              <w:rPr>
                <w:rFonts w:hint="eastAsia" w:cs="Times New Roman"/>
                <w:b/>
                <w:bCs w:val="0"/>
                <w:i w:val="0"/>
                <w:iCs w:val="0"/>
                <w:color w:val="000000" w:themeColor="text1"/>
                <w:sz w:val="24"/>
                <w:szCs w:val="24"/>
                <w:highlight w:val="none"/>
                <w:u w:val="single"/>
                <w:lang w:val="en-US" w:eastAsia="zh-CN"/>
                <w14:textFill>
                  <w14:solidFill>
                    <w14:schemeClr w14:val="tx1"/>
                  </w14:solidFill>
                </w14:textFill>
              </w:rPr>
              <w:t>已建</w:t>
            </w:r>
            <w:r>
              <w:rPr>
                <w:rFonts w:hint="default" w:ascii="Times New Roman" w:hAnsi="Times New Roman" w:eastAsia="宋体" w:cs="Times New Roman"/>
                <w:b/>
                <w:bCs w:val="0"/>
                <w:i w:val="0"/>
                <w:iCs w:val="0"/>
                <w:color w:val="000000" w:themeColor="text1"/>
                <w:sz w:val="24"/>
                <w:szCs w:val="24"/>
                <w:highlight w:val="none"/>
                <w:u w:val="single"/>
                <w14:textFill>
                  <w14:solidFill>
                    <w14:schemeClr w14:val="tx1"/>
                  </w14:solidFill>
                </w14:textFill>
              </w:rPr>
              <w:t>生产车间，该车间原用于</w:t>
            </w:r>
            <w:r>
              <w:rPr>
                <w:rFonts w:hint="default" w:ascii="Times New Roman" w:hAnsi="Times New Roman" w:eastAsia="宋体" w:cs="Times New Roman"/>
                <w:b/>
                <w:bCs w:val="0"/>
                <w:i w:val="0"/>
                <w:iCs w:val="0"/>
                <w:color w:val="000000" w:themeColor="text1"/>
                <w:sz w:val="24"/>
                <w:szCs w:val="24"/>
                <w:highlight w:val="none"/>
                <w:u w:val="single"/>
                <w:lang w:val="en-US" w:eastAsia="zh-CN"/>
                <w14:textFill>
                  <w14:solidFill>
                    <w14:schemeClr w14:val="tx1"/>
                  </w14:solidFill>
                </w14:textFill>
              </w:rPr>
              <w:t>钢制家具的生产</w:t>
            </w:r>
            <w:r>
              <w:rPr>
                <w:rFonts w:hint="eastAsia" w:cs="Times New Roman"/>
                <w:b/>
                <w:bCs w:val="0"/>
                <w:i w:val="0"/>
                <w:iCs w:val="0"/>
                <w:color w:val="000000" w:themeColor="text1"/>
                <w:sz w:val="24"/>
                <w:szCs w:val="24"/>
                <w:highlight w:val="none"/>
                <w:u w:val="single"/>
                <w:lang w:val="en-US" w:eastAsia="zh-CN"/>
                <w14:textFill>
                  <w14:solidFill>
                    <w14:schemeClr w14:val="tx1"/>
                  </w14:solidFill>
                </w14:textFill>
              </w:rPr>
              <w:t>，且洛阳艾科堡实业有限公司年产8万套钢制办公家具项目已于2022年8月17日取得审批手续，批复文号为偃环监表[2022]102号（详见附件6），且该项目已于2023年3月1日取得了固定污染源排污登记回执，登记编号为：91410381MA452F385R001Z（详见附件7）。由于市场经济以及企业自身经济状况原因，洛阳艾科堡实业有限公司原计划建设的产能降低，闲置车间对外出租。</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val="0"/>
                <w:bCs/>
                <w:i w:val="0"/>
                <w:iCs w:val="0"/>
                <w:color w:val="000000" w:themeColor="text1"/>
                <w:sz w:val="24"/>
                <w:szCs w:val="24"/>
                <w:highlight w:val="yellow"/>
                <w:u w:val="none"/>
                <w:lang w:val="en-US" w:eastAsia="zh-CN"/>
                <w14:textFill>
                  <w14:solidFill>
                    <w14:schemeClr w14:val="tx1"/>
                  </w14:solidFill>
                </w14:textFill>
              </w:rPr>
            </w:pPr>
            <w:r>
              <w:rPr>
                <w:rFonts w:hint="eastAsia" w:cs="Times New Roman"/>
                <w:b/>
                <w:bCs w:val="0"/>
                <w:i w:val="0"/>
                <w:iCs w:val="0"/>
                <w:color w:val="000000" w:themeColor="text1"/>
                <w:sz w:val="24"/>
                <w:szCs w:val="24"/>
                <w:highlight w:val="none"/>
                <w:u w:val="single"/>
                <w:lang w:val="en-US" w:eastAsia="zh-CN"/>
                <w14:textFill>
                  <w14:solidFill>
                    <w14:schemeClr w14:val="tx1"/>
                  </w14:solidFill>
                </w14:textFill>
              </w:rPr>
              <w:t>本项目租赁内容包含生产车间1座面积为3569m</w:t>
            </w:r>
            <w:r>
              <w:rPr>
                <w:rFonts w:hint="eastAsia" w:cs="Times New Roman"/>
                <w:b/>
                <w:bCs w:val="0"/>
                <w:i w:val="0"/>
                <w:iCs w:val="0"/>
                <w:color w:val="000000" w:themeColor="text1"/>
                <w:sz w:val="24"/>
                <w:szCs w:val="24"/>
                <w:highlight w:val="none"/>
                <w:u w:val="single"/>
                <w:vertAlign w:val="superscript"/>
                <w:lang w:val="en-US" w:eastAsia="zh-CN"/>
                <w14:textFill>
                  <w14:solidFill>
                    <w14:schemeClr w14:val="tx1"/>
                  </w14:solidFill>
                </w14:textFill>
              </w:rPr>
              <w:t>2</w:t>
            </w:r>
            <w:r>
              <w:rPr>
                <w:rFonts w:hint="eastAsia" w:cs="Times New Roman"/>
                <w:b/>
                <w:bCs w:val="0"/>
                <w:i w:val="0"/>
                <w:iCs w:val="0"/>
                <w:color w:val="000000" w:themeColor="text1"/>
                <w:sz w:val="24"/>
                <w:szCs w:val="24"/>
                <w:highlight w:val="none"/>
                <w:u w:val="single"/>
                <w:lang w:val="en-US" w:eastAsia="zh-CN"/>
                <w14:textFill>
                  <w14:solidFill>
                    <w14:schemeClr w14:val="tx1"/>
                  </w14:solidFill>
                </w14:textFill>
              </w:rPr>
              <w:t>，车间内已建设的喷粉间+固化道1套、激光切割机1台、冲床2台，本次技改依托洛阳艾科堡实业有限公司环评手续，在此基础上进行技改（仅针对租赁车间进行技改），技改内容主要为产品方案由钢制办公家具变更为医疗器械（普通病床及中药柜），相关生产设备数量增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color w:val="000000" w:themeColor="text1"/>
                <w:sz w:val="24"/>
                <w:szCs w:val="24"/>
                <w:u w:val="single"/>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根据《中华人民共和国环境保护法》、《中华人民共和国环境影响评价法》等的规定和要求，本项目需进行环境影响评价。根据《建设项目环境影响评价分类管理名录》（2021年版），</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本项目类别为</w:t>
            </w:r>
            <w:r>
              <w:rPr>
                <w:rFonts w:hint="default" w:ascii="Times New Roman" w:hAnsi="Times New Roman" w:eastAsia="宋体" w:cs="Times New Roman"/>
                <w:bCs/>
                <w:color w:val="000000" w:themeColor="text1"/>
                <w:sz w:val="24"/>
                <w:szCs w:val="24"/>
                <w:highlight w:val="none"/>
                <w14:textFill>
                  <w14:solidFill>
                    <w14:schemeClr w14:val="tx1"/>
                  </w14:solidFill>
                </w14:textFill>
              </w:rPr>
              <w:t>“</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三十二</w:t>
            </w:r>
            <w:r>
              <w:rPr>
                <w:rFonts w:hint="default" w:ascii="Times New Roman" w:hAnsi="Times New Roman" w:eastAsia="宋体" w:cs="Times New Roman"/>
                <w:bCs/>
                <w:color w:val="000000" w:themeColor="text1"/>
                <w:sz w:val="24"/>
                <w:szCs w:val="24"/>
                <w:highlight w:val="none"/>
                <w14:textFill>
                  <w14:solidFill>
                    <w14:schemeClr w14:val="tx1"/>
                  </w14:solidFill>
                </w14:textFill>
              </w:rPr>
              <w:t>、</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专用设备制造业35</w:t>
            </w:r>
            <w:r>
              <w:rPr>
                <w:rFonts w:hint="default" w:ascii="Times New Roman" w:hAnsi="Times New Roman" w:eastAsia="宋体" w:cs="Times New Roman"/>
                <w:bCs/>
                <w:color w:val="000000" w:themeColor="text1"/>
                <w:sz w:val="24"/>
                <w:szCs w:val="24"/>
                <w:highlight w:val="none"/>
                <w14:textFill>
                  <w14:solidFill>
                    <w14:schemeClr w14:val="tx1"/>
                  </w14:solidFill>
                </w14:textFill>
              </w:rPr>
              <w:t>”</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中</w:t>
            </w:r>
            <w:r>
              <w:rPr>
                <w:rFonts w:hint="default" w:ascii="Times New Roman" w:hAnsi="Times New Roman" w:eastAsia="宋体" w:cs="Times New Roman"/>
                <w:bCs/>
                <w:color w:val="000000" w:themeColor="text1"/>
                <w:sz w:val="24"/>
                <w:szCs w:val="24"/>
                <w:highlight w:val="none"/>
                <w14:textFill>
                  <w14:solidFill>
                    <w14:schemeClr w14:val="tx1"/>
                  </w14:solidFill>
                </w14:textFill>
              </w:rPr>
              <w:t>“</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医疗仪器设备及器械制造358</w:t>
            </w:r>
            <w:r>
              <w:rPr>
                <w:rFonts w:hint="default" w:ascii="Times New Roman" w:hAnsi="Times New Roman" w:eastAsia="宋体" w:cs="Times New Roman"/>
                <w:bCs/>
                <w:color w:val="000000" w:themeColor="text1"/>
                <w:sz w:val="24"/>
                <w:szCs w:val="24"/>
                <w:highlight w:val="none"/>
                <w14:textFill>
                  <w14:solidFill>
                    <w14:schemeClr w14:val="tx1"/>
                  </w14:solidFill>
                </w14:textFill>
              </w:rPr>
              <w:t>”</w:t>
            </w: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其中“有电镀工艺的；年用溶剂型涂料（含稀释剂）10吨及以上的”应编制环境影响评价报告书，“其他（仅分割、焊接、组装的除外；年用非溶剂型低VOCs含量涂料10吨以下的除外）”应编制环境影响评价报告表，本项目属于“其他”，</w:t>
            </w:r>
            <w:r>
              <w:rPr>
                <w:rFonts w:hint="default" w:ascii="Times New Roman" w:hAnsi="Times New Roman" w:eastAsia="宋体" w:cs="Times New Roman"/>
                <w:bCs/>
                <w:color w:val="000000" w:themeColor="text1"/>
                <w:kern w:val="28"/>
                <w:sz w:val="24"/>
                <w:szCs w:val="24"/>
                <w:highlight w:val="none"/>
                <w14:textFill>
                  <w14:solidFill>
                    <w14:schemeClr w14:val="tx1"/>
                  </w14:solidFill>
                </w14:textFill>
              </w:rPr>
              <w:t>需编</w:t>
            </w:r>
            <w:r>
              <w:rPr>
                <w:rFonts w:hint="default" w:ascii="Times New Roman" w:hAnsi="Times New Roman" w:eastAsia="宋体" w:cs="Times New Roman"/>
                <w:bCs/>
                <w:color w:val="000000" w:themeColor="text1"/>
                <w:kern w:val="28"/>
                <w:sz w:val="24"/>
                <w:szCs w:val="24"/>
                <w14:textFill>
                  <w14:solidFill>
                    <w14:schemeClr w14:val="tx1"/>
                  </w14:solidFill>
                </w14:textFill>
              </w:rPr>
              <w:t>制</w:t>
            </w:r>
            <w:r>
              <w:rPr>
                <w:rFonts w:hint="default" w:ascii="Times New Roman" w:hAnsi="Times New Roman" w:eastAsia="宋体" w:cs="Times New Roman"/>
                <w:b w:val="0"/>
                <w:bCs/>
                <w:color w:val="000000" w:themeColor="text1"/>
                <w:kern w:val="28"/>
                <w:sz w:val="24"/>
                <w:szCs w:val="24"/>
                <w:u w:val="none"/>
                <w14:textFill>
                  <w14:solidFill>
                    <w14:schemeClr w14:val="tx1"/>
                  </w14:solidFill>
                </w14:textFill>
              </w:rPr>
              <w:t>环境影响评价</w:t>
            </w:r>
            <w:r>
              <w:rPr>
                <w:rFonts w:hint="default" w:ascii="Times New Roman" w:hAnsi="Times New Roman" w:eastAsia="宋体" w:cs="Times New Roman"/>
                <w:bCs/>
                <w:color w:val="000000" w:themeColor="text1"/>
                <w:kern w:val="28"/>
                <w:sz w:val="24"/>
                <w:szCs w:val="24"/>
                <w14:textFill>
                  <w14:solidFill>
                    <w14:schemeClr w14:val="tx1"/>
                  </w14:solidFill>
                </w14:textFill>
              </w:rPr>
              <w:t>报告表</w:t>
            </w:r>
            <w:r>
              <w:rPr>
                <w:rFonts w:hint="default" w:ascii="Times New Roman" w:hAnsi="Times New Roman" w:eastAsia="宋体" w:cs="Times New Roman"/>
                <w:b w:val="0"/>
                <w:bCs/>
                <w:color w:val="000000" w:themeColor="text1"/>
                <w:kern w:val="28"/>
                <w:sz w:val="24"/>
                <w:szCs w:val="24"/>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受</w:t>
            </w:r>
            <w:r>
              <w:rPr>
                <w:rFonts w:hint="default" w:ascii="Times New Roman" w:hAnsi="Times New Roman" w:eastAsia="宋体" w:cs="Times New Roman"/>
                <w:color w:val="000000" w:themeColor="text1"/>
                <w:sz w:val="24"/>
                <w:szCs w:val="24"/>
                <w:highlight w:val="none"/>
                <w14:textFill>
                  <w14:solidFill>
                    <w14:schemeClr w14:val="tx1"/>
                  </w14:solidFill>
                </w14:textFill>
              </w:rPr>
              <w:t>河南豫德玛医疗器械有限公司</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委托（</w:t>
            </w:r>
            <w:r>
              <w:rPr>
                <w:rFonts w:hint="default" w:ascii="Times New Roman" w:hAnsi="Times New Roman" w:eastAsia="宋体" w:cs="Times New Roman"/>
                <w:color w:val="000000" w:themeColor="text1"/>
                <w:sz w:val="24"/>
                <w:szCs w:val="24"/>
                <w14:textFill>
                  <w14:solidFill>
                    <w14:schemeClr w14:val="tx1"/>
                  </w14:solidFill>
                </w14:textFill>
              </w:rPr>
              <w:t>委托书详见附件1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我公司承担了该项目的环境影响评价工作。接受委托后，组织人员对项目</w:t>
            </w:r>
            <w:r>
              <w:rPr>
                <w:rFonts w:hint="eastAsia" w:cs="Times New Roman"/>
                <w:color w:val="000000" w:themeColor="text1"/>
                <w:sz w:val="24"/>
                <w:szCs w:val="24"/>
                <w:lang w:val="en-US" w:eastAsia="zh-CN"/>
                <w14:textFill>
                  <w14:solidFill>
                    <w14:schemeClr w14:val="tx1"/>
                  </w14:solidFill>
                </w14:textFill>
              </w:rPr>
              <w:t>厂</w:t>
            </w:r>
            <w:r>
              <w:rPr>
                <w:rFonts w:hint="default" w:ascii="Times New Roman" w:hAnsi="Times New Roman" w:eastAsia="宋体" w:cs="Times New Roman"/>
                <w:color w:val="000000" w:themeColor="text1"/>
                <w:sz w:val="24"/>
                <w:szCs w:val="24"/>
                <w14:textFill>
                  <w14:solidFill>
                    <w14:schemeClr w14:val="tx1"/>
                  </w14:solidFill>
                </w14:textFill>
              </w:rPr>
              <w:t>区进行了现场踏勘，在了解区域环境现状，对建设项目进行充分分析的基础上，根据国家和地方环保法规标准和环境影响评价技术导则相关要求，编制完成</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本项目的环境影响评价报告表</w:t>
            </w:r>
            <w:r>
              <w:rPr>
                <w:rFonts w:hint="default" w:ascii="Times New Roman" w:hAnsi="Times New Roman" w:eastAsia="宋体" w:cs="Times New Roman"/>
                <w:color w:val="000000" w:themeColor="text1"/>
                <w:sz w:val="24"/>
                <w:szCs w:val="24"/>
                <w14:textFill>
                  <w14:solidFill>
                    <w14:schemeClr w14:val="tx1"/>
                  </w14:solidFill>
                </w14:textFill>
              </w:rPr>
              <w:t>。</w:t>
            </w:r>
          </w:p>
          <w:p>
            <w:pPr>
              <w:adjustRightInd w:val="0"/>
              <w:snapToGrid w:val="0"/>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w:t>
            </w:r>
            <w:r>
              <w:rPr>
                <w:b/>
                <w:color w:val="000000" w:themeColor="text1"/>
                <w:sz w:val="24"/>
                <w:szCs w:val="24"/>
                <w14:textFill>
                  <w14:solidFill>
                    <w14:schemeClr w14:val="tx1"/>
                  </w14:solidFill>
                </w14:textFill>
              </w:rPr>
              <w:t>、项目</w:t>
            </w:r>
            <w:r>
              <w:rPr>
                <w:rFonts w:hint="eastAsia"/>
                <w:b/>
                <w:color w:val="000000" w:themeColor="text1"/>
                <w:sz w:val="24"/>
                <w:szCs w:val="24"/>
                <w14:textFill>
                  <w14:solidFill>
                    <w14:schemeClr w14:val="tx1"/>
                  </w14:solidFill>
                </w14:textFill>
              </w:rPr>
              <w:t>建设地点及周边环境概况</w:t>
            </w:r>
          </w:p>
          <w:p>
            <w:pPr>
              <w:adjustRightInd w:val="0"/>
              <w:snapToGrid w:val="0"/>
              <w:spacing w:line="360" w:lineRule="auto"/>
              <w:ind w:firstLine="480" w:firstLineChars="200"/>
              <w:rPr>
                <w:b/>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本项目位于洛阳市偃师</w:t>
            </w:r>
            <w:r>
              <w:rPr>
                <w:rFonts w:hint="eastAsia"/>
                <w:color w:val="000000" w:themeColor="text1"/>
                <w:sz w:val="24"/>
                <w:szCs w:val="24"/>
                <w:lang w:val="en-US" w:eastAsia="zh-CN"/>
                <w14:textFill>
                  <w14:solidFill>
                    <w14:schemeClr w14:val="tx1"/>
                  </w14:solidFill>
                </w14:textFill>
              </w:rPr>
              <w:t>区</w:t>
            </w:r>
            <w:r>
              <w:rPr>
                <w:rFonts w:hint="eastAsia"/>
                <w:color w:val="000000" w:themeColor="text1"/>
                <w:sz w:val="24"/>
                <w:szCs w:val="24"/>
                <w14:textFill>
                  <w14:solidFill>
                    <w14:schemeClr w14:val="tx1"/>
                  </w14:solidFill>
                </w14:textFill>
              </w:rPr>
              <w:t>大口镇后周村，</w:t>
            </w:r>
            <w:r>
              <w:rPr>
                <w:color w:val="000000" w:themeColor="text1"/>
                <w:sz w:val="24"/>
                <w:szCs w:val="24"/>
                <w14:textFill>
                  <w14:solidFill>
                    <w14:schemeClr w14:val="tx1"/>
                  </w14:solidFill>
                </w14:textFill>
              </w:rPr>
              <w:t>租用</w:t>
            </w:r>
            <w:r>
              <w:rPr>
                <w:rFonts w:hint="eastAsia"/>
                <w:color w:val="000000" w:themeColor="text1"/>
                <w:sz w:val="24"/>
                <w:szCs w:val="24"/>
                <w14:textFill>
                  <w14:solidFill>
                    <w14:schemeClr w14:val="tx1"/>
                  </w14:solidFill>
                </w14:textFill>
              </w:rPr>
              <w:t>洛阳艾科堡实业有限公司</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公司法人为孙少辉</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的闲置厂房</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租赁协议见附件</w:t>
            </w:r>
            <w:r>
              <w:rPr>
                <w:rFonts w:hint="eastAsia"/>
                <w:color w:val="000000" w:themeColor="text1"/>
                <w:sz w:val="24"/>
                <w:szCs w:val="24"/>
                <w:lang w:val="en-US" w:eastAsia="zh-CN"/>
                <w14:textFill>
                  <w14:solidFill>
                    <w14:schemeClr w14:val="tx1"/>
                  </w14:solidFill>
                </w14:textFill>
              </w:rPr>
              <w:t>3。</w:t>
            </w:r>
            <w:r>
              <w:rPr>
                <w:bCs/>
                <w:color w:val="000000" w:themeColor="text1"/>
                <w:sz w:val="24"/>
                <w:szCs w:val="24"/>
                <w14:textFill>
                  <w14:solidFill>
                    <w14:schemeClr w14:val="tx1"/>
                  </w14:solidFill>
                </w14:textFill>
              </w:rPr>
              <w:t>根据</w:t>
            </w:r>
            <w:r>
              <w:rPr>
                <w:rFonts w:hint="eastAsia"/>
                <w:bCs/>
                <w:color w:val="000000" w:themeColor="text1"/>
                <w:sz w:val="24"/>
                <w:szCs w:val="24"/>
                <w14:textFill>
                  <w14:solidFill>
                    <w14:schemeClr w14:val="tx1"/>
                  </w14:solidFill>
                </w14:textFill>
              </w:rPr>
              <w:t>洛阳市</w:t>
            </w:r>
            <w:r>
              <w:rPr>
                <w:bCs/>
                <w:color w:val="000000" w:themeColor="text1"/>
                <w:sz w:val="24"/>
                <w:szCs w:val="24"/>
                <w14:textFill>
                  <w14:solidFill>
                    <w14:schemeClr w14:val="tx1"/>
                  </w14:solidFill>
                </w14:textFill>
              </w:rPr>
              <w:t>自然资源和规划局偃师</w:t>
            </w:r>
            <w:r>
              <w:rPr>
                <w:rFonts w:hint="eastAsia"/>
                <w:bCs/>
                <w:color w:val="000000" w:themeColor="text1"/>
                <w:sz w:val="24"/>
                <w:szCs w:val="24"/>
                <w14:textFill>
                  <w14:solidFill>
                    <w14:schemeClr w14:val="tx1"/>
                  </w14:solidFill>
                </w14:textFill>
              </w:rPr>
              <w:t>分局</w:t>
            </w:r>
            <w:r>
              <w:rPr>
                <w:bCs/>
                <w:color w:val="000000" w:themeColor="text1"/>
                <w:sz w:val="24"/>
                <w:szCs w:val="24"/>
                <w14:textFill>
                  <w14:solidFill>
                    <w14:schemeClr w14:val="tx1"/>
                  </w14:solidFill>
                </w14:textFill>
              </w:rPr>
              <w:t>出具的文件，项目用地为</w:t>
            </w:r>
            <w:r>
              <w:rPr>
                <w:rFonts w:hint="eastAsia"/>
                <w:bCs/>
                <w:color w:val="000000" w:themeColor="text1"/>
                <w:sz w:val="24"/>
                <w:szCs w:val="24"/>
                <w14:textFill>
                  <w14:solidFill>
                    <w14:schemeClr w14:val="tx1"/>
                  </w14:solidFill>
                </w14:textFill>
              </w:rPr>
              <w:t>工业</w:t>
            </w:r>
            <w:r>
              <w:rPr>
                <w:bCs/>
                <w:color w:val="000000" w:themeColor="text1"/>
                <w:sz w:val="24"/>
                <w:szCs w:val="24"/>
                <w14:textFill>
                  <w14:solidFill>
                    <w14:schemeClr w14:val="tx1"/>
                  </w14:solidFill>
                </w14:textFill>
              </w:rPr>
              <w:t>用地，符合规划要求</w:t>
            </w:r>
            <w:r>
              <w:rPr>
                <w:rFonts w:hint="eastAsia"/>
                <w:bCs/>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土地</w:t>
            </w:r>
            <w:r>
              <w:rPr>
                <w:color w:val="000000" w:themeColor="text1"/>
                <w:sz w:val="24"/>
                <w:szCs w:val="24"/>
                <w14:textFill>
                  <w14:solidFill>
                    <w14:schemeClr w14:val="tx1"/>
                  </w14:solidFill>
                </w14:textFill>
              </w:rPr>
              <w:t>证</w:t>
            </w:r>
            <w:r>
              <w:rPr>
                <w:rFonts w:hint="eastAsia"/>
                <w:color w:val="000000" w:themeColor="text1"/>
                <w:sz w:val="24"/>
                <w:szCs w:val="24"/>
                <w:lang w:eastAsia="zh-CN"/>
                <w14:textFill>
                  <w14:solidFill>
                    <w14:schemeClr w14:val="tx1"/>
                  </w14:solidFill>
                </w14:textFill>
              </w:rPr>
              <w:t>明</w:t>
            </w:r>
            <w:r>
              <w:rPr>
                <w:color w:val="000000" w:themeColor="text1"/>
                <w:sz w:val="24"/>
                <w:szCs w:val="24"/>
                <w14:textFill>
                  <w14:solidFill>
                    <w14:schemeClr w14:val="tx1"/>
                  </w14:solidFill>
                </w14:textFill>
              </w:rPr>
              <w:t>见附件</w:t>
            </w:r>
            <w:r>
              <w:rPr>
                <w:rFonts w:hint="eastAsia"/>
                <w:color w:val="000000" w:themeColor="text1"/>
                <w:sz w:val="24"/>
                <w:szCs w:val="24"/>
                <w:lang w:val="en-US" w:eastAsia="zh-CN"/>
                <w14:textFill>
                  <w14:solidFill>
                    <w14:schemeClr w14:val="tx1"/>
                  </w14:solidFill>
                </w14:textFill>
              </w:rPr>
              <w:t>4</w:t>
            </w:r>
            <w:r>
              <w:rPr>
                <w:bCs/>
                <w:color w:val="000000" w:themeColor="text1"/>
                <w:sz w:val="24"/>
                <w:szCs w:val="24"/>
                <w14:textFill>
                  <w14:solidFill>
                    <w14:schemeClr w14:val="tx1"/>
                  </w14:solidFill>
                </w14:textFill>
              </w:rPr>
              <w:t>。</w:t>
            </w:r>
          </w:p>
          <w:p>
            <w:pPr>
              <w:adjustRightInd w:val="0"/>
              <w:snapToGrid w:val="0"/>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highlight w:val="none"/>
                <w14:textFill>
                  <w14:solidFill>
                    <w14:schemeClr w14:val="tx1"/>
                  </w14:solidFill>
                </w14:textFill>
              </w:rPr>
              <w:t>项目北侧</w:t>
            </w:r>
            <w:r>
              <w:rPr>
                <w:rFonts w:hint="eastAsia"/>
                <w:bCs/>
                <w:color w:val="000000" w:themeColor="text1"/>
                <w:sz w:val="24"/>
                <w:szCs w:val="24"/>
                <w:highlight w:val="none"/>
                <w:lang w:val="en-US" w:eastAsia="zh-CN"/>
                <w14:textFill>
                  <w14:solidFill>
                    <w14:schemeClr w14:val="tx1"/>
                  </w14:solidFill>
                </w14:textFill>
              </w:rPr>
              <w:t>紧邻洛阳艾科堡实业有限公司，东侧为泓聚德生物有限公司，南侧为河南力峰科技有限公司，西侧为道路。</w:t>
            </w:r>
            <w:r>
              <w:rPr>
                <w:bCs/>
                <w:color w:val="000000" w:themeColor="text1"/>
                <w:sz w:val="24"/>
                <w:szCs w:val="24"/>
                <w:highlight w:val="none"/>
                <w14:textFill>
                  <w14:solidFill>
                    <w14:schemeClr w14:val="tx1"/>
                  </w14:solidFill>
                </w14:textFill>
              </w:rPr>
              <w:t>项目</w:t>
            </w:r>
            <w:r>
              <w:rPr>
                <w:rFonts w:hint="eastAsia"/>
                <w:bCs/>
                <w:color w:val="000000" w:themeColor="text1"/>
                <w:sz w:val="24"/>
                <w:szCs w:val="24"/>
                <w:highlight w:val="none"/>
                <w:lang w:val="en-US" w:eastAsia="zh-CN"/>
                <w14:textFill>
                  <w14:solidFill>
                    <w14:schemeClr w14:val="tx1"/>
                  </w14:solidFill>
                </w14:textFill>
              </w:rPr>
              <w:t>附</w:t>
            </w:r>
            <w:r>
              <w:rPr>
                <w:bCs/>
                <w:color w:val="000000" w:themeColor="text1"/>
                <w:sz w:val="24"/>
                <w:szCs w:val="24"/>
                <w:highlight w:val="none"/>
                <w14:textFill>
                  <w14:solidFill>
                    <w14:schemeClr w14:val="tx1"/>
                  </w14:solidFill>
                </w14:textFill>
              </w:rPr>
              <w:t>近的敏感点为</w:t>
            </w:r>
            <w:r>
              <w:rPr>
                <w:rFonts w:hint="eastAsia"/>
                <w:bCs/>
                <w:color w:val="000000" w:themeColor="text1"/>
                <w:sz w:val="24"/>
                <w:szCs w:val="24"/>
                <w:highlight w:val="none"/>
                <w14:textFill>
                  <w14:solidFill>
                    <w14:schemeClr w14:val="tx1"/>
                  </w14:solidFill>
                </w14:textFill>
              </w:rPr>
              <w:t>西北</w:t>
            </w:r>
            <w:r>
              <w:rPr>
                <w:rFonts w:hint="eastAsia"/>
                <w:bCs/>
                <w:color w:val="000000" w:themeColor="text1"/>
                <w:sz w:val="24"/>
                <w:szCs w:val="24"/>
                <w:highlight w:val="none"/>
                <w:lang w:val="en-US" w:eastAsia="zh-CN"/>
                <w14:textFill>
                  <w14:solidFill>
                    <w14:schemeClr w14:val="tx1"/>
                  </w14:solidFill>
                </w14:textFill>
              </w:rPr>
              <w:t>310</w:t>
            </w:r>
            <w:r>
              <w:rPr>
                <w:rFonts w:hint="eastAsia"/>
                <w:bCs/>
                <w:color w:val="000000" w:themeColor="text1"/>
                <w:sz w:val="24"/>
                <w:szCs w:val="24"/>
                <w:highlight w:val="none"/>
                <w14:textFill>
                  <w14:solidFill>
                    <w14:schemeClr w14:val="tx1"/>
                  </w14:solidFill>
                </w14:textFill>
              </w:rPr>
              <w:t>m处的</w:t>
            </w:r>
            <w:r>
              <w:rPr>
                <w:rFonts w:hint="eastAsia"/>
                <w:bCs/>
                <w:color w:val="000000" w:themeColor="text1"/>
                <w:sz w:val="24"/>
                <w:szCs w:val="24"/>
                <w:highlight w:val="none"/>
                <w:lang w:val="en-US" w:eastAsia="zh-CN"/>
                <w14:textFill>
                  <w14:solidFill>
                    <w14:schemeClr w14:val="tx1"/>
                  </w14:solidFill>
                </w14:textFill>
              </w:rPr>
              <w:t>干</w:t>
            </w:r>
            <w:r>
              <w:rPr>
                <w:rFonts w:hint="eastAsia"/>
                <w:bCs/>
                <w:color w:val="000000" w:themeColor="text1"/>
                <w:sz w:val="24"/>
                <w:szCs w:val="24"/>
                <w:highlight w:val="none"/>
                <w14:textFill>
                  <w14:solidFill>
                    <w14:schemeClr w14:val="tx1"/>
                  </w14:solidFill>
                </w14:textFill>
              </w:rPr>
              <w:t>村</w:t>
            </w:r>
            <w:r>
              <w:rPr>
                <w:rFonts w:hint="eastAsia"/>
                <w:bCs/>
                <w:color w:val="000000" w:themeColor="text1"/>
                <w:sz w:val="24"/>
                <w:szCs w:val="24"/>
                <w:highlight w:val="none"/>
                <w:lang w:eastAsia="zh-CN"/>
                <w14:textFill>
                  <w14:solidFill>
                    <w14:schemeClr w14:val="tx1"/>
                  </w14:solidFill>
                </w14:textFill>
              </w:rPr>
              <w:t>、</w:t>
            </w:r>
            <w:r>
              <w:rPr>
                <w:rFonts w:hint="eastAsia"/>
                <w:bCs/>
                <w:color w:val="000000" w:themeColor="text1"/>
                <w:sz w:val="24"/>
                <w:szCs w:val="24"/>
                <w:highlight w:val="none"/>
                <w:lang w:val="en-US" w:eastAsia="zh-CN"/>
                <w14:textFill>
                  <w14:solidFill>
                    <w14:schemeClr w14:val="tx1"/>
                  </w14:solidFill>
                </w14:textFill>
              </w:rPr>
              <w:t>东500m处的后周村</w:t>
            </w:r>
            <w:r>
              <w:rPr>
                <w:bCs/>
                <w:color w:val="000000" w:themeColor="text1"/>
                <w:sz w:val="24"/>
                <w:szCs w:val="24"/>
                <w:highlight w:val="none"/>
                <w14:textFill>
                  <w14:solidFill>
                    <w14:schemeClr w14:val="tx1"/>
                  </w14:solidFill>
                </w14:textFill>
              </w:rPr>
              <w:t>。项目地</w:t>
            </w:r>
            <w:r>
              <w:rPr>
                <w:bCs/>
                <w:color w:val="000000" w:themeColor="text1"/>
                <w:sz w:val="24"/>
                <w:szCs w:val="24"/>
                <w14:textFill>
                  <w14:solidFill>
                    <w14:schemeClr w14:val="tx1"/>
                  </w14:solidFill>
                </w14:textFill>
              </w:rPr>
              <w:t>理位置见附图1，项目周边</w:t>
            </w:r>
            <w:r>
              <w:rPr>
                <w:rFonts w:hint="eastAsia"/>
                <w:bCs/>
                <w:color w:val="000000" w:themeColor="text1"/>
                <w:sz w:val="24"/>
                <w:szCs w:val="24"/>
                <w14:textFill>
                  <w14:solidFill>
                    <w14:schemeClr w14:val="tx1"/>
                  </w14:solidFill>
                </w14:textFill>
              </w:rPr>
              <w:t>环境及敏感点</w:t>
            </w:r>
            <w:r>
              <w:rPr>
                <w:bCs/>
                <w:color w:val="000000" w:themeColor="text1"/>
                <w:sz w:val="24"/>
                <w:szCs w:val="24"/>
                <w14:textFill>
                  <w14:solidFill>
                    <w14:schemeClr w14:val="tx1"/>
                  </w14:solidFill>
                </w14:textFill>
              </w:rPr>
              <w:t>示意图见附图</w:t>
            </w:r>
            <w:r>
              <w:rPr>
                <w:rFonts w:hint="eastAsia"/>
                <w:bCs/>
                <w:color w:val="000000" w:themeColor="text1"/>
                <w:sz w:val="24"/>
                <w:szCs w:val="24"/>
                <w14:textFill>
                  <w14:solidFill>
                    <w14:schemeClr w14:val="tx1"/>
                  </w14:solidFill>
                </w14:textFill>
              </w:rPr>
              <w:t>3</w:t>
            </w: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附图4</w:t>
            </w:r>
            <w:r>
              <w:rPr>
                <w:bCs/>
                <w:color w:val="000000" w:themeColor="text1"/>
                <w:sz w:val="24"/>
                <w:szCs w:val="24"/>
                <w14:textFill>
                  <w14:solidFill>
                    <w14:schemeClr w14:val="tx1"/>
                  </w14:solidFill>
                </w14:textFill>
              </w:rPr>
              <w:t>。</w:t>
            </w:r>
          </w:p>
          <w:p>
            <w:pPr>
              <w:adjustRightInd w:val="0"/>
              <w:snapToGrid w:val="0"/>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3</w:t>
            </w:r>
            <w:r>
              <w:rPr>
                <w:b/>
                <w:color w:val="000000" w:themeColor="text1"/>
                <w:sz w:val="24"/>
                <w:szCs w:val="24"/>
                <w14:textFill>
                  <w14:solidFill>
                    <w14:schemeClr w14:val="tx1"/>
                  </w14:solidFill>
                </w14:textFill>
              </w:rPr>
              <w:t>、项目建设基本情况</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本项目占地面积</w:t>
            </w:r>
            <w:r>
              <w:rPr>
                <w:rFonts w:hint="eastAsia"/>
                <w:bCs/>
                <w:color w:val="000000" w:themeColor="text1"/>
                <w:sz w:val="24"/>
                <w:szCs w:val="24"/>
                <w:lang w:val="en-US" w:eastAsia="zh-CN"/>
                <w14:textFill>
                  <w14:solidFill>
                    <w14:schemeClr w14:val="tx1"/>
                  </w14:solidFill>
                </w14:textFill>
              </w:rPr>
              <w:t>3569</w:t>
            </w:r>
            <w:r>
              <w:rPr>
                <w:bCs/>
                <w:color w:val="000000" w:themeColor="text1"/>
                <w:sz w:val="24"/>
                <w:szCs w:val="24"/>
                <w14:textFill>
                  <w14:solidFill>
                    <w14:schemeClr w14:val="tx1"/>
                  </w14:solidFill>
                </w14:textFill>
              </w:rPr>
              <w:t>m</w:t>
            </w:r>
            <w:r>
              <w:rPr>
                <w:bCs/>
                <w:color w:val="000000" w:themeColor="text1"/>
                <w:sz w:val="24"/>
                <w:szCs w:val="24"/>
                <w:vertAlign w:val="superscript"/>
                <w14:textFill>
                  <w14:solidFill>
                    <w14:schemeClr w14:val="tx1"/>
                  </w14:solidFill>
                </w14:textFill>
              </w:rPr>
              <w:t>2</w:t>
            </w:r>
            <w:r>
              <w:rPr>
                <w:bCs/>
                <w:color w:val="000000" w:themeColor="text1"/>
                <w:sz w:val="24"/>
                <w:szCs w:val="24"/>
                <w14:textFill>
                  <w14:solidFill>
                    <w14:schemeClr w14:val="tx1"/>
                  </w14:solidFill>
                </w14:textFill>
              </w:rPr>
              <w:t>，项目平面布置见附图</w:t>
            </w:r>
            <w:r>
              <w:rPr>
                <w:rFonts w:hint="eastAsia"/>
                <w:bCs/>
                <w:color w:val="000000" w:themeColor="text1"/>
                <w:sz w:val="24"/>
                <w:szCs w:val="24"/>
                <w14:textFill>
                  <w14:solidFill>
                    <w14:schemeClr w14:val="tx1"/>
                  </w14:solidFill>
                </w14:textFill>
              </w:rPr>
              <w:t>2</w:t>
            </w:r>
            <w:r>
              <w:rPr>
                <w:bCs/>
                <w:color w:val="000000" w:themeColor="text1"/>
                <w:sz w:val="24"/>
                <w:szCs w:val="24"/>
                <w14:textFill>
                  <w14:solidFill>
                    <w14:schemeClr w14:val="tx1"/>
                  </w14:solidFill>
                </w14:textFill>
              </w:rPr>
              <w:t>。项目建设情况见下表。</w:t>
            </w:r>
          </w:p>
          <w:p>
            <w:pPr>
              <w:jc w:val="center"/>
              <w:rPr>
                <w:color w:val="000000" w:themeColor="text1"/>
                <w:szCs w:val="21"/>
                <w14:textFill>
                  <w14:solidFill>
                    <w14:schemeClr w14:val="tx1"/>
                  </w14:solidFill>
                </w14:textFill>
              </w:rPr>
            </w:pPr>
            <w:r>
              <w:rPr>
                <w:color w:val="000000" w:themeColor="text1"/>
                <w:sz w:val="24"/>
                <w:szCs w:val="24"/>
                <w14:textFill>
                  <w14:solidFill>
                    <w14:schemeClr w14:val="tx1"/>
                  </w14:solidFill>
                </w14:textFill>
              </w:rPr>
              <w:t>表2-</w:t>
            </w:r>
            <w:r>
              <w:rPr>
                <w:rFonts w:hint="eastAsia"/>
                <w:color w:val="000000" w:themeColor="text1"/>
                <w:sz w:val="24"/>
                <w:szCs w:val="24"/>
                <w:lang w:val="en-US" w:eastAsia="zh-CN"/>
                <w14:textFill>
                  <w14:solidFill>
                    <w14:schemeClr w14:val="tx1"/>
                  </w14:solidFill>
                </w14:textFill>
              </w:rPr>
              <w:t>1</w:t>
            </w:r>
            <w:r>
              <w:rPr>
                <w:color w:val="000000" w:themeColor="text1"/>
                <w:sz w:val="24"/>
                <w:szCs w:val="24"/>
                <w14:textFill>
                  <w14:solidFill>
                    <w14:schemeClr w14:val="tx1"/>
                  </w14:solidFill>
                </w14:textFill>
              </w:rPr>
              <w:t xml:space="preserve">  项目建设情况一览表</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405"/>
              <w:gridCol w:w="5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序号</w:t>
                  </w:r>
                </w:p>
              </w:tc>
              <w:tc>
                <w:tcPr>
                  <w:tcW w:w="86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名  称</w:t>
                  </w:r>
                </w:p>
              </w:tc>
              <w:tc>
                <w:tcPr>
                  <w:tcW w:w="36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1</w:t>
                  </w:r>
                </w:p>
              </w:tc>
              <w:tc>
                <w:tcPr>
                  <w:tcW w:w="86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项目名称</w:t>
                  </w:r>
                </w:p>
              </w:tc>
              <w:tc>
                <w:tcPr>
                  <w:tcW w:w="36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FF0000"/>
                      <w:szCs w:val="21"/>
                    </w:rPr>
                  </w:pPr>
                  <w:r>
                    <w:rPr>
                      <w:rFonts w:hint="eastAsia"/>
                      <w:b w:val="0"/>
                      <w:bCs w:val="0"/>
                      <w:color w:val="000000" w:themeColor="text1"/>
                      <w:szCs w:val="21"/>
                      <w:lang w:val="en-US" w:eastAsia="zh-CN"/>
                      <w14:textFill>
                        <w14:solidFill>
                          <w14:schemeClr w14:val="tx1"/>
                        </w14:solidFill>
                      </w14:textFill>
                    </w:rPr>
                    <w:t>河南豫德玛医疗器械有限公司年产1.5万套医疗器械项目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2</w:t>
                  </w:r>
                </w:p>
              </w:tc>
              <w:tc>
                <w:tcPr>
                  <w:tcW w:w="86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建设性质</w:t>
                  </w:r>
                </w:p>
              </w:tc>
              <w:tc>
                <w:tcPr>
                  <w:tcW w:w="36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val="0"/>
                      <w:bCs w:val="0"/>
                      <w:color w:val="FF0000"/>
                      <w:szCs w:val="21"/>
                      <w:lang w:val="en-US" w:eastAsia="zh-CN"/>
                    </w:rPr>
                  </w:pPr>
                  <w:r>
                    <w:rPr>
                      <w:rFonts w:hint="eastAsia"/>
                      <w:b w:val="0"/>
                      <w:bCs w:val="0"/>
                      <w:color w:val="auto"/>
                      <w:szCs w:val="21"/>
                      <w:lang w:val="en-US" w:eastAsia="zh-CN"/>
                    </w:rPr>
                    <w:t>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3</w:t>
                  </w:r>
                </w:p>
              </w:tc>
              <w:tc>
                <w:tcPr>
                  <w:tcW w:w="86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建设地点</w:t>
                  </w:r>
                </w:p>
              </w:tc>
              <w:tc>
                <w:tcPr>
                  <w:tcW w:w="36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rFonts w:hint="eastAsia"/>
                      <w:b w:val="0"/>
                      <w:bCs w:val="0"/>
                      <w:color w:val="000000" w:themeColor="text1"/>
                      <w:szCs w:val="21"/>
                      <w14:textFill>
                        <w14:solidFill>
                          <w14:schemeClr w14:val="tx1"/>
                        </w14:solidFill>
                      </w14:textFill>
                    </w:rPr>
                    <w:t>洛阳市偃师区大口镇后周村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4</w:t>
                  </w:r>
                </w:p>
              </w:tc>
              <w:tc>
                <w:tcPr>
                  <w:tcW w:w="86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rFonts w:hint="eastAsia"/>
                      <w:b w:val="0"/>
                      <w:bCs w:val="0"/>
                      <w:color w:val="000000" w:themeColor="text1"/>
                      <w:szCs w:val="21"/>
                      <w14:textFill>
                        <w14:solidFill>
                          <w14:schemeClr w14:val="tx1"/>
                        </w14:solidFill>
                      </w14:textFill>
                    </w:rPr>
                    <w:t>占地</w:t>
                  </w:r>
                  <w:r>
                    <w:rPr>
                      <w:b w:val="0"/>
                      <w:bCs w:val="0"/>
                      <w:color w:val="000000" w:themeColor="text1"/>
                      <w:szCs w:val="21"/>
                      <w14:textFill>
                        <w14:solidFill>
                          <w14:schemeClr w14:val="tx1"/>
                        </w14:solidFill>
                      </w14:textFill>
                    </w:rPr>
                    <w:t>面积</w:t>
                  </w:r>
                </w:p>
              </w:tc>
              <w:tc>
                <w:tcPr>
                  <w:tcW w:w="36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rFonts w:hint="eastAsia"/>
                      <w:b w:val="0"/>
                      <w:bCs w:val="0"/>
                      <w:color w:val="000000" w:themeColor="text1"/>
                      <w:szCs w:val="21"/>
                      <w14:textFill>
                        <w14:solidFill>
                          <w14:schemeClr w14:val="tx1"/>
                        </w14:solidFill>
                      </w14:textFill>
                    </w:rPr>
                    <w:t>占地面积</w:t>
                  </w:r>
                  <w:r>
                    <w:rPr>
                      <w:rFonts w:hint="eastAsia"/>
                      <w:b w:val="0"/>
                      <w:bCs w:val="0"/>
                      <w:color w:val="000000" w:themeColor="text1"/>
                      <w:szCs w:val="21"/>
                      <w:lang w:val="en-US" w:eastAsia="zh-CN"/>
                      <w14:textFill>
                        <w14:solidFill>
                          <w14:schemeClr w14:val="tx1"/>
                        </w14:solidFill>
                      </w14:textFill>
                    </w:rPr>
                    <w:t>3569</w:t>
                  </w:r>
                  <w:r>
                    <w:rPr>
                      <w:rFonts w:hint="eastAsia"/>
                      <w:b w:val="0"/>
                      <w:bCs w:val="0"/>
                      <w:color w:val="000000" w:themeColor="text1"/>
                      <w:szCs w:val="21"/>
                      <w14:textFill>
                        <w14:solidFill>
                          <w14:schemeClr w14:val="tx1"/>
                        </w14:solidFill>
                      </w14:textFill>
                    </w:rPr>
                    <w:t>m</w:t>
                  </w:r>
                  <w:r>
                    <w:rPr>
                      <w:rFonts w:hint="eastAsia"/>
                      <w:b w:val="0"/>
                      <w:bCs w:val="0"/>
                      <w:color w:val="000000" w:themeColor="text1"/>
                      <w:szCs w:val="21"/>
                      <w:vertAlign w:val="superscript"/>
                      <w14:textFill>
                        <w14:solidFill>
                          <w14:schemeClr w14:val="tx1"/>
                        </w14:solidFill>
                      </w14:textFill>
                    </w:rPr>
                    <w:t>2</w:t>
                  </w:r>
                  <w:r>
                    <w:rPr>
                      <w:rFonts w:hint="eastAsia"/>
                      <w:b w:val="0"/>
                      <w:bCs w:val="0"/>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5</w:t>
                  </w:r>
                </w:p>
              </w:tc>
              <w:tc>
                <w:tcPr>
                  <w:tcW w:w="86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总投资</w:t>
                  </w:r>
                </w:p>
              </w:tc>
              <w:tc>
                <w:tcPr>
                  <w:tcW w:w="36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5</w:t>
                  </w:r>
                  <w:r>
                    <w:rPr>
                      <w:rFonts w:hint="eastAsia"/>
                      <w:b w:val="0"/>
                      <w:bCs w:val="0"/>
                      <w:color w:val="000000" w:themeColor="text1"/>
                      <w:szCs w:val="21"/>
                      <w14:textFill>
                        <w14:solidFill>
                          <w14:schemeClr w14:val="tx1"/>
                        </w14:solidFill>
                      </w14:textFill>
                    </w:rPr>
                    <w:t>0</w:t>
                  </w:r>
                  <w:r>
                    <w:rPr>
                      <w:b w:val="0"/>
                      <w:bCs w:val="0"/>
                      <w:color w:val="000000" w:themeColor="text1"/>
                      <w:szCs w:val="21"/>
                      <w14:textFill>
                        <w14:solidFill>
                          <w14:schemeClr w14:val="tx1"/>
                        </w14:solidFill>
                      </w14:textFill>
                    </w:rPr>
                    <w:t>万元（全部由企业自筹）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6</w:t>
                  </w:r>
                </w:p>
              </w:tc>
              <w:tc>
                <w:tcPr>
                  <w:tcW w:w="86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劳动定员</w:t>
                  </w:r>
                </w:p>
              </w:tc>
              <w:tc>
                <w:tcPr>
                  <w:tcW w:w="36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FF0000"/>
                      <w:szCs w:val="21"/>
                    </w:rPr>
                  </w:pPr>
                  <w:r>
                    <w:rPr>
                      <w:rFonts w:hint="eastAsia"/>
                      <w:b w:val="0"/>
                      <w:bCs w:val="0"/>
                      <w:color w:val="000000" w:themeColor="text1"/>
                      <w:szCs w:val="21"/>
                      <w:highlight w:val="none"/>
                      <w14:textFill>
                        <w14:solidFill>
                          <w14:schemeClr w14:val="tx1"/>
                        </w14:solidFill>
                      </w14:textFill>
                    </w:rPr>
                    <w:t>20</w:t>
                  </w:r>
                  <w:r>
                    <w:rPr>
                      <w:b w:val="0"/>
                      <w:bCs w:val="0"/>
                      <w:color w:val="000000" w:themeColor="text1"/>
                      <w:szCs w:val="21"/>
                      <w:highlight w:val="none"/>
                      <w14:textFill>
                        <w14:solidFill>
                          <w14:schemeClr w14:val="tx1"/>
                        </w14:solidFill>
                      </w14:textFill>
                    </w:rPr>
                    <w:t>人</w:t>
                  </w:r>
                  <w:r>
                    <w:rPr>
                      <w:rFonts w:hint="eastAsia"/>
                      <w:b w:val="0"/>
                      <w:bCs w:val="0"/>
                      <w:color w:val="000000" w:themeColor="text1"/>
                      <w:szCs w:val="21"/>
                      <w:highlight w:val="none"/>
                      <w14:textFill>
                        <w14:solidFill>
                          <w14:schemeClr w14:val="tx1"/>
                        </w14:solidFill>
                      </w14:textFill>
                    </w:rPr>
                    <w:t>，均不在厂区食宿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7</w:t>
                  </w:r>
                </w:p>
              </w:tc>
              <w:tc>
                <w:tcPr>
                  <w:tcW w:w="86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工作制度</w:t>
                  </w:r>
                </w:p>
              </w:tc>
              <w:tc>
                <w:tcPr>
                  <w:tcW w:w="36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年工作</w:t>
                  </w:r>
                  <w:r>
                    <w:rPr>
                      <w:rFonts w:hint="eastAsia"/>
                      <w:b w:val="0"/>
                      <w:bCs w:val="0"/>
                      <w:color w:val="000000" w:themeColor="text1"/>
                      <w:szCs w:val="21"/>
                      <w14:textFill>
                        <w14:solidFill>
                          <w14:schemeClr w14:val="tx1"/>
                        </w14:solidFill>
                      </w14:textFill>
                    </w:rPr>
                    <w:t>30</w:t>
                  </w:r>
                  <w:r>
                    <w:rPr>
                      <w:b w:val="0"/>
                      <w:bCs w:val="0"/>
                      <w:color w:val="000000" w:themeColor="text1"/>
                      <w:szCs w:val="21"/>
                      <w14:textFill>
                        <w14:solidFill>
                          <w14:schemeClr w14:val="tx1"/>
                        </w14:solidFill>
                      </w14:textFill>
                    </w:rPr>
                    <w:t>0天，</w:t>
                  </w:r>
                  <w:r>
                    <w:rPr>
                      <w:rFonts w:hint="eastAsia"/>
                      <w:b w:val="0"/>
                      <w:bCs w:val="0"/>
                      <w:color w:val="000000" w:themeColor="text1"/>
                      <w:szCs w:val="21"/>
                      <w:lang w:eastAsia="zh-CN"/>
                      <w14:textFill>
                        <w14:solidFill>
                          <w14:schemeClr w14:val="tx1"/>
                        </w14:solidFill>
                      </w14:textFill>
                    </w:rPr>
                    <w:t>单班</w:t>
                  </w:r>
                  <w:r>
                    <w:rPr>
                      <w:b w:val="0"/>
                      <w:bCs w:val="0"/>
                      <w:color w:val="000000" w:themeColor="text1"/>
                      <w:szCs w:val="21"/>
                      <w14:textFill>
                        <w14:solidFill>
                          <w14:schemeClr w14:val="tx1"/>
                        </w14:solidFill>
                      </w14:textFill>
                    </w:rPr>
                    <w:t>8小时</w:t>
                  </w:r>
                  <w:r>
                    <w:rPr>
                      <w:rFonts w:hint="eastAsia"/>
                      <w:b w:val="0"/>
                      <w:bCs w:val="0"/>
                      <w:color w:val="000000" w:themeColor="text1"/>
                      <w:szCs w:val="21"/>
                      <w:lang w:eastAsia="zh-CN"/>
                      <w14:textFill>
                        <w14:solidFill>
                          <w14:schemeClr w14:val="tx1"/>
                        </w14:solidFill>
                      </w14:textFill>
                    </w:rPr>
                    <w:t>工作制</w:t>
                  </w:r>
                  <w:r>
                    <w:rPr>
                      <w:rFonts w:hint="eastAsia"/>
                      <w:b w:val="0"/>
                      <w:bCs w:val="0"/>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8</w:t>
                  </w:r>
                </w:p>
              </w:tc>
              <w:tc>
                <w:tcPr>
                  <w:tcW w:w="86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主要建筑物</w:t>
                  </w:r>
                </w:p>
              </w:tc>
              <w:tc>
                <w:tcPr>
                  <w:tcW w:w="36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val="0"/>
                      <w:bCs w:val="0"/>
                      <w:color w:val="000000" w:themeColor="text1"/>
                      <w:szCs w:val="21"/>
                      <w14:textFill>
                        <w14:solidFill>
                          <w14:schemeClr w14:val="tx1"/>
                        </w14:solidFill>
                      </w14:textFill>
                    </w:rPr>
                  </w:pPr>
                  <w:r>
                    <w:rPr>
                      <w:b w:val="0"/>
                      <w:bCs w:val="0"/>
                      <w:color w:val="000000" w:themeColor="text1"/>
                      <w:szCs w:val="21"/>
                      <w14:textFill>
                        <w14:solidFill>
                          <w14:schemeClr w14:val="tx1"/>
                        </w14:solidFill>
                      </w14:textFill>
                    </w:rPr>
                    <w:t>生产车间</w:t>
                  </w:r>
                  <w:r>
                    <w:rPr>
                      <w:rFonts w:hint="eastAsia"/>
                      <w:b w:val="0"/>
                      <w:bCs w:val="0"/>
                      <w:color w:val="000000" w:themeColor="text1"/>
                      <w:szCs w:val="21"/>
                      <w14:textFill>
                        <w14:solidFill>
                          <w14:schemeClr w14:val="tx1"/>
                        </w14:solidFill>
                      </w14:textFill>
                    </w:rPr>
                    <w:t>、车间内办公室等</w:t>
                  </w:r>
                </w:p>
              </w:tc>
            </w:tr>
          </w:tbl>
          <w:p>
            <w:pPr>
              <w:adjustRightInd w:val="0"/>
              <w:snapToGrid w:val="0"/>
              <w:ind w:firstLine="480" w:firstLineChars="2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项目组成见下表。</w:t>
            </w:r>
          </w:p>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表2-</w:t>
            </w:r>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 xml:space="preserve">  项目组成一览表</w:t>
            </w:r>
          </w:p>
          <w:tbl>
            <w:tblPr>
              <w:tblStyle w:val="26"/>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64"/>
              <w:gridCol w:w="2923"/>
              <w:gridCol w:w="2938"/>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工程类别</w:t>
                  </w:r>
                </w:p>
              </w:tc>
              <w:tc>
                <w:tcPr>
                  <w:tcW w:w="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工程内容</w:t>
                  </w:r>
                </w:p>
              </w:tc>
              <w:tc>
                <w:tcPr>
                  <w:tcW w:w="17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现有工程</w:t>
                  </w:r>
                </w:p>
              </w:tc>
              <w:tc>
                <w:tcPr>
                  <w:tcW w:w="18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本次技改后</w:t>
                  </w:r>
                </w:p>
              </w:tc>
              <w:tc>
                <w:tcPr>
                  <w:tcW w:w="5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1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主体工程</w:t>
                  </w:r>
                </w:p>
              </w:tc>
              <w:tc>
                <w:tcPr>
                  <w:tcW w:w="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生产车间</w:t>
                  </w:r>
                </w:p>
              </w:tc>
              <w:tc>
                <w:tcPr>
                  <w:tcW w:w="17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占地面积</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3569</w:t>
                  </w:r>
                  <w:r>
                    <w:rPr>
                      <w:rFonts w:hint="default" w:ascii="Times New Roman" w:hAnsi="Times New Roman" w:eastAsia="宋体" w:cs="Times New Roman"/>
                      <w:b/>
                      <w:bCs/>
                      <w:color w:val="000000" w:themeColor="text1"/>
                      <w:sz w:val="21"/>
                      <w:szCs w:val="21"/>
                      <w:u w:val="single"/>
                      <w14:textFill>
                        <w14:solidFill>
                          <w14:schemeClr w14:val="tx1"/>
                        </w14:solidFill>
                      </w14:textFill>
                    </w:rPr>
                    <w:t>m</w:t>
                  </w:r>
                  <w:r>
                    <w:rPr>
                      <w:rFonts w:hint="default" w:ascii="Times New Roman" w:hAnsi="Times New Roman" w:eastAsia="宋体" w:cs="Times New Roman"/>
                      <w:b/>
                      <w:bCs/>
                      <w:color w:val="000000" w:themeColor="text1"/>
                      <w:sz w:val="21"/>
                      <w:szCs w:val="21"/>
                      <w:u w:val="single"/>
                      <w:vertAlign w:val="superscript"/>
                      <w14:textFill>
                        <w14:solidFill>
                          <w14:schemeClr w14:val="tx1"/>
                        </w14:solidFill>
                      </w14:textFill>
                    </w:rPr>
                    <w:t>2</w:t>
                  </w:r>
                  <w:r>
                    <w:rPr>
                      <w:rFonts w:hint="default" w:ascii="Times New Roman" w:hAnsi="Times New Roman" w:eastAsia="宋体" w:cs="Times New Roman"/>
                      <w:b/>
                      <w:bCs/>
                      <w:color w:val="000000" w:themeColor="text1"/>
                      <w:sz w:val="21"/>
                      <w:szCs w:val="21"/>
                      <w:u w:val="single"/>
                      <w14:textFill>
                        <w14:solidFill>
                          <w14:schemeClr w14:val="tx1"/>
                        </w14:solidFill>
                      </w14:textFill>
                    </w:rPr>
                    <w:t>，</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设有机械加工区、焊接打磨间、喷粉间、</w:t>
                  </w:r>
                  <w:r>
                    <w:rPr>
                      <w:rFonts w:hint="eastAsia" w:cs="Times New Roman"/>
                      <w:b/>
                      <w:bCs/>
                      <w:color w:val="000000" w:themeColor="text1"/>
                      <w:sz w:val="21"/>
                      <w:szCs w:val="21"/>
                      <w:u w:val="single"/>
                      <w:lang w:val="en-US" w:eastAsia="zh-CN"/>
                      <w14:textFill>
                        <w14:solidFill>
                          <w14:schemeClr w14:val="tx1"/>
                        </w14:solidFill>
                      </w14:textFill>
                    </w:rPr>
                    <w:t>固化道</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等，用于</w:t>
                  </w:r>
                  <w:r>
                    <w:rPr>
                      <w:rFonts w:hint="eastAsia" w:cs="Times New Roman"/>
                      <w:b/>
                      <w:bCs/>
                      <w:color w:val="000000" w:themeColor="text1"/>
                      <w:sz w:val="21"/>
                      <w:szCs w:val="21"/>
                      <w:u w:val="single"/>
                      <w:lang w:val="en-US" w:eastAsia="zh-CN"/>
                      <w14:textFill>
                        <w14:solidFill>
                          <w14:schemeClr w14:val="tx1"/>
                        </w14:solidFill>
                      </w14:textFill>
                    </w:rPr>
                    <w:t>钢制办公家具</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的生产</w:t>
                  </w:r>
                  <w:r>
                    <w:rPr>
                      <w:rFonts w:hint="default" w:ascii="Times New Roman" w:hAnsi="Times New Roman" w:eastAsia="宋体" w:cs="Times New Roman"/>
                      <w:b/>
                      <w:bCs/>
                      <w:color w:val="000000" w:themeColor="text1"/>
                      <w:sz w:val="21"/>
                      <w:szCs w:val="21"/>
                      <w:u w:val="single"/>
                      <w14:textFill>
                        <w14:solidFill>
                          <w14:schemeClr w14:val="tx1"/>
                        </w14:solidFill>
                      </w14:textFill>
                    </w:rPr>
                    <w:t>。</w:t>
                  </w:r>
                </w:p>
              </w:tc>
              <w:tc>
                <w:tcPr>
                  <w:tcW w:w="18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占地面积</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3569</w:t>
                  </w:r>
                  <w:r>
                    <w:rPr>
                      <w:rFonts w:hint="default" w:ascii="Times New Roman" w:hAnsi="Times New Roman" w:eastAsia="宋体" w:cs="Times New Roman"/>
                      <w:b/>
                      <w:bCs/>
                      <w:color w:val="000000" w:themeColor="text1"/>
                      <w:sz w:val="21"/>
                      <w:szCs w:val="21"/>
                      <w:u w:val="single"/>
                      <w14:textFill>
                        <w14:solidFill>
                          <w14:schemeClr w14:val="tx1"/>
                        </w14:solidFill>
                      </w14:textFill>
                    </w:rPr>
                    <w:t>m</w:t>
                  </w:r>
                  <w:r>
                    <w:rPr>
                      <w:rFonts w:hint="default" w:ascii="Times New Roman" w:hAnsi="Times New Roman" w:eastAsia="宋体" w:cs="Times New Roman"/>
                      <w:b/>
                      <w:bCs/>
                      <w:color w:val="000000" w:themeColor="text1"/>
                      <w:sz w:val="21"/>
                      <w:szCs w:val="21"/>
                      <w:u w:val="single"/>
                      <w:vertAlign w:val="superscript"/>
                      <w14:textFill>
                        <w14:solidFill>
                          <w14:schemeClr w14:val="tx1"/>
                        </w14:solidFill>
                      </w14:textFill>
                    </w:rPr>
                    <w:t>2</w:t>
                  </w:r>
                  <w:r>
                    <w:rPr>
                      <w:rFonts w:hint="default" w:ascii="Times New Roman" w:hAnsi="Times New Roman" w:eastAsia="宋体" w:cs="Times New Roman"/>
                      <w:b/>
                      <w:bCs/>
                      <w:color w:val="000000" w:themeColor="text1"/>
                      <w:sz w:val="21"/>
                      <w:szCs w:val="21"/>
                      <w:u w:val="single"/>
                      <w14:textFill>
                        <w14:solidFill>
                          <w14:schemeClr w14:val="tx1"/>
                        </w14:solidFill>
                      </w14:textFill>
                    </w:rPr>
                    <w:t>，</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设有机械加工区、焊接打磨间、喷粉间、</w:t>
                  </w:r>
                  <w:r>
                    <w:rPr>
                      <w:rFonts w:hint="eastAsia" w:cs="Times New Roman"/>
                      <w:b/>
                      <w:bCs/>
                      <w:color w:val="000000" w:themeColor="text1"/>
                      <w:sz w:val="21"/>
                      <w:szCs w:val="21"/>
                      <w:u w:val="single"/>
                      <w:lang w:val="en-US" w:eastAsia="zh-CN"/>
                      <w14:textFill>
                        <w14:solidFill>
                          <w14:schemeClr w14:val="tx1"/>
                        </w14:solidFill>
                      </w14:textFill>
                    </w:rPr>
                    <w:t>固化道</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等，用于</w:t>
                  </w:r>
                  <w:r>
                    <w:rPr>
                      <w:rFonts w:hint="eastAsia" w:cs="Times New Roman"/>
                      <w:b/>
                      <w:bCs/>
                      <w:color w:val="000000" w:themeColor="text1"/>
                      <w:sz w:val="21"/>
                      <w:szCs w:val="21"/>
                      <w:u w:val="single"/>
                      <w:lang w:val="en-US" w:eastAsia="zh-CN"/>
                      <w14:textFill>
                        <w14:solidFill>
                          <w14:schemeClr w14:val="tx1"/>
                        </w14:solidFill>
                      </w14:textFill>
                    </w:rPr>
                    <w:t>普通病床、中药柜</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的生产</w:t>
                  </w:r>
                  <w:r>
                    <w:rPr>
                      <w:rFonts w:hint="default" w:ascii="Times New Roman" w:hAnsi="Times New Roman" w:eastAsia="宋体" w:cs="Times New Roman"/>
                      <w:b/>
                      <w:bCs/>
                      <w:color w:val="000000" w:themeColor="text1"/>
                      <w:sz w:val="21"/>
                      <w:szCs w:val="21"/>
                      <w:u w:val="single"/>
                      <w14:textFill>
                        <w14:solidFill>
                          <w14:schemeClr w14:val="tx1"/>
                        </w14:solidFill>
                      </w14:textFill>
                    </w:rPr>
                    <w:t>。</w:t>
                  </w:r>
                </w:p>
              </w:tc>
              <w:tc>
                <w:tcPr>
                  <w:tcW w:w="5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租赁现有</w:t>
                  </w:r>
                  <w:r>
                    <w:rPr>
                      <w:rFonts w:hint="eastAsia" w:cs="Times New Roman"/>
                      <w:b/>
                      <w:bCs/>
                      <w:color w:val="000000" w:themeColor="text1"/>
                      <w:sz w:val="21"/>
                      <w:szCs w:val="21"/>
                      <w:u w:val="single"/>
                      <w:lang w:eastAsia="zh-CN"/>
                      <w14:textFill>
                        <w14:solidFill>
                          <w14:schemeClr w14:val="tx1"/>
                        </w14:solidFill>
                      </w14:textFill>
                    </w:rPr>
                    <w:t>，</w:t>
                  </w:r>
                  <w:r>
                    <w:rPr>
                      <w:rFonts w:hint="eastAsia" w:cs="Times New Roman"/>
                      <w:b/>
                      <w:bCs/>
                      <w:color w:val="000000" w:themeColor="text1"/>
                      <w:sz w:val="21"/>
                      <w:szCs w:val="21"/>
                      <w:u w:val="single"/>
                      <w:lang w:val="en-US" w:eastAsia="zh-CN"/>
                      <w14:textFill>
                        <w14:solidFill>
                          <w14:schemeClr w14:val="tx1"/>
                        </w14:solidFill>
                      </w14:textFill>
                    </w:rPr>
                    <w:t>产品方案变更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公用工程</w:t>
                  </w:r>
                </w:p>
              </w:tc>
              <w:tc>
                <w:tcPr>
                  <w:tcW w:w="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供电</w:t>
                  </w:r>
                </w:p>
              </w:tc>
              <w:tc>
                <w:tcPr>
                  <w:tcW w:w="17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镇配电所供给</w:t>
                  </w:r>
                </w:p>
              </w:tc>
              <w:tc>
                <w:tcPr>
                  <w:tcW w:w="18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镇配电所供给</w:t>
                  </w:r>
                </w:p>
              </w:tc>
              <w:tc>
                <w:tcPr>
                  <w:tcW w:w="5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1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p>
              </w:tc>
              <w:tc>
                <w:tcPr>
                  <w:tcW w:w="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供水</w:t>
                  </w:r>
                </w:p>
              </w:tc>
              <w:tc>
                <w:tcPr>
                  <w:tcW w:w="17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镇自来水管网</w:t>
                  </w:r>
                </w:p>
              </w:tc>
              <w:tc>
                <w:tcPr>
                  <w:tcW w:w="18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镇自来水管网</w:t>
                  </w:r>
                </w:p>
              </w:tc>
              <w:tc>
                <w:tcPr>
                  <w:tcW w:w="5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1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p>
              </w:tc>
              <w:tc>
                <w:tcPr>
                  <w:tcW w:w="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排水</w:t>
                  </w:r>
                </w:p>
              </w:tc>
              <w:tc>
                <w:tcPr>
                  <w:tcW w:w="17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生活污水经化粪池处理后，</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定期清掏肥田。</w:t>
                  </w:r>
                </w:p>
              </w:tc>
              <w:tc>
                <w:tcPr>
                  <w:tcW w:w="18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生活污水经化粪池处理后，</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定期清掏肥田。</w:t>
                  </w:r>
                </w:p>
              </w:tc>
              <w:tc>
                <w:tcPr>
                  <w:tcW w:w="5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依托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环保工程</w:t>
                  </w:r>
                </w:p>
              </w:tc>
              <w:tc>
                <w:tcPr>
                  <w:tcW w:w="40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废气治理</w:t>
                  </w:r>
                </w:p>
              </w:tc>
              <w:tc>
                <w:tcPr>
                  <w:tcW w:w="17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喷粉</w:t>
                  </w:r>
                  <w:r>
                    <w:rPr>
                      <w:rFonts w:hint="default" w:ascii="Times New Roman" w:hAnsi="Times New Roman" w:eastAsia="宋体" w:cs="Times New Roman"/>
                      <w:b/>
                      <w:bCs/>
                      <w:sz w:val="21"/>
                      <w:szCs w:val="21"/>
                      <w:u w:val="single"/>
                      <w:lang w:val="en-US" w:eastAsia="zh-CN"/>
                    </w:rPr>
                    <w:t>废气</w:t>
                  </w:r>
                  <w:r>
                    <w:rPr>
                      <w:rFonts w:hint="default" w:ascii="Times New Roman" w:hAnsi="Times New Roman" w:eastAsia="宋体" w:cs="Times New Roman"/>
                      <w:b/>
                      <w:bCs/>
                      <w:sz w:val="21"/>
                      <w:szCs w:val="21"/>
                      <w:u w:val="single"/>
                    </w:rPr>
                    <w:t>：</w:t>
                  </w:r>
                  <w:r>
                    <w:rPr>
                      <w:rFonts w:hint="default" w:ascii="Times New Roman" w:hAnsi="Times New Roman" w:eastAsia="宋体" w:cs="Times New Roman"/>
                      <w:b/>
                      <w:bCs/>
                      <w:sz w:val="21"/>
                      <w:szCs w:val="21"/>
                      <w:u w:val="single"/>
                      <w:lang w:val="en-US" w:eastAsia="zh-CN"/>
                    </w:rPr>
                    <w:t>封闭的喷粉间，废气经</w:t>
                  </w:r>
                  <w:r>
                    <w:rPr>
                      <w:rFonts w:hint="default" w:ascii="Times New Roman" w:hAnsi="Times New Roman" w:eastAsia="宋体" w:cs="Times New Roman"/>
                      <w:b/>
                      <w:bCs/>
                      <w:sz w:val="21"/>
                      <w:szCs w:val="21"/>
                      <w:u w:val="single"/>
                    </w:rPr>
                    <w:t>旋风+滤筒除尘设施</w:t>
                  </w:r>
                  <w:r>
                    <w:rPr>
                      <w:rFonts w:hint="default" w:ascii="Times New Roman" w:hAnsi="Times New Roman" w:eastAsia="宋体" w:cs="Times New Roman"/>
                      <w:b/>
                      <w:bCs/>
                      <w:sz w:val="21"/>
                      <w:szCs w:val="21"/>
                      <w:u w:val="single"/>
                      <w:lang w:val="en-US" w:eastAsia="zh-CN"/>
                    </w:rPr>
                    <w:t>处理后由</w:t>
                  </w:r>
                  <w:r>
                    <w:rPr>
                      <w:rFonts w:hint="default" w:ascii="Times New Roman" w:hAnsi="Times New Roman" w:eastAsia="宋体" w:cs="Times New Roman"/>
                      <w:b/>
                      <w:bCs/>
                      <w:sz w:val="21"/>
                      <w:szCs w:val="21"/>
                      <w:u w:val="single"/>
                    </w:rPr>
                    <w:t>15m</w:t>
                  </w:r>
                  <w:r>
                    <w:rPr>
                      <w:rFonts w:hint="default" w:ascii="Times New Roman" w:hAnsi="Times New Roman" w:eastAsia="宋体" w:cs="Times New Roman"/>
                      <w:b/>
                      <w:bCs/>
                      <w:sz w:val="21"/>
                      <w:szCs w:val="21"/>
                      <w:u w:val="single"/>
                      <w:lang w:val="en-US" w:eastAsia="zh-CN"/>
                    </w:rPr>
                    <w:t>高</w:t>
                  </w:r>
                  <w:r>
                    <w:rPr>
                      <w:rFonts w:hint="default" w:ascii="Times New Roman" w:hAnsi="Times New Roman" w:eastAsia="宋体" w:cs="Times New Roman"/>
                      <w:b/>
                      <w:bCs/>
                      <w:sz w:val="21"/>
                      <w:szCs w:val="21"/>
                      <w:u w:val="single"/>
                    </w:rPr>
                    <w:t>排气筒</w:t>
                  </w:r>
                  <w:r>
                    <w:rPr>
                      <w:rFonts w:hint="default" w:ascii="Times New Roman" w:hAnsi="Times New Roman" w:eastAsia="宋体" w:cs="Times New Roman"/>
                      <w:b/>
                      <w:bCs/>
                      <w:sz w:val="21"/>
                      <w:szCs w:val="21"/>
                      <w:u w:val="single"/>
                      <w:lang w:val="en-US" w:eastAsia="zh-CN"/>
                    </w:rPr>
                    <w:t>排放</w:t>
                  </w:r>
                  <w:r>
                    <w:rPr>
                      <w:rFonts w:hint="eastAsia" w:cs="Times New Roman"/>
                      <w:b/>
                      <w:bCs/>
                      <w:sz w:val="21"/>
                      <w:szCs w:val="21"/>
                      <w:u w:val="single"/>
                      <w:lang w:eastAsia="zh-CN"/>
                    </w:rPr>
                    <w:t>。</w:t>
                  </w:r>
                </w:p>
              </w:tc>
              <w:tc>
                <w:tcPr>
                  <w:tcW w:w="18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sz w:val="21"/>
                      <w:szCs w:val="21"/>
                      <w:u w:val="single"/>
                    </w:rPr>
                    <w:t>喷粉</w:t>
                  </w:r>
                  <w:r>
                    <w:rPr>
                      <w:rFonts w:hint="default" w:ascii="Times New Roman" w:hAnsi="Times New Roman" w:eastAsia="宋体" w:cs="Times New Roman"/>
                      <w:b/>
                      <w:bCs/>
                      <w:sz w:val="21"/>
                      <w:szCs w:val="21"/>
                      <w:u w:val="single"/>
                      <w:lang w:val="en-US" w:eastAsia="zh-CN"/>
                    </w:rPr>
                    <w:t>废气</w:t>
                  </w:r>
                  <w:r>
                    <w:rPr>
                      <w:rFonts w:hint="default" w:ascii="Times New Roman" w:hAnsi="Times New Roman" w:eastAsia="宋体" w:cs="Times New Roman"/>
                      <w:b/>
                      <w:bCs/>
                      <w:sz w:val="21"/>
                      <w:szCs w:val="21"/>
                      <w:u w:val="single"/>
                    </w:rPr>
                    <w:t>：</w:t>
                  </w:r>
                  <w:r>
                    <w:rPr>
                      <w:rFonts w:hint="default" w:ascii="Times New Roman" w:hAnsi="Times New Roman" w:eastAsia="宋体" w:cs="Times New Roman"/>
                      <w:b/>
                      <w:bCs/>
                      <w:sz w:val="21"/>
                      <w:szCs w:val="21"/>
                      <w:u w:val="single"/>
                      <w:lang w:val="en-US" w:eastAsia="zh-CN"/>
                    </w:rPr>
                    <w:t>封闭的喷粉间，废气经</w:t>
                  </w:r>
                  <w:r>
                    <w:rPr>
                      <w:rFonts w:hint="default" w:ascii="Times New Roman" w:hAnsi="Times New Roman" w:eastAsia="宋体" w:cs="Times New Roman"/>
                      <w:b/>
                      <w:bCs/>
                      <w:sz w:val="21"/>
                      <w:szCs w:val="21"/>
                      <w:u w:val="single"/>
                    </w:rPr>
                    <w:t>旋风+滤筒除尘设施</w:t>
                  </w:r>
                  <w:r>
                    <w:rPr>
                      <w:rFonts w:hint="default" w:ascii="Times New Roman" w:hAnsi="Times New Roman" w:eastAsia="宋体" w:cs="Times New Roman"/>
                      <w:b/>
                      <w:bCs/>
                      <w:sz w:val="21"/>
                      <w:szCs w:val="21"/>
                      <w:u w:val="single"/>
                      <w:lang w:val="en-US" w:eastAsia="zh-CN"/>
                    </w:rPr>
                    <w:t>处理后由</w:t>
                  </w:r>
                  <w:r>
                    <w:rPr>
                      <w:rFonts w:hint="default" w:ascii="Times New Roman" w:hAnsi="Times New Roman" w:eastAsia="宋体" w:cs="Times New Roman"/>
                      <w:b/>
                      <w:bCs/>
                      <w:sz w:val="21"/>
                      <w:szCs w:val="21"/>
                      <w:u w:val="single"/>
                    </w:rPr>
                    <w:t>15m</w:t>
                  </w:r>
                  <w:r>
                    <w:rPr>
                      <w:rFonts w:hint="default" w:ascii="Times New Roman" w:hAnsi="Times New Roman" w:eastAsia="宋体" w:cs="Times New Roman"/>
                      <w:b/>
                      <w:bCs/>
                      <w:sz w:val="21"/>
                      <w:szCs w:val="21"/>
                      <w:u w:val="single"/>
                      <w:lang w:val="en-US" w:eastAsia="zh-CN"/>
                    </w:rPr>
                    <w:t>高</w:t>
                  </w:r>
                  <w:r>
                    <w:rPr>
                      <w:rFonts w:hint="default" w:ascii="Times New Roman" w:hAnsi="Times New Roman" w:eastAsia="宋体" w:cs="Times New Roman"/>
                      <w:b/>
                      <w:bCs/>
                      <w:sz w:val="21"/>
                      <w:szCs w:val="21"/>
                      <w:u w:val="single"/>
                    </w:rPr>
                    <w:t>排气筒</w:t>
                  </w:r>
                  <w:r>
                    <w:rPr>
                      <w:rFonts w:hint="default" w:ascii="Times New Roman" w:hAnsi="Times New Roman" w:eastAsia="宋体" w:cs="Times New Roman"/>
                      <w:b/>
                      <w:bCs/>
                      <w:sz w:val="21"/>
                      <w:szCs w:val="21"/>
                      <w:u w:val="single"/>
                      <w:lang w:val="en-US" w:eastAsia="zh-CN"/>
                    </w:rPr>
                    <w:t>排放</w:t>
                  </w:r>
                  <w:r>
                    <w:rPr>
                      <w:rFonts w:hint="eastAsia" w:cs="Times New Roman"/>
                      <w:b/>
                      <w:bCs/>
                      <w:sz w:val="21"/>
                      <w:szCs w:val="21"/>
                      <w:u w:val="single"/>
                      <w:lang w:eastAsia="zh-CN"/>
                    </w:rPr>
                    <w:t>。</w:t>
                  </w:r>
                </w:p>
              </w:tc>
              <w:tc>
                <w:tcPr>
                  <w:tcW w:w="5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依托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p>
              </w:tc>
              <w:tc>
                <w:tcPr>
                  <w:tcW w:w="4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p>
              </w:tc>
              <w:tc>
                <w:tcPr>
                  <w:tcW w:w="17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烘干</w:t>
                  </w:r>
                  <w:r>
                    <w:rPr>
                      <w:rFonts w:hint="default" w:ascii="Times New Roman" w:hAnsi="Times New Roman" w:eastAsia="宋体" w:cs="Times New Roman"/>
                      <w:b/>
                      <w:bCs/>
                      <w:sz w:val="21"/>
                      <w:szCs w:val="21"/>
                      <w:u w:val="single"/>
                      <w:lang w:val="en-US" w:eastAsia="zh-CN"/>
                    </w:rPr>
                    <w:t>废气</w:t>
                  </w:r>
                  <w:r>
                    <w:rPr>
                      <w:rFonts w:hint="default" w:ascii="Times New Roman" w:hAnsi="Times New Roman" w:eastAsia="宋体" w:cs="Times New Roman"/>
                      <w:b/>
                      <w:bCs/>
                      <w:sz w:val="21"/>
                      <w:szCs w:val="21"/>
                      <w:u w:val="single"/>
                    </w:rPr>
                    <w:t>：</w:t>
                  </w:r>
                  <w:r>
                    <w:rPr>
                      <w:rFonts w:hint="default" w:ascii="Times New Roman" w:hAnsi="Times New Roman" w:eastAsia="宋体" w:cs="Times New Roman"/>
                      <w:b/>
                      <w:bCs/>
                      <w:sz w:val="21"/>
                      <w:szCs w:val="21"/>
                      <w:u w:val="single"/>
                      <w:lang w:val="en-US" w:eastAsia="zh-CN"/>
                    </w:rPr>
                    <w:t>密闭的烘干道，进出口</w:t>
                  </w:r>
                  <w:r>
                    <w:rPr>
                      <w:rFonts w:hint="eastAsia" w:cs="Times New Roman"/>
                      <w:b/>
                      <w:bCs/>
                      <w:sz w:val="21"/>
                      <w:szCs w:val="21"/>
                      <w:u w:val="single"/>
                      <w:lang w:val="en-US" w:eastAsia="zh-CN"/>
                    </w:rPr>
                    <w:t>为同一口，</w:t>
                  </w:r>
                  <w:r>
                    <w:rPr>
                      <w:rFonts w:hint="default" w:ascii="Times New Roman" w:hAnsi="Times New Roman" w:eastAsia="宋体" w:cs="Times New Roman"/>
                      <w:b/>
                      <w:bCs/>
                      <w:sz w:val="21"/>
                      <w:szCs w:val="21"/>
                      <w:u w:val="single"/>
                      <w:lang w:val="en-US" w:eastAsia="zh-CN"/>
                    </w:rPr>
                    <w:t>设</w:t>
                  </w:r>
                  <w:r>
                    <w:rPr>
                      <w:rFonts w:hint="default" w:ascii="Times New Roman" w:hAnsi="Times New Roman" w:eastAsia="宋体" w:cs="Times New Roman"/>
                      <w:b/>
                      <w:bCs/>
                      <w:sz w:val="21"/>
                      <w:szCs w:val="21"/>
                      <w:u w:val="single"/>
                    </w:rPr>
                    <w:t>集气罩</w:t>
                  </w:r>
                  <w:r>
                    <w:rPr>
                      <w:rFonts w:hint="default" w:ascii="Times New Roman" w:hAnsi="Times New Roman" w:eastAsia="宋体" w:cs="Times New Roman"/>
                      <w:b/>
                      <w:bCs/>
                      <w:sz w:val="21"/>
                      <w:szCs w:val="21"/>
                      <w:u w:val="single"/>
                      <w:lang w:val="en-US" w:eastAsia="zh-CN"/>
                    </w:rPr>
                    <w:t>收集废气，收集的废气引入</w:t>
                  </w:r>
                  <w:r>
                    <w:rPr>
                      <w:rFonts w:hint="default" w:ascii="Times New Roman" w:hAnsi="Times New Roman" w:eastAsia="宋体" w:cs="Times New Roman"/>
                      <w:b/>
                      <w:bCs/>
                      <w:sz w:val="21"/>
                      <w:szCs w:val="21"/>
                      <w:u w:val="single"/>
                    </w:rPr>
                    <w:t>光氧催化+活性炭吸附装置</w:t>
                  </w:r>
                  <w:r>
                    <w:rPr>
                      <w:rFonts w:hint="default" w:ascii="Times New Roman" w:hAnsi="Times New Roman" w:eastAsia="宋体" w:cs="Times New Roman"/>
                      <w:b/>
                      <w:bCs/>
                      <w:sz w:val="21"/>
                      <w:szCs w:val="21"/>
                      <w:u w:val="single"/>
                      <w:lang w:val="en-US" w:eastAsia="zh-CN"/>
                    </w:rPr>
                    <w:t>处理后由</w:t>
                  </w:r>
                  <w:r>
                    <w:rPr>
                      <w:rFonts w:hint="default" w:ascii="Times New Roman" w:hAnsi="Times New Roman" w:eastAsia="宋体" w:cs="Times New Roman"/>
                      <w:b/>
                      <w:bCs/>
                      <w:sz w:val="21"/>
                      <w:szCs w:val="21"/>
                      <w:u w:val="single"/>
                    </w:rPr>
                    <w:t>15m</w:t>
                  </w:r>
                  <w:r>
                    <w:rPr>
                      <w:rFonts w:hint="default" w:ascii="Times New Roman" w:hAnsi="Times New Roman" w:eastAsia="宋体" w:cs="Times New Roman"/>
                      <w:b/>
                      <w:bCs/>
                      <w:sz w:val="21"/>
                      <w:szCs w:val="21"/>
                      <w:u w:val="single"/>
                      <w:lang w:val="en-US" w:eastAsia="zh-CN"/>
                    </w:rPr>
                    <w:t>高</w:t>
                  </w:r>
                  <w:r>
                    <w:rPr>
                      <w:rFonts w:hint="default" w:ascii="Times New Roman" w:hAnsi="Times New Roman" w:eastAsia="宋体" w:cs="Times New Roman"/>
                      <w:b/>
                      <w:bCs/>
                      <w:sz w:val="21"/>
                      <w:szCs w:val="21"/>
                      <w:u w:val="single"/>
                    </w:rPr>
                    <w:t>排气筒</w:t>
                  </w:r>
                  <w:r>
                    <w:rPr>
                      <w:rFonts w:hint="default" w:ascii="Times New Roman" w:hAnsi="Times New Roman" w:eastAsia="宋体" w:cs="Times New Roman"/>
                      <w:b/>
                      <w:bCs/>
                      <w:sz w:val="21"/>
                      <w:szCs w:val="21"/>
                      <w:u w:val="single"/>
                      <w:lang w:val="en-US" w:eastAsia="zh-CN"/>
                    </w:rPr>
                    <w:t>排放</w:t>
                  </w:r>
                  <w:r>
                    <w:rPr>
                      <w:rFonts w:hint="eastAsia" w:cs="Times New Roman"/>
                      <w:b/>
                      <w:bCs/>
                      <w:sz w:val="21"/>
                      <w:szCs w:val="21"/>
                      <w:u w:val="single"/>
                      <w:lang w:val="en-US" w:eastAsia="zh-CN"/>
                    </w:rPr>
                    <w:t>。</w:t>
                  </w:r>
                </w:p>
              </w:tc>
              <w:tc>
                <w:tcPr>
                  <w:tcW w:w="18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sz w:val="21"/>
                      <w:szCs w:val="21"/>
                      <w:u w:val="single"/>
                    </w:rPr>
                    <w:t>烘干</w:t>
                  </w:r>
                  <w:r>
                    <w:rPr>
                      <w:rFonts w:hint="default" w:ascii="Times New Roman" w:hAnsi="Times New Roman" w:eastAsia="宋体" w:cs="Times New Roman"/>
                      <w:b/>
                      <w:bCs/>
                      <w:sz w:val="21"/>
                      <w:szCs w:val="21"/>
                      <w:u w:val="single"/>
                      <w:lang w:val="en-US" w:eastAsia="zh-CN"/>
                    </w:rPr>
                    <w:t>废气</w:t>
                  </w:r>
                  <w:r>
                    <w:rPr>
                      <w:rFonts w:hint="default" w:ascii="Times New Roman" w:hAnsi="Times New Roman" w:eastAsia="宋体" w:cs="Times New Roman"/>
                      <w:b/>
                      <w:bCs/>
                      <w:sz w:val="21"/>
                      <w:szCs w:val="21"/>
                      <w:u w:val="single"/>
                    </w:rPr>
                    <w:t>：</w:t>
                  </w:r>
                  <w:r>
                    <w:rPr>
                      <w:rFonts w:hint="default" w:ascii="Times New Roman" w:hAnsi="Times New Roman" w:eastAsia="宋体" w:cs="Times New Roman"/>
                      <w:b/>
                      <w:bCs/>
                      <w:sz w:val="21"/>
                      <w:szCs w:val="21"/>
                      <w:u w:val="single"/>
                      <w:lang w:val="en-US" w:eastAsia="zh-CN"/>
                    </w:rPr>
                    <w:t>密闭的烘干道，进出口</w:t>
                  </w:r>
                  <w:r>
                    <w:rPr>
                      <w:rFonts w:hint="eastAsia" w:cs="Times New Roman"/>
                      <w:b/>
                      <w:bCs/>
                      <w:sz w:val="21"/>
                      <w:szCs w:val="21"/>
                      <w:u w:val="single"/>
                      <w:lang w:val="en-US" w:eastAsia="zh-CN"/>
                    </w:rPr>
                    <w:t>为同一口，</w:t>
                  </w:r>
                  <w:r>
                    <w:rPr>
                      <w:rFonts w:hint="default" w:ascii="Times New Roman" w:hAnsi="Times New Roman" w:eastAsia="宋体" w:cs="Times New Roman"/>
                      <w:b/>
                      <w:bCs/>
                      <w:sz w:val="21"/>
                      <w:szCs w:val="21"/>
                      <w:u w:val="single"/>
                      <w:lang w:val="en-US" w:eastAsia="zh-CN"/>
                    </w:rPr>
                    <w:t>设</w:t>
                  </w:r>
                  <w:r>
                    <w:rPr>
                      <w:rFonts w:hint="default" w:ascii="Times New Roman" w:hAnsi="Times New Roman" w:eastAsia="宋体" w:cs="Times New Roman"/>
                      <w:b/>
                      <w:bCs/>
                      <w:sz w:val="21"/>
                      <w:szCs w:val="21"/>
                      <w:u w:val="single"/>
                    </w:rPr>
                    <w:t>集气罩</w:t>
                  </w:r>
                  <w:r>
                    <w:rPr>
                      <w:rFonts w:hint="default" w:ascii="Times New Roman" w:hAnsi="Times New Roman" w:eastAsia="宋体" w:cs="Times New Roman"/>
                      <w:b/>
                      <w:bCs/>
                      <w:sz w:val="21"/>
                      <w:szCs w:val="21"/>
                      <w:u w:val="single"/>
                      <w:lang w:val="en-US" w:eastAsia="zh-CN"/>
                    </w:rPr>
                    <w:t>收集废气，收集的废气引入</w:t>
                  </w:r>
                  <w:r>
                    <w:rPr>
                      <w:rFonts w:hint="default" w:ascii="Times New Roman" w:hAnsi="Times New Roman" w:eastAsia="宋体" w:cs="Times New Roman"/>
                      <w:b/>
                      <w:bCs/>
                      <w:sz w:val="21"/>
                      <w:szCs w:val="21"/>
                      <w:u w:val="single"/>
                    </w:rPr>
                    <w:t>光氧催化+活性炭吸附装置</w:t>
                  </w:r>
                  <w:r>
                    <w:rPr>
                      <w:rFonts w:hint="default" w:ascii="Times New Roman" w:hAnsi="Times New Roman" w:eastAsia="宋体" w:cs="Times New Roman"/>
                      <w:b/>
                      <w:bCs/>
                      <w:sz w:val="21"/>
                      <w:szCs w:val="21"/>
                      <w:u w:val="single"/>
                      <w:lang w:val="en-US" w:eastAsia="zh-CN"/>
                    </w:rPr>
                    <w:t>处理后由</w:t>
                  </w:r>
                  <w:r>
                    <w:rPr>
                      <w:rFonts w:hint="default" w:ascii="Times New Roman" w:hAnsi="Times New Roman" w:eastAsia="宋体" w:cs="Times New Roman"/>
                      <w:b/>
                      <w:bCs/>
                      <w:sz w:val="21"/>
                      <w:szCs w:val="21"/>
                      <w:u w:val="single"/>
                    </w:rPr>
                    <w:t>15m</w:t>
                  </w:r>
                  <w:r>
                    <w:rPr>
                      <w:rFonts w:hint="default" w:ascii="Times New Roman" w:hAnsi="Times New Roman" w:eastAsia="宋体" w:cs="Times New Roman"/>
                      <w:b/>
                      <w:bCs/>
                      <w:sz w:val="21"/>
                      <w:szCs w:val="21"/>
                      <w:u w:val="single"/>
                      <w:lang w:val="en-US" w:eastAsia="zh-CN"/>
                    </w:rPr>
                    <w:t>高</w:t>
                  </w:r>
                  <w:r>
                    <w:rPr>
                      <w:rFonts w:hint="default" w:ascii="Times New Roman" w:hAnsi="Times New Roman" w:eastAsia="宋体" w:cs="Times New Roman"/>
                      <w:b/>
                      <w:bCs/>
                      <w:sz w:val="21"/>
                      <w:szCs w:val="21"/>
                      <w:u w:val="single"/>
                    </w:rPr>
                    <w:t>排气筒</w:t>
                  </w:r>
                  <w:r>
                    <w:rPr>
                      <w:rFonts w:hint="default" w:ascii="Times New Roman" w:hAnsi="Times New Roman" w:eastAsia="宋体" w:cs="Times New Roman"/>
                      <w:b/>
                      <w:bCs/>
                      <w:sz w:val="21"/>
                      <w:szCs w:val="21"/>
                      <w:u w:val="single"/>
                      <w:lang w:val="en-US" w:eastAsia="zh-CN"/>
                    </w:rPr>
                    <w:t>排放</w:t>
                  </w:r>
                  <w:r>
                    <w:rPr>
                      <w:rFonts w:hint="eastAsia" w:cs="Times New Roman"/>
                      <w:b/>
                      <w:bCs/>
                      <w:sz w:val="21"/>
                      <w:szCs w:val="21"/>
                      <w:u w:val="single"/>
                      <w:lang w:val="en-US" w:eastAsia="zh-CN"/>
                    </w:rPr>
                    <w:t>。</w:t>
                  </w:r>
                </w:p>
              </w:tc>
              <w:tc>
                <w:tcPr>
                  <w:tcW w:w="5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依托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p>
              </w:tc>
              <w:tc>
                <w:tcPr>
                  <w:tcW w:w="4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p>
              </w:tc>
              <w:tc>
                <w:tcPr>
                  <w:tcW w:w="17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w:t>
                  </w:r>
                </w:p>
              </w:tc>
              <w:tc>
                <w:tcPr>
                  <w:tcW w:w="18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sz w:val="21"/>
                      <w:szCs w:val="21"/>
                      <w:u w:val="single"/>
                      <w:lang w:val="en-US" w:eastAsia="zh-CN"/>
                    </w:rPr>
                    <w:t>焊接、打磨、切割废气</w:t>
                  </w:r>
                  <w:r>
                    <w:rPr>
                      <w:rFonts w:hint="default" w:ascii="Times New Roman" w:hAnsi="Times New Roman" w:eastAsia="宋体" w:cs="Times New Roman"/>
                      <w:b/>
                      <w:bCs/>
                      <w:sz w:val="21"/>
                      <w:szCs w:val="21"/>
                      <w:u w:val="single"/>
                    </w:rPr>
                    <w:t>：</w:t>
                  </w:r>
                  <w:r>
                    <w:rPr>
                      <w:rFonts w:hint="default" w:ascii="Times New Roman" w:hAnsi="Times New Roman" w:eastAsia="宋体" w:cs="Times New Roman"/>
                      <w:b/>
                      <w:bCs/>
                      <w:sz w:val="21"/>
                      <w:szCs w:val="21"/>
                      <w:u w:val="single"/>
                      <w:lang w:val="en-US" w:eastAsia="zh-CN"/>
                    </w:rPr>
                    <w:t>焊接、打磨工序设固定的焊接间，</w:t>
                  </w:r>
                  <w:r>
                    <w:rPr>
                      <w:rFonts w:hint="default" w:ascii="Times New Roman" w:hAnsi="Times New Roman" w:eastAsia="宋体" w:cs="Times New Roman"/>
                      <w:b/>
                      <w:bCs/>
                      <w:sz w:val="21"/>
                      <w:szCs w:val="21"/>
                      <w:u w:val="single"/>
                    </w:rPr>
                    <w:t>焊接</w:t>
                  </w:r>
                  <w:r>
                    <w:rPr>
                      <w:rFonts w:hint="default" w:ascii="Times New Roman" w:hAnsi="Times New Roman" w:eastAsia="宋体" w:cs="Times New Roman"/>
                      <w:b/>
                      <w:bCs/>
                      <w:sz w:val="21"/>
                      <w:szCs w:val="21"/>
                      <w:u w:val="single"/>
                      <w:lang w:eastAsia="zh-CN"/>
                    </w:rPr>
                    <w:t>、</w:t>
                  </w:r>
                  <w:r>
                    <w:rPr>
                      <w:rFonts w:hint="default" w:ascii="Times New Roman" w:hAnsi="Times New Roman" w:eastAsia="宋体" w:cs="Times New Roman"/>
                      <w:b/>
                      <w:bCs/>
                      <w:sz w:val="21"/>
                      <w:szCs w:val="21"/>
                      <w:u w:val="single"/>
                      <w:lang w:val="en-US" w:eastAsia="zh-CN"/>
                    </w:rPr>
                    <w:t>打磨工序设集气罩收集废气，切割工序设引风管收集废气，收集的废气引入</w:t>
                  </w:r>
                  <w:r>
                    <w:rPr>
                      <w:rFonts w:hint="default" w:ascii="Times New Roman" w:hAnsi="Times New Roman" w:eastAsia="宋体" w:cs="Times New Roman"/>
                      <w:b/>
                      <w:bCs/>
                      <w:sz w:val="21"/>
                      <w:szCs w:val="21"/>
                      <w:u w:val="single"/>
                    </w:rPr>
                    <w:t>袋式除尘器</w:t>
                  </w:r>
                  <w:r>
                    <w:rPr>
                      <w:rFonts w:hint="default" w:ascii="Times New Roman" w:hAnsi="Times New Roman" w:eastAsia="宋体" w:cs="Times New Roman"/>
                      <w:b/>
                      <w:bCs/>
                      <w:sz w:val="21"/>
                      <w:szCs w:val="21"/>
                      <w:u w:val="single"/>
                      <w:lang w:val="en-US" w:eastAsia="zh-CN"/>
                    </w:rPr>
                    <w:t>处理后由</w:t>
                  </w:r>
                  <w:r>
                    <w:rPr>
                      <w:rFonts w:hint="default" w:ascii="Times New Roman" w:hAnsi="Times New Roman" w:eastAsia="宋体" w:cs="Times New Roman"/>
                      <w:b/>
                      <w:bCs/>
                      <w:sz w:val="21"/>
                      <w:szCs w:val="21"/>
                      <w:u w:val="single"/>
                    </w:rPr>
                    <w:t>15m</w:t>
                  </w:r>
                  <w:r>
                    <w:rPr>
                      <w:rFonts w:hint="default" w:ascii="Times New Roman" w:hAnsi="Times New Roman" w:eastAsia="宋体" w:cs="Times New Roman"/>
                      <w:b/>
                      <w:bCs/>
                      <w:sz w:val="21"/>
                      <w:szCs w:val="21"/>
                      <w:u w:val="single"/>
                      <w:lang w:val="en-US" w:eastAsia="zh-CN"/>
                    </w:rPr>
                    <w:t>高</w:t>
                  </w:r>
                  <w:r>
                    <w:rPr>
                      <w:rFonts w:hint="default" w:ascii="Times New Roman" w:hAnsi="Times New Roman" w:eastAsia="宋体" w:cs="Times New Roman"/>
                      <w:b/>
                      <w:bCs/>
                      <w:sz w:val="21"/>
                      <w:szCs w:val="21"/>
                      <w:u w:val="single"/>
                    </w:rPr>
                    <w:t>排气筒</w:t>
                  </w:r>
                  <w:r>
                    <w:rPr>
                      <w:rFonts w:hint="default" w:ascii="Times New Roman" w:hAnsi="Times New Roman" w:eastAsia="宋体" w:cs="Times New Roman"/>
                      <w:b/>
                      <w:bCs/>
                      <w:sz w:val="21"/>
                      <w:szCs w:val="21"/>
                      <w:u w:val="single"/>
                      <w:lang w:val="en-US" w:eastAsia="zh-CN"/>
                    </w:rPr>
                    <w:t>排放。</w:t>
                  </w:r>
                </w:p>
              </w:tc>
              <w:tc>
                <w:tcPr>
                  <w:tcW w:w="5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imes New Roman"/>
                      <w:b/>
                      <w:bCs/>
                      <w:color w:val="000000" w:themeColor="text1"/>
                      <w:sz w:val="21"/>
                      <w:szCs w:val="21"/>
                      <w:highlight w:val="none"/>
                      <w:u w:val="single"/>
                      <w:lang w:val="en-US" w:eastAsia="zh-CN"/>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本次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FF0000"/>
                      <w:sz w:val="21"/>
                      <w:szCs w:val="21"/>
                      <w:u w:val="single"/>
                    </w:rPr>
                  </w:pPr>
                </w:p>
              </w:tc>
              <w:tc>
                <w:tcPr>
                  <w:tcW w:w="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废水治理</w:t>
                  </w:r>
                </w:p>
              </w:tc>
              <w:tc>
                <w:tcPr>
                  <w:tcW w:w="17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生活污水经化粪池处理后，</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定期清掏肥田。</w:t>
                  </w:r>
                </w:p>
              </w:tc>
              <w:tc>
                <w:tcPr>
                  <w:tcW w:w="18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生活污水经化粪池处理后，</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定期清掏肥田。</w:t>
                  </w:r>
                </w:p>
              </w:tc>
              <w:tc>
                <w:tcPr>
                  <w:tcW w:w="5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依托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FF0000"/>
                      <w:sz w:val="21"/>
                      <w:szCs w:val="21"/>
                      <w:u w:val="single"/>
                    </w:rPr>
                  </w:pPr>
                </w:p>
              </w:tc>
              <w:tc>
                <w:tcPr>
                  <w:tcW w:w="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噪声治理</w:t>
                  </w:r>
                </w:p>
              </w:tc>
              <w:tc>
                <w:tcPr>
                  <w:tcW w:w="17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建筑隔声、距离衰减等。</w:t>
                  </w:r>
                </w:p>
              </w:tc>
              <w:tc>
                <w:tcPr>
                  <w:tcW w:w="18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建筑隔声、距离衰减等。</w:t>
                  </w:r>
                </w:p>
              </w:tc>
              <w:tc>
                <w:tcPr>
                  <w:tcW w:w="5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部分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color w:val="000000" w:themeColor="text1"/>
                      <w:sz w:val="21"/>
                      <w:szCs w:val="21"/>
                      <w:u w:val="single"/>
                      <w:lang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1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FF0000"/>
                      <w:sz w:val="21"/>
                      <w:szCs w:val="21"/>
                      <w:u w:val="single"/>
                    </w:rPr>
                  </w:pPr>
                </w:p>
              </w:tc>
              <w:tc>
                <w:tcPr>
                  <w:tcW w:w="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固废处置</w:t>
                  </w:r>
                </w:p>
              </w:tc>
              <w:tc>
                <w:tcPr>
                  <w:tcW w:w="17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color w:val="000000" w:themeColor="text1"/>
                      <w:sz w:val="21"/>
                      <w:szCs w:val="21"/>
                      <w:u w:val="single"/>
                      <w:lang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w:t>
                  </w:r>
                </w:p>
              </w:tc>
              <w:tc>
                <w:tcPr>
                  <w:tcW w:w="18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bCs/>
                      <w:color w:val="000000" w:themeColor="text1"/>
                      <w:sz w:val="21"/>
                      <w:szCs w:val="21"/>
                      <w:u w:val="single"/>
                      <w14:textFill>
                        <w14:solidFill>
                          <w14:schemeClr w14:val="tx1"/>
                        </w14:solidFill>
                      </w14:textFill>
                    </w:rPr>
                    <w:t>生活垃圾</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设垃圾桶收集后</w:t>
                  </w:r>
                  <w:r>
                    <w:rPr>
                      <w:rFonts w:hint="default" w:ascii="Times New Roman" w:hAnsi="Times New Roman" w:eastAsia="宋体" w:cs="Times New Roman"/>
                      <w:b/>
                      <w:bCs/>
                      <w:color w:val="000000" w:themeColor="text1"/>
                      <w:sz w:val="21"/>
                      <w:szCs w:val="21"/>
                      <w:u w:val="single"/>
                      <w14:textFill>
                        <w14:solidFill>
                          <w14:schemeClr w14:val="tx1"/>
                        </w14:solidFill>
                      </w14:textFill>
                    </w:rPr>
                    <w:t>由环卫部门定期清运；废</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边角</w:t>
                  </w:r>
                  <w:r>
                    <w:rPr>
                      <w:rFonts w:hint="default" w:ascii="Times New Roman" w:hAnsi="Times New Roman" w:eastAsia="宋体" w:cs="Times New Roman"/>
                      <w:b/>
                      <w:bCs/>
                      <w:color w:val="000000" w:themeColor="text1"/>
                      <w:sz w:val="21"/>
                      <w:szCs w:val="21"/>
                      <w:u w:val="single"/>
                      <w14:textFill>
                        <w14:solidFill>
                          <w14:schemeClr w14:val="tx1"/>
                        </w14:solidFill>
                      </w14:textFill>
                    </w:rPr>
                    <w:t>料、废纸箱、废挂钩于一般固废暂存</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间</w:t>
                  </w:r>
                  <w:r>
                    <w:rPr>
                      <w:rFonts w:hint="default" w:ascii="Times New Roman" w:hAnsi="Times New Roman" w:eastAsia="宋体" w:cs="Times New Roman"/>
                      <w:b/>
                      <w:bCs/>
                      <w:color w:val="000000" w:themeColor="text1"/>
                      <w:sz w:val="21"/>
                      <w:szCs w:val="21"/>
                      <w:u w:val="single"/>
                      <w14:textFill>
                        <w14:solidFill>
                          <w14:schemeClr w14:val="tx1"/>
                        </w14:solidFill>
                      </w14:textFill>
                    </w:rPr>
                    <w:t>暂存（</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1</w:t>
                  </w:r>
                  <w:r>
                    <w:rPr>
                      <w:rFonts w:hint="default" w:ascii="Times New Roman" w:hAnsi="Times New Roman" w:eastAsia="宋体" w:cs="Times New Roman"/>
                      <w:b/>
                      <w:bCs/>
                      <w:color w:val="000000" w:themeColor="text1"/>
                      <w:sz w:val="21"/>
                      <w:szCs w:val="21"/>
                      <w:u w:val="single"/>
                      <w14:textFill>
                        <w14:solidFill>
                          <w14:schemeClr w14:val="tx1"/>
                        </w14:solidFill>
                      </w14:textFill>
                    </w:rPr>
                    <w:t>0m</w:t>
                  </w:r>
                  <w:r>
                    <w:rPr>
                      <w:rFonts w:hint="default" w:ascii="Times New Roman" w:hAnsi="Times New Roman" w:eastAsia="宋体" w:cs="Times New Roman"/>
                      <w:b/>
                      <w:bCs/>
                      <w:color w:val="000000" w:themeColor="text1"/>
                      <w:sz w:val="21"/>
                      <w:szCs w:val="21"/>
                      <w:u w:val="single"/>
                      <w:vertAlign w:val="superscript"/>
                      <w14:textFill>
                        <w14:solidFill>
                          <w14:schemeClr w14:val="tx1"/>
                        </w14:solidFill>
                      </w14:textFill>
                    </w:rPr>
                    <w:t>2</w:t>
                  </w:r>
                  <w:r>
                    <w:rPr>
                      <w:rFonts w:hint="default" w:ascii="Times New Roman" w:hAnsi="Times New Roman" w:eastAsia="宋体" w:cs="Times New Roman"/>
                      <w:b/>
                      <w:bCs/>
                      <w:color w:val="000000" w:themeColor="text1"/>
                      <w:sz w:val="21"/>
                      <w:szCs w:val="21"/>
                      <w:u w:val="single"/>
                      <w14:textFill>
                        <w14:solidFill>
                          <w14:schemeClr w14:val="tx1"/>
                        </w14:solidFill>
                      </w14:textFill>
                    </w:rPr>
                    <w:t>），定期外售；</w:t>
                  </w:r>
                  <w:r>
                    <w:rPr>
                      <w:rFonts w:hint="eastAsia" w:cs="Times New Roman"/>
                      <w:b/>
                      <w:bCs/>
                      <w:color w:val="000000" w:themeColor="text1"/>
                      <w:sz w:val="21"/>
                      <w:szCs w:val="21"/>
                      <w:u w:val="single"/>
                      <w:lang w:val="en-US" w:eastAsia="zh-CN"/>
                      <w14:textFill>
                        <w14:solidFill>
                          <w14:schemeClr w14:val="tx1"/>
                        </w14:solidFill>
                      </w14:textFill>
                    </w:rPr>
                    <w:t>除尘器收集的</w:t>
                  </w:r>
                  <w:r>
                    <w:rPr>
                      <w:rFonts w:hint="default" w:ascii="Times New Roman" w:hAnsi="Times New Roman" w:eastAsia="宋体" w:cs="Times New Roman"/>
                      <w:b/>
                      <w:bCs/>
                      <w:color w:val="000000" w:themeColor="text1"/>
                      <w:sz w:val="21"/>
                      <w:szCs w:val="21"/>
                      <w:u w:val="single"/>
                      <w14:textFill>
                        <w14:solidFill>
                          <w14:schemeClr w14:val="tx1"/>
                        </w14:solidFill>
                      </w14:textFill>
                    </w:rPr>
                    <w:t>塑粉</w:t>
                  </w:r>
                  <w:r>
                    <w:rPr>
                      <w:rFonts w:hint="eastAsia" w:ascii="Times New Roman" w:hAnsi="Times New Roman" w:eastAsia="宋体" w:cs="Times New Roman"/>
                      <w:b/>
                      <w:bCs/>
                      <w:color w:val="000000" w:themeColor="text1"/>
                      <w:sz w:val="21"/>
                      <w:szCs w:val="21"/>
                      <w:u w:val="single"/>
                      <w:lang w:val="en-US" w:eastAsia="zh-CN"/>
                      <w14:textFill>
                        <w14:solidFill>
                          <w14:schemeClr w14:val="tx1"/>
                        </w14:solidFill>
                      </w14:textFill>
                    </w:rPr>
                    <w:t>回用于生产；</w:t>
                  </w:r>
                  <w:r>
                    <w:rPr>
                      <w:rFonts w:hint="default" w:ascii="Times New Roman" w:hAnsi="Times New Roman" w:eastAsia="宋体" w:cs="Times New Roman"/>
                      <w:b/>
                      <w:bCs/>
                      <w:color w:val="000000" w:themeColor="text1"/>
                      <w:sz w:val="21"/>
                      <w:szCs w:val="21"/>
                      <w:u w:val="single"/>
                      <w14:textFill>
                        <w14:solidFill>
                          <w14:schemeClr w14:val="tx1"/>
                        </w14:solidFill>
                      </w14:textFill>
                    </w:rPr>
                    <w:t>废滤芯</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厂家直接回收；</w:t>
                  </w:r>
                  <w:r>
                    <w:rPr>
                      <w:rFonts w:hint="default" w:ascii="Times New Roman" w:hAnsi="Times New Roman" w:eastAsia="宋体" w:cs="Times New Roman"/>
                      <w:b/>
                      <w:bCs/>
                      <w:color w:val="000000" w:themeColor="text1"/>
                      <w:sz w:val="21"/>
                      <w:szCs w:val="21"/>
                      <w:u w:val="single"/>
                      <w14:textFill>
                        <w14:solidFill>
                          <w14:schemeClr w14:val="tx1"/>
                        </w14:solidFill>
                      </w14:textFill>
                    </w:rPr>
                    <w:t>废</w:t>
                  </w: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机油、废液压油、废光氧灯管、废活性炭</w:t>
                  </w:r>
                  <w:r>
                    <w:rPr>
                      <w:rFonts w:hint="default" w:ascii="Times New Roman" w:hAnsi="Times New Roman" w:eastAsia="宋体" w:cs="Times New Roman"/>
                      <w:b/>
                      <w:bCs/>
                      <w:color w:val="000000" w:themeColor="text1"/>
                      <w:sz w:val="21"/>
                      <w:szCs w:val="21"/>
                      <w:u w:val="single"/>
                      <w14:textFill>
                        <w14:solidFill>
                          <w14:schemeClr w14:val="tx1"/>
                        </w14:solidFill>
                      </w14:textFill>
                    </w:rPr>
                    <w:t>于危废暂存间暂存（6m</w:t>
                  </w:r>
                  <w:r>
                    <w:rPr>
                      <w:rFonts w:hint="default" w:ascii="Times New Roman" w:hAnsi="Times New Roman" w:eastAsia="宋体" w:cs="Times New Roman"/>
                      <w:b/>
                      <w:bCs/>
                      <w:color w:val="000000" w:themeColor="text1"/>
                      <w:sz w:val="21"/>
                      <w:szCs w:val="21"/>
                      <w:u w:val="single"/>
                      <w:vertAlign w:val="superscript"/>
                      <w14:textFill>
                        <w14:solidFill>
                          <w14:schemeClr w14:val="tx1"/>
                        </w14:solidFill>
                      </w14:textFill>
                    </w:rPr>
                    <w:t>2</w:t>
                  </w:r>
                  <w:r>
                    <w:rPr>
                      <w:rFonts w:hint="default" w:ascii="Times New Roman" w:hAnsi="Times New Roman" w:eastAsia="宋体" w:cs="Times New Roman"/>
                      <w:b/>
                      <w:bCs/>
                      <w:color w:val="000000" w:themeColor="text1"/>
                      <w:sz w:val="21"/>
                      <w:szCs w:val="21"/>
                      <w:u w:val="single"/>
                      <w14:textFill>
                        <w14:solidFill>
                          <w14:schemeClr w14:val="tx1"/>
                        </w14:solidFill>
                      </w14:textFill>
                    </w:rPr>
                    <w:t>），定期委托有资质的单位处置。</w:t>
                  </w:r>
                </w:p>
              </w:tc>
              <w:tc>
                <w:tcPr>
                  <w:tcW w:w="5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imes New Roman"/>
                      <w:b/>
                      <w:bCs/>
                      <w:color w:val="000000" w:themeColor="text1"/>
                      <w:sz w:val="21"/>
                      <w:szCs w:val="21"/>
                      <w:highlight w:val="none"/>
                      <w:u w:val="single"/>
                      <w:lang w:val="en-US" w:eastAsia="zh-CN"/>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本次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新建</w:t>
                  </w:r>
                </w:p>
              </w:tc>
            </w:tr>
          </w:tbl>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4</w:t>
            </w:r>
            <w:r>
              <w:rPr>
                <w:b/>
                <w:color w:val="000000" w:themeColor="text1"/>
                <w:sz w:val="24"/>
                <w:szCs w:val="24"/>
                <w14:textFill>
                  <w14:solidFill>
                    <w14:schemeClr w14:val="tx1"/>
                  </w14:solidFill>
                </w14:textFill>
              </w:rPr>
              <w:t>、主要生产设备</w:t>
            </w:r>
          </w:p>
          <w:p>
            <w:pPr>
              <w:spacing w:line="360" w:lineRule="auto"/>
              <w:ind w:firstLine="480" w:firstLineChars="200"/>
              <w:rPr>
                <w:b w:val="0"/>
                <w:bCs w:val="0"/>
                <w:color w:val="000000" w:themeColor="text1"/>
                <w:sz w:val="24"/>
                <w:szCs w:val="24"/>
                <w:u w:val="none"/>
                <w:shd w:val="clear" w:color="FFFFFF" w:fill="D9D9D9"/>
                <w14:textFill>
                  <w14:solidFill>
                    <w14:schemeClr w14:val="tx1"/>
                  </w14:solidFill>
                </w14:textFill>
              </w:rPr>
            </w:pPr>
            <w:r>
              <w:rPr>
                <w:rFonts w:hint="eastAsia"/>
                <w:b w:val="0"/>
                <w:bCs w:val="0"/>
                <w:color w:val="000000" w:themeColor="text1"/>
                <w:sz w:val="24"/>
                <w:szCs w:val="24"/>
                <w:u w:val="none"/>
                <w14:textFill>
                  <w14:solidFill>
                    <w14:schemeClr w14:val="tx1"/>
                  </w14:solidFill>
                </w14:textFill>
              </w:rPr>
              <w:t>本</w:t>
            </w:r>
            <w:r>
              <w:rPr>
                <w:b w:val="0"/>
                <w:bCs w:val="0"/>
                <w:color w:val="000000" w:themeColor="text1"/>
                <w:sz w:val="24"/>
                <w:szCs w:val="24"/>
                <w:u w:val="none"/>
                <w14:textFill>
                  <w14:solidFill>
                    <w14:schemeClr w14:val="tx1"/>
                  </w14:solidFill>
                </w14:textFill>
              </w:rPr>
              <w:t>项目主要生产设备见下表。</w:t>
            </w:r>
          </w:p>
          <w:p>
            <w:pPr>
              <w:jc w:val="center"/>
              <w:rPr>
                <w:b w:val="0"/>
                <w:bCs w:val="0"/>
                <w:color w:val="000000" w:themeColor="text1"/>
                <w:sz w:val="24"/>
                <w:szCs w:val="24"/>
                <w:highlight w:val="none"/>
                <w:u w:val="none"/>
                <w14:textFill>
                  <w14:solidFill>
                    <w14:schemeClr w14:val="tx1"/>
                  </w14:solidFill>
                </w14:textFill>
              </w:rPr>
            </w:pPr>
          </w:p>
          <w:p>
            <w:pPr>
              <w:jc w:val="center"/>
              <w:rPr>
                <w:b w:val="0"/>
                <w:bCs w:val="0"/>
                <w:color w:val="000000" w:themeColor="text1"/>
                <w:sz w:val="24"/>
                <w:szCs w:val="24"/>
                <w:highlight w:val="none"/>
                <w:u w:val="none"/>
                <w14:textFill>
                  <w14:solidFill>
                    <w14:schemeClr w14:val="tx1"/>
                  </w14:solidFill>
                </w14:textFill>
              </w:rPr>
            </w:pPr>
          </w:p>
          <w:p>
            <w:pPr>
              <w:jc w:val="center"/>
              <w:rPr>
                <w:b w:val="0"/>
                <w:bCs w:val="0"/>
                <w:color w:val="000000" w:themeColor="text1"/>
                <w:sz w:val="24"/>
                <w:szCs w:val="24"/>
                <w:highlight w:val="none"/>
                <w:u w:val="none"/>
                <w14:textFill>
                  <w14:solidFill>
                    <w14:schemeClr w14:val="tx1"/>
                  </w14:solidFill>
                </w14:textFill>
              </w:rPr>
            </w:pPr>
          </w:p>
          <w:p>
            <w:pPr>
              <w:jc w:val="center"/>
              <w:rPr>
                <w:b w:val="0"/>
                <w:bCs w:val="0"/>
                <w:color w:val="000000" w:themeColor="text1"/>
                <w:sz w:val="24"/>
                <w:szCs w:val="24"/>
                <w:highlight w:val="none"/>
                <w:u w:val="none"/>
                <w14:textFill>
                  <w14:solidFill>
                    <w14:schemeClr w14:val="tx1"/>
                  </w14:solidFill>
                </w14:textFill>
              </w:rPr>
            </w:pPr>
          </w:p>
          <w:p>
            <w:pPr>
              <w:jc w:val="center"/>
              <w:rPr>
                <w:b w:val="0"/>
                <w:bCs w:val="0"/>
                <w:color w:val="000000" w:themeColor="text1"/>
                <w:sz w:val="24"/>
                <w:szCs w:val="24"/>
                <w:highlight w:val="yellow"/>
                <w:u w:val="none"/>
                <w:shd w:val="clear" w:color="FFFFFF" w:fill="D9D9D9"/>
                <w:vertAlign w:val="baseline"/>
                <w14:textFill>
                  <w14:solidFill>
                    <w14:schemeClr w14:val="tx1"/>
                  </w14:solidFill>
                </w14:textFill>
              </w:rPr>
            </w:pPr>
            <w:r>
              <w:rPr>
                <w:b w:val="0"/>
                <w:bCs w:val="0"/>
                <w:color w:val="000000" w:themeColor="text1"/>
                <w:sz w:val="24"/>
                <w:szCs w:val="24"/>
                <w:highlight w:val="none"/>
                <w:u w:val="none"/>
                <w14:textFill>
                  <w14:solidFill>
                    <w14:schemeClr w14:val="tx1"/>
                  </w14:solidFill>
                </w14:textFill>
              </w:rPr>
              <w:t>表2-</w:t>
            </w:r>
            <w:r>
              <w:rPr>
                <w:rFonts w:hint="eastAsia"/>
                <w:b w:val="0"/>
                <w:bCs w:val="0"/>
                <w:color w:val="000000" w:themeColor="text1"/>
                <w:sz w:val="24"/>
                <w:szCs w:val="24"/>
                <w:highlight w:val="none"/>
                <w:u w:val="none"/>
                <w:lang w:val="en-US" w:eastAsia="zh-CN"/>
                <w14:textFill>
                  <w14:solidFill>
                    <w14:schemeClr w14:val="tx1"/>
                  </w14:solidFill>
                </w14:textFill>
              </w:rPr>
              <w:t>3</w:t>
            </w:r>
            <w:r>
              <w:rPr>
                <w:b w:val="0"/>
                <w:bCs w:val="0"/>
                <w:color w:val="000000" w:themeColor="text1"/>
                <w:sz w:val="24"/>
                <w:szCs w:val="24"/>
                <w:highlight w:val="none"/>
                <w:u w:val="none"/>
                <w14:textFill>
                  <w14:solidFill>
                    <w14:schemeClr w14:val="tx1"/>
                  </w14:solidFill>
                </w14:textFill>
              </w:rPr>
              <w:t xml:space="preserve">  项目主要生产设备一览表</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113"/>
              <w:gridCol w:w="975"/>
              <w:gridCol w:w="737"/>
              <w:gridCol w:w="1538"/>
              <w:gridCol w:w="675"/>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shd w:val="clear" w:color="FFFFFF" w:fill="auto"/>
                      <w:vertAlign w:val="baseline"/>
                      <w:lang w:val="en-US" w:eastAsia="zh-CN"/>
                    </w:rPr>
                  </w:pPr>
                  <w:r>
                    <w:rPr>
                      <w:rFonts w:hint="default" w:ascii="Times New Roman" w:hAnsi="Times New Roman" w:eastAsia="宋体" w:cs="Times New Roman"/>
                      <w:b w:val="0"/>
                      <w:bCs w:val="0"/>
                      <w:color w:val="000000"/>
                      <w:sz w:val="21"/>
                      <w:szCs w:val="21"/>
                      <w:u w:val="none"/>
                      <w:shd w:val="clear" w:color="FFFFFF" w:fill="auto"/>
                      <w:vertAlign w:val="baseline"/>
                      <w:lang w:val="en-US" w:eastAsia="zh-CN"/>
                    </w:rPr>
                    <w:t>生产单元</w:t>
                  </w:r>
                </w:p>
              </w:tc>
              <w:tc>
                <w:tcPr>
                  <w:tcW w:w="130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eastAsia="宋体" w:cs="Times New Roman"/>
                      <w:b w:val="0"/>
                      <w:bCs w:val="0"/>
                      <w:color w:val="000000"/>
                      <w:sz w:val="21"/>
                      <w:szCs w:val="21"/>
                      <w:u w:val="none"/>
                    </w:rPr>
                    <w:t>工艺设备名称</w:t>
                  </w:r>
                </w:p>
              </w:tc>
              <w:tc>
                <w:tcPr>
                  <w:tcW w:w="105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sz w:val="21"/>
                      <w:szCs w:val="21"/>
                      <w:u w:val="none"/>
                      <w:lang w:val="en-US" w:eastAsia="zh-CN"/>
                    </w:rPr>
                  </w:pPr>
                  <w:r>
                    <w:rPr>
                      <w:rFonts w:hint="eastAsia" w:cs="Times New Roman"/>
                      <w:b w:val="0"/>
                      <w:bCs w:val="0"/>
                      <w:color w:val="000000"/>
                      <w:sz w:val="21"/>
                      <w:szCs w:val="21"/>
                      <w:u w:val="none"/>
                      <w:lang w:val="en-US" w:eastAsia="zh-CN"/>
                    </w:rPr>
                    <w:t>现有工程</w:t>
                  </w:r>
                </w:p>
              </w:tc>
              <w:tc>
                <w:tcPr>
                  <w:tcW w:w="1362"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lang w:val="en-US" w:eastAsia="zh-CN"/>
                    </w:rPr>
                  </w:pPr>
                  <w:r>
                    <w:rPr>
                      <w:rFonts w:hint="eastAsia" w:cs="Times New Roman"/>
                      <w:b w:val="0"/>
                      <w:bCs w:val="0"/>
                      <w:color w:val="000000"/>
                      <w:sz w:val="21"/>
                      <w:szCs w:val="21"/>
                      <w:u w:val="none"/>
                      <w:lang w:val="en-US" w:eastAsia="zh-CN"/>
                    </w:rPr>
                    <w:t>本次技改后</w:t>
                  </w:r>
                </w:p>
              </w:tc>
              <w:tc>
                <w:tcPr>
                  <w:tcW w:w="82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eastAsia="宋体" w:cs="Times New Roman"/>
                      <w:b w:val="0"/>
                      <w:bCs w:val="0"/>
                      <w:color w:val="000000"/>
                      <w:sz w:val="21"/>
                      <w:szCs w:val="21"/>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shd w:val="clear" w:color="FFFFFF" w:fill="auto"/>
                      <w:vertAlign w:val="baseline"/>
                      <w:lang w:val="en-US" w:eastAsia="zh-CN"/>
                    </w:rPr>
                  </w:pPr>
                </w:p>
              </w:tc>
              <w:tc>
                <w:tcPr>
                  <w:tcW w:w="130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型号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（规格）</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数量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eastAsia="宋体" w:cs="Times New Roman"/>
                      <w:b w:val="0"/>
                      <w:bCs w:val="0"/>
                      <w:color w:val="000000"/>
                      <w:sz w:val="21"/>
                      <w:szCs w:val="21"/>
                      <w:u w:val="none"/>
                    </w:rPr>
                    <w:t>（台/套）</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型号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eastAsia="宋体" w:cs="Times New Roman"/>
                      <w:b w:val="0"/>
                      <w:bCs w:val="0"/>
                      <w:color w:val="000000"/>
                      <w:sz w:val="21"/>
                      <w:szCs w:val="21"/>
                      <w:u w:val="none"/>
                    </w:rPr>
                    <w:t>（规格）</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数量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（台/套）</w:t>
                  </w:r>
                </w:p>
              </w:tc>
              <w:tc>
                <w:tcPr>
                  <w:tcW w:w="82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D9D9D9"/>
                      <w:vertAlign w:val="baseline"/>
                    </w:rPr>
                  </w:pPr>
                  <w:r>
                    <w:rPr>
                      <w:rFonts w:hint="default" w:ascii="Times New Roman" w:hAnsi="Times New Roman" w:eastAsia="宋体" w:cs="Times New Roman"/>
                      <w:b/>
                      <w:bCs/>
                      <w:color w:val="000000"/>
                      <w:sz w:val="21"/>
                      <w:szCs w:val="21"/>
                      <w:u w:val="single"/>
                      <w:shd w:val="clear" w:color="FFFFFF" w:fill="auto"/>
                      <w:vertAlign w:val="baseline"/>
                      <w:lang w:val="en-US" w:eastAsia="zh-CN"/>
                    </w:rPr>
                    <w:t>机械加工单元</w:t>
                  </w: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D9D9D9"/>
                      <w:vertAlign w:val="baseline"/>
                    </w:rPr>
                  </w:pPr>
                  <w:r>
                    <w:rPr>
                      <w:rFonts w:hint="default" w:ascii="Times New Roman" w:hAnsi="Times New Roman" w:eastAsia="宋体" w:cs="Times New Roman"/>
                      <w:b/>
                      <w:bCs/>
                      <w:sz w:val="21"/>
                      <w:szCs w:val="21"/>
                      <w:u w:val="single"/>
                    </w:rPr>
                    <w:t>激光切割机（力峰）</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lang w:val="en-US" w:eastAsia="zh-CN"/>
                    </w:rPr>
                    <w:t>4</w:t>
                  </w:r>
                  <w:r>
                    <w:rPr>
                      <w:rFonts w:hint="default" w:ascii="Times New Roman" w:hAnsi="Times New Roman" w:eastAsia="宋体" w:cs="Times New Roman"/>
                      <w:b/>
                      <w:bCs/>
                      <w:sz w:val="21"/>
                      <w:szCs w:val="21"/>
                      <w:u w:val="single"/>
                    </w:rPr>
                    <w:t>015</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u w:val="single"/>
                      <w:lang w:val="en-US" w:eastAsia="zh-CN" w:bidi="ar-SA"/>
                    </w:rPr>
                  </w:pPr>
                  <w:r>
                    <w:rPr>
                      <w:rFonts w:hint="eastAsia" w:cs="Times New Roman"/>
                      <w:b/>
                      <w:bCs/>
                      <w:color w:val="000000"/>
                      <w:sz w:val="21"/>
                      <w:szCs w:val="21"/>
                      <w:u w:val="single"/>
                      <w:lang w:val="en-US" w:eastAsia="zh-CN"/>
                    </w:rPr>
                    <w:t>1</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eastAsia="宋体" w:cs="Times New Roman"/>
                      <w:b/>
                      <w:bCs/>
                      <w:sz w:val="21"/>
                      <w:szCs w:val="21"/>
                      <w:u w:val="single"/>
                      <w:lang w:val="en-US" w:eastAsia="zh-CN"/>
                    </w:rPr>
                    <w:t>4</w:t>
                  </w:r>
                  <w:r>
                    <w:rPr>
                      <w:rFonts w:hint="default" w:ascii="Times New Roman" w:hAnsi="Times New Roman" w:eastAsia="宋体" w:cs="Times New Roman"/>
                      <w:b/>
                      <w:bCs/>
                      <w:sz w:val="21"/>
                      <w:szCs w:val="21"/>
                      <w:u w:val="single"/>
                    </w:rPr>
                    <w:t>015</w:t>
                  </w:r>
                </w:p>
              </w:tc>
              <w:tc>
                <w:tcPr>
                  <w:tcW w:w="41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bCs/>
                      <w:color w:val="000000"/>
                      <w:sz w:val="21"/>
                      <w:szCs w:val="21"/>
                      <w:u w:val="single"/>
                      <w:lang w:val="en-US" w:eastAsia="zh-CN"/>
                    </w:rPr>
                  </w:pPr>
                  <w:r>
                    <w:rPr>
                      <w:rFonts w:hint="eastAsia" w:cs="Times New Roman"/>
                      <w:b/>
                      <w:bCs/>
                      <w:color w:val="000000"/>
                      <w:sz w:val="21"/>
                      <w:szCs w:val="21"/>
                      <w:u w:val="single"/>
                      <w:lang w:val="en-US" w:eastAsia="zh-CN"/>
                    </w:rPr>
                    <w:t>1</w:t>
                  </w:r>
                </w:p>
              </w:tc>
              <w:tc>
                <w:tcPr>
                  <w:tcW w:w="82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auto"/>
                      <w:vertAlign w:val="baseline"/>
                      <w:lang w:val="en-US" w:eastAsia="zh-CN"/>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sz w:val="21"/>
                      <w:szCs w:val="21"/>
                      <w:u w:val="none"/>
                    </w:rPr>
                    <w:t>激光切割机</w:t>
                  </w:r>
                  <w:r>
                    <w:rPr>
                      <w:rFonts w:hint="eastAsia" w:cs="Times New Roman"/>
                      <w:b w:val="0"/>
                      <w:bCs w:val="0"/>
                      <w:sz w:val="21"/>
                      <w:szCs w:val="21"/>
                      <w:u w:val="none"/>
                      <w:lang w:eastAsia="zh-CN"/>
                    </w:rPr>
                    <w:t>（</w:t>
                  </w:r>
                  <w:r>
                    <w:rPr>
                      <w:rFonts w:hint="default" w:ascii="Times New Roman" w:hAnsi="Times New Roman" w:eastAsia="宋体" w:cs="Times New Roman"/>
                      <w:b w:val="0"/>
                      <w:bCs w:val="0"/>
                      <w:sz w:val="21"/>
                      <w:szCs w:val="21"/>
                      <w:u w:val="none"/>
                    </w:rPr>
                    <w:t>汇力丰</w:t>
                  </w:r>
                  <w:r>
                    <w:rPr>
                      <w:rFonts w:hint="eastAsia" w:cs="Times New Roman"/>
                      <w:b w:val="0"/>
                      <w:bCs w:val="0"/>
                      <w:sz w:val="21"/>
                      <w:szCs w:val="21"/>
                      <w:u w:val="none"/>
                      <w:lang w:eastAsia="zh-CN"/>
                    </w:rPr>
                    <w:t>）</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lang w:val="en-US" w:eastAsia="zh-CN"/>
                    </w:rPr>
                  </w:pPr>
                  <w:r>
                    <w:rPr>
                      <w:rFonts w:hint="default" w:ascii="Times New Roman" w:hAnsi="Times New Roman" w:eastAsia="宋体" w:cs="Times New Roman"/>
                      <w:b w:val="0"/>
                      <w:bCs w:val="0"/>
                      <w:sz w:val="21"/>
                      <w:szCs w:val="21"/>
                      <w:u w:val="none"/>
                    </w:rPr>
                    <w:t>4015</w:t>
                  </w:r>
                </w:p>
              </w:tc>
              <w:tc>
                <w:tcPr>
                  <w:tcW w:w="41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lang w:val="en-US" w:eastAsia="zh-CN"/>
                    </w:rPr>
                  </w:pPr>
                  <w:r>
                    <w:rPr>
                      <w:rFonts w:hint="eastAsia" w:cs="Times New Roman"/>
                      <w:b w:val="0"/>
                      <w:bCs w:val="0"/>
                      <w:color w:val="000000"/>
                      <w:sz w:val="21"/>
                      <w:szCs w:val="21"/>
                      <w:u w:val="none"/>
                      <w:lang w:val="en-US" w:eastAsia="zh-CN"/>
                    </w:rPr>
                    <w:t>3</w:t>
                  </w:r>
                </w:p>
              </w:tc>
              <w:tc>
                <w:tcPr>
                  <w:tcW w:w="82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auto"/>
                      <w:vertAlign w:val="baseline"/>
                      <w:lang w:val="en-US" w:eastAsia="zh-CN"/>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数控激光卷料切割线</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lang w:val="en-US" w:eastAsia="zh-CN"/>
                    </w:rPr>
                  </w:pPr>
                  <w:r>
                    <w:rPr>
                      <w:rFonts w:hint="eastAsia" w:cs="Times New Roman"/>
                      <w:b w:val="0"/>
                      <w:bCs w:val="0"/>
                      <w:sz w:val="21"/>
                      <w:szCs w:val="21"/>
                      <w:u w:val="none"/>
                      <w:lang w:val="en-US" w:eastAsia="zh-CN"/>
                    </w:rPr>
                    <w:t>2513</w:t>
                  </w:r>
                </w:p>
              </w:tc>
              <w:tc>
                <w:tcPr>
                  <w:tcW w:w="41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sz w:val="21"/>
                      <w:szCs w:val="21"/>
                      <w:u w:val="none"/>
                      <w:lang w:val="en-US" w:eastAsia="zh-CN"/>
                    </w:rPr>
                  </w:pPr>
                  <w:r>
                    <w:rPr>
                      <w:rFonts w:hint="eastAsia" w:cs="Times New Roman"/>
                      <w:b w:val="0"/>
                      <w:bCs w:val="0"/>
                      <w:color w:val="000000"/>
                      <w:sz w:val="21"/>
                      <w:szCs w:val="21"/>
                      <w:u w:val="none"/>
                      <w:lang w:val="en-US" w:eastAsia="zh-CN"/>
                    </w:rPr>
                    <w:t>1</w:t>
                  </w:r>
                </w:p>
              </w:tc>
              <w:tc>
                <w:tcPr>
                  <w:tcW w:w="82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rPr>
                  </w:pPr>
                  <w:r>
                    <w:rPr>
                      <w:rFonts w:hint="eastAsia" w:ascii="Times New Roman" w:hAnsi="Times New Roman" w:eastAsia="宋体" w:cs="Times New Roman"/>
                      <w:b w:val="0"/>
                      <w:bCs w:val="0"/>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auto"/>
                      <w:vertAlign w:val="baseline"/>
                      <w:lang w:val="en-US" w:eastAsia="zh-CN"/>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数控柔性折弯中心</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lang w:val="en-US" w:eastAsia="zh-CN"/>
                    </w:rPr>
                  </w:pPr>
                  <w:r>
                    <w:rPr>
                      <w:rFonts w:hint="eastAsia" w:cs="Times New Roman"/>
                      <w:b w:val="0"/>
                      <w:bCs w:val="0"/>
                      <w:sz w:val="21"/>
                      <w:szCs w:val="21"/>
                      <w:u w:val="none"/>
                      <w:lang w:val="en-US" w:eastAsia="zh-CN"/>
                    </w:rPr>
                    <w:t>2000p</w:t>
                  </w:r>
                </w:p>
              </w:tc>
              <w:tc>
                <w:tcPr>
                  <w:tcW w:w="41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sz w:val="21"/>
                      <w:szCs w:val="21"/>
                      <w:u w:val="none"/>
                      <w:lang w:val="en-US" w:eastAsia="zh-CN"/>
                    </w:rPr>
                  </w:pPr>
                  <w:r>
                    <w:rPr>
                      <w:rFonts w:hint="eastAsia" w:cs="Times New Roman"/>
                      <w:b w:val="0"/>
                      <w:bCs w:val="0"/>
                      <w:color w:val="000000"/>
                      <w:sz w:val="21"/>
                      <w:szCs w:val="21"/>
                      <w:u w:val="none"/>
                      <w:lang w:val="en-US" w:eastAsia="zh-CN"/>
                    </w:rPr>
                    <w:t>1</w:t>
                  </w:r>
                </w:p>
              </w:tc>
              <w:tc>
                <w:tcPr>
                  <w:tcW w:w="82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rPr>
                  </w:pPr>
                  <w:r>
                    <w:rPr>
                      <w:rFonts w:hint="eastAsia" w:ascii="Times New Roman" w:hAnsi="Times New Roman" w:eastAsia="宋体" w:cs="Times New Roman"/>
                      <w:b w:val="0"/>
                      <w:bCs w:val="0"/>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D9D9D9"/>
                      <w:vertAlign w:val="baseline"/>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shd w:val="clear" w:color="FFFFFF" w:fill="D9D9D9"/>
                      <w:vertAlign w:val="baseline"/>
                    </w:rPr>
                  </w:pPr>
                  <w:r>
                    <w:rPr>
                      <w:rFonts w:hint="default" w:ascii="Times New Roman" w:hAnsi="Times New Roman" w:eastAsia="宋体" w:cs="Times New Roman"/>
                      <w:b w:val="0"/>
                      <w:bCs w:val="0"/>
                      <w:sz w:val="21"/>
                      <w:szCs w:val="21"/>
                      <w:u w:val="none"/>
                    </w:rPr>
                    <w:t>剪板机</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lang w:val="en-US" w:eastAsia="zh-CN"/>
                    </w:rPr>
                  </w:pPr>
                  <w:r>
                    <w:rPr>
                      <w:rFonts w:hint="default" w:ascii="Times New Roman" w:hAnsi="Times New Roman" w:eastAsia="宋体" w:cs="Times New Roman"/>
                      <w:b w:val="0"/>
                      <w:bCs w:val="0"/>
                      <w:sz w:val="21"/>
                      <w:szCs w:val="21"/>
                      <w:u w:val="none"/>
                    </w:rPr>
                    <w:t>Q11-3*2500</w:t>
                  </w:r>
                </w:p>
              </w:tc>
              <w:tc>
                <w:tcPr>
                  <w:tcW w:w="41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lang w:val="en-US" w:eastAsia="zh-CN"/>
                    </w:rPr>
                  </w:pPr>
                  <w:r>
                    <w:rPr>
                      <w:rFonts w:hint="default" w:ascii="Times New Roman" w:hAnsi="Times New Roman" w:eastAsia="宋体" w:cs="Times New Roman"/>
                      <w:b w:val="0"/>
                      <w:bCs w:val="0"/>
                      <w:color w:val="000000"/>
                      <w:sz w:val="21"/>
                      <w:szCs w:val="21"/>
                      <w:u w:val="none"/>
                      <w:lang w:val="en-US" w:eastAsia="zh-CN"/>
                    </w:rPr>
                    <w:t>1</w:t>
                  </w:r>
                </w:p>
              </w:tc>
              <w:tc>
                <w:tcPr>
                  <w:tcW w:w="82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rPr>
                  </w:pPr>
                  <w:r>
                    <w:rPr>
                      <w:rFonts w:hint="eastAsia" w:ascii="Times New Roman" w:hAnsi="Times New Roman" w:eastAsia="宋体" w:cs="Times New Roman"/>
                      <w:b w:val="0"/>
                      <w:bCs w:val="0"/>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D9D9D9"/>
                      <w:vertAlign w:val="baseline"/>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液压弯管机</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lang w:val="en-US" w:eastAsia="zh-CN"/>
                    </w:rPr>
                  </w:pPr>
                  <w:r>
                    <w:rPr>
                      <w:rFonts w:hint="default" w:ascii="Times New Roman" w:hAnsi="Times New Roman" w:eastAsia="宋体" w:cs="Times New Roman"/>
                      <w:b w:val="0"/>
                      <w:bCs w:val="0"/>
                      <w:sz w:val="21"/>
                      <w:szCs w:val="21"/>
                      <w:u w:val="none"/>
                      <w:lang w:val="en-US" w:eastAsia="zh-CN"/>
                    </w:rPr>
                    <w:t>50型</w:t>
                  </w:r>
                </w:p>
              </w:tc>
              <w:tc>
                <w:tcPr>
                  <w:tcW w:w="41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lang w:val="en-US" w:eastAsia="zh-CN"/>
                    </w:rPr>
                  </w:pPr>
                  <w:r>
                    <w:rPr>
                      <w:rFonts w:hint="default" w:ascii="Times New Roman" w:hAnsi="Times New Roman" w:eastAsia="宋体" w:cs="Times New Roman"/>
                      <w:b w:val="0"/>
                      <w:bCs w:val="0"/>
                      <w:color w:val="000000"/>
                      <w:sz w:val="21"/>
                      <w:szCs w:val="21"/>
                      <w:u w:val="none"/>
                      <w:lang w:val="en-US" w:eastAsia="zh-CN"/>
                    </w:rPr>
                    <w:t>2</w:t>
                  </w:r>
                </w:p>
              </w:tc>
              <w:tc>
                <w:tcPr>
                  <w:tcW w:w="82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rPr>
                  </w:pPr>
                  <w:r>
                    <w:rPr>
                      <w:rFonts w:hint="eastAsia" w:ascii="Times New Roman" w:hAnsi="Times New Roman" w:eastAsia="宋体" w:cs="Times New Roman"/>
                      <w:b w:val="0"/>
                      <w:bCs w:val="0"/>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D9D9D9"/>
                      <w:vertAlign w:val="baseline"/>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折弯机</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lang w:val="en-US" w:eastAsia="zh-CN"/>
                    </w:rPr>
                  </w:pPr>
                  <w:r>
                    <w:rPr>
                      <w:rFonts w:hint="default" w:ascii="Times New Roman" w:hAnsi="Times New Roman" w:eastAsia="宋体" w:cs="Times New Roman"/>
                      <w:b w:val="0"/>
                      <w:bCs w:val="0"/>
                      <w:sz w:val="21"/>
                      <w:szCs w:val="21"/>
                      <w:u w:val="none"/>
                      <w:lang w:val="en-US" w:eastAsia="zh-CN"/>
                    </w:rPr>
                    <w:t>汇力丰4025</w:t>
                  </w:r>
                </w:p>
              </w:tc>
              <w:tc>
                <w:tcPr>
                  <w:tcW w:w="41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lang w:val="en-US" w:eastAsia="zh-CN"/>
                    </w:rPr>
                  </w:pPr>
                  <w:r>
                    <w:rPr>
                      <w:rFonts w:hint="default" w:ascii="Times New Roman" w:hAnsi="Times New Roman" w:eastAsia="宋体" w:cs="Times New Roman"/>
                      <w:b w:val="0"/>
                      <w:bCs w:val="0"/>
                      <w:color w:val="000000"/>
                      <w:sz w:val="21"/>
                      <w:szCs w:val="21"/>
                      <w:u w:val="none"/>
                      <w:lang w:val="en-US" w:eastAsia="zh-CN"/>
                    </w:rPr>
                    <w:t>2</w:t>
                  </w:r>
                </w:p>
              </w:tc>
              <w:tc>
                <w:tcPr>
                  <w:tcW w:w="82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D9D9D9"/>
                      <w:vertAlign w:val="baseline"/>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折弯机</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lang w:val="en-US" w:eastAsia="zh-CN"/>
                    </w:rPr>
                  </w:pPr>
                  <w:r>
                    <w:rPr>
                      <w:rFonts w:hint="default" w:ascii="Times New Roman" w:hAnsi="Times New Roman" w:eastAsia="宋体" w:cs="Times New Roman"/>
                      <w:b w:val="0"/>
                      <w:bCs w:val="0"/>
                      <w:sz w:val="21"/>
                      <w:szCs w:val="21"/>
                      <w:u w:val="none"/>
                    </w:rPr>
                    <w:t>MGM2-8025</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sz w:val="21"/>
                      <w:szCs w:val="21"/>
                      <w:u w:val="none"/>
                      <w:lang w:val="en-US" w:eastAsia="zh-CN"/>
                    </w:rPr>
                  </w:pPr>
                  <w:r>
                    <w:rPr>
                      <w:rFonts w:hint="eastAsia" w:cs="Times New Roman"/>
                      <w:b w:val="0"/>
                      <w:bCs w:val="0"/>
                      <w:color w:val="000000"/>
                      <w:sz w:val="21"/>
                      <w:szCs w:val="21"/>
                      <w:u w:val="none"/>
                      <w:lang w:val="en-US" w:eastAsia="zh-CN"/>
                    </w:rPr>
                    <w:t>2</w:t>
                  </w:r>
                </w:p>
              </w:tc>
              <w:tc>
                <w:tcPr>
                  <w:tcW w:w="8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shd w:val="clear" w:color="FFFFFF" w:fill="D9D9D9"/>
                      <w:vertAlign w:val="baseline"/>
                    </w:rPr>
                  </w:pPr>
                  <w:r>
                    <w:rPr>
                      <w:rFonts w:hint="eastAsia" w:ascii="Times New Roman" w:hAnsi="Times New Roman" w:eastAsia="宋体" w:cs="Times New Roman"/>
                      <w:b w:val="0"/>
                      <w:bCs w:val="0"/>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D9D9D9"/>
                      <w:vertAlign w:val="baseline"/>
                    </w:rPr>
                  </w:pPr>
                </w:p>
              </w:tc>
              <w:tc>
                <w:tcPr>
                  <w:tcW w:w="130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冲床</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40t</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1</w:t>
                  </w:r>
                </w:p>
              </w:tc>
              <w:tc>
                <w:tcPr>
                  <w:tcW w:w="8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D9D9D9"/>
                      <w:vertAlign w:val="baseline"/>
                    </w:rPr>
                  </w:pPr>
                  <w:r>
                    <w:rPr>
                      <w:rFonts w:hint="eastAsia" w:ascii="Times New Roman" w:hAnsi="Times New Roman" w:eastAsia="宋体" w:cs="Times New Roman"/>
                      <w:b/>
                      <w:bCs/>
                      <w:sz w:val="21"/>
                      <w:szCs w:val="21"/>
                      <w:u w:val="singl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D9D9D9"/>
                      <w:vertAlign w:val="baseline"/>
                    </w:rPr>
                  </w:pPr>
                </w:p>
              </w:tc>
              <w:tc>
                <w:tcPr>
                  <w:tcW w:w="130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D9D9D9"/>
                      <w:vertAlign w:val="baseline"/>
                      <w:lang w:val="en-US" w:eastAsia="zh-CN"/>
                    </w:rPr>
                  </w:pP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D9D9D9"/>
                      <w:vertAlign w:val="baseline"/>
                      <w:lang w:val="en-US" w:eastAsia="zh-CN"/>
                    </w:rPr>
                  </w:pPr>
                  <w:r>
                    <w:rPr>
                      <w:rFonts w:hint="default" w:ascii="Times New Roman" w:hAnsi="Times New Roman" w:eastAsia="宋体" w:cs="Times New Roman"/>
                      <w:b/>
                      <w:bCs/>
                      <w:sz w:val="21"/>
                      <w:szCs w:val="21"/>
                      <w:u w:val="single"/>
                      <w:lang w:val="en-US" w:eastAsia="zh-CN"/>
                    </w:rPr>
                    <w:t>25t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u w:val="single"/>
                      <w:lang w:val="en-US" w:eastAsia="zh-CN" w:bidi="ar-SA"/>
                    </w:rPr>
                  </w:pPr>
                  <w:r>
                    <w:rPr>
                      <w:rFonts w:hint="default" w:ascii="Times New Roman" w:hAnsi="Times New Roman" w:eastAsia="宋体" w:cs="Times New Roman"/>
                      <w:b/>
                      <w:bCs/>
                      <w:sz w:val="21"/>
                      <w:szCs w:val="21"/>
                      <w:u w:val="single"/>
                      <w:lang w:val="en-US" w:eastAsia="zh-CN"/>
                    </w:rPr>
                    <w:t>1</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u w:val="single"/>
                      <w:lang w:val="en-US" w:eastAsia="zh-CN" w:bidi="ar-SA"/>
                    </w:rPr>
                  </w:pPr>
                  <w:r>
                    <w:rPr>
                      <w:rFonts w:hint="default" w:ascii="Times New Roman" w:hAnsi="Times New Roman" w:eastAsia="宋体" w:cs="Times New Roman"/>
                      <w:b/>
                      <w:bCs/>
                      <w:sz w:val="21"/>
                      <w:szCs w:val="21"/>
                      <w:u w:val="single"/>
                      <w:lang w:val="en-US" w:eastAsia="zh-CN"/>
                    </w:rPr>
                    <w:t>25t</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1</w:t>
                  </w:r>
                </w:p>
              </w:tc>
              <w:tc>
                <w:tcPr>
                  <w:tcW w:w="8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D9D9D9"/>
                      <w:vertAlign w:val="baseline"/>
                    </w:rPr>
                  </w:pPr>
                  <w:r>
                    <w:rPr>
                      <w:rFonts w:hint="eastAsia" w:cs="Times New Roman"/>
                      <w:b/>
                      <w:bCs/>
                      <w:sz w:val="21"/>
                      <w:szCs w:val="21"/>
                      <w:u w:val="singl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D9D9D9"/>
                      <w:vertAlign w:val="baseline"/>
                    </w:rPr>
                  </w:pPr>
                </w:p>
              </w:tc>
              <w:tc>
                <w:tcPr>
                  <w:tcW w:w="130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D9D9D9"/>
                      <w:vertAlign w:val="baseline"/>
                      <w:lang w:val="en-US" w:eastAsia="zh-CN"/>
                    </w:rPr>
                  </w:pP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D9D9D9"/>
                      <w:vertAlign w:val="baseline"/>
                      <w:lang w:val="en-US" w:eastAsia="zh-CN"/>
                    </w:rPr>
                  </w:pPr>
                  <w:r>
                    <w:rPr>
                      <w:rFonts w:hint="default" w:ascii="Times New Roman" w:hAnsi="Times New Roman" w:eastAsia="宋体" w:cs="Times New Roman"/>
                      <w:b/>
                      <w:bCs/>
                      <w:sz w:val="21"/>
                      <w:szCs w:val="21"/>
                      <w:u w:val="single"/>
                      <w:lang w:val="en-US" w:eastAsia="zh-CN"/>
                    </w:rPr>
                    <w:t>16t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u w:val="single"/>
                      <w:lang w:val="en-US" w:eastAsia="zh-CN" w:bidi="ar-SA"/>
                    </w:rPr>
                  </w:pPr>
                  <w:r>
                    <w:rPr>
                      <w:rFonts w:hint="default" w:ascii="Times New Roman" w:hAnsi="Times New Roman" w:eastAsia="宋体" w:cs="Times New Roman"/>
                      <w:b/>
                      <w:bCs/>
                      <w:sz w:val="21"/>
                      <w:szCs w:val="21"/>
                      <w:u w:val="single"/>
                      <w:lang w:val="en-US" w:eastAsia="zh-CN"/>
                    </w:rPr>
                    <w:t>1</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u w:val="single"/>
                      <w:lang w:val="en-US" w:eastAsia="zh-CN" w:bidi="ar-SA"/>
                    </w:rPr>
                  </w:pPr>
                  <w:r>
                    <w:rPr>
                      <w:rFonts w:hint="default" w:ascii="Times New Roman" w:hAnsi="Times New Roman" w:eastAsia="宋体" w:cs="Times New Roman"/>
                      <w:b/>
                      <w:bCs/>
                      <w:sz w:val="21"/>
                      <w:szCs w:val="21"/>
                      <w:u w:val="single"/>
                      <w:lang w:val="en-US" w:eastAsia="zh-CN"/>
                    </w:rPr>
                    <w:t>16t</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val="en-US" w:eastAsia="zh-CN"/>
                    </w:rPr>
                    <w:t>1</w:t>
                  </w:r>
                </w:p>
              </w:tc>
              <w:tc>
                <w:tcPr>
                  <w:tcW w:w="8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D9D9D9"/>
                      <w:vertAlign w:val="baseline"/>
                    </w:rPr>
                  </w:pPr>
                  <w:r>
                    <w:rPr>
                      <w:rFonts w:hint="eastAsia" w:cs="Times New Roman"/>
                      <w:b/>
                      <w:bCs/>
                      <w:sz w:val="21"/>
                      <w:szCs w:val="21"/>
                      <w:u w:val="singl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D9D9D9"/>
                      <w:vertAlign w:val="baseline"/>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shd w:val="clear" w:color="FFFFFF" w:fill="D9D9D9"/>
                      <w:vertAlign w:val="baseline"/>
                      <w:lang w:val="en-US" w:eastAsia="zh-CN"/>
                    </w:rPr>
                  </w:pPr>
                  <w:r>
                    <w:rPr>
                      <w:rFonts w:hint="default" w:ascii="Times New Roman" w:hAnsi="Times New Roman" w:eastAsia="宋体" w:cs="Times New Roman"/>
                      <w:b w:val="0"/>
                      <w:bCs w:val="0"/>
                      <w:sz w:val="21"/>
                      <w:szCs w:val="21"/>
                      <w:u w:val="none"/>
                      <w:lang w:val="en-US" w:eastAsia="zh-CN"/>
                    </w:rPr>
                    <w:t>打磨机</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手持角磨机</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5</w:t>
                  </w:r>
                </w:p>
              </w:tc>
              <w:tc>
                <w:tcPr>
                  <w:tcW w:w="8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shd w:val="clear" w:color="FFFFFF" w:fill="D9D9D9"/>
                      <w:vertAlign w:val="baseline"/>
                    </w:rPr>
                  </w:pPr>
                  <w:r>
                    <w:rPr>
                      <w:rFonts w:hint="eastAsia" w:ascii="Times New Roman" w:hAnsi="Times New Roman" w:eastAsia="宋体" w:cs="Times New Roman"/>
                      <w:b w:val="0"/>
                      <w:bCs w:val="0"/>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D9D9D9"/>
                      <w:vertAlign w:val="baseline"/>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拉丝机</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1</w:t>
                  </w:r>
                </w:p>
              </w:tc>
              <w:tc>
                <w:tcPr>
                  <w:tcW w:w="8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shd w:val="clear" w:color="FFFFFF" w:fill="D9D9D9"/>
                      <w:vertAlign w:val="baseline"/>
                    </w:rPr>
                  </w:pPr>
                  <w:r>
                    <w:rPr>
                      <w:rFonts w:hint="eastAsia" w:ascii="Times New Roman" w:hAnsi="Times New Roman" w:eastAsia="宋体" w:cs="Times New Roman"/>
                      <w:b w:val="0"/>
                      <w:bCs w:val="0"/>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D9D9D9"/>
                      <w:vertAlign w:val="baseline"/>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锯机</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1</w:t>
                  </w:r>
                </w:p>
              </w:tc>
              <w:tc>
                <w:tcPr>
                  <w:tcW w:w="8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shd w:val="clear" w:color="FFFFFF" w:fill="D9D9D9"/>
                      <w:vertAlign w:val="baseline"/>
                    </w:rPr>
                  </w:pPr>
                  <w:r>
                    <w:rPr>
                      <w:rFonts w:hint="eastAsia" w:ascii="Times New Roman" w:hAnsi="Times New Roman" w:eastAsia="宋体" w:cs="Times New Roman"/>
                      <w:b w:val="0"/>
                      <w:bCs w:val="0"/>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shd w:val="clear" w:color="FFFFFF" w:fill="D9D9D9"/>
                      <w:vertAlign w:val="baseline"/>
                      <w:lang w:val="en-US" w:eastAsia="zh-CN" w:bidi="ar-SA"/>
                    </w:rPr>
                  </w:pPr>
                  <w:r>
                    <w:rPr>
                      <w:rFonts w:hint="default" w:ascii="Times New Roman" w:hAnsi="Times New Roman" w:eastAsia="宋体" w:cs="Times New Roman"/>
                      <w:b/>
                      <w:bCs/>
                      <w:color w:val="000000"/>
                      <w:sz w:val="21"/>
                      <w:szCs w:val="21"/>
                      <w:u w:val="single"/>
                      <w:shd w:val="clear" w:color="FFFFFF" w:fill="auto"/>
                      <w:vertAlign w:val="baseline"/>
                      <w:lang w:val="en-US" w:eastAsia="zh-CN"/>
                    </w:rPr>
                    <w:t>焊接单元</w:t>
                  </w: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2"/>
                      <w:sz w:val="21"/>
                      <w:szCs w:val="21"/>
                      <w:u w:val="none"/>
                      <w:shd w:val="clear" w:color="FFFFFF" w:fill="D9D9D9"/>
                      <w:vertAlign w:val="baseline"/>
                      <w:lang w:val="en-US" w:eastAsia="zh-CN" w:bidi="ar-SA"/>
                    </w:rPr>
                  </w:pPr>
                  <w:r>
                    <w:rPr>
                      <w:rFonts w:hint="default" w:ascii="Times New Roman" w:hAnsi="Times New Roman" w:eastAsia="宋体" w:cs="Times New Roman"/>
                      <w:b w:val="0"/>
                      <w:bCs w:val="0"/>
                      <w:sz w:val="21"/>
                      <w:szCs w:val="21"/>
                      <w:u w:val="none"/>
                    </w:rPr>
                    <w:t>二保焊</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rPr>
                    <w:t>NBC-270A</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5</w:t>
                  </w:r>
                </w:p>
              </w:tc>
              <w:tc>
                <w:tcPr>
                  <w:tcW w:w="8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shd w:val="clear" w:color="FFFFFF" w:fill="D9D9D9"/>
                      <w:vertAlign w:val="baseline"/>
                    </w:rPr>
                  </w:pPr>
                  <w:r>
                    <w:rPr>
                      <w:rFonts w:hint="eastAsia" w:ascii="Times New Roman" w:hAnsi="Times New Roman" w:eastAsia="宋体" w:cs="Times New Roman"/>
                      <w:b w:val="0"/>
                      <w:bCs w:val="0"/>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auto"/>
                      <w:vertAlign w:val="baseline"/>
                      <w:lang w:val="en-US" w:eastAsia="zh-CN"/>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氩弧焊</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3</w:t>
                  </w:r>
                </w:p>
              </w:tc>
              <w:tc>
                <w:tcPr>
                  <w:tcW w:w="8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shd w:val="clear" w:color="FFFFFF" w:fill="D9D9D9"/>
                      <w:vertAlign w:val="baseline"/>
                    </w:rPr>
                  </w:pPr>
                  <w:r>
                    <w:rPr>
                      <w:rFonts w:hint="eastAsia" w:ascii="Times New Roman" w:hAnsi="Times New Roman" w:eastAsia="宋体" w:cs="Times New Roman"/>
                      <w:b w:val="0"/>
                      <w:bCs w:val="0"/>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auto"/>
                      <w:vertAlign w:val="baseline"/>
                      <w:lang w:val="en-US" w:eastAsia="zh-CN"/>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冲板焊机</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1</w:t>
                  </w:r>
                </w:p>
              </w:tc>
              <w:tc>
                <w:tcPr>
                  <w:tcW w:w="8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shd w:val="clear" w:color="FFFFFF" w:fill="D9D9D9"/>
                      <w:vertAlign w:val="baseline"/>
                    </w:rPr>
                  </w:pPr>
                  <w:r>
                    <w:rPr>
                      <w:rFonts w:hint="eastAsia" w:ascii="Times New Roman" w:hAnsi="Times New Roman" w:eastAsia="宋体" w:cs="Times New Roman"/>
                      <w:b w:val="0"/>
                      <w:bCs w:val="0"/>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shd w:val="clear" w:color="FFFFFF" w:fill="auto"/>
                      <w:vertAlign w:val="baseline"/>
                      <w:lang w:val="en-US" w:eastAsia="zh-CN" w:bidi="ar-SA"/>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2"/>
                      <w:sz w:val="21"/>
                      <w:szCs w:val="21"/>
                      <w:u w:val="none"/>
                      <w:shd w:val="clear" w:color="FFFFFF" w:fill="D9D9D9"/>
                      <w:vertAlign w:val="baseline"/>
                      <w:lang w:val="en-US" w:eastAsia="zh-CN" w:bidi="ar-SA"/>
                    </w:rPr>
                  </w:pPr>
                  <w:r>
                    <w:rPr>
                      <w:rFonts w:hint="default" w:ascii="Times New Roman" w:hAnsi="Times New Roman" w:eastAsia="宋体" w:cs="Times New Roman"/>
                      <w:b w:val="0"/>
                      <w:bCs w:val="0"/>
                      <w:sz w:val="21"/>
                      <w:szCs w:val="21"/>
                      <w:u w:val="none"/>
                    </w:rPr>
                    <w:t>点焊机</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rPr>
                    <w:t>CMDNJ-100</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1</w:t>
                  </w:r>
                </w:p>
              </w:tc>
              <w:tc>
                <w:tcPr>
                  <w:tcW w:w="8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shd w:val="clear" w:color="FFFFFF" w:fill="D9D9D9"/>
                      <w:vertAlign w:val="baseline"/>
                    </w:rPr>
                  </w:pPr>
                  <w:r>
                    <w:rPr>
                      <w:rFonts w:hint="eastAsia" w:ascii="Times New Roman" w:hAnsi="Times New Roman" w:eastAsia="宋体" w:cs="Times New Roman"/>
                      <w:b w:val="0"/>
                      <w:bCs w:val="0"/>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shd w:val="clear" w:color="FFFFFF" w:fill="auto"/>
                      <w:vertAlign w:val="baseline"/>
                      <w:lang w:val="en-US" w:eastAsia="zh-CN" w:bidi="ar-SA"/>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2"/>
                      <w:sz w:val="21"/>
                      <w:szCs w:val="21"/>
                      <w:u w:val="none"/>
                      <w:shd w:val="clear" w:color="FFFFFF" w:fill="D9D9D9"/>
                      <w:vertAlign w:val="baseline"/>
                      <w:lang w:val="en-US" w:eastAsia="zh-CN" w:bidi="ar-SA"/>
                    </w:rPr>
                  </w:pPr>
                  <w:r>
                    <w:rPr>
                      <w:rFonts w:hint="default" w:ascii="Times New Roman" w:hAnsi="Times New Roman" w:eastAsia="宋体" w:cs="Times New Roman"/>
                      <w:b w:val="0"/>
                      <w:bCs w:val="0"/>
                      <w:sz w:val="21"/>
                      <w:szCs w:val="21"/>
                      <w:u w:val="none"/>
                    </w:rPr>
                    <w:t>点焊机</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rPr>
                    <w:t>DNT-80</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sz w:val="21"/>
                      <w:szCs w:val="21"/>
                      <w:u w:val="none"/>
                      <w:lang w:val="en-US" w:eastAsia="zh-CN"/>
                    </w:rPr>
                  </w:pPr>
                  <w:r>
                    <w:rPr>
                      <w:rFonts w:hint="eastAsia" w:cs="Times New Roman"/>
                      <w:b w:val="0"/>
                      <w:bCs w:val="0"/>
                      <w:sz w:val="21"/>
                      <w:szCs w:val="21"/>
                      <w:u w:val="none"/>
                      <w:lang w:val="en-US" w:eastAsia="zh-CN"/>
                    </w:rPr>
                    <w:t>5</w:t>
                  </w:r>
                </w:p>
              </w:tc>
              <w:tc>
                <w:tcPr>
                  <w:tcW w:w="8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shd w:val="clear" w:color="FFFFFF" w:fill="D9D9D9"/>
                      <w:vertAlign w:val="baseline"/>
                    </w:rPr>
                  </w:pPr>
                  <w:r>
                    <w:rPr>
                      <w:rFonts w:hint="eastAsia" w:ascii="Times New Roman" w:hAnsi="Times New Roman" w:eastAsia="宋体" w:cs="Times New Roman"/>
                      <w:b w:val="0"/>
                      <w:bCs w:val="0"/>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shd w:val="clear" w:color="FFFFFF" w:fill="auto"/>
                      <w:vertAlign w:val="baseline"/>
                      <w:lang w:val="en-US" w:eastAsia="zh-CN" w:bidi="ar-SA"/>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2"/>
                      <w:sz w:val="21"/>
                      <w:szCs w:val="21"/>
                      <w:u w:val="none"/>
                      <w:shd w:val="clear" w:color="FFFFFF" w:fill="D9D9D9"/>
                      <w:vertAlign w:val="baseline"/>
                      <w:lang w:val="en-US" w:eastAsia="zh-CN" w:bidi="ar-SA"/>
                    </w:rPr>
                  </w:pPr>
                  <w:r>
                    <w:rPr>
                      <w:rFonts w:hint="default" w:ascii="Times New Roman" w:hAnsi="Times New Roman" w:eastAsia="宋体" w:cs="Times New Roman"/>
                      <w:b w:val="0"/>
                      <w:bCs w:val="0"/>
                      <w:sz w:val="21"/>
                      <w:szCs w:val="21"/>
                      <w:u w:val="none"/>
                    </w:rPr>
                    <w:t>点焊机</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rPr>
                    <w:t>CMDS数量式</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1</w:t>
                  </w:r>
                </w:p>
              </w:tc>
              <w:tc>
                <w:tcPr>
                  <w:tcW w:w="8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shd w:val="clear" w:color="FFFFFF" w:fill="D9D9D9"/>
                      <w:vertAlign w:val="baseline"/>
                    </w:rPr>
                  </w:pPr>
                  <w:r>
                    <w:rPr>
                      <w:rFonts w:hint="eastAsia" w:ascii="Times New Roman" w:hAnsi="Times New Roman" w:eastAsia="宋体" w:cs="Times New Roman"/>
                      <w:b w:val="0"/>
                      <w:bCs w:val="0"/>
                      <w:sz w:val="21"/>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shd w:val="clear" w:color="FFFFFF" w:fill="D9D9D9"/>
                      <w:vertAlign w:val="baseline"/>
                      <w:lang w:val="en-US" w:eastAsia="zh-CN" w:bidi="ar-SA"/>
                    </w:rPr>
                  </w:pPr>
                  <w:r>
                    <w:rPr>
                      <w:rFonts w:hint="default" w:ascii="Times New Roman" w:hAnsi="Times New Roman" w:eastAsia="宋体" w:cs="Times New Roman"/>
                      <w:b/>
                      <w:bCs/>
                      <w:color w:val="000000"/>
                      <w:sz w:val="21"/>
                      <w:szCs w:val="21"/>
                      <w:u w:val="single"/>
                      <w:shd w:val="clear" w:color="FFFFFF" w:fill="auto"/>
                      <w:vertAlign w:val="baseline"/>
                      <w:lang w:val="en-US" w:eastAsia="zh-CN"/>
                    </w:rPr>
                    <w:t>涂装单元</w:t>
                  </w:r>
                </w:p>
              </w:tc>
              <w:tc>
                <w:tcPr>
                  <w:tcW w:w="130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color w:val="000000"/>
                      <w:sz w:val="21"/>
                      <w:szCs w:val="21"/>
                      <w:u w:val="single"/>
                    </w:rPr>
                    <w:t>喷粉间</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sz w:val="21"/>
                      <w:szCs w:val="21"/>
                      <w:u w:val="single"/>
                      <w:lang w:val="en-US" w:eastAsia="zh-CN"/>
                    </w:rPr>
                  </w:pPr>
                  <w:r>
                    <w:rPr>
                      <w:rFonts w:hint="default" w:ascii="Times New Roman" w:hAnsi="Times New Roman" w:eastAsia="宋体" w:cs="Times New Roman"/>
                      <w:b/>
                      <w:bCs/>
                      <w:color w:val="000000"/>
                      <w:sz w:val="21"/>
                      <w:szCs w:val="21"/>
                      <w:u w:val="single"/>
                      <w:lang w:val="en-US" w:eastAsia="zh-CN"/>
                    </w:rPr>
                    <w:t>8</w:t>
                  </w:r>
                  <w:r>
                    <w:rPr>
                      <w:rFonts w:hint="eastAsia" w:cs="Times New Roman"/>
                      <w:b/>
                      <w:bCs/>
                      <w:color w:val="000000"/>
                      <w:sz w:val="21"/>
                      <w:szCs w:val="21"/>
                      <w:u w:val="single"/>
                      <w:lang w:val="en-US" w:eastAsia="zh-CN"/>
                    </w:rPr>
                    <w:t>m</w:t>
                  </w:r>
                  <w:r>
                    <w:rPr>
                      <w:rFonts w:hint="default" w:ascii="Times New Roman" w:hAnsi="Times New Roman" w:eastAsia="宋体" w:cs="Times New Roman"/>
                      <w:b/>
                      <w:bCs/>
                      <w:color w:val="000000"/>
                      <w:sz w:val="21"/>
                      <w:szCs w:val="21"/>
                      <w:u w:val="single"/>
                      <w:lang w:val="en-US" w:eastAsia="zh-CN"/>
                    </w:rPr>
                    <w:t>×5</w:t>
                  </w:r>
                  <w:r>
                    <w:rPr>
                      <w:rFonts w:hint="eastAsia" w:cs="Times New Roman"/>
                      <w:b/>
                      <w:bCs/>
                      <w:color w:val="000000"/>
                      <w:sz w:val="21"/>
                      <w:szCs w:val="21"/>
                      <w:u w:val="single"/>
                      <w:lang w:val="en-US" w:eastAsia="zh-CN"/>
                    </w:rPr>
                    <w:t>m</w:t>
                  </w:r>
                  <w:r>
                    <w:rPr>
                      <w:rFonts w:hint="default" w:ascii="Times New Roman" w:hAnsi="Times New Roman" w:eastAsia="宋体" w:cs="Times New Roman"/>
                      <w:b/>
                      <w:bCs/>
                      <w:color w:val="000000"/>
                      <w:sz w:val="21"/>
                      <w:szCs w:val="21"/>
                      <w:u w:val="single"/>
                      <w:lang w:val="en-US" w:eastAsia="zh-CN"/>
                    </w:rPr>
                    <w:t>×3</w:t>
                  </w:r>
                  <w:r>
                    <w:rPr>
                      <w:rFonts w:hint="eastAsia" w:cs="Times New Roman"/>
                      <w:b/>
                      <w:bCs/>
                      <w:color w:val="000000"/>
                      <w:sz w:val="21"/>
                      <w:szCs w:val="21"/>
                      <w:u w:val="single"/>
                      <w:lang w:val="en-US" w:eastAsia="zh-CN"/>
                    </w:rPr>
                    <w:t>m</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color w:val="000000"/>
                      <w:sz w:val="21"/>
                      <w:szCs w:val="21"/>
                      <w:u w:val="single"/>
                      <w:lang w:val="en-US" w:eastAsia="zh-CN"/>
                    </w:rPr>
                    <w:t>1</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color w:val="000000"/>
                      <w:sz w:val="21"/>
                      <w:szCs w:val="21"/>
                      <w:u w:val="single"/>
                      <w:lang w:val="en-US" w:eastAsia="zh-CN"/>
                    </w:rPr>
                    <w:t>8</w:t>
                  </w:r>
                  <w:r>
                    <w:rPr>
                      <w:rFonts w:hint="eastAsia" w:cs="Times New Roman"/>
                      <w:b/>
                      <w:bCs/>
                      <w:color w:val="000000"/>
                      <w:sz w:val="21"/>
                      <w:szCs w:val="21"/>
                      <w:u w:val="single"/>
                      <w:lang w:val="en-US" w:eastAsia="zh-CN"/>
                    </w:rPr>
                    <w:t>m</w:t>
                  </w:r>
                  <w:r>
                    <w:rPr>
                      <w:rFonts w:hint="default" w:ascii="Times New Roman" w:hAnsi="Times New Roman" w:eastAsia="宋体" w:cs="Times New Roman"/>
                      <w:b/>
                      <w:bCs/>
                      <w:color w:val="000000"/>
                      <w:sz w:val="21"/>
                      <w:szCs w:val="21"/>
                      <w:u w:val="single"/>
                      <w:lang w:val="en-US" w:eastAsia="zh-CN"/>
                    </w:rPr>
                    <w:t>×5</w:t>
                  </w:r>
                  <w:r>
                    <w:rPr>
                      <w:rFonts w:hint="eastAsia" w:cs="Times New Roman"/>
                      <w:b/>
                      <w:bCs/>
                      <w:color w:val="000000"/>
                      <w:sz w:val="21"/>
                      <w:szCs w:val="21"/>
                      <w:u w:val="single"/>
                      <w:lang w:val="en-US" w:eastAsia="zh-CN"/>
                    </w:rPr>
                    <w:t>m</w:t>
                  </w:r>
                  <w:r>
                    <w:rPr>
                      <w:rFonts w:hint="default" w:ascii="Times New Roman" w:hAnsi="Times New Roman" w:eastAsia="宋体" w:cs="Times New Roman"/>
                      <w:b/>
                      <w:bCs/>
                      <w:color w:val="000000"/>
                      <w:sz w:val="21"/>
                      <w:szCs w:val="21"/>
                      <w:u w:val="single"/>
                      <w:lang w:val="en-US" w:eastAsia="zh-CN"/>
                    </w:rPr>
                    <w:t>×3</w:t>
                  </w:r>
                  <w:r>
                    <w:rPr>
                      <w:rFonts w:hint="eastAsia" w:cs="Times New Roman"/>
                      <w:b/>
                      <w:bCs/>
                      <w:color w:val="000000"/>
                      <w:sz w:val="21"/>
                      <w:szCs w:val="21"/>
                      <w:u w:val="single"/>
                      <w:lang w:val="en-US" w:eastAsia="zh-CN"/>
                    </w:rPr>
                    <w:t>m</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eastAsia="宋体" w:cs="Times New Roman"/>
                      <w:b/>
                      <w:bCs/>
                      <w:color w:val="000000"/>
                      <w:sz w:val="21"/>
                      <w:szCs w:val="21"/>
                      <w:u w:val="single"/>
                      <w:lang w:val="en-US" w:eastAsia="zh-CN"/>
                    </w:rPr>
                    <w:t>1</w:t>
                  </w:r>
                </w:p>
              </w:tc>
              <w:tc>
                <w:tcPr>
                  <w:tcW w:w="82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i w:val="0"/>
                      <w:iCs w:val="0"/>
                      <w:color w:val="000000"/>
                      <w:sz w:val="21"/>
                      <w:szCs w:val="21"/>
                      <w:u w:val="single"/>
                      <w:shd w:val="clear" w:color="FFFFFF" w:fill="D9D9D9"/>
                      <w:vertAlign w:val="baseline"/>
                      <w:lang w:val="en-US" w:eastAsia="zh-CN"/>
                    </w:rPr>
                  </w:pPr>
                  <w:r>
                    <w:rPr>
                      <w:rFonts w:hint="eastAsia" w:cs="Times New Roman"/>
                      <w:b/>
                      <w:bCs/>
                      <w:i w:val="0"/>
                      <w:iCs w:val="0"/>
                      <w:color w:val="000000"/>
                      <w:sz w:val="21"/>
                      <w:szCs w:val="21"/>
                      <w:u w:val="single"/>
                      <w:shd w:val="clear" w:color="FFFFFF"/>
                      <w:vertAlign w:val="baseli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auto"/>
                      <w:vertAlign w:val="baseline"/>
                      <w:lang w:val="en-US" w:eastAsia="zh-CN"/>
                    </w:rPr>
                  </w:pPr>
                </w:p>
              </w:tc>
              <w:tc>
                <w:tcPr>
                  <w:tcW w:w="130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rPr>
                  </w:pP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lang w:val="en-US" w:eastAsia="zh-CN"/>
                    </w:rPr>
                    <w:t>6</w:t>
                  </w:r>
                  <w:r>
                    <w:rPr>
                      <w:rFonts w:hint="eastAsia" w:cs="Times New Roman"/>
                      <w:b/>
                      <w:bCs/>
                      <w:color w:val="000000"/>
                      <w:sz w:val="21"/>
                      <w:szCs w:val="21"/>
                      <w:u w:val="single"/>
                      <w:lang w:val="en-US" w:eastAsia="zh-CN"/>
                    </w:rPr>
                    <w:t>m</w:t>
                  </w:r>
                  <w:r>
                    <w:rPr>
                      <w:rFonts w:hint="default" w:ascii="Times New Roman" w:hAnsi="Times New Roman" w:eastAsia="宋体" w:cs="Times New Roman"/>
                      <w:b/>
                      <w:bCs/>
                      <w:color w:val="000000"/>
                      <w:sz w:val="21"/>
                      <w:szCs w:val="21"/>
                      <w:u w:val="single"/>
                      <w:lang w:val="en-US" w:eastAsia="zh-CN"/>
                    </w:rPr>
                    <w:t>×5</w:t>
                  </w:r>
                  <w:r>
                    <w:rPr>
                      <w:rFonts w:hint="eastAsia" w:cs="Times New Roman"/>
                      <w:b/>
                      <w:bCs/>
                      <w:color w:val="000000"/>
                      <w:sz w:val="21"/>
                      <w:szCs w:val="21"/>
                      <w:u w:val="single"/>
                      <w:lang w:val="en-US" w:eastAsia="zh-CN"/>
                    </w:rPr>
                    <w:t>m</w:t>
                  </w:r>
                  <w:r>
                    <w:rPr>
                      <w:rFonts w:hint="default" w:ascii="Times New Roman" w:hAnsi="Times New Roman" w:eastAsia="宋体" w:cs="Times New Roman"/>
                      <w:b/>
                      <w:bCs/>
                      <w:color w:val="000000"/>
                      <w:sz w:val="21"/>
                      <w:szCs w:val="21"/>
                      <w:u w:val="single"/>
                      <w:lang w:val="en-US" w:eastAsia="zh-CN"/>
                    </w:rPr>
                    <w:t>×3</w:t>
                  </w:r>
                  <w:r>
                    <w:rPr>
                      <w:rFonts w:hint="eastAsia" w:cs="Times New Roman"/>
                      <w:b/>
                      <w:bCs/>
                      <w:color w:val="000000"/>
                      <w:sz w:val="21"/>
                      <w:szCs w:val="21"/>
                      <w:u w:val="single"/>
                      <w:lang w:val="en-US" w:eastAsia="zh-CN"/>
                    </w:rPr>
                    <w:t>m</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lang w:val="en-US" w:eastAsia="zh-CN"/>
                    </w:rPr>
                    <w:t>1</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eastAsia="宋体" w:cs="Times New Roman"/>
                      <w:b/>
                      <w:bCs/>
                      <w:color w:val="000000"/>
                      <w:sz w:val="21"/>
                      <w:szCs w:val="21"/>
                      <w:u w:val="single"/>
                      <w:lang w:val="en-US" w:eastAsia="zh-CN"/>
                    </w:rPr>
                    <w:t>6</w:t>
                  </w:r>
                  <w:r>
                    <w:rPr>
                      <w:rFonts w:hint="eastAsia" w:cs="Times New Roman"/>
                      <w:b/>
                      <w:bCs/>
                      <w:color w:val="000000"/>
                      <w:sz w:val="21"/>
                      <w:szCs w:val="21"/>
                      <w:u w:val="single"/>
                      <w:lang w:val="en-US" w:eastAsia="zh-CN"/>
                    </w:rPr>
                    <w:t>m</w:t>
                  </w:r>
                  <w:r>
                    <w:rPr>
                      <w:rFonts w:hint="default" w:ascii="Times New Roman" w:hAnsi="Times New Roman" w:eastAsia="宋体" w:cs="Times New Roman"/>
                      <w:b/>
                      <w:bCs/>
                      <w:color w:val="000000"/>
                      <w:sz w:val="21"/>
                      <w:szCs w:val="21"/>
                      <w:u w:val="single"/>
                      <w:lang w:val="en-US" w:eastAsia="zh-CN"/>
                    </w:rPr>
                    <w:t>×5</w:t>
                  </w:r>
                  <w:r>
                    <w:rPr>
                      <w:rFonts w:hint="eastAsia" w:cs="Times New Roman"/>
                      <w:b/>
                      <w:bCs/>
                      <w:color w:val="000000"/>
                      <w:sz w:val="21"/>
                      <w:szCs w:val="21"/>
                      <w:u w:val="single"/>
                      <w:lang w:val="en-US" w:eastAsia="zh-CN"/>
                    </w:rPr>
                    <w:t>m</w:t>
                  </w:r>
                  <w:r>
                    <w:rPr>
                      <w:rFonts w:hint="default" w:ascii="Times New Roman" w:hAnsi="Times New Roman" w:eastAsia="宋体" w:cs="Times New Roman"/>
                      <w:b/>
                      <w:bCs/>
                      <w:color w:val="000000"/>
                      <w:sz w:val="21"/>
                      <w:szCs w:val="21"/>
                      <w:u w:val="single"/>
                      <w:lang w:val="en-US" w:eastAsia="zh-CN"/>
                    </w:rPr>
                    <w:t>×3</w:t>
                  </w:r>
                  <w:r>
                    <w:rPr>
                      <w:rFonts w:hint="eastAsia" w:cs="Times New Roman"/>
                      <w:b/>
                      <w:bCs/>
                      <w:color w:val="000000"/>
                      <w:sz w:val="21"/>
                      <w:szCs w:val="21"/>
                      <w:u w:val="single"/>
                      <w:lang w:val="en-US" w:eastAsia="zh-CN"/>
                    </w:rPr>
                    <w:t>m</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eastAsia="宋体" w:cs="Times New Roman"/>
                      <w:b/>
                      <w:bCs/>
                      <w:color w:val="000000"/>
                      <w:sz w:val="21"/>
                      <w:szCs w:val="21"/>
                      <w:u w:val="single"/>
                      <w:lang w:val="en-US" w:eastAsia="zh-CN"/>
                    </w:rPr>
                    <w:t>1</w:t>
                  </w:r>
                </w:p>
              </w:tc>
              <w:tc>
                <w:tcPr>
                  <w:tcW w:w="82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bCs/>
                      <w:i w:val="0"/>
                      <w:iCs w:val="0"/>
                      <w:color w:val="000000"/>
                      <w:sz w:val="21"/>
                      <w:szCs w:val="21"/>
                      <w:u w:val="single"/>
                      <w:shd w:val="clear" w:color="FFFFFF"/>
                      <w:vertAlign w:val="baseline"/>
                      <w:lang w:val="en-US" w:eastAsia="zh-CN"/>
                    </w:rPr>
                  </w:pPr>
                  <w:r>
                    <w:rPr>
                      <w:rFonts w:hint="eastAsia" w:cs="Times New Roman"/>
                      <w:b/>
                      <w:bCs/>
                      <w:i w:val="0"/>
                      <w:iCs w:val="0"/>
                      <w:color w:val="000000"/>
                      <w:sz w:val="21"/>
                      <w:szCs w:val="21"/>
                      <w:u w:val="single"/>
                      <w:shd w:val="clear" w:color="FFFFFF"/>
                      <w:vertAlign w:val="baseli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auto"/>
                      <w:vertAlign w:val="baseline"/>
                      <w:lang w:val="en-US" w:eastAsia="zh-CN"/>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color w:val="000000"/>
                      <w:sz w:val="21"/>
                      <w:szCs w:val="21"/>
                      <w:u w:val="single"/>
                    </w:rPr>
                    <w:t>节能直燃机</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sz w:val="21"/>
                      <w:szCs w:val="21"/>
                      <w:u w:val="single"/>
                      <w:lang w:val="en-US" w:eastAsia="zh-CN"/>
                    </w:rPr>
                  </w:pPr>
                  <w:r>
                    <w:rPr>
                      <w:rFonts w:hint="eastAsia" w:cs="Times New Roman"/>
                      <w:b/>
                      <w:bCs/>
                      <w:color w:val="000000"/>
                      <w:sz w:val="21"/>
                      <w:szCs w:val="21"/>
                      <w:u w:val="singl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color w:val="000000"/>
                      <w:sz w:val="21"/>
                      <w:szCs w:val="21"/>
                      <w:u w:val="single"/>
                    </w:rPr>
                    <w:t>/</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1</w:t>
                  </w:r>
                </w:p>
              </w:tc>
              <w:tc>
                <w:tcPr>
                  <w:tcW w:w="82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bCs/>
                      <w:i w:val="0"/>
                      <w:iCs w:val="0"/>
                      <w:color w:val="000000"/>
                      <w:sz w:val="21"/>
                      <w:szCs w:val="21"/>
                      <w:u w:val="single"/>
                      <w:shd w:val="clear" w:color="FFFFFF"/>
                      <w:vertAlign w:val="baseline"/>
                      <w:lang w:val="en-US" w:eastAsia="zh-CN"/>
                    </w:rPr>
                  </w:pPr>
                  <w:r>
                    <w:rPr>
                      <w:rFonts w:hint="eastAsia" w:cs="Times New Roman"/>
                      <w:b/>
                      <w:bCs/>
                      <w:i w:val="0"/>
                      <w:iCs w:val="0"/>
                      <w:color w:val="000000"/>
                      <w:sz w:val="21"/>
                      <w:szCs w:val="21"/>
                      <w:u w:val="single"/>
                      <w:shd w:val="clear" w:color="FFFFFF"/>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auto"/>
                      <w:vertAlign w:val="baseline"/>
                      <w:lang w:val="en-US" w:eastAsia="zh-CN"/>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color w:val="000000"/>
                      <w:sz w:val="21"/>
                      <w:szCs w:val="21"/>
                      <w:u w:val="single"/>
                    </w:rPr>
                    <w:t>固化道</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rPr>
                  </w:pPr>
                  <w:r>
                    <w:rPr>
                      <w:rFonts w:hint="eastAsia" w:cs="Times New Roman"/>
                      <w:b/>
                      <w:bCs/>
                      <w:color w:val="000000"/>
                      <w:sz w:val="21"/>
                      <w:szCs w:val="21"/>
                      <w:u w:val="single"/>
                      <w:lang w:val="en-US" w:eastAsia="zh-CN"/>
                    </w:rPr>
                    <w:t>24m</w:t>
                  </w:r>
                  <w:r>
                    <w:rPr>
                      <w:rFonts w:hint="default" w:ascii="Times New Roman" w:hAnsi="Times New Roman" w:eastAsia="宋体" w:cs="Times New Roman"/>
                      <w:b/>
                      <w:bCs/>
                      <w:color w:val="000000"/>
                      <w:sz w:val="21"/>
                      <w:szCs w:val="21"/>
                      <w:u w:val="single"/>
                      <w:lang w:val="en-US" w:eastAsia="zh-CN"/>
                    </w:rPr>
                    <w:t>×2</w:t>
                  </w:r>
                  <w:r>
                    <w:rPr>
                      <w:rFonts w:hint="eastAsia" w:cs="Times New Roman"/>
                      <w:b/>
                      <w:bCs/>
                      <w:color w:val="000000"/>
                      <w:sz w:val="21"/>
                      <w:szCs w:val="21"/>
                      <w:u w:val="single"/>
                      <w:lang w:val="en-US" w:eastAsia="zh-CN"/>
                    </w:rPr>
                    <w:t>m</w:t>
                  </w:r>
                  <w:r>
                    <w:rPr>
                      <w:rFonts w:hint="default" w:ascii="Times New Roman" w:hAnsi="Times New Roman" w:eastAsia="宋体" w:cs="Times New Roman"/>
                      <w:b/>
                      <w:bCs/>
                      <w:color w:val="000000"/>
                      <w:sz w:val="21"/>
                      <w:szCs w:val="21"/>
                      <w:u w:val="single"/>
                      <w:lang w:val="en-US" w:eastAsia="zh-CN"/>
                    </w:rPr>
                    <w:t>×3</w:t>
                  </w:r>
                  <w:r>
                    <w:rPr>
                      <w:rFonts w:hint="eastAsia" w:cs="Times New Roman"/>
                      <w:b/>
                      <w:bCs/>
                      <w:color w:val="000000"/>
                      <w:sz w:val="21"/>
                      <w:szCs w:val="21"/>
                      <w:u w:val="single"/>
                      <w:lang w:val="en-US" w:eastAsia="zh-CN"/>
                    </w:rPr>
                    <w:t>m</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color w:val="000000"/>
                      <w:sz w:val="21"/>
                      <w:szCs w:val="21"/>
                      <w:u w:val="single"/>
                    </w:rPr>
                    <w:t>1</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sz w:val="21"/>
                      <w:szCs w:val="21"/>
                      <w:u w:val="single"/>
                      <w:lang w:val="en-US" w:eastAsia="zh-CN"/>
                    </w:rPr>
                    <w:t>24m</w:t>
                  </w:r>
                  <w:r>
                    <w:rPr>
                      <w:rFonts w:hint="default" w:ascii="Times New Roman" w:hAnsi="Times New Roman" w:eastAsia="宋体" w:cs="Times New Roman"/>
                      <w:b/>
                      <w:bCs/>
                      <w:color w:val="000000"/>
                      <w:sz w:val="21"/>
                      <w:szCs w:val="21"/>
                      <w:u w:val="single"/>
                      <w:lang w:val="en-US" w:eastAsia="zh-CN"/>
                    </w:rPr>
                    <w:t>×2</w:t>
                  </w:r>
                  <w:r>
                    <w:rPr>
                      <w:rFonts w:hint="eastAsia" w:cs="Times New Roman"/>
                      <w:b/>
                      <w:bCs/>
                      <w:color w:val="000000"/>
                      <w:sz w:val="21"/>
                      <w:szCs w:val="21"/>
                      <w:u w:val="single"/>
                      <w:lang w:val="en-US" w:eastAsia="zh-CN"/>
                    </w:rPr>
                    <w:t>m</w:t>
                  </w:r>
                  <w:r>
                    <w:rPr>
                      <w:rFonts w:hint="default" w:ascii="Times New Roman" w:hAnsi="Times New Roman" w:eastAsia="宋体" w:cs="Times New Roman"/>
                      <w:b/>
                      <w:bCs/>
                      <w:color w:val="000000"/>
                      <w:sz w:val="21"/>
                      <w:szCs w:val="21"/>
                      <w:u w:val="single"/>
                      <w:lang w:val="en-US" w:eastAsia="zh-CN"/>
                    </w:rPr>
                    <w:t>×3</w:t>
                  </w:r>
                  <w:r>
                    <w:rPr>
                      <w:rFonts w:hint="eastAsia" w:cs="Times New Roman"/>
                      <w:b/>
                      <w:bCs/>
                      <w:color w:val="000000"/>
                      <w:sz w:val="21"/>
                      <w:szCs w:val="21"/>
                      <w:u w:val="single"/>
                      <w:lang w:val="en-US" w:eastAsia="zh-CN"/>
                    </w:rPr>
                    <w:t>m</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1</w:t>
                  </w:r>
                </w:p>
              </w:tc>
              <w:tc>
                <w:tcPr>
                  <w:tcW w:w="82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bCs/>
                      <w:i w:val="0"/>
                      <w:iCs w:val="0"/>
                      <w:color w:val="000000"/>
                      <w:sz w:val="21"/>
                      <w:szCs w:val="21"/>
                      <w:u w:val="single"/>
                      <w:shd w:val="clear" w:color="FFFFFF"/>
                      <w:vertAlign w:val="baseline"/>
                      <w:lang w:val="en-US" w:eastAsia="zh-CN"/>
                    </w:rPr>
                  </w:pPr>
                  <w:r>
                    <w:rPr>
                      <w:rFonts w:hint="eastAsia" w:cs="Times New Roman"/>
                      <w:b/>
                      <w:bCs/>
                      <w:i w:val="0"/>
                      <w:iCs w:val="0"/>
                      <w:color w:val="000000"/>
                      <w:sz w:val="21"/>
                      <w:szCs w:val="21"/>
                      <w:u w:val="single"/>
                      <w:shd w:val="clear" w:color="FFFFFF"/>
                      <w:vertAlign w:val="baseli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auto"/>
                      <w:vertAlign w:val="baseline"/>
                      <w:lang w:val="en-US" w:eastAsia="zh-CN"/>
                    </w:rPr>
                  </w:pPr>
                  <w:r>
                    <w:rPr>
                      <w:rFonts w:hint="default" w:ascii="Times New Roman" w:hAnsi="Times New Roman" w:eastAsia="宋体" w:cs="Times New Roman"/>
                      <w:b/>
                      <w:bCs/>
                      <w:color w:val="000000"/>
                      <w:sz w:val="21"/>
                      <w:szCs w:val="21"/>
                      <w:u w:val="single"/>
                      <w:shd w:val="clear" w:color="FFFFFF" w:fill="auto"/>
                      <w:vertAlign w:val="baseline"/>
                      <w:lang w:val="en-US" w:eastAsia="zh-CN"/>
                    </w:rPr>
                    <w:t>辅助单元</w:t>
                  </w: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u w:val="single"/>
                      <w:lang w:val="en-US" w:eastAsia="zh-CN" w:bidi="ar-SA"/>
                    </w:rPr>
                  </w:pPr>
                  <w:r>
                    <w:rPr>
                      <w:rFonts w:hint="default" w:ascii="Times New Roman" w:hAnsi="Times New Roman" w:eastAsia="宋体" w:cs="Times New Roman"/>
                      <w:b/>
                      <w:bCs/>
                      <w:kern w:val="2"/>
                      <w:sz w:val="21"/>
                      <w:szCs w:val="21"/>
                      <w:u w:val="single"/>
                      <w:lang w:val="en-US" w:eastAsia="zh-CN" w:bidi="ar-SA"/>
                    </w:rPr>
                    <w:t>空压机</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u w:val="single"/>
                      <w:lang w:val="en-US" w:eastAsia="zh-CN" w:bidi="ar-SA"/>
                    </w:rPr>
                  </w:pPr>
                  <w:r>
                    <w:rPr>
                      <w:rFonts w:hint="default" w:ascii="Times New Roman" w:hAnsi="Times New Roman" w:eastAsia="宋体" w:cs="Times New Roman"/>
                      <w:b/>
                      <w:bCs/>
                      <w:sz w:val="21"/>
                      <w:szCs w:val="21"/>
                      <w:u w:val="single"/>
                    </w:rPr>
                    <w:t>ALS-11A-YC</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w:t>
                  </w:r>
                </w:p>
              </w:tc>
              <w:tc>
                <w:tcPr>
                  <w:tcW w:w="82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bCs/>
                      <w:i w:val="0"/>
                      <w:iCs w:val="0"/>
                      <w:color w:val="000000"/>
                      <w:sz w:val="21"/>
                      <w:szCs w:val="21"/>
                      <w:u w:val="single"/>
                      <w:shd w:val="clear" w:color="FFFFFF"/>
                      <w:vertAlign w:val="baseline"/>
                      <w:lang w:val="en-US" w:eastAsia="zh-CN"/>
                    </w:rPr>
                  </w:pPr>
                  <w:r>
                    <w:rPr>
                      <w:rFonts w:hint="eastAsia" w:cs="Times New Roman"/>
                      <w:b/>
                      <w:bCs/>
                      <w:i w:val="0"/>
                      <w:iCs w:val="0"/>
                      <w:color w:val="000000"/>
                      <w:sz w:val="21"/>
                      <w:szCs w:val="21"/>
                      <w:u w:val="single"/>
                      <w:shd w:val="clear" w:color="FFFFFF"/>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auto"/>
                      <w:vertAlign w:val="baseline"/>
                      <w:lang w:val="en-US" w:eastAsia="zh-CN"/>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u w:val="single"/>
                      <w:lang w:val="en-US" w:eastAsia="zh-CN" w:bidi="ar-SA"/>
                    </w:rPr>
                  </w:pPr>
                  <w:r>
                    <w:rPr>
                      <w:rFonts w:hint="default" w:ascii="Times New Roman" w:hAnsi="Times New Roman" w:eastAsia="宋体" w:cs="Times New Roman"/>
                      <w:b/>
                      <w:bCs/>
                      <w:kern w:val="2"/>
                      <w:sz w:val="21"/>
                      <w:szCs w:val="21"/>
                      <w:u w:val="single"/>
                      <w:lang w:val="en-US" w:eastAsia="zh-CN" w:bidi="ar-SA"/>
                    </w:rPr>
                    <w:t>空压机</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u w:val="single"/>
                      <w:lang w:val="en-US" w:eastAsia="zh-CN" w:bidi="ar-SA"/>
                    </w:rPr>
                  </w:pPr>
                  <w:r>
                    <w:rPr>
                      <w:rFonts w:hint="default" w:ascii="Times New Roman" w:hAnsi="Times New Roman" w:eastAsia="宋体" w:cs="Times New Roman"/>
                      <w:b/>
                      <w:bCs/>
                      <w:sz w:val="21"/>
                      <w:szCs w:val="21"/>
                      <w:u w:val="single"/>
                    </w:rPr>
                    <w:t>BLT-15A</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w:t>
                  </w:r>
                </w:p>
              </w:tc>
              <w:tc>
                <w:tcPr>
                  <w:tcW w:w="82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bCs/>
                      <w:i w:val="0"/>
                      <w:iCs w:val="0"/>
                      <w:color w:val="000000"/>
                      <w:sz w:val="21"/>
                      <w:szCs w:val="21"/>
                      <w:u w:val="single"/>
                      <w:shd w:val="clear" w:color="FFFFFF"/>
                      <w:vertAlign w:val="baseline"/>
                      <w:lang w:val="en-US" w:eastAsia="zh-CN"/>
                    </w:rPr>
                  </w:pPr>
                  <w:r>
                    <w:rPr>
                      <w:rFonts w:hint="eastAsia" w:cs="Times New Roman"/>
                      <w:b/>
                      <w:bCs/>
                      <w:i w:val="0"/>
                      <w:iCs w:val="0"/>
                      <w:color w:val="000000"/>
                      <w:sz w:val="21"/>
                      <w:szCs w:val="21"/>
                      <w:u w:val="single"/>
                      <w:shd w:val="clear" w:color="FFFFFF"/>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shd w:val="clear" w:color="FFFFFF" w:fill="D9D9D9"/>
                      <w:vertAlign w:val="baseline"/>
                      <w:lang w:val="en-US" w:eastAsia="zh-CN" w:bidi="ar-SA"/>
                    </w:rPr>
                  </w:pPr>
                  <w:r>
                    <w:rPr>
                      <w:rFonts w:hint="default" w:ascii="Times New Roman" w:hAnsi="Times New Roman" w:eastAsia="宋体" w:cs="Times New Roman"/>
                      <w:b/>
                      <w:bCs/>
                      <w:color w:val="000000"/>
                      <w:sz w:val="21"/>
                      <w:szCs w:val="21"/>
                      <w:u w:val="single"/>
                      <w:shd w:val="clear" w:color="FFFFFF" w:fill="auto"/>
                      <w:vertAlign w:val="baseline"/>
                      <w:lang w:val="en-US" w:eastAsia="zh-CN"/>
                    </w:rPr>
                    <w:t>环保单元</w:t>
                  </w: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color w:val="000000"/>
                      <w:sz w:val="21"/>
                      <w:szCs w:val="21"/>
                      <w:u w:val="single"/>
                      <w:lang w:val="en-US" w:eastAsia="zh-CN"/>
                    </w:rPr>
                    <w:t>光氧催化</w:t>
                  </w:r>
                  <w:r>
                    <w:rPr>
                      <w:rFonts w:hint="default" w:ascii="Times New Roman" w:hAnsi="Times New Roman" w:eastAsia="宋体" w:cs="Times New Roman"/>
                      <w:b/>
                      <w:bCs/>
                      <w:color w:val="000000"/>
                      <w:sz w:val="21"/>
                      <w:szCs w:val="21"/>
                      <w:u w:val="single"/>
                    </w:rPr>
                    <w:t>+活性炭箱</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lang w:val="en-US" w:eastAsia="zh-CN"/>
                    </w:rPr>
                  </w:pPr>
                  <w:r>
                    <w:rPr>
                      <w:rFonts w:hint="eastAsia" w:cs="Times New Roman"/>
                      <w:b/>
                      <w:bCs/>
                      <w:color w:val="000000"/>
                      <w:sz w:val="21"/>
                      <w:szCs w:val="21"/>
                      <w:u w:val="singl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1</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1</w:t>
                  </w:r>
                </w:p>
              </w:tc>
              <w:tc>
                <w:tcPr>
                  <w:tcW w:w="8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sz w:val="21"/>
                      <w:szCs w:val="21"/>
                      <w:u w:val="single"/>
                      <w:lang w:val="en-US" w:eastAsia="zh-CN"/>
                    </w:rPr>
                    <w:t>依托现有，固化</w:t>
                  </w:r>
                  <w:r>
                    <w:rPr>
                      <w:rFonts w:hint="default" w:ascii="Times New Roman" w:hAnsi="Times New Roman" w:eastAsia="宋体" w:cs="Times New Roman"/>
                      <w:b/>
                      <w:bCs/>
                      <w:color w:val="000000"/>
                      <w:sz w:val="21"/>
                      <w:szCs w:val="21"/>
                      <w:u w:val="single"/>
                    </w:rPr>
                    <w:t>道配套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auto"/>
                      <w:vertAlign w:val="baseline"/>
                      <w:lang w:val="en-US" w:eastAsia="zh-CN"/>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color w:val="000000"/>
                      <w:sz w:val="21"/>
                      <w:szCs w:val="21"/>
                      <w:u w:val="single"/>
                    </w:rPr>
                    <w:t>大旋风+滤筒除尘器</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sz w:val="21"/>
                      <w:szCs w:val="21"/>
                      <w:u w:val="single"/>
                      <w:lang w:val="en-US" w:eastAsia="zh-CN"/>
                    </w:rPr>
                  </w:pPr>
                  <w:r>
                    <w:rPr>
                      <w:rFonts w:hint="eastAsia" w:cs="Times New Roman"/>
                      <w:b/>
                      <w:bCs/>
                      <w:color w:val="000000"/>
                      <w:sz w:val="21"/>
                      <w:szCs w:val="21"/>
                      <w:u w:val="singl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1</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color w:val="000000"/>
                      <w:kern w:val="2"/>
                      <w:sz w:val="21"/>
                      <w:szCs w:val="21"/>
                      <w:u w:val="single"/>
                      <w:lang w:val="en-US" w:eastAsia="zh-CN" w:bidi="ar-SA"/>
                    </w:rPr>
                    <w:t>1</w:t>
                  </w:r>
                </w:p>
              </w:tc>
              <w:tc>
                <w:tcPr>
                  <w:tcW w:w="8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sz w:val="21"/>
                      <w:szCs w:val="21"/>
                      <w:u w:val="single"/>
                      <w:lang w:val="en-US" w:eastAsia="zh-CN"/>
                    </w:rPr>
                    <w:t>依托现有，</w:t>
                  </w:r>
                  <w:r>
                    <w:rPr>
                      <w:rFonts w:hint="default" w:ascii="Times New Roman" w:hAnsi="Times New Roman" w:eastAsia="宋体" w:cs="Times New Roman"/>
                      <w:b/>
                      <w:bCs/>
                      <w:color w:val="000000"/>
                      <w:sz w:val="21"/>
                      <w:szCs w:val="21"/>
                      <w:u w:val="single"/>
                    </w:rPr>
                    <w:t>喷粉间配套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shd w:val="clear" w:color="FFFFFF" w:fill="auto"/>
                      <w:vertAlign w:val="baseline"/>
                      <w:lang w:val="en-US" w:eastAsia="zh-CN"/>
                    </w:rPr>
                  </w:pPr>
                </w:p>
              </w:tc>
              <w:tc>
                <w:tcPr>
                  <w:tcW w:w="13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sz w:val="21"/>
                      <w:szCs w:val="21"/>
                      <w:u w:val="single"/>
                      <w:lang w:val="en-US" w:eastAsia="zh-CN"/>
                    </w:rPr>
                    <w:t>袋式</w:t>
                  </w:r>
                  <w:r>
                    <w:rPr>
                      <w:rFonts w:hint="default" w:ascii="Times New Roman" w:hAnsi="Times New Roman" w:eastAsia="宋体" w:cs="Times New Roman"/>
                      <w:b/>
                      <w:bCs/>
                      <w:color w:val="000000"/>
                      <w:sz w:val="21"/>
                      <w:szCs w:val="21"/>
                      <w:u w:val="single"/>
                    </w:rPr>
                    <w:t>除尘器</w:t>
                  </w:r>
                </w:p>
              </w:tc>
              <w:tc>
                <w:tcPr>
                  <w:tcW w:w="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bCs/>
                      <w:color w:val="000000"/>
                      <w:sz w:val="21"/>
                      <w:szCs w:val="21"/>
                      <w:u w:val="single"/>
                      <w:lang w:val="en-US" w:eastAsia="zh-CN"/>
                    </w:rPr>
                  </w:pPr>
                  <w:r>
                    <w:rPr>
                      <w:rFonts w:hint="eastAsia" w:cs="Times New Roman"/>
                      <w:b/>
                      <w:bCs/>
                      <w:color w:val="000000"/>
                      <w:sz w:val="21"/>
                      <w:szCs w:val="21"/>
                      <w:u w:val="single"/>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w:t>
                  </w:r>
                </w:p>
              </w:tc>
              <w:tc>
                <w:tcPr>
                  <w:tcW w:w="9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2"/>
                      <w:sz w:val="21"/>
                      <w:szCs w:val="21"/>
                      <w:u w:val="single"/>
                      <w:lang w:val="en-US" w:eastAsia="zh-CN" w:bidi="ar-SA"/>
                    </w:rPr>
                    <w:t>/</w:t>
                  </w:r>
                </w:p>
              </w:tc>
              <w:tc>
                <w:tcPr>
                  <w:tcW w:w="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1</w:t>
                  </w:r>
                </w:p>
              </w:tc>
              <w:tc>
                <w:tcPr>
                  <w:tcW w:w="8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sz w:val="21"/>
                      <w:szCs w:val="21"/>
                      <w:u w:val="single"/>
                      <w:lang w:val="en-US" w:eastAsia="zh-CN"/>
                    </w:rPr>
                    <w:t>新建，</w:t>
                  </w:r>
                  <w:r>
                    <w:rPr>
                      <w:rFonts w:hint="default" w:ascii="Times New Roman" w:hAnsi="Times New Roman" w:eastAsia="宋体" w:cs="Times New Roman"/>
                      <w:b/>
                      <w:bCs/>
                      <w:color w:val="000000"/>
                      <w:sz w:val="21"/>
                      <w:szCs w:val="21"/>
                      <w:u w:val="single"/>
                    </w:rPr>
                    <w:t>激光切割</w:t>
                  </w:r>
                  <w:r>
                    <w:rPr>
                      <w:rFonts w:hint="default" w:ascii="Times New Roman" w:hAnsi="Times New Roman" w:eastAsia="宋体" w:cs="Times New Roman"/>
                      <w:b/>
                      <w:bCs/>
                      <w:color w:val="000000"/>
                      <w:sz w:val="21"/>
                      <w:szCs w:val="21"/>
                      <w:u w:val="single"/>
                      <w:lang w:eastAsia="zh-CN"/>
                    </w:rPr>
                    <w:t>、</w:t>
                  </w:r>
                  <w:r>
                    <w:rPr>
                      <w:rFonts w:hint="default" w:ascii="Times New Roman" w:hAnsi="Times New Roman" w:eastAsia="宋体" w:cs="Times New Roman"/>
                      <w:b/>
                      <w:bCs/>
                      <w:color w:val="000000"/>
                      <w:sz w:val="21"/>
                      <w:szCs w:val="21"/>
                      <w:u w:val="single"/>
                    </w:rPr>
                    <w:t>焊接</w:t>
                  </w:r>
                  <w:r>
                    <w:rPr>
                      <w:rFonts w:hint="default" w:ascii="Times New Roman" w:hAnsi="Times New Roman" w:eastAsia="宋体" w:cs="Times New Roman"/>
                      <w:b/>
                      <w:bCs/>
                      <w:color w:val="000000"/>
                      <w:sz w:val="21"/>
                      <w:szCs w:val="21"/>
                      <w:u w:val="single"/>
                      <w:lang w:eastAsia="zh-CN"/>
                    </w:rPr>
                    <w:t>、</w:t>
                  </w:r>
                  <w:r>
                    <w:rPr>
                      <w:rFonts w:hint="default" w:ascii="Times New Roman" w:hAnsi="Times New Roman" w:eastAsia="宋体" w:cs="Times New Roman"/>
                      <w:b/>
                      <w:bCs/>
                      <w:color w:val="000000"/>
                      <w:sz w:val="21"/>
                      <w:szCs w:val="21"/>
                      <w:u w:val="single"/>
                      <w:lang w:val="en-US" w:eastAsia="zh-CN"/>
                    </w:rPr>
                    <w:t>打磨</w:t>
                  </w:r>
                  <w:r>
                    <w:rPr>
                      <w:rFonts w:hint="default" w:ascii="Times New Roman" w:hAnsi="Times New Roman" w:eastAsia="宋体" w:cs="Times New Roman"/>
                      <w:b/>
                      <w:bCs/>
                      <w:color w:val="000000"/>
                      <w:sz w:val="21"/>
                      <w:szCs w:val="21"/>
                      <w:u w:val="single"/>
                    </w:rPr>
                    <w:t>配套</w:t>
                  </w:r>
                </w:p>
              </w:tc>
            </w:tr>
          </w:tbl>
          <w:p>
            <w:pPr>
              <w:spacing w:line="360" w:lineRule="auto"/>
              <w:ind w:firstLine="480" w:firstLineChars="200"/>
              <w:rPr>
                <w:color w:val="000000" w:themeColor="text1"/>
                <w:sz w:val="24"/>
                <w:szCs w:val="24"/>
                <w14:textFill>
                  <w14:solidFill>
                    <w14:schemeClr w14:val="tx1"/>
                  </w14:solidFill>
                </w14:textFill>
              </w:rPr>
            </w:pPr>
            <w:r>
              <w:rPr>
                <w:sz w:val="24"/>
                <w:szCs w:val="24"/>
              </w:rPr>
              <w:t>根据《产业结构调整指导目录（2019年本）</w:t>
            </w:r>
            <w:r>
              <w:rPr>
                <w:rFonts w:hint="eastAsia"/>
                <w:sz w:val="24"/>
                <w:szCs w:val="24"/>
                <w:lang w:eastAsia="zh-CN"/>
              </w:rPr>
              <w:t>（</w:t>
            </w:r>
            <w:r>
              <w:rPr>
                <w:rFonts w:hint="eastAsia"/>
                <w:sz w:val="24"/>
                <w:szCs w:val="24"/>
                <w:lang w:val="en-US" w:eastAsia="zh-CN"/>
              </w:rPr>
              <w:t>2021年修改</w:t>
            </w:r>
            <w:r>
              <w:rPr>
                <w:rFonts w:hint="eastAsia"/>
                <w:sz w:val="24"/>
                <w:szCs w:val="24"/>
                <w:lang w:eastAsia="zh-CN"/>
              </w:rPr>
              <w:t>）</w:t>
            </w:r>
            <w:r>
              <w:rPr>
                <w:sz w:val="24"/>
                <w:szCs w:val="24"/>
              </w:rPr>
              <w:t>》、《高耗能落后机电设备（产品）淘汰目录（第一二三四批）》和《河南省部分工业行业淘汰落后生产工艺装备和产品目录》等文件，本项目生产设备均不在淘汰目录内。</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5</w:t>
            </w:r>
            <w:r>
              <w:rPr>
                <w:b/>
                <w:color w:val="000000" w:themeColor="text1"/>
                <w:sz w:val="24"/>
                <w:szCs w:val="24"/>
                <w14:textFill>
                  <w14:solidFill>
                    <w14:schemeClr w14:val="tx1"/>
                  </w14:solidFill>
                </w14:textFill>
              </w:rPr>
              <w:t>、项目原辅材料及能源消耗分析</w:t>
            </w:r>
          </w:p>
          <w:p>
            <w:pPr>
              <w:spacing w:line="360" w:lineRule="auto"/>
              <w:ind w:firstLine="480" w:firstLineChars="200"/>
              <w:jc w:val="left"/>
              <w:rPr>
                <w:sz w:val="24"/>
                <w:szCs w:val="32"/>
              </w:rPr>
            </w:pPr>
            <w:r>
              <w:rPr>
                <w:color w:val="000000" w:themeColor="text1"/>
                <w:sz w:val="24"/>
                <w:szCs w:val="24"/>
                <w14:textFill>
                  <w14:solidFill>
                    <w14:schemeClr w14:val="tx1"/>
                  </w14:solidFill>
                </w14:textFill>
              </w:rPr>
              <w:t>项目主要原辅材料及能源消耗情况见下表。</w:t>
            </w:r>
          </w:p>
          <w:p>
            <w:pPr>
              <w:jc w:val="center"/>
              <w:rPr>
                <w:color w:val="000000" w:themeColor="text1"/>
                <w:szCs w:val="21"/>
                <w14:textFill>
                  <w14:solidFill>
                    <w14:schemeClr w14:val="tx1"/>
                  </w14:solidFill>
                </w14:textFill>
              </w:rPr>
            </w:pPr>
            <w:r>
              <w:rPr>
                <w:color w:val="000000" w:themeColor="text1"/>
                <w:sz w:val="24"/>
                <w:szCs w:val="24"/>
                <w14:textFill>
                  <w14:solidFill>
                    <w14:schemeClr w14:val="tx1"/>
                  </w14:solidFill>
                </w14:textFill>
              </w:rPr>
              <w:t>表2-</w:t>
            </w:r>
            <w:r>
              <w:rPr>
                <w:rFonts w:hint="eastAsia"/>
                <w:color w:val="000000" w:themeColor="text1"/>
                <w:sz w:val="24"/>
                <w:szCs w:val="24"/>
                <w:lang w:val="en-US" w:eastAsia="zh-CN"/>
                <w14:textFill>
                  <w14:solidFill>
                    <w14:schemeClr w14:val="tx1"/>
                  </w14:solidFill>
                </w14:textFill>
              </w:rPr>
              <w:t>4</w:t>
            </w:r>
            <w:r>
              <w:rPr>
                <w:color w:val="000000" w:themeColor="text1"/>
                <w:sz w:val="24"/>
                <w:szCs w:val="24"/>
                <w14:textFill>
                  <w14:solidFill>
                    <w14:schemeClr w14:val="tx1"/>
                  </w14:solidFill>
                </w14:textFill>
              </w:rPr>
              <w:t xml:space="preserve">  项目主要原辅材料消耗情况汇总表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99"/>
              <w:gridCol w:w="2221"/>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类别</w:t>
                  </w:r>
                </w:p>
              </w:tc>
              <w:tc>
                <w:tcPr>
                  <w:tcW w:w="9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名称</w:t>
                  </w:r>
                </w:p>
              </w:tc>
              <w:tc>
                <w:tcPr>
                  <w:tcW w:w="13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使用量</w:t>
                  </w:r>
                </w:p>
              </w:tc>
              <w:tc>
                <w:tcPr>
                  <w:tcW w:w="18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原料</w:t>
                  </w:r>
                </w:p>
              </w:tc>
              <w:tc>
                <w:tcPr>
                  <w:tcW w:w="9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bCs/>
                      <w:color w:val="000000"/>
                      <w:sz w:val="21"/>
                      <w:szCs w:val="21"/>
                      <w:u w:val="single"/>
                    </w:rPr>
                  </w:pPr>
                  <w:r>
                    <w:rPr>
                      <w:rFonts w:hint="eastAsia" w:cs="Times New Roman"/>
                      <w:b/>
                      <w:bCs/>
                      <w:sz w:val="21"/>
                      <w:szCs w:val="21"/>
                      <w:u w:val="single"/>
                      <w:lang w:val="en-US" w:eastAsia="zh-CN"/>
                    </w:rPr>
                    <w:t>不锈钢</w:t>
                  </w:r>
                </w:p>
              </w:tc>
              <w:tc>
                <w:tcPr>
                  <w:tcW w:w="13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bCs/>
                      <w:color w:val="000000"/>
                      <w:sz w:val="21"/>
                      <w:szCs w:val="21"/>
                      <w:u w:val="single"/>
                      <w:lang w:val="en-US" w:eastAsia="zh-CN"/>
                    </w:rPr>
                  </w:pPr>
                  <w:r>
                    <w:rPr>
                      <w:rFonts w:hint="eastAsia" w:cs="Times New Roman"/>
                      <w:b/>
                      <w:bCs/>
                      <w:sz w:val="21"/>
                      <w:szCs w:val="21"/>
                      <w:u w:val="single"/>
                      <w:lang w:val="en-US" w:eastAsia="zh-CN"/>
                    </w:rPr>
                    <w:t>360</w:t>
                  </w:r>
                  <w:r>
                    <w:rPr>
                      <w:rFonts w:hint="default" w:ascii="Times New Roman" w:hAnsi="Times New Roman" w:eastAsia="宋体" w:cs="Times New Roman"/>
                      <w:b/>
                      <w:bCs/>
                      <w:color w:val="000000"/>
                      <w:sz w:val="21"/>
                      <w:szCs w:val="21"/>
                      <w:u w:val="single"/>
                    </w:rPr>
                    <w:t>t/a</w:t>
                  </w:r>
                </w:p>
              </w:tc>
              <w:tc>
                <w:tcPr>
                  <w:tcW w:w="18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z w:val="21"/>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imes New Roman" w:hAnsi="Times New Roman" w:eastAsia="宋体" w:cs="Times New Roman"/>
                      <w:sz w:val="21"/>
                      <w:szCs w:val="21"/>
                      <w:lang w:val="en-US" w:eastAsia="zh-CN"/>
                    </w:rPr>
                  </w:pPr>
                </w:p>
              </w:tc>
              <w:tc>
                <w:tcPr>
                  <w:tcW w:w="9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钢板</w:t>
                  </w:r>
                </w:p>
              </w:tc>
              <w:tc>
                <w:tcPr>
                  <w:tcW w:w="13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120</w:t>
                  </w:r>
                  <w:r>
                    <w:rPr>
                      <w:rFonts w:hint="default" w:ascii="Times New Roman" w:hAnsi="Times New Roman" w:eastAsia="宋体" w:cs="Times New Roman"/>
                      <w:b/>
                      <w:bCs/>
                      <w:color w:val="000000"/>
                      <w:sz w:val="21"/>
                      <w:szCs w:val="21"/>
                      <w:u w:val="single"/>
                    </w:rPr>
                    <w:t>t/a</w:t>
                  </w:r>
                </w:p>
              </w:tc>
              <w:tc>
                <w:tcPr>
                  <w:tcW w:w="18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rPr>
                  </w:pPr>
                </w:p>
              </w:tc>
              <w:tc>
                <w:tcPr>
                  <w:tcW w:w="9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钢管</w:t>
                  </w:r>
                </w:p>
              </w:tc>
              <w:tc>
                <w:tcPr>
                  <w:tcW w:w="13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eastAsia="宋体" w:cs="Times New Roman"/>
                      <w:b/>
                      <w:bCs/>
                      <w:sz w:val="21"/>
                      <w:szCs w:val="21"/>
                      <w:u w:val="single"/>
                      <w:lang w:val="en-US" w:eastAsia="zh-CN"/>
                    </w:rPr>
                    <w:t>120</w:t>
                  </w:r>
                  <w:r>
                    <w:rPr>
                      <w:rFonts w:hint="default" w:ascii="Times New Roman" w:hAnsi="Times New Roman" w:eastAsia="宋体" w:cs="Times New Roman"/>
                      <w:b/>
                      <w:bCs/>
                      <w:color w:val="000000"/>
                      <w:sz w:val="21"/>
                      <w:szCs w:val="21"/>
                      <w:u w:val="single"/>
                    </w:rPr>
                    <w:t>t/a</w:t>
                  </w:r>
                </w:p>
              </w:tc>
              <w:tc>
                <w:tcPr>
                  <w:tcW w:w="18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z w:val="21"/>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辅料</w:t>
                  </w:r>
                </w:p>
              </w:tc>
              <w:tc>
                <w:tcPr>
                  <w:tcW w:w="922"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z w:val="21"/>
                      <w:szCs w:val="21"/>
                      <w:u w:val="single"/>
                    </w:rPr>
                    <w:t>塑粉</w:t>
                  </w:r>
                </w:p>
              </w:tc>
              <w:tc>
                <w:tcPr>
                  <w:tcW w:w="1366"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bCs/>
                      <w:color w:val="000000"/>
                      <w:sz w:val="21"/>
                      <w:szCs w:val="21"/>
                      <w:u w:val="single"/>
                      <w:lang w:val="en-US" w:eastAsia="zh-CN"/>
                    </w:rPr>
                  </w:pPr>
                  <w:r>
                    <w:rPr>
                      <w:rFonts w:hint="eastAsia" w:cs="Times New Roman"/>
                      <w:b/>
                      <w:bCs/>
                      <w:sz w:val="21"/>
                      <w:szCs w:val="21"/>
                      <w:u w:val="single"/>
                      <w:lang w:val="en-US" w:eastAsia="zh-CN"/>
                    </w:rPr>
                    <w:t>12</w:t>
                  </w:r>
                  <w:r>
                    <w:rPr>
                      <w:rFonts w:hint="default" w:ascii="Times New Roman" w:hAnsi="Times New Roman" w:eastAsia="宋体" w:cs="Times New Roman"/>
                      <w:b/>
                      <w:bCs/>
                      <w:color w:val="000000"/>
                      <w:sz w:val="21"/>
                      <w:szCs w:val="21"/>
                      <w:u w:val="single"/>
                    </w:rPr>
                    <w:t>t/a</w:t>
                  </w:r>
                </w:p>
              </w:tc>
              <w:tc>
                <w:tcPr>
                  <w:tcW w:w="1837"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z w:val="21"/>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rPr>
                  </w:pPr>
                </w:p>
              </w:tc>
              <w:tc>
                <w:tcPr>
                  <w:tcW w:w="9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焊丝</w:t>
                  </w:r>
                </w:p>
              </w:tc>
              <w:tc>
                <w:tcPr>
                  <w:tcW w:w="13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b w:val="0"/>
                      <w:bCs w:val="0"/>
                      <w:color w:val="000000"/>
                      <w:sz w:val="21"/>
                      <w:szCs w:val="21"/>
                    </w:rPr>
                    <w:t>t/a</w:t>
                  </w:r>
                </w:p>
              </w:tc>
              <w:tc>
                <w:tcPr>
                  <w:tcW w:w="18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rPr>
                  </w:pPr>
                </w:p>
              </w:tc>
              <w:tc>
                <w:tcPr>
                  <w:tcW w:w="9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二氧化碳</w:t>
                  </w:r>
                </w:p>
              </w:tc>
              <w:tc>
                <w:tcPr>
                  <w:tcW w:w="13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50瓶/a</w:t>
                  </w:r>
                </w:p>
              </w:tc>
              <w:tc>
                <w:tcPr>
                  <w:tcW w:w="18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rPr>
                  </w:pPr>
                </w:p>
              </w:tc>
              <w:tc>
                <w:tcPr>
                  <w:tcW w:w="9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cs="Times New Roman"/>
                      <w:sz w:val="21"/>
                      <w:szCs w:val="21"/>
                      <w:lang w:val="en-US" w:eastAsia="zh-CN"/>
                    </w:rPr>
                  </w:pPr>
                  <w:r>
                    <w:rPr>
                      <w:rFonts w:hint="eastAsia" w:cs="Times New Roman"/>
                      <w:sz w:val="21"/>
                      <w:szCs w:val="21"/>
                      <w:lang w:val="en-US" w:eastAsia="zh-CN"/>
                    </w:rPr>
                    <w:t>氩气</w:t>
                  </w:r>
                </w:p>
              </w:tc>
              <w:tc>
                <w:tcPr>
                  <w:tcW w:w="13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cs="Times New Roman"/>
                      <w:sz w:val="21"/>
                      <w:szCs w:val="21"/>
                      <w:lang w:val="en-US" w:eastAsia="zh-CN"/>
                    </w:rPr>
                  </w:pPr>
                  <w:r>
                    <w:rPr>
                      <w:rFonts w:hint="eastAsia" w:cs="Times New Roman"/>
                      <w:sz w:val="21"/>
                      <w:szCs w:val="21"/>
                      <w:lang w:val="en-US" w:eastAsia="zh-CN"/>
                    </w:rPr>
                    <w:t>30瓶/a</w:t>
                  </w:r>
                </w:p>
              </w:tc>
              <w:tc>
                <w:tcPr>
                  <w:tcW w:w="18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cs="Times New Roman"/>
                      <w:sz w:val="21"/>
                      <w:szCs w:val="21"/>
                      <w:lang w:val="en-US" w:eastAsia="zh-CN"/>
                    </w:rPr>
                  </w:pPr>
                  <w:r>
                    <w:rPr>
                      <w:rFonts w:hint="eastAsia" w:cs="Times New Roman"/>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highlight w:val="none"/>
                    </w:rPr>
                  </w:pPr>
                </w:p>
              </w:tc>
              <w:tc>
                <w:tcPr>
                  <w:tcW w:w="9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机油</w:t>
                  </w:r>
                </w:p>
              </w:tc>
              <w:tc>
                <w:tcPr>
                  <w:tcW w:w="13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0.1</w:t>
                  </w:r>
                  <w:r>
                    <w:rPr>
                      <w:rFonts w:hint="default" w:ascii="Times New Roman" w:hAnsi="Times New Roman" w:eastAsia="宋体" w:cs="Times New Roman"/>
                      <w:b w:val="0"/>
                      <w:bCs w:val="0"/>
                      <w:color w:val="000000"/>
                      <w:sz w:val="21"/>
                      <w:szCs w:val="21"/>
                    </w:rPr>
                    <w:t>t/a</w:t>
                  </w:r>
                </w:p>
              </w:tc>
              <w:tc>
                <w:tcPr>
                  <w:tcW w:w="18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FF0000"/>
                      <w:sz w:val="21"/>
                      <w:szCs w:val="21"/>
                      <w:highlight w:val="yellow"/>
                    </w:rPr>
                  </w:pPr>
                  <w:r>
                    <w:rPr>
                      <w:rFonts w:hint="default" w:ascii="Times New Roman" w:hAnsi="Times New Roman" w:eastAsia="宋体" w:cs="Times New Roman"/>
                      <w:sz w:val="21"/>
                      <w:szCs w:val="21"/>
                    </w:rPr>
                    <w:t>设备维护更换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highlight w:val="none"/>
                    </w:rPr>
                  </w:pPr>
                </w:p>
              </w:tc>
              <w:tc>
                <w:tcPr>
                  <w:tcW w:w="9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液压油</w:t>
                  </w:r>
                </w:p>
              </w:tc>
              <w:tc>
                <w:tcPr>
                  <w:tcW w:w="13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sz w:val="21"/>
                      <w:szCs w:val="21"/>
                      <w:highlight w:val="none"/>
                      <w:lang w:val="en-US" w:eastAsia="zh-CN"/>
                    </w:rPr>
                    <w:t>0.1</w:t>
                  </w:r>
                  <w:r>
                    <w:rPr>
                      <w:rFonts w:hint="default" w:ascii="Times New Roman" w:hAnsi="Times New Roman" w:eastAsia="宋体" w:cs="Times New Roman"/>
                      <w:b w:val="0"/>
                      <w:bCs w:val="0"/>
                      <w:color w:val="000000"/>
                      <w:sz w:val="21"/>
                      <w:szCs w:val="21"/>
                    </w:rPr>
                    <w:t>t/a</w:t>
                  </w:r>
                </w:p>
              </w:tc>
              <w:tc>
                <w:tcPr>
                  <w:tcW w:w="18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设备维护更换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能源</w:t>
                  </w:r>
                </w:p>
              </w:tc>
              <w:tc>
                <w:tcPr>
                  <w:tcW w:w="9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水</w:t>
                  </w:r>
                </w:p>
              </w:tc>
              <w:tc>
                <w:tcPr>
                  <w:tcW w:w="13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highlight w:val="none"/>
                      <w:lang w:val="en-US" w:eastAsia="zh-CN"/>
                    </w:rPr>
                  </w:pPr>
                  <w:r>
                    <w:rPr>
                      <w:rFonts w:hint="eastAsia" w:cs="Times New Roman"/>
                      <w:color w:val="000000"/>
                      <w:kern w:val="2"/>
                      <w:sz w:val="21"/>
                      <w:szCs w:val="21"/>
                      <w:highlight w:val="none"/>
                      <w:u w:val="none"/>
                      <w:lang w:val="en-US" w:eastAsia="zh-CN" w:bidi="ar-SA"/>
                    </w:rPr>
                    <w:t>240m</w:t>
                  </w:r>
                  <w:r>
                    <w:rPr>
                      <w:rFonts w:hint="eastAsia" w:cs="Times New Roman"/>
                      <w:color w:val="000000"/>
                      <w:kern w:val="2"/>
                      <w:sz w:val="21"/>
                      <w:szCs w:val="21"/>
                      <w:highlight w:val="none"/>
                      <w:u w:val="none"/>
                      <w:vertAlign w:val="superscript"/>
                      <w:lang w:val="en-US" w:eastAsia="zh-CN" w:bidi="ar-SA"/>
                    </w:rPr>
                    <w:t>3</w:t>
                  </w:r>
                  <w:r>
                    <w:rPr>
                      <w:rFonts w:hint="eastAsia" w:cs="Times New Roman"/>
                      <w:color w:val="000000"/>
                      <w:kern w:val="2"/>
                      <w:sz w:val="21"/>
                      <w:szCs w:val="21"/>
                      <w:highlight w:val="none"/>
                      <w:u w:val="none"/>
                      <w:vertAlign w:val="baseline"/>
                      <w:lang w:val="en-US" w:eastAsia="zh-CN" w:bidi="ar-SA"/>
                    </w:rPr>
                    <w:t>/年</w:t>
                  </w:r>
                </w:p>
              </w:tc>
              <w:tc>
                <w:tcPr>
                  <w:tcW w:w="18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rPr>
                  </w:pPr>
                  <w:r>
                    <w:rPr>
                      <w:rFonts w:hint="eastAsia"/>
                      <w:color w:val="000000"/>
                      <w:szCs w:val="21"/>
                    </w:rPr>
                    <w:t>镇自来水管网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highlight w:val="none"/>
                    </w:rPr>
                  </w:pPr>
                </w:p>
              </w:tc>
              <w:tc>
                <w:tcPr>
                  <w:tcW w:w="9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电</w:t>
                  </w:r>
                </w:p>
              </w:tc>
              <w:tc>
                <w:tcPr>
                  <w:tcW w:w="13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highlight w:val="none"/>
                      <w:lang w:val="en-US" w:eastAsia="zh-CN"/>
                    </w:rPr>
                  </w:pPr>
                  <w:r>
                    <w:rPr>
                      <w:rFonts w:hint="eastAsia" w:cs="Times New Roman"/>
                      <w:color w:val="000000"/>
                      <w:kern w:val="2"/>
                      <w:sz w:val="21"/>
                      <w:szCs w:val="21"/>
                      <w:highlight w:val="none"/>
                      <w:u w:val="none"/>
                      <w:lang w:val="en-US" w:eastAsia="zh-CN" w:bidi="ar-SA"/>
                    </w:rPr>
                    <w:t>100万度</w:t>
                  </w:r>
                  <w:r>
                    <w:rPr>
                      <w:rFonts w:hint="default" w:ascii="Times New Roman" w:hAnsi="Times New Roman" w:eastAsia="宋体" w:cs="Times New Roman"/>
                      <w:snapToGrid w:val="0"/>
                      <w:color w:val="auto"/>
                      <w:kern w:val="0"/>
                      <w:sz w:val="21"/>
                      <w:szCs w:val="21"/>
                      <w:highlight w:val="none"/>
                      <w:u w:val="none"/>
                      <w:lang w:val="en-US" w:eastAsia="zh-CN"/>
                    </w:rPr>
                    <w:t>/</w:t>
                  </w:r>
                  <w:r>
                    <w:rPr>
                      <w:rFonts w:hint="eastAsia" w:ascii="Times New Roman" w:hAnsi="Times New Roman" w:eastAsia="宋体" w:cs="Times New Roman"/>
                      <w:snapToGrid w:val="0"/>
                      <w:color w:val="auto"/>
                      <w:kern w:val="0"/>
                      <w:sz w:val="21"/>
                      <w:szCs w:val="21"/>
                      <w:highlight w:val="none"/>
                      <w:u w:val="none"/>
                      <w:lang w:val="en-US" w:eastAsia="zh-CN"/>
                    </w:rPr>
                    <w:t>年</w:t>
                  </w:r>
                </w:p>
              </w:tc>
              <w:tc>
                <w:tcPr>
                  <w:tcW w:w="18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rPr>
                  </w:pPr>
                  <w:r>
                    <w:rPr>
                      <w:rFonts w:hint="eastAsia"/>
                      <w:color w:val="000000"/>
                      <w:u w:val="none"/>
                    </w:rPr>
                    <w:t>镇配电所供给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highlight w:val="none"/>
                    </w:rPr>
                  </w:pPr>
                </w:p>
              </w:tc>
              <w:tc>
                <w:tcPr>
                  <w:tcW w:w="9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液化气</w:t>
                  </w:r>
                </w:p>
              </w:tc>
              <w:tc>
                <w:tcPr>
                  <w:tcW w:w="13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highlight w:val="none"/>
                      <w:lang w:val="en-US" w:eastAsia="zh-CN"/>
                    </w:rPr>
                  </w:pPr>
                  <w:r>
                    <w:rPr>
                      <w:rFonts w:hint="eastAsia" w:cs="Times New Roman"/>
                      <w:color w:val="000000"/>
                      <w:kern w:val="2"/>
                      <w:sz w:val="21"/>
                      <w:szCs w:val="21"/>
                      <w:highlight w:val="none"/>
                      <w:u w:val="none"/>
                      <w:lang w:val="en-US" w:eastAsia="zh-CN" w:bidi="ar-SA"/>
                    </w:rPr>
                    <w:t>35吨/年</w:t>
                  </w:r>
                </w:p>
              </w:tc>
              <w:tc>
                <w:tcPr>
                  <w:tcW w:w="18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rPr>
                  </w:pPr>
                  <w:r>
                    <w:rPr>
                      <w:rFonts w:hint="eastAsia"/>
                      <w:szCs w:val="21"/>
                      <w:u w:val="none"/>
                      <w:lang w:val="en-US" w:eastAsia="zh-CN"/>
                    </w:rPr>
                    <w:t>外购，</w:t>
                  </w:r>
                  <w:r>
                    <w:rPr>
                      <w:rFonts w:hint="eastAsia"/>
                      <w:szCs w:val="21"/>
                      <w:u w:val="none"/>
                    </w:rPr>
                    <w:t>60kg/罐</w:t>
                  </w:r>
                </w:p>
              </w:tc>
            </w:tr>
          </w:tbl>
          <w:p>
            <w:pPr>
              <w:spacing w:line="360" w:lineRule="auto"/>
              <w:rPr>
                <w:bCs/>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原辅材料理化性质：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塑粉：本项目使用的塑粉主要成分为饱和聚脂树脂、环氧树脂及钛白粉等。饱和聚酯树脂为聚酯树脂的一类，主要是线性树脂，由饱和的二元酸和二元醇经缩聚而成，白色颗粒，软化点为100℃；环氧树脂是含有环氧集团的树脂的总称，本项目所用的环氧树脂为高分子环氧树脂，呈固体，软化点为90℃，熔点为145～155℃，固化温度在180~195℃，无臭无味，溶于丙酮、环己酮、乙二醇、甲苯、苯乙烯等，对金属和非金属具有优异的粘合力，耐热性、绝缘性、硬度和柔韧性都好；钛白粉为二氧化钛的俗名，其化学性相当稳定，在一般情况下不与大部分化学试剂发生作用，是一种重要的白色颜料和瓷器釉药，广泛用于冶金、涂料、油墨、塑料、化妆品等方面。</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6</w:t>
            </w:r>
            <w:r>
              <w:rPr>
                <w:b/>
                <w:color w:val="000000" w:themeColor="text1"/>
                <w:sz w:val="24"/>
                <w:szCs w:val="24"/>
                <w14:textFill>
                  <w14:solidFill>
                    <w14:schemeClr w14:val="tx1"/>
                  </w14:solidFill>
                </w14:textFill>
              </w:rPr>
              <w:t>、主要产品方案</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w:t>
            </w:r>
            <w:r>
              <w:rPr>
                <w:color w:val="000000" w:themeColor="text1"/>
                <w:sz w:val="24"/>
                <w:szCs w:val="24"/>
                <w14:textFill>
                  <w14:solidFill>
                    <w14:schemeClr w14:val="tx1"/>
                  </w14:solidFill>
                </w14:textFill>
              </w:rPr>
              <w:t>项目产品方案见下表。</w:t>
            </w:r>
          </w:p>
          <w:p>
            <w:pPr>
              <w:shd w:val="clear"/>
              <w:jc w:val="center"/>
              <w:rPr>
                <w:color w:val="000000" w:themeColor="text1"/>
                <w:sz w:val="24"/>
                <w:szCs w:val="24"/>
                <w:highlight w:val="none"/>
                <w:shd w:val="clear" w:color="FFFFFF" w:fill="D9D9D9"/>
                <w14:textFill>
                  <w14:solidFill>
                    <w14:schemeClr w14:val="tx1"/>
                  </w14:solidFill>
                </w14:textFill>
              </w:rPr>
            </w:pPr>
            <w:r>
              <w:rPr>
                <w:color w:val="000000" w:themeColor="text1"/>
                <w:sz w:val="24"/>
                <w:szCs w:val="24"/>
                <w:highlight w:val="none"/>
                <w14:textFill>
                  <w14:solidFill>
                    <w14:schemeClr w14:val="tx1"/>
                  </w14:solidFill>
                </w14:textFill>
              </w:rPr>
              <w:t>表2-</w:t>
            </w:r>
            <w:r>
              <w:rPr>
                <w:rFonts w:hint="eastAsia"/>
                <w:color w:val="000000" w:themeColor="text1"/>
                <w:sz w:val="24"/>
                <w:szCs w:val="24"/>
                <w:highlight w:val="none"/>
                <w:lang w:val="en-US" w:eastAsia="zh-CN"/>
                <w14:textFill>
                  <w14:solidFill>
                    <w14:schemeClr w14:val="tx1"/>
                  </w14:solidFill>
                </w14:textFill>
              </w:rPr>
              <w:t>5</w:t>
            </w:r>
            <w:r>
              <w:rPr>
                <w:color w:val="000000" w:themeColor="text1"/>
                <w:sz w:val="24"/>
                <w:szCs w:val="24"/>
                <w:highlight w:val="none"/>
                <w14:textFill>
                  <w14:solidFill>
                    <w14:schemeClr w14:val="tx1"/>
                  </w14:solidFill>
                </w14:textFill>
              </w:rPr>
              <w:t xml:space="preserve">  项目产品方案一览表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784"/>
              <w:gridCol w:w="1348"/>
              <w:gridCol w:w="2338"/>
              <w:gridCol w:w="1247"/>
              <w:gridCol w:w="2411"/>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50" w:hRule="atLeast"/>
              </w:trPr>
              <w:tc>
                <w:tcPr>
                  <w:tcW w:w="482" w:type="pct"/>
                  <w:tcBorders>
                    <w:tl2br w:val="nil"/>
                    <w:tr2bl w:val="nil"/>
                  </w:tcBorders>
                  <w:noWrap w:val="0"/>
                  <w:vAlign w:val="center"/>
                </w:tcPr>
                <w:p>
                  <w:pPr>
                    <w:pStyle w:val="17"/>
                    <w:spacing w:line="340" w:lineRule="exact"/>
                    <w:jc w:val="center"/>
                    <w:rPr>
                      <w:b w:val="0"/>
                      <w:bCs/>
                      <w:color w:val="000000"/>
                      <w:sz w:val="21"/>
                      <w:szCs w:val="21"/>
                    </w:rPr>
                  </w:pPr>
                  <w:r>
                    <w:rPr>
                      <w:b w:val="0"/>
                      <w:bCs/>
                      <w:color w:val="000000"/>
                      <w:sz w:val="21"/>
                      <w:szCs w:val="21"/>
                    </w:rPr>
                    <w:t>序号</w:t>
                  </w:r>
                </w:p>
              </w:tc>
              <w:tc>
                <w:tcPr>
                  <w:tcW w:w="829" w:type="pct"/>
                  <w:tcBorders>
                    <w:tl2br w:val="nil"/>
                    <w:tr2bl w:val="nil"/>
                  </w:tcBorders>
                  <w:noWrap w:val="0"/>
                  <w:vAlign w:val="center"/>
                </w:tcPr>
                <w:p>
                  <w:pPr>
                    <w:pStyle w:val="17"/>
                    <w:spacing w:line="340" w:lineRule="exact"/>
                    <w:jc w:val="center"/>
                    <w:rPr>
                      <w:b w:val="0"/>
                      <w:bCs/>
                      <w:color w:val="000000"/>
                      <w:sz w:val="21"/>
                      <w:szCs w:val="21"/>
                    </w:rPr>
                  </w:pPr>
                  <w:r>
                    <w:rPr>
                      <w:b w:val="0"/>
                      <w:bCs/>
                      <w:color w:val="000000"/>
                      <w:sz w:val="21"/>
                      <w:szCs w:val="21"/>
                    </w:rPr>
                    <w:t>产品名称</w:t>
                  </w:r>
                </w:p>
              </w:tc>
              <w:tc>
                <w:tcPr>
                  <w:tcW w:w="1438" w:type="pct"/>
                  <w:tcBorders>
                    <w:tl2br w:val="nil"/>
                    <w:tr2bl w:val="nil"/>
                  </w:tcBorders>
                  <w:noWrap w:val="0"/>
                  <w:vAlign w:val="center"/>
                </w:tcPr>
                <w:p>
                  <w:pPr>
                    <w:pStyle w:val="17"/>
                    <w:spacing w:line="340" w:lineRule="exact"/>
                    <w:jc w:val="center"/>
                    <w:rPr>
                      <w:b w:val="0"/>
                      <w:bCs/>
                      <w:color w:val="000000"/>
                      <w:sz w:val="21"/>
                      <w:szCs w:val="21"/>
                    </w:rPr>
                  </w:pPr>
                  <w:r>
                    <w:rPr>
                      <w:b w:val="0"/>
                      <w:bCs/>
                      <w:color w:val="000000"/>
                      <w:sz w:val="21"/>
                      <w:szCs w:val="21"/>
                    </w:rPr>
                    <w:t>规格型号</w:t>
                  </w:r>
                </w:p>
              </w:tc>
              <w:tc>
                <w:tcPr>
                  <w:tcW w:w="767" w:type="pct"/>
                  <w:tcBorders>
                    <w:tl2br w:val="nil"/>
                    <w:tr2bl w:val="nil"/>
                  </w:tcBorders>
                  <w:noWrap w:val="0"/>
                  <w:vAlign w:val="center"/>
                </w:tcPr>
                <w:p>
                  <w:pPr>
                    <w:pStyle w:val="17"/>
                    <w:spacing w:line="340" w:lineRule="exact"/>
                    <w:jc w:val="center"/>
                    <w:rPr>
                      <w:b w:val="0"/>
                      <w:bCs/>
                      <w:color w:val="000000"/>
                      <w:sz w:val="21"/>
                      <w:szCs w:val="21"/>
                    </w:rPr>
                  </w:pPr>
                  <w:r>
                    <w:rPr>
                      <w:b w:val="0"/>
                      <w:bCs/>
                      <w:color w:val="000000"/>
                      <w:sz w:val="21"/>
                      <w:szCs w:val="21"/>
                    </w:rPr>
                    <w:t>年产量</w:t>
                  </w:r>
                </w:p>
              </w:tc>
              <w:tc>
                <w:tcPr>
                  <w:tcW w:w="1483" w:type="pct"/>
                  <w:tcBorders>
                    <w:tl2br w:val="nil"/>
                    <w:tr2bl w:val="nil"/>
                  </w:tcBorders>
                  <w:noWrap w:val="0"/>
                  <w:vAlign w:val="center"/>
                </w:tcPr>
                <w:p>
                  <w:pPr>
                    <w:pStyle w:val="17"/>
                    <w:spacing w:line="340" w:lineRule="exact"/>
                    <w:jc w:val="center"/>
                    <w:rPr>
                      <w:b w:val="0"/>
                      <w:bCs/>
                      <w:color w:val="000000"/>
                      <w:sz w:val="21"/>
                      <w:szCs w:val="21"/>
                    </w:rPr>
                  </w:pPr>
                  <w:r>
                    <w:rPr>
                      <w:rFonts w:hint="eastAsia"/>
                      <w:b w:val="0"/>
                      <w:bCs/>
                      <w:color w:val="000000"/>
                      <w:sz w:val="21"/>
                      <w:szCs w:val="21"/>
                    </w:rPr>
                    <w:t>产品用途</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30" w:hRule="atLeast"/>
              </w:trPr>
              <w:tc>
                <w:tcPr>
                  <w:tcW w:w="482" w:type="pct"/>
                  <w:tcBorders>
                    <w:tl2br w:val="nil"/>
                    <w:tr2bl w:val="nil"/>
                  </w:tcBorders>
                  <w:noWrap w:val="0"/>
                  <w:vAlign w:val="center"/>
                </w:tcPr>
                <w:p>
                  <w:pPr>
                    <w:pStyle w:val="17"/>
                    <w:spacing w:line="340" w:lineRule="exact"/>
                    <w:jc w:val="center"/>
                    <w:rPr>
                      <w:bCs/>
                      <w:color w:val="000000"/>
                      <w:sz w:val="21"/>
                      <w:szCs w:val="21"/>
                    </w:rPr>
                  </w:pPr>
                  <w:r>
                    <w:rPr>
                      <w:bCs/>
                      <w:color w:val="000000"/>
                      <w:sz w:val="21"/>
                      <w:szCs w:val="21"/>
                    </w:rPr>
                    <w:t>1</w:t>
                  </w:r>
                </w:p>
              </w:tc>
              <w:tc>
                <w:tcPr>
                  <w:tcW w:w="829" w:type="pct"/>
                  <w:tcBorders>
                    <w:tl2br w:val="nil"/>
                    <w:tr2bl w:val="nil"/>
                  </w:tcBorders>
                  <w:noWrap w:val="0"/>
                  <w:vAlign w:val="center"/>
                </w:tcPr>
                <w:p>
                  <w:pPr>
                    <w:spacing w:line="340" w:lineRule="exact"/>
                    <w:jc w:val="center"/>
                    <w:rPr>
                      <w:rFonts w:hint="eastAsia" w:eastAsia="宋体"/>
                      <w:bCs/>
                      <w:color w:val="000000"/>
                      <w:szCs w:val="21"/>
                      <w:lang w:eastAsia="zh-CN"/>
                    </w:rPr>
                  </w:pPr>
                  <w:r>
                    <w:rPr>
                      <w:rFonts w:hint="eastAsia"/>
                      <w:bCs/>
                      <w:color w:val="000000"/>
                      <w:szCs w:val="21"/>
                      <w:lang w:val="en-US" w:eastAsia="zh-CN"/>
                    </w:rPr>
                    <w:t>普通病床</w:t>
                  </w:r>
                </w:p>
              </w:tc>
              <w:tc>
                <w:tcPr>
                  <w:tcW w:w="1438" w:type="pct"/>
                  <w:tcBorders>
                    <w:tl2br w:val="nil"/>
                    <w:tr2bl w:val="nil"/>
                  </w:tcBorders>
                  <w:noWrap w:val="0"/>
                  <w:vAlign w:val="center"/>
                </w:tcPr>
                <w:p>
                  <w:pPr>
                    <w:spacing w:line="340" w:lineRule="exact"/>
                    <w:jc w:val="center"/>
                    <w:rPr>
                      <w:rFonts w:hint="default" w:eastAsia="宋体"/>
                      <w:bCs/>
                      <w:color w:val="000000"/>
                      <w:szCs w:val="21"/>
                      <w:lang w:val="en-US" w:eastAsia="zh-CN"/>
                    </w:rPr>
                  </w:pPr>
                  <w:r>
                    <w:rPr>
                      <w:rFonts w:hint="eastAsia"/>
                      <w:bCs/>
                      <w:color w:val="000000"/>
                      <w:szCs w:val="21"/>
                      <w:lang w:val="en-US" w:eastAsia="zh-CN"/>
                    </w:rPr>
                    <w:t>根据客户要求制作</w:t>
                  </w:r>
                </w:p>
              </w:tc>
              <w:tc>
                <w:tcPr>
                  <w:tcW w:w="767" w:type="pct"/>
                  <w:tcBorders>
                    <w:tl2br w:val="nil"/>
                    <w:tr2bl w:val="nil"/>
                  </w:tcBorders>
                  <w:noWrap w:val="0"/>
                  <w:vAlign w:val="center"/>
                </w:tcPr>
                <w:p>
                  <w:pPr>
                    <w:pStyle w:val="3"/>
                    <w:spacing w:after="0" w:line="340" w:lineRule="exact"/>
                    <w:ind w:left="0" w:leftChars="0"/>
                    <w:jc w:val="center"/>
                    <w:rPr>
                      <w:rFonts w:hint="default" w:eastAsia="宋体"/>
                      <w:bCs/>
                      <w:color w:val="000000"/>
                      <w:szCs w:val="21"/>
                      <w:lang w:val="en-US" w:eastAsia="zh-CN"/>
                    </w:rPr>
                  </w:pPr>
                  <w:r>
                    <w:rPr>
                      <w:rFonts w:hint="eastAsia"/>
                      <w:bCs/>
                      <w:color w:val="000000"/>
                      <w:szCs w:val="21"/>
                      <w:lang w:val="en-US" w:eastAsia="zh-CN"/>
                    </w:rPr>
                    <w:t>1.3万套</w:t>
                  </w:r>
                </w:p>
              </w:tc>
              <w:tc>
                <w:tcPr>
                  <w:tcW w:w="1483" w:type="pct"/>
                  <w:tcBorders>
                    <w:tl2br w:val="nil"/>
                    <w:tr2bl w:val="nil"/>
                  </w:tcBorders>
                  <w:noWrap w:val="0"/>
                  <w:vAlign w:val="center"/>
                </w:tcPr>
                <w:p>
                  <w:pPr>
                    <w:pStyle w:val="3"/>
                    <w:spacing w:after="0" w:line="340" w:lineRule="exact"/>
                    <w:ind w:left="0" w:leftChars="0"/>
                    <w:jc w:val="center"/>
                    <w:rPr>
                      <w:rFonts w:hint="default" w:eastAsia="宋体"/>
                      <w:bCs/>
                      <w:color w:val="000000"/>
                      <w:szCs w:val="21"/>
                      <w:lang w:val="en-US" w:eastAsia="zh-CN"/>
                    </w:rPr>
                  </w:pPr>
                  <w:r>
                    <w:rPr>
                      <w:rFonts w:hint="eastAsia"/>
                      <w:bCs/>
                      <w:color w:val="000000"/>
                      <w:szCs w:val="21"/>
                      <w:lang w:val="en-US" w:eastAsia="zh-CN"/>
                    </w:rPr>
                    <w:t>用于医院病床</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1" w:hRule="atLeast"/>
              </w:trPr>
              <w:tc>
                <w:tcPr>
                  <w:tcW w:w="482" w:type="pct"/>
                  <w:tcBorders>
                    <w:tl2br w:val="nil"/>
                    <w:tr2bl w:val="nil"/>
                  </w:tcBorders>
                  <w:noWrap w:val="0"/>
                  <w:vAlign w:val="center"/>
                </w:tcPr>
                <w:p>
                  <w:pPr>
                    <w:pStyle w:val="17"/>
                    <w:spacing w:line="340" w:lineRule="exact"/>
                    <w:jc w:val="center"/>
                    <w:rPr>
                      <w:rFonts w:hint="eastAsia" w:eastAsia="宋体"/>
                      <w:bCs/>
                      <w:color w:val="000000"/>
                      <w:sz w:val="21"/>
                      <w:szCs w:val="21"/>
                      <w:lang w:val="en-US" w:eastAsia="zh-CN"/>
                    </w:rPr>
                  </w:pPr>
                  <w:r>
                    <w:rPr>
                      <w:rFonts w:hint="eastAsia"/>
                      <w:bCs/>
                      <w:color w:val="000000"/>
                      <w:sz w:val="21"/>
                      <w:szCs w:val="21"/>
                      <w:lang w:val="en-US" w:eastAsia="zh-CN"/>
                    </w:rPr>
                    <w:t>2</w:t>
                  </w:r>
                </w:p>
              </w:tc>
              <w:tc>
                <w:tcPr>
                  <w:tcW w:w="829" w:type="pct"/>
                  <w:tcBorders>
                    <w:tl2br w:val="nil"/>
                    <w:tr2bl w:val="nil"/>
                  </w:tcBorders>
                  <w:noWrap w:val="0"/>
                  <w:vAlign w:val="center"/>
                </w:tcPr>
                <w:p>
                  <w:pPr>
                    <w:spacing w:line="340" w:lineRule="exact"/>
                    <w:jc w:val="center"/>
                    <w:rPr>
                      <w:rFonts w:hint="default"/>
                      <w:bCs/>
                      <w:color w:val="000000"/>
                      <w:szCs w:val="21"/>
                      <w:lang w:val="en-US" w:eastAsia="zh-CN"/>
                    </w:rPr>
                  </w:pPr>
                  <w:r>
                    <w:rPr>
                      <w:rFonts w:hint="eastAsia"/>
                      <w:bCs/>
                      <w:color w:val="000000"/>
                      <w:szCs w:val="21"/>
                      <w:lang w:val="en-US" w:eastAsia="zh-CN"/>
                    </w:rPr>
                    <w:t>中药柜子</w:t>
                  </w:r>
                </w:p>
              </w:tc>
              <w:tc>
                <w:tcPr>
                  <w:tcW w:w="1438" w:type="pct"/>
                  <w:tcBorders>
                    <w:tl2br w:val="nil"/>
                    <w:tr2bl w:val="nil"/>
                  </w:tcBorders>
                  <w:noWrap w:val="0"/>
                  <w:vAlign w:val="center"/>
                </w:tcPr>
                <w:p>
                  <w:pPr>
                    <w:spacing w:line="340" w:lineRule="exact"/>
                    <w:jc w:val="center"/>
                    <w:rPr>
                      <w:bCs/>
                      <w:color w:val="000000"/>
                      <w:szCs w:val="21"/>
                    </w:rPr>
                  </w:pPr>
                  <w:r>
                    <w:rPr>
                      <w:rFonts w:hint="eastAsia"/>
                      <w:bCs/>
                      <w:color w:val="000000"/>
                      <w:szCs w:val="21"/>
                      <w:lang w:val="en-US" w:eastAsia="zh-CN"/>
                    </w:rPr>
                    <w:t>根据客户要求制作</w:t>
                  </w:r>
                </w:p>
              </w:tc>
              <w:tc>
                <w:tcPr>
                  <w:tcW w:w="767" w:type="pct"/>
                  <w:tcBorders>
                    <w:tl2br w:val="nil"/>
                    <w:tr2bl w:val="nil"/>
                  </w:tcBorders>
                  <w:noWrap w:val="0"/>
                  <w:vAlign w:val="center"/>
                </w:tcPr>
                <w:p>
                  <w:pPr>
                    <w:pStyle w:val="3"/>
                    <w:spacing w:after="0" w:line="340" w:lineRule="exact"/>
                    <w:ind w:left="0" w:leftChars="0"/>
                    <w:jc w:val="center"/>
                    <w:rPr>
                      <w:rFonts w:hint="default"/>
                      <w:bCs/>
                      <w:color w:val="000000"/>
                      <w:szCs w:val="21"/>
                      <w:lang w:val="en-US" w:eastAsia="zh-CN"/>
                    </w:rPr>
                  </w:pPr>
                  <w:r>
                    <w:rPr>
                      <w:rFonts w:hint="eastAsia"/>
                      <w:bCs/>
                      <w:color w:val="000000"/>
                      <w:szCs w:val="21"/>
                      <w:lang w:val="en-US" w:eastAsia="zh-CN"/>
                    </w:rPr>
                    <w:t>0.2万套</w:t>
                  </w:r>
                </w:p>
              </w:tc>
              <w:tc>
                <w:tcPr>
                  <w:tcW w:w="1483" w:type="pct"/>
                  <w:tcBorders>
                    <w:tl2br w:val="nil"/>
                    <w:tr2bl w:val="nil"/>
                  </w:tcBorders>
                  <w:noWrap w:val="0"/>
                  <w:vAlign w:val="center"/>
                </w:tcPr>
                <w:p>
                  <w:pPr>
                    <w:pStyle w:val="3"/>
                    <w:spacing w:after="0" w:line="340" w:lineRule="exact"/>
                    <w:ind w:left="0" w:leftChars="0"/>
                    <w:jc w:val="center"/>
                    <w:rPr>
                      <w:rFonts w:hint="default" w:eastAsia="宋体"/>
                      <w:bCs/>
                      <w:color w:val="000000"/>
                      <w:szCs w:val="21"/>
                      <w:lang w:val="en-US" w:eastAsia="zh-CN"/>
                    </w:rPr>
                  </w:pPr>
                  <w:r>
                    <w:rPr>
                      <w:rFonts w:hint="eastAsia"/>
                      <w:bCs/>
                      <w:color w:val="000000"/>
                      <w:szCs w:val="21"/>
                      <w:lang w:val="en-US" w:eastAsia="zh-CN"/>
                    </w:rPr>
                    <w:t>用于放中药</w:t>
                  </w:r>
                </w:p>
              </w:tc>
            </w:tr>
          </w:tbl>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7</w:t>
            </w:r>
            <w:r>
              <w:rPr>
                <w:b/>
                <w:color w:val="000000" w:themeColor="text1"/>
                <w:sz w:val="24"/>
                <w:szCs w:val="24"/>
                <w14:textFill>
                  <w14:solidFill>
                    <w14:schemeClr w14:val="tx1"/>
                  </w14:solidFill>
                </w14:textFill>
              </w:rPr>
              <w:t>、劳动定员及工作制度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color w:val="000000" w:themeColor="text1"/>
                <w:sz w:val="24"/>
                <w:szCs w:val="24"/>
                <w:u w:val="none"/>
                <w14:textFill>
                  <w14:solidFill>
                    <w14:schemeClr w14:val="tx1"/>
                  </w14:solidFill>
                </w14:textFill>
              </w:rPr>
            </w:pPr>
            <w:r>
              <w:rPr>
                <w:rFonts w:hint="eastAsia"/>
                <w:b w:val="0"/>
                <w:bCs/>
                <w:color w:val="000000" w:themeColor="text1"/>
                <w:sz w:val="24"/>
                <w:szCs w:val="24"/>
                <w:u w:val="none"/>
                <w14:textFill>
                  <w14:solidFill>
                    <w14:schemeClr w14:val="tx1"/>
                  </w14:solidFill>
                </w14:textFill>
              </w:rPr>
              <w:t>项目劳动定</w:t>
            </w:r>
            <w:r>
              <w:rPr>
                <w:rFonts w:hint="eastAsia"/>
                <w:b w:val="0"/>
                <w:bCs/>
                <w:color w:val="000000" w:themeColor="text1"/>
                <w:sz w:val="24"/>
                <w:szCs w:val="24"/>
                <w:highlight w:val="none"/>
                <w:u w:val="none"/>
                <w14:textFill>
                  <w14:solidFill>
                    <w14:schemeClr w14:val="tx1"/>
                  </w14:solidFill>
                </w14:textFill>
              </w:rPr>
              <w:t>员20人</w:t>
            </w:r>
            <w:r>
              <w:rPr>
                <w:rFonts w:hint="eastAsia"/>
                <w:b w:val="0"/>
                <w:bCs/>
                <w:color w:val="000000" w:themeColor="text1"/>
                <w:sz w:val="24"/>
                <w:szCs w:val="24"/>
                <w:u w:val="none"/>
                <w14:textFill>
                  <w14:solidFill>
                    <w14:schemeClr w14:val="tx1"/>
                  </w14:solidFill>
                </w14:textFill>
              </w:rPr>
              <w:t>，</w:t>
            </w:r>
            <w:r>
              <w:rPr>
                <w:b w:val="0"/>
                <w:bCs/>
                <w:color w:val="000000" w:themeColor="text1"/>
                <w:sz w:val="24"/>
                <w:szCs w:val="24"/>
                <w:u w:val="none"/>
                <w14:textFill>
                  <w14:solidFill>
                    <w14:schemeClr w14:val="tx1"/>
                  </w14:solidFill>
                </w14:textFill>
              </w:rPr>
              <w:t>工作制度实行1班制，白班8h（8:00~12:00；13:30~17:30），全年工作300天</w:t>
            </w:r>
            <w:r>
              <w:rPr>
                <w:rFonts w:hint="eastAsia"/>
                <w:b w:val="0"/>
                <w:bCs/>
                <w:color w:val="000000" w:themeColor="text1"/>
                <w:sz w:val="24"/>
                <w:szCs w:val="24"/>
                <w:u w:val="none"/>
                <w14:textFill>
                  <w14:solidFill>
                    <w14:schemeClr w14:val="tx1"/>
                  </w14:solidFill>
                </w14:textFill>
              </w:rPr>
              <w:t>。职</w:t>
            </w:r>
            <w:r>
              <w:rPr>
                <w:rFonts w:hint="eastAsia"/>
                <w:b w:val="0"/>
                <w:bCs/>
                <w:color w:val="000000" w:themeColor="text1"/>
                <w:sz w:val="24"/>
                <w:szCs w:val="24"/>
                <w:u w:val="none"/>
                <w:lang w:eastAsia="zh-CN"/>
                <w14:textFill>
                  <w14:solidFill>
                    <w14:schemeClr w14:val="tx1"/>
                  </w14:solidFill>
                </w14:textFill>
              </w:rPr>
              <w:t>工</w:t>
            </w:r>
            <w:r>
              <w:rPr>
                <w:rFonts w:hint="eastAsia"/>
                <w:b w:val="0"/>
                <w:bCs/>
                <w:color w:val="000000" w:themeColor="text1"/>
                <w:sz w:val="24"/>
                <w:szCs w:val="24"/>
                <w:u w:val="none"/>
                <w14:textFill>
                  <w14:solidFill>
                    <w14:schemeClr w14:val="tx1"/>
                  </w14:solidFill>
                </w14:textFill>
              </w:rPr>
              <w:t>均不在厂区食宿。</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8</w:t>
            </w:r>
            <w:r>
              <w:rPr>
                <w:b/>
                <w:color w:val="000000" w:themeColor="text1"/>
                <w:sz w:val="24"/>
                <w:szCs w:val="24"/>
                <w14:textFill>
                  <w14:solidFill>
                    <w14:schemeClr w14:val="tx1"/>
                  </w14:solidFill>
                </w14:textFill>
              </w:rPr>
              <w:t>、厂区平面布置及附图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FF0000"/>
                <w:szCs w:val="21"/>
              </w:rPr>
            </w:pPr>
            <w:r>
              <w:rPr>
                <w:bCs/>
                <w:color w:val="000000" w:themeColor="text1"/>
                <w:sz w:val="24"/>
                <w:szCs w:val="24"/>
                <w14:textFill>
                  <w14:solidFill>
                    <w14:schemeClr w14:val="tx1"/>
                  </w14:solidFill>
                </w14:textFill>
              </w:rPr>
              <w:t>本项目</w:t>
            </w:r>
            <w:r>
              <w:rPr>
                <w:rFonts w:hint="eastAsia"/>
                <w:bCs/>
                <w:color w:val="000000" w:themeColor="text1"/>
                <w:sz w:val="24"/>
                <w:szCs w:val="24"/>
                <w14:textFill>
                  <w14:solidFill>
                    <w14:schemeClr w14:val="tx1"/>
                  </w14:solidFill>
                </w14:textFill>
              </w:rPr>
              <w:t>生产车间</w:t>
            </w:r>
            <w:r>
              <w:rPr>
                <w:rFonts w:hint="eastAsia"/>
                <w:bCs/>
                <w:color w:val="000000" w:themeColor="text1"/>
                <w:sz w:val="24"/>
                <w:szCs w:val="24"/>
                <w:lang w:val="en-US" w:eastAsia="zh-CN"/>
                <w14:textFill>
                  <w14:solidFill>
                    <w14:schemeClr w14:val="tx1"/>
                  </w14:solidFill>
                </w14:textFill>
              </w:rPr>
              <w:t>西侧为成品区，东侧</w:t>
            </w:r>
            <w:r>
              <w:rPr>
                <w:rFonts w:hint="eastAsia"/>
                <w:bCs/>
                <w:color w:val="000000" w:themeColor="text1"/>
                <w:sz w:val="24"/>
                <w:szCs w:val="24"/>
                <w14:textFill>
                  <w14:solidFill>
                    <w14:schemeClr w14:val="tx1"/>
                  </w14:solidFill>
                </w14:textFill>
              </w:rPr>
              <w:t>从南至北依次是</w:t>
            </w:r>
            <w:r>
              <w:rPr>
                <w:rFonts w:hint="eastAsia"/>
                <w:bCs/>
                <w:color w:val="000000" w:themeColor="text1"/>
                <w:sz w:val="24"/>
                <w:szCs w:val="24"/>
                <w:lang w:val="en-US" w:eastAsia="zh-CN"/>
                <w14:textFill>
                  <w14:solidFill>
                    <w14:schemeClr w14:val="tx1"/>
                  </w14:solidFill>
                </w14:textFill>
              </w:rPr>
              <w:t>原料库、机械加工区、喷粉间、固化室等。</w:t>
            </w:r>
            <w:r>
              <w:rPr>
                <w:rFonts w:hint="eastAsia"/>
                <w:sz w:val="24"/>
                <w:szCs w:val="32"/>
              </w:rPr>
              <w:t>依据物料转运流程布置，</w:t>
            </w:r>
            <w:r>
              <w:rPr>
                <w:rFonts w:hint="eastAsia"/>
                <w:bCs/>
                <w:color w:val="000000" w:themeColor="text1"/>
                <w:sz w:val="24"/>
                <w:szCs w:val="24"/>
                <w14:textFill>
                  <w14:solidFill>
                    <w14:schemeClr w14:val="tx1"/>
                  </w14:solidFill>
                </w14:textFill>
              </w:rPr>
              <w:t>符合工艺要求，布置较为合理</w:t>
            </w:r>
            <w:r>
              <w:rPr>
                <w:bCs/>
                <w:color w:val="000000" w:themeColor="text1"/>
                <w:sz w:val="24"/>
                <w:szCs w:val="24"/>
                <w14:textFill>
                  <w14:solidFill>
                    <w14:schemeClr w14:val="tx1"/>
                  </w14:solidFill>
                </w14:textFill>
              </w:rPr>
              <w:t>，详细的平面布置见附图</w:t>
            </w:r>
            <w:r>
              <w:rPr>
                <w:rFonts w:hint="eastAsia"/>
                <w:bCs/>
                <w:color w:val="000000" w:themeColor="text1"/>
                <w:sz w:val="24"/>
                <w:szCs w:val="24"/>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3" w:type="dxa"/>
            <w:vAlign w:val="center"/>
          </w:tcPr>
          <w:p>
            <w:pPr>
              <w:pStyle w:val="23"/>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工艺流程和产排污环节</w:t>
            </w:r>
          </w:p>
        </w:tc>
        <w:tc>
          <w:tcPr>
            <w:tcW w:w="8357" w:type="dxa"/>
          </w:tcPr>
          <w:p>
            <w:pPr>
              <w:numPr>
                <w:ilvl w:val="0"/>
                <w:numId w:val="5"/>
              </w:numPr>
              <w:spacing w:line="360" w:lineRule="auto"/>
              <w:rPr>
                <w:b/>
                <w:bCs/>
                <w:color w:val="000000" w:themeColor="text1"/>
                <w:sz w:val="24"/>
                <w:szCs w:val="32"/>
                <w14:textFill>
                  <w14:solidFill>
                    <w14:schemeClr w14:val="tx1"/>
                  </w14:solidFill>
                </w14:textFill>
              </w:rPr>
            </w:pPr>
            <w:r>
              <w:rPr>
                <w:b/>
                <w:bCs/>
                <w:color w:val="000000" w:themeColor="text1"/>
                <w:sz w:val="24"/>
                <w:szCs w:val="32"/>
                <w14:textFill>
                  <w14:solidFill>
                    <w14:schemeClr w14:val="tx1"/>
                  </w14:solidFill>
                </w14:textFill>
              </w:rPr>
              <w:t>工艺流程和产污环节：</w:t>
            </w:r>
          </w:p>
          <w:p>
            <w:pPr>
              <w:spacing w:line="360" w:lineRule="auto"/>
              <w:jc w:val="center"/>
              <w:rPr>
                <w:rFonts w:hint="eastAsia" w:eastAsia="宋体"/>
                <w:b/>
                <w:bCs/>
                <w:color w:val="000000" w:themeColor="text1"/>
                <w:lang w:eastAsia="zh-CN"/>
                <w14:textFill>
                  <w14:solidFill>
                    <w14:schemeClr w14:val="tx1"/>
                  </w14:solidFill>
                </w14:textFill>
              </w:rPr>
            </w:pPr>
            <w:r>
              <w:drawing>
                <wp:inline distT="0" distB="0" distL="114300" distR="114300">
                  <wp:extent cx="4867275" cy="2537460"/>
                  <wp:effectExtent l="0" t="0" r="952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867275" cy="2537460"/>
                          </a:xfrm>
                          <a:prstGeom prst="rect">
                            <a:avLst/>
                          </a:prstGeom>
                          <a:noFill/>
                          <a:ln>
                            <a:noFill/>
                          </a:ln>
                        </pic:spPr>
                      </pic:pic>
                    </a:graphicData>
                  </a:graphic>
                </wp:inline>
              </w:drawing>
            </w:r>
          </w:p>
          <w:p>
            <w:pPr>
              <w:spacing w:line="360" w:lineRule="auto"/>
              <w:jc w:val="center"/>
              <w:rPr>
                <w:b/>
                <w:bCs/>
                <w:color w:val="000000" w:themeColor="text1"/>
                <w:sz w:val="24"/>
                <w:szCs w:val="32"/>
                <w14:textFill>
                  <w14:solidFill>
                    <w14:schemeClr w14:val="tx1"/>
                  </w14:solidFill>
                </w14:textFill>
              </w:rPr>
            </w:pPr>
            <w:r>
              <w:rPr>
                <w:bCs/>
                <w:color w:val="000000" w:themeColor="text1"/>
                <w:sz w:val="24"/>
                <w:szCs w:val="22"/>
                <w14:textFill>
                  <w14:solidFill>
                    <w14:schemeClr w14:val="tx1"/>
                  </w14:solidFill>
                </w14:textFill>
              </w:rPr>
              <w:t xml:space="preserve">图1  </w:t>
            </w:r>
            <w:r>
              <w:rPr>
                <w:rFonts w:hint="eastAsia"/>
                <w:b w:val="0"/>
                <w:bCs w:val="0"/>
                <w:color w:val="000000" w:themeColor="text1"/>
                <w:sz w:val="24"/>
                <w:szCs w:val="32"/>
                <w:lang w:val="en-US" w:eastAsia="zh-CN"/>
                <w14:textFill>
                  <w14:solidFill>
                    <w14:schemeClr w14:val="tx1"/>
                  </w14:solidFill>
                </w14:textFill>
              </w:rPr>
              <w:t>产品</w:t>
            </w:r>
            <w:r>
              <w:rPr>
                <w:rFonts w:hint="eastAsia"/>
                <w:bCs/>
                <w:color w:val="000000" w:themeColor="text1"/>
                <w:sz w:val="24"/>
                <w:szCs w:val="22"/>
                <w14:textFill>
                  <w14:solidFill>
                    <w14:schemeClr w14:val="tx1"/>
                  </w14:solidFill>
                </w14:textFill>
              </w:rPr>
              <w:t>生产</w:t>
            </w:r>
            <w:r>
              <w:rPr>
                <w:bCs/>
                <w:color w:val="000000" w:themeColor="text1"/>
                <w:sz w:val="24"/>
                <w:szCs w:val="22"/>
                <w14:textFill>
                  <w14:solidFill>
                    <w14:schemeClr w14:val="tx1"/>
                  </w14:solidFill>
                </w14:textFill>
              </w:rPr>
              <w:t>工艺流程及产污环节图</w:t>
            </w:r>
          </w:p>
          <w:p>
            <w:pPr>
              <w:pStyle w:val="14"/>
              <w:spacing w:line="360" w:lineRule="auto"/>
              <w:ind w:left="0" w:right="0" w:firstLine="482" w:firstLineChars="200"/>
              <w:rPr>
                <w:b/>
                <w:bCs/>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主要工艺说明：</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外购板材经</w:t>
            </w:r>
            <w:r>
              <w:rPr>
                <w:rFonts w:hint="default" w:ascii="Times New Roman" w:hAnsi="Times New Roman" w:eastAsia="宋体" w:cs="Times New Roman"/>
                <w:bCs/>
                <w:kern w:val="0"/>
                <w:sz w:val="24"/>
                <w:szCs w:val="24"/>
              </w:rPr>
              <w:t>剪</w:t>
            </w:r>
            <w:r>
              <w:rPr>
                <w:rFonts w:hint="default" w:ascii="Times New Roman" w:hAnsi="Times New Roman" w:eastAsia="宋体" w:cs="Times New Roman"/>
                <w:bCs/>
                <w:kern w:val="0"/>
                <w:sz w:val="24"/>
                <w:szCs w:val="24"/>
                <w:lang w:val="en-US" w:eastAsia="zh-CN"/>
              </w:rPr>
              <w:t>切</w:t>
            </w:r>
            <w:r>
              <w:rPr>
                <w:rFonts w:hint="default" w:ascii="Times New Roman" w:hAnsi="Times New Roman" w:eastAsia="宋体" w:cs="Times New Roman"/>
                <w:kern w:val="0"/>
                <w:sz w:val="24"/>
                <w:szCs w:val="24"/>
              </w:rPr>
              <w:t>、冲压、折弯、</w:t>
            </w:r>
            <w:r>
              <w:rPr>
                <w:rFonts w:hint="default" w:ascii="Times New Roman" w:hAnsi="Times New Roman" w:eastAsia="宋体" w:cs="Times New Roman"/>
                <w:bCs/>
                <w:kern w:val="0"/>
                <w:sz w:val="24"/>
                <w:szCs w:val="24"/>
              </w:rPr>
              <w:t>焊接</w:t>
            </w:r>
            <w:r>
              <w:rPr>
                <w:rFonts w:hint="default" w:ascii="Times New Roman" w:hAnsi="Times New Roman" w:eastAsia="宋体" w:cs="Times New Roman"/>
                <w:kern w:val="0"/>
                <w:sz w:val="24"/>
                <w:szCs w:val="24"/>
              </w:rPr>
              <w:t>、人工</w:t>
            </w:r>
            <w:r>
              <w:rPr>
                <w:rFonts w:hint="default" w:ascii="Times New Roman" w:hAnsi="Times New Roman" w:eastAsia="宋体" w:cs="Times New Roman"/>
                <w:kern w:val="0"/>
                <w:sz w:val="24"/>
                <w:szCs w:val="24"/>
                <w:lang w:val="en-US" w:eastAsia="zh-CN"/>
              </w:rPr>
              <w:t>打磨</w:t>
            </w:r>
            <w:r>
              <w:rPr>
                <w:rFonts w:hint="default" w:ascii="Times New Roman" w:hAnsi="Times New Roman" w:eastAsia="宋体" w:cs="Times New Roman"/>
                <w:kern w:val="0"/>
                <w:sz w:val="24"/>
                <w:szCs w:val="24"/>
              </w:rPr>
              <w:t>、进喷粉间喷塑</w:t>
            </w:r>
            <w:r>
              <w:rPr>
                <w:rFonts w:hint="default" w:ascii="Times New Roman" w:hAnsi="Times New Roman" w:eastAsia="宋体" w:cs="Times New Roman"/>
                <w:bCs/>
                <w:kern w:val="0"/>
                <w:sz w:val="24"/>
                <w:szCs w:val="24"/>
              </w:rPr>
              <w:t>、入固化道固化</w:t>
            </w:r>
            <w:r>
              <w:rPr>
                <w:rFonts w:hint="default" w:ascii="Times New Roman" w:hAnsi="Times New Roman" w:eastAsia="宋体" w:cs="Times New Roman"/>
                <w:kern w:val="0"/>
                <w:sz w:val="24"/>
                <w:szCs w:val="24"/>
              </w:rPr>
              <w:t>（温度为</w:t>
            </w:r>
            <w:r>
              <w:rPr>
                <w:rFonts w:hint="default" w:ascii="Times New Roman" w:hAnsi="Times New Roman" w:eastAsia="宋体" w:cs="Times New Roman"/>
                <w:sz w:val="24"/>
                <w:szCs w:val="24"/>
              </w:rPr>
              <w:t>180℃~200℃</w:t>
            </w:r>
            <w:r>
              <w:rPr>
                <w:rFonts w:hint="default" w:ascii="Times New Roman" w:hAnsi="Times New Roman" w:eastAsia="宋体" w:cs="Times New Roman"/>
                <w:kern w:val="0"/>
                <w:sz w:val="24"/>
                <w:szCs w:val="24"/>
              </w:rPr>
              <w:t>）</w:t>
            </w:r>
            <w:r>
              <w:rPr>
                <w:rFonts w:hint="default" w:ascii="Times New Roman" w:hAnsi="Times New Roman" w:eastAsia="宋体" w:cs="Times New Roman"/>
                <w:bCs/>
                <w:kern w:val="0"/>
                <w:sz w:val="24"/>
                <w:szCs w:val="24"/>
              </w:rPr>
              <w:t>、</w:t>
            </w:r>
            <w:r>
              <w:rPr>
                <w:rFonts w:hint="default" w:ascii="Times New Roman" w:hAnsi="Times New Roman" w:eastAsia="宋体" w:cs="Times New Roman"/>
                <w:kern w:val="0"/>
                <w:sz w:val="24"/>
                <w:szCs w:val="24"/>
              </w:rPr>
              <w:t>组装，验收合格即可包装为成品。</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eastAsia="宋体" w:cs="Times New Roman"/>
                <w:b/>
                <w:bCs/>
                <w:kern w:val="0"/>
                <w:sz w:val="24"/>
                <w:szCs w:val="24"/>
                <w:u w:val="single"/>
              </w:rPr>
            </w:pPr>
            <w:r>
              <w:rPr>
                <w:rFonts w:hint="default" w:ascii="Times New Roman" w:hAnsi="Times New Roman" w:eastAsia="宋体" w:cs="Times New Roman"/>
                <w:b/>
                <w:bCs/>
                <w:kern w:val="0"/>
                <w:sz w:val="24"/>
                <w:szCs w:val="24"/>
                <w:u w:val="single"/>
              </w:rPr>
              <w:t>1）机加工工段：对外购的</w:t>
            </w:r>
            <w:r>
              <w:rPr>
                <w:rFonts w:hint="default" w:ascii="Times New Roman" w:hAnsi="Times New Roman" w:eastAsia="宋体" w:cs="Times New Roman"/>
                <w:b/>
                <w:bCs/>
                <w:kern w:val="0"/>
                <w:sz w:val="24"/>
                <w:szCs w:val="24"/>
                <w:u w:val="single"/>
                <w:lang w:val="en-US" w:eastAsia="zh-CN"/>
              </w:rPr>
              <w:t>原料</w:t>
            </w:r>
            <w:r>
              <w:rPr>
                <w:rFonts w:hint="default" w:ascii="Times New Roman" w:hAnsi="Times New Roman" w:eastAsia="宋体" w:cs="Times New Roman"/>
                <w:b/>
                <w:bCs/>
                <w:kern w:val="0"/>
                <w:sz w:val="24"/>
                <w:szCs w:val="24"/>
                <w:u w:val="single"/>
              </w:rPr>
              <w:t>进行剪</w:t>
            </w:r>
            <w:r>
              <w:rPr>
                <w:rFonts w:hint="default" w:ascii="Times New Roman" w:hAnsi="Times New Roman" w:eastAsia="宋体" w:cs="Times New Roman"/>
                <w:b/>
                <w:bCs/>
                <w:kern w:val="0"/>
                <w:sz w:val="24"/>
                <w:szCs w:val="24"/>
                <w:u w:val="single"/>
                <w:lang w:val="en-US" w:eastAsia="zh-CN"/>
              </w:rPr>
              <w:t>切（剪板机剪板、切割机切割、切管机切割）</w:t>
            </w:r>
            <w:r>
              <w:rPr>
                <w:rFonts w:hint="default" w:ascii="Times New Roman" w:hAnsi="Times New Roman" w:eastAsia="宋体" w:cs="Times New Roman"/>
                <w:b/>
                <w:bCs/>
                <w:kern w:val="0"/>
                <w:sz w:val="24"/>
                <w:szCs w:val="24"/>
                <w:u w:val="single"/>
              </w:rPr>
              <w:t>、冲压、折弯</w:t>
            </w:r>
            <w:r>
              <w:rPr>
                <w:rFonts w:hint="default" w:ascii="Times New Roman" w:hAnsi="Times New Roman" w:eastAsia="宋体" w:cs="Times New Roman"/>
                <w:b/>
                <w:bCs/>
                <w:kern w:val="0"/>
                <w:sz w:val="24"/>
                <w:szCs w:val="24"/>
                <w:u w:val="single"/>
                <w:lang w:eastAsia="zh-CN"/>
              </w:rPr>
              <w:t>、</w:t>
            </w:r>
            <w:r>
              <w:rPr>
                <w:rFonts w:hint="default" w:ascii="Times New Roman" w:hAnsi="Times New Roman" w:eastAsia="宋体" w:cs="Times New Roman"/>
                <w:b/>
                <w:bCs/>
                <w:kern w:val="0"/>
                <w:sz w:val="24"/>
                <w:szCs w:val="24"/>
                <w:u w:val="single"/>
                <w:lang w:val="en-US" w:eastAsia="zh-CN"/>
              </w:rPr>
              <w:t>拉丝</w:t>
            </w:r>
            <w:r>
              <w:rPr>
                <w:rFonts w:hint="default" w:ascii="Times New Roman" w:hAnsi="Times New Roman" w:eastAsia="宋体" w:cs="Times New Roman"/>
                <w:b/>
                <w:bCs/>
                <w:kern w:val="0"/>
                <w:sz w:val="24"/>
                <w:szCs w:val="24"/>
                <w:u w:val="single"/>
              </w:rPr>
              <w:t>等操作。</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eastAsia="宋体" w:cs="Times New Roman"/>
                <w:b/>
                <w:bCs/>
                <w:kern w:val="0"/>
                <w:sz w:val="24"/>
                <w:szCs w:val="24"/>
                <w:u w:val="single"/>
              </w:rPr>
            </w:pPr>
            <w:r>
              <w:rPr>
                <w:rFonts w:hint="default" w:ascii="Times New Roman" w:hAnsi="Times New Roman" w:eastAsia="宋体" w:cs="Times New Roman"/>
                <w:b/>
                <w:bCs/>
                <w:kern w:val="0"/>
                <w:sz w:val="24"/>
                <w:szCs w:val="24"/>
                <w:u w:val="single"/>
              </w:rPr>
              <w:t>2）焊接工段：对</w:t>
            </w:r>
            <w:r>
              <w:rPr>
                <w:rFonts w:hint="default" w:ascii="Times New Roman" w:hAnsi="Times New Roman" w:eastAsia="宋体" w:cs="Times New Roman"/>
                <w:b/>
                <w:bCs/>
                <w:kern w:val="0"/>
                <w:sz w:val="24"/>
                <w:szCs w:val="24"/>
                <w:u w:val="single"/>
                <w:lang w:val="en-US" w:eastAsia="zh-CN"/>
              </w:rPr>
              <w:t>机械加工成的</w:t>
            </w:r>
            <w:r>
              <w:rPr>
                <w:rFonts w:hint="default" w:ascii="Times New Roman" w:hAnsi="Times New Roman" w:eastAsia="宋体" w:cs="Times New Roman"/>
                <w:b/>
                <w:bCs/>
                <w:kern w:val="0"/>
                <w:sz w:val="24"/>
                <w:szCs w:val="24"/>
                <w:u w:val="single"/>
              </w:rPr>
              <w:t>零部件进行焊接。</w:t>
            </w:r>
          </w:p>
          <w:p>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eastAsia="宋体" w:cs="Times New Roman"/>
                <w:b/>
                <w:bCs/>
                <w:kern w:val="0"/>
                <w:sz w:val="24"/>
                <w:szCs w:val="24"/>
                <w:u w:val="single"/>
              </w:rPr>
            </w:pPr>
            <w:r>
              <w:rPr>
                <w:rFonts w:hint="default" w:ascii="Times New Roman" w:hAnsi="Times New Roman" w:eastAsia="宋体" w:cs="Times New Roman"/>
                <w:b/>
                <w:bCs/>
                <w:kern w:val="0"/>
                <w:sz w:val="24"/>
                <w:szCs w:val="24"/>
                <w:u w:val="single"/>
              </w:rPr>
              <w:t>3）</w:t>
            </w:r>
            <w:r>
              <w:rPr>
                <w:rFonts w:hint="default" w:ascii="Times New Roman" w:hAnsi="Times New Roman" w:eastAsia="宋体" w:cs="Times New Roman"/>
                <w:b/>
                <w:bCs/>
                <w:kern w:val="0"/>
                <w:sz w:val="24"/>
                <w:szCs w:val="24"/>
                <w:u w:val="single"/>
                <w:lang w:val="en-US" w:eastAsia="zh-CN"/>
              </w:rPr>
              <w:t>人工打磨</w:t>
            </w:r>
            <w:r>
              <w:rPr>
                <w:rFonts w:hint="default" w:ascii="Times New Roman" w:hAnsi="Times New Roman" w:eastAsia="宋体" w:cs="Times New Roman"/>
                <w:b/>
                <w:bCs/>
                <w:kern w:val="0"/>
                <w:sz w:val="24"/>
                <w:szCs w:val="24"/>
                <w:u w:val="single"/>
              </w:rPr>
              <w:t>：</w:t>
            </w:r>
            <w:r>
              <w:rPr>
                <w:rFonts w:hint="default" w:ascii="Times New Roman" w:hAnsi="Times New Roman" w:eastAsia="宋体" w:cs="Times New Roman"/>
                <w:b/>
                <w:bCs/>
                <w:kern w:val="0"/>
                <w:sz w:val="24"/>
                <w:szCs w:val="24"/>
                <w:u w:val="single"/>
                <w:lang w:val="en-US" w:eastAsia="zh-CN"/>
              </w:rPr>
              <w:t>用打磨机</w:t>
            </w:r>
            <w:r>
              <w:rPr>
                <w:rFonts w:hint="eastAsia" w:cs="Times New Roman"/>
                <w:b/>
                <w:bCs/>
                <w:kern w:val="0"/>
                <w:sz w:val="24"/>
                <w:szCs w:val="24"/>
                <w:u w:val="single"/>
                <w:lang w:val="en-US" w:eastAsia="zh-CN"/>
              </w:rPr>
              <w:t>或者拉丝机</w:t>
            </w:r>
            <w:r>
              <w:rPr>
                <w:rFonts w:hint="default" w:ascii="Times New Roman" w:hAnsi="Times New Roman" w:eastAsia="宋体" w:cs="Times New Roman"/>
                <w:b/>
                <w:bCs/>
                <w:kern w:val="0"/>
                <w:sz w:val="24"/>
                <w:szCs w:val="24"/>
                <w:u w:val="single"/>
                <w:lang w:val="en-US" w:eastAsia="zh-CN"/>
              </w:rPr>
              <w:t>对需要打磨的部位进行打磨，打磨后进入喷塑工段。</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4）</w:t>
            </w:r>
            <w:r>
              <w:rPr>
                <w:rFonts w:hint="default" w:ascii="Times New Roman" w:hAnsi="Times New Roman" w:eastAsia="宋体" w:cs="Times New Roman"/>
                <w:sz w:val="24"/>
                <w:szCs w:val="24"/>
              </w:rPr>
              <w:t>喷塑工段：对金属部件进行静电喷塑，防止部件表面腐化。静电喷塑采用的是树脂基材料(固体粉末状)，经静电喷涂吸附在工件表面，再经高温(约180℃~200℃)烘烤后溶化固定在工件表面的一种工艺。喷粉室主要由喷枪、房体、自动回收系统和供粉系统组成。</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5）固化工段：喷涂后的部件送入烘干道加热固化，使塑粉固化在工件上。烘干采用罐装液化石油气为能源。烘干道加热温度180～200℃左右，一端封闭，一端出口。</w:t>
            </w:r>
            <w:r>
              <w:rPr>
                <w:rFonts w:hint="default" w:ascii="Times New Roman" w:hAnsi="Times New Roman" w:eastAsia="宋体" w:cs="Times New Roman"/>
                <w:kern w:val="0"/>
                <w:sz w:val="24"/>
                <w:szCs w:val="24"/>
              </w:rPr>
              <w:t>液化石油气经管道接入节能直燃机，在燃烧室内燃烧后</w:t>
            </w:r>
            <w:r>
              <w:rPr>
                <w:rFonts w:hint="default" w:ascii="Times New Roman" w:hAnsi="Times New Roman" w:eastAsia="宋体" w:cs="Times New Roman"/>
                <w:color w:val="000000"/>
                <w:kern w:val="0"/>
                <w:sz w:val="24"/>
                <w:szCs w:val="24"/>
              </w:rPr>
              <w:t>，产生的热烟气送入烘干道，再从烘干道内引出热空气至</w:t>
            </w:r>
            <w:r>
              <w:rPr>
                <w:rFonts w:hint="default" w:ascii="Times New Roman" w:hAnsi="Times New Roman" w:eastAsia="宋体" w:cs="Times New Roman"/>
                <w:kern w:val="0"/>
                <w:sz w:val="24"/>
                <w:szCs w:val="24"/>
              </w:rPr>
              <w:t>节能直燃机</w:t>
            </w:r>
            <w:r>
              <w:rPr>
                <w:rFonts w:hint="default" w:ascii="Times New Roman" w:hAnsi="Times New Roman" w:eastAsia="宋体" w:cs="Times New Roman"/>
                <w:color w:val="000000"/>
                <w:kern w:val="0"/>
                <w:sz w:val="24"/>
                <w:szCs w:val="24"/>
              </w:rPr>
              <w:t>，从而形成循环风，含燃烧废气的热空气在烘干道内对部件固化。</w:t>
            </w:r>
          </w:p>
          <w:p>
            <w:pPr>
              <w:keepNext w:val="0"/>
              <w:keepLines w:val="0"/>
              <w:pageBreakBefore w:val="0"/>
              <w:widowControl/>
              <w:kinsoku/>
              <w:wordWrap/>
              <w:overflowPunct/>
              <w:topLinePunct w:val="0"/>
              <w:autoSpaceDE/>
              <w:autoSpaceDN/>
              <w:bidi w:val="0"/>
              <w:snapToGrid/>
              <w:spacing w:line="360" w:lineRule="auto"/>
              <w:ind w:firstLine="480" w:firstLineChars="200"/>
              <w:contextualSpacing/>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6）组装工段：根据产品不同要求，对工件进行组装，检验合格后经过包装即为成品。</w:t>
            </w:r>
          </w:p>
          <w:p>
            <w:pPr>
              <w:spacing w:line="360" w:lineRule="auto"/>
              <w:rPr>
                <w:b/>
                <w:bCs/>
                <w:color w:val="000000" w:themeColor="text1"/>
                <w:sz w:val="24"/>
                <w:szCs w:val="24"/>
                <w14:textFill>
                  <w14:solidFill>
                    <w14:schemeClr w14:val="tx1"/>
                  </w14:solidFill>
                </w14:textFill>
              </w:rPr>
            </w:pPr>
            <w:r>
              <w:rPr>
                <w:b/>
                <w:bCs/>
                <w:color w:val="000000" w:themeColor="text1"/>
                <w:sz w:val="24"/>
                <w:szCs w:val="32"/>
                <w14:textFill>
                  <w14:solidFill>
                    <w14:schemeClr w14:val="tx1"/>
                  </w14:solidFill>
                </w14:textFill>
              </w:rPr>
              <w:t>2、主要污染工序：</w:t>
            </w:r>
          </w:p>
          <w:p>
            <w:pPr>
              <w:spacing w:line="360" w:lineRule="auto"/>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（1）废气：本项目废气主要为</w:t>
            </w:r>
            <w:r>
              <w:rPr>
                <w:rFonts w:hint="eastAsia"/>
                <w:color w:val="000000" w:themeColor="text1"/>
                <w:sz w:val="24"/>
                <w:szCs w:val="32"/>
                <w:lang w:val="en-US" w:eastAsia="zh-CN"/>
                <w14:textFill>
                  <w14:solidFill>
                    <w14:schemeClr w14:val="tx1"/>
                  </w14:solidFill>
                </w14:textFill>
              </w:rPr>
              <w:t>切割、焊接、打磨、喷塑</w:t>
            </w:r>
            <w:r>
              <w:rPr>
                <w:rFonts w:hint="eastAsia"/>
                <w:color w:val="000000" w:themeColor="text1"/>
                <w:sz w:val="24"/>
                <w:szCs w:val="32"/>
                <w14:textFill>
                  <w14:solidFill>
                    <w14:schemeClr w14:val="tx1"/>
                  </w14:solidFill>
                </w14:textFill>
              </w:rPr>
              <w:t>工序</w:t>
            </w:r>
            <w:r>
              <w:rPr>
                <w:rFonts w:hint="eastAsia"/>
                <w:color w:val="000000" w:themeColor="text1"/>
                <w:sz w:val="24"/>
                <w:szCs w:val="32"/>
                <w:lang w:val="en-US" w:eastAsia="zh-CN"/>
                <w14:textFill>
                  <w14:solidFill>
                    <w14:schemeClr w14:val="tx1"/>
                  </w14:solidFill>
                </w14:textFill>
              </w:rPr>
              <w:t>产生的颗粒物</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固化</w:t>
            </w:r>
            <w:r>
              <w:rPr>
                <w:rFonts w:hint="eastAsia"/>
                <w:color w:val="000000" w:themeColor="text1"/>
                <w:sz w:val="24"/>
                <w:szCs w:val="32"/>
                <w14:textFill>
                  <w14:solidFill>
                    <w14:schemeClr w14:val="tx1"/>
                  </w14:solidFill>
                </w14:textFill>
              </w:rPr>
              <w:t>工序产生的有机废气</w:t>
            </w:r>
            <w:r>
              <w:rPr>
                <w:rFonts w:hint="eastAsia"/>
                <w:color w:val="000000" w:themeColor="text1"/>
                <w:sz w:val="24"/>
                <w:szCs w:val="32"/>
                <w:lang w:val="en-US" w:eastAsia="zh-CN"/>
                <w14:textFill>
                  <w14:solidFill>
                    <w14:schemeClr w14:val="tx1"/>
                  </w14:solidFill>
                </w14:textFill>
              </w:rPr>
              <w:t>非甲烷总烃</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液化气</w:t>
            </w:r>
            <w:r>
              <w:rPr>
                <w:rFonts w:hint="eastAsia"/>
                <w:color w:val="000000" w:themeColor="text1"/>
                <w:sz w:val="24"/>
                <w:szCs w:val="32"/>
                <w14:textFill>
                  <w14:solidFill>
                    <w14:schemeClr w14:val="tx1"/>
                  </w14:solidFill>
                </w14:textFill>
              </w:rPr>
              <w:t>燃烧废气</w:t>
            </w:r>
            <w:r>
              <w:rPr>
                <w:color w:val="000000" w:themeColor="text1"/>
                <w:sz w:val="24"/>
                <w:szCs w:val="32"/>
                <w14:textFill>
                  <w14:solidFill>
                    <w14:schemeClr w14:val="tx1"/>
                  </w14:solidFill>
                </w14:textFill>
              </w:rPr>
              <w:t>。</w:t>
            </w:r>
          </w:p>
          <w:p>
            <w:pPr>
              <w:spacing w:line="360" w:lineRule="auto"/>
              <w:ind w:firstLine="480" w:firstLineChars="200"/>
              <w:rPr>
                <w:rFonts w:hint="eastAsia" w:eastAsia="宋体"/>
                <w:color w:val="000000" w:themeColor="text1"/>
                <w:sz w:val="24"/>
                <w:szCs w:val="32"/>
                <w:lang w:eastAsia="zh-CN"/>
                <w14:textFill>
                  <w14:solidFill>
                    <w14:schemeClr w14:val="tx1"/>
                  </w14:solidFill>
                </w14:textFill>
              </w:rPr>
            </w:pPr>
            <w:r>
              <w:rPr>
                <w:color w:val="000000" w:themeColor="text1"/>
                <w:sz w:val="24"/>
                <w:szCs w:val="32"/>
                <w14:textFill>
                  <w14:solidFill>
                    <w14:schemeClr w14:val="tx1"/>
                  </w14:solidFill>
                </w14:textFill>
              </w:rPr>
              <w:t>（2）废水：本项目</w:t>
            </w:r>
            <w:r>
              <w:rPr>
                <w:rFonts w:hint="eastAsia"/>
                <w:color w:val="000000" w:themeColor="text1"/>
                <w:sz w:val="24"/>
                <w:szCs w:val="32"/>
                <w14:textFill>
                  <w14:solidFill>
                    <w14:schemeClr w14:val="tx1"/>
                  </w14:solidFill>
                </w14:textFill>
              </w:rPr>
              <w:t>废水</w:t>
            </w:r>
            <w:r>
              <w:rPr>
                <w:color w:val="000000" w:themeColor="text1"/>
                <w:sz w:val="24"/>
                <w:szCs w:val="32"/>
                <w14:textFill>
                  <w14:solidFill>
                    <w14:schemeClr w14:val="tx1"/>
                  </w14:solidFill>
                </w14:textFill>
              </w:rPr>
              <w:t>主要为员工生活污水</w:t>
            </w:r>
            <w:r>
              <w:rPr>
                <w:rFonts w:hint="eastAsia"/>
                <w:color w:val="000000" w:themeColor="text1"/>
                <w:sz w:val="24"/>
                <w:szCs w:val="32"/>
                <w:lang w:eastAsia="zh-CN"/>
                <w14:textFill>
                  <w14:solidFill>
                    <w14:schemeClr w14:val="tx1"/>
                  </w14:solidFill>
                </w14:textFill>
              </w:rPr>
              <w:t>。</w:t>
            </w:r>
          </w:p>
          <w:p>
            <w:pPr>
              <w:spacing w:line="360" w:lineRule="auto"/>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（3）噪声：本项目噪声主要</w:t>
            </w:r>
            <w:r>
              <w:rPr>
                <w:rFonts w:hint="eastAsia"/>
                <w:color w:val="000000" w:themeColor="text1"/>
                <w:sz w:val="24"/>
                <w:szCs w:val="32"/>
                <w14:textFill>
                  <w14:solidFill>
                    <w14:schemeClr w14:val="tx1"/>
                  </w14:solidFill>
                </w14:textFill>
              </w:rPr>
              <w:t>为</w:t>
            </w:r>
            <w:r>
              <w:rPr>
                <w:rFonts w:hint="eastAsia"/>
                <w:color w:val="000000" w:themeColor="text1"/>
                <w:sz w:val="24"/>
                <w:szCs w:val="32"/>
                <w:lang w:val="en-US" w:eastAsia="zh-CN"/>
                <w14:textFill>
                  <w14:solidFill>
                    <w14:schemeClr w14:val="tx1"/>
                  </w14:solidFill>
                </w14:textFill>
              </w:rPr>
              <w:t>切割机</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折弯机</w:t>
            </w:r>
            <w:r>
              <w:rPr>
                <w:rFonts w:hint="eastAsia"/>
                <w:color w:val="000000" w:themeColor="text1"/>
                <w:sz w:val="24"/>
                <w:szCs w:val="32"/>
                <w14:textFill>
                  <w14:solidFill>
                    <w14:schemeClr w14:val="tx1"/>
                  </w14:solidFill>
                </w14:textFill>
              </w:rPr>
              <w:t>、风机</w:t>
            </w:r>
            <w:r>
              <w:rPr>
                <w:color w:val="000000" w:themeColor="text1"/>
                <w:sz w:val="24"/>
                <w:szCs w:val="32"/>
                <w14:textFill>
                  <w14:solidFill>
                    <w14:schemeClr w14:val="tx1"/>
                  </w14:solidFill>
                </w14:textFill>
              </w:rPr>
              <w:t>等设备在运行过程中产生的机械噪声，噪声值约在7</w:t>
            </w:r>
            <w:r>
              <w:rPr>
                <w:rFonts w:hint="eastAsia"/>
                <w:color w:val="000000" w:themeColor="text1"/>
                <w:sz w:val="24"/>
                <w:szCs w:val="32"/>
                <w:lang w:val="en-US" w:eastAsia="zh-CN"/>
                <w14:textFill>
                  <w14:solidFill>
                    <w14:schemeClr w14:val="tx1"/>
                  </w14:solidFill>
                </w14:textFill>
              </w:rPr>
              <w:t>5</w:t>
            </w:r>
            <w:r>
              <w:rPr>
                <w:color w:val="000000" w:themeColor="text1"/>
                <w:sz w:val="24"/>
                <w:szCs w:val="32"/>
                <w14:textFill>
                  <w14:solidFill>
                    <w14:schemeClr w14:val="tx1"/>
                  </w14:solidFill>
                </w14:textFill>
              </w:rPr>
              <w:t>~</w:t>
            </w:r>
            <w:r>
              <w:rPr>
                <w:rFonts w:hint="eastAsia"/>
                <w:color w:val="000000" w:themeColor="text1"/>
                <w:sz w:val="24"/>
                <w:szCs w:val="32"/>
                <w14:textFill>
                  <w14:solidFill>
                    <w14:schemeClr w14:val="tx1"/>
                  </w14:solidFill>
                </w14:textFill>
              </w:rPr>
              <w:t>85</w:t>
            </w:r>
            <w:r>
              <w:rPr>
                <w:color w:val="000000" w:themeColor="text1"/>
                <w:sz w:val="24"/>
                <w:szCs w:val="32"/>
                <w14:textFill>
                  <w14:solidFill>
                    <w14:schemeClr w14:val="tx1"/>
                  </w14:solidFill>
                </w14:textFill>
              </w:rPr>
              <w:t>dB(A)。</w:t>
            </w:r>
          </w:p>
          <w:p>
            <w:pPr>
              <w:spacing w:line="360" w:lineRule="auto"/>
              <w:ind w:firstLine="480" w:firstLineChars="200"/>
              <w:rPr>
                <w:bCs/>
                <w:color w:val="000000" w:themeColor="text1"/>
                <w:szCs w:val="21"/>
                <w14:textFill>
                  <w14:solidFill>
                    <w14:schemeClr w14:val="tx1"/>
                  </w14:solidFill>
                </w14:textFill>
              </w:rPr>
            </w:pPr>
            <w:r>
              <w:rPr>
                <w:color w:val="000000" w:themeColor="text1"/>
                <w:sz w:val="24"/>
                <w:szCs w:val="32"/>
                <w14:textFill>
                  <w14:solidFill>
                    <w14:schemeClr w14:val="tx1"/>
                  </w14:solidFill>
                </w14:textFill>
              </w:rPr>
              <w:t>（4）固废：本项目固体废物有职工生活垃圾</w:t>
            </w:r>
            <w:r>
              <w:rPr>
                <w:rFonts w:hint="eastAsia"/>
                <w:color w:val="000000" w:themeColor="text1"/>
                <w:sz w:val="24"/>
                <w:szCs w:val="32"/>
                <w14:textFill>
                  <w14:solidFill>
                    <w14:schemeClr w14:val="tx1"/>
                  </w14:solidFill>
                </w14:textFill>
              </w:rPr>
              <w:t>、</w:t>
            </w:r>
            <w:r>
              <w:rPr>
                <w:color w:val="000000" w:themeColor="text1"/>
                <w:sz w:val="24"/>
                <w:szCs w:val="32"/>
                <w14:textFill>
                  <w14:solidFill>
                    <w14:schemeClr w14:val="tx1"/>
                  </w14:solidFill>
                </w14:textFill>
              </w:rPr>
              <w:t>废</w:t>
            </w:r>
            <w:r>
              <w:rPr>
                <w:rFonts w:hint="eastAsia"/>
                <w:color w:val="000000" w:themeColor="text1"/>
                <w:sz w:val="24"/>
                <w:szCs w:val="32"/>
                <w:lang w:val="en-US" w:eastAsia="zh-CN"/>
                <w14:textFill>
                  <w14:solidFill>
                    <w14:schemeClr w14:val="tx1"/>
                  </w14:solidFill>
                </w14:textFill>
              </w:rPr>
              <w:t>边角</w:t>
            </w:r>
            <w:r>
              <w:rPr>
                <w:color w:val="000000" w:themeColor="text1"/>
                <w:sz w:val="24"/>
                <w:szCs w:val="32"/>
                <w14:textFill>
                  <w14:solidFill>
                    <w14:schemeClr w14:val="tx1"/>
                  </w14:solidFill>
                </w14:textFill>
              </w:rPr>
              <w:t>料</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除尘器收集的塑粉</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废纸箱、</w:t>
            </w:r>
            <w:r>
              <w:rPr>
                <w:rFonts w:hint="eastAsia"/>
                <w:color w:val="000000" w:themeColor="text1"/>
                <w:sz w:val="24"/>
                <w:szCs w:val="32"/>
                <w14:textFill>
                  <w14:solidFill>
                    <w14:schemeClr w14:val="tx1"/>
                  </w14:solidFill>
                </w14:textFill>
              </w:rPr>
              <w:t>废</w:t>
            </w:r>
            <w:r>
              <w:rPr>
                <w:rFonts w:hint="eastAsia"/>
                <w:color w:val="000000" w:themeColor="text1"/>
                <w:sz w:val="24"/>
                <w:szCs w:val="32"/>
                <w:lang w:val="en-US" w:eastAsia="zh-CN"/>
                <w14:textFill>
                  <w14:solidFill>
                    <w14:schemeClr w14:val="tx1"/>
                  </w14:solidFill>
                </w14:textFill>
              </w:rPr>
              <w:t>滤芯</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废挂钩、废机油、废液压油、废光氧灯管、废活性炭。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3" w:type="dxa"/>
            <w:vAlign w:val="center"/>
          </w:tcPr>
          <w:p>
            <w:pPr>
              <w:pStyle w:val="23"/>
              <w:adjustRightInd w:val="0"/>
              <w:snapToGrid w:val="0"/>
              <w:spacing w:before="0" w:beforeAutospacing="0" w:after="0" w:afterAutospacing="0"/>
              <w:jc w:val="center"/>
              <w:rPr>
                <w:rFonts w:ascii="Times New Roman" w:hAnsi="Times New Roman"/>
                <w:color w:val="FF0000"/>
                <w:sz w:val="21"/>
                <w:szCs w:val="21"/>
              </w:rPr>
            </w:pPr>
            <w:r>
              <w:rPr>
                <w:rFonts w:ascii="Times New Roman" w:hAnsi="Times New Roman"/>
                <w:bCs/>
                <w:color w:val="000000" w:themeColor="text1"/>
                <w:kern w:val="2"/>
                <w:sz w:val="24"/>
                <w:szCs w:val="24"/>
                <w14:textFill>
                  <w14:solidFill>
                    <w14:schemeClr w14:val="tx1"/>
                  </w14:solidFill>
                </w14:textFill>
              </w:rPr>
              <w:t>与项目有关的原有环境污染问题</w:t>
            </w:r>
          </w:p>
        </w:tc>
        <w:tc>
          <w:tcPr>
            <w:tcW w:w="8357" w:type="dxa"/>
          </w:tcPr>
          <w:p>
            <w:pPr>
              <w:spacing w:line="360" w:lineRule="auto"/>
              <w:ind w:firstLine="480" w:firstLineChars="200"/>
              <w:rPr>
                <w:b w:val="0"/>
                <w:bCs w:val="0"/>
                <w:sz w:val="24"/>
                <w:szCs w:val="24"/>
                <w:u w:val="none"/>
              </w:rPr>
            </w:pPr>
            <w:r>
              <w:rPr>
                <w:rFonts w:hint="eastAsia"/>
                <w:b w:val="0"/>
                <w:bCs w:val="0"/>
                <w:sz w:val="24"/>
                <w:szCs w:val="24"/>
                <w:u w:val="none"/>
              </w:rPr>
              <w:t>经</w:t>
            </w:r>
            <w:r>
              <w:rPr>
                <w:b w:val="0"/>
                <w:bCs w:val="0"/>
                <w:sz w:val="24"/>
                <w:szCs w:val="24"/>
                <w:u w:val="none"/>
              </w:rPr>
              <w:t>现场</w:t>
            </w:r>
            <w:r>
              <w:rPr>
                <w:rFonts w:hint="eastAsia"/>
                <w:b w:val="0"/>
                <w:bCs w:val="0"/>
                <w:sz w:val="24"/>
                <w:szCs w:val="24"/>
                <w:u w:val="none"/>
                <w:lang w:val="en-US" w:eastAsia="zh-CN"/>
              </w:rPr>
              <w:t>勘察</w:t>
            </w:r>
            <w:r>
              <w:rPr>
                <w:b w:val="0"/>
                <w:bCs w:val="0"/>
                <w:sz w:val="24"/>
                <w:szCs w:val="24"/>
                <w:u w:val="none"/>
              </w:rPr>
              <w:t>，本项目租赁</w:t>
            </w:r>
            <w:r>
              <w:rPr>
                <w:rFonts w:hint="eastAsia"/>
                <w:b w:val="0"/>
                <w:bCs w:val="0"/>
                <w:sz w:val="24"/>
                <w:szCs w:val="24"/>
                <w:u w:val="none"/>
              </w:rPr>
              <w:t>洛阳艾科堡实业有限公司</w:t>
            </w:r>
            <w:r>
              <w:rPr>
                <w:b w:val="0"/>
                <w:bCs w:val="0"/>
                <w:sz w:val="24"/>
                <w:szCs w:val="24"/>
                <w:u w:val="none"/>
              </w:rPr>
              <w:t>现有闲置</w:t>
            </w:r>
            <w:r>
              <w:rPr>
                <w:rFonts w:hint="eastAsia"/>
                <w:b w:val="0"/>
                <w:bCs w:val="0"/>
                <w:sz w:val="24"/>
                <w:szCs w:val="24"/>
                <w:u w:val="none"/>
              </w:rPr>
              <w:t>生产车间</w:t>
            </w:r>
            <w:r>
              <w:rPr>
                <w:b w:val="0"/>
                <w:bCs w:val="0"/>
                <w:sz w:val="24"/>
                <w:szCs w:val="24"/>
                <w:u w:val="none"/>
              </w:rPr>
              <w:t>进行</w:t>
            </w:r>
            <w:r>
              <w:rPr>
                <w:rFonts w:hint="eastAsia"/>
                <w:b w:val="0"/>
                <w:bCs w:val="0"/>
                <w:sz w:val="24"/>
                <w:szCs w:val="24"/>
                <w:u w:val="none"/>
              </w:rPr>
              <w:t>建设及</w:t>
            </w:r>
            <w:r>
              <w:rPr>
                <w:b w:val="0"/>
                <w:bCs w:val="0"/>
                <w:sz w:val="24"/>
                <w:szCs w:val="24"/>
                <w:u w:val="none"/>
              </w:rPr>
              <w:t>生产，该</w:t>
            </w:r>
            <w:r>
              <w:rPr>
                <w:rFonts w:hint="eastAsia"/>
                <w:b w:val="0"/>
                <w:bCs w:val="0"/>
                <w:sz w:val="24"/>
                <w:szCs w:val="24"/>
                <w:u w:val="none"/>
              </w:rPr>
              <w:t>车间</w:t>
            </w:r>
            <w:r>
              <w:rPr>
                <w:b w:val="0"/>
                <w:bCs w:val="0"/>
                <w:sz w:val="24"/>
                <w:szCs w:val="24"/>
                <w:u w:val="none"/>
              </w:rPr>
              <w:t>原用于</w:t>
            </w:r>
            <w:r>
              <w:rPr>
                <w:rFonts w:hint="eastAsia"/>
                <w:b w:val="0"/>
                <w:bCs w:val="0"/>
                <w:sz w:val="24"/>
                <w:szCs w:val="24"/>
                <w:u w:val="none"/>
                <w:lang w:val="en-US" w:eastAsia="zh-CN"/>
              </w:rPr>
              <w:t>钢制家具的生产</w:t>
            </w:r>
            <w:r>
              <w:rPr>
                <w:b w:val="0"/>
                <w:bCs w:val="0"/>
                <w:sz w:val="24"/>
                <w:szCs w:val="24"/>
                <w:u w:val="none"/>
              </w:rPr>
              <w:t>；</w:t>
            </w:r>
            <w:r>
              <w:rPr>
                <w:rFonts w:hint="eastAsia"/>
                <w:b w:val="0"/>
                <w:bCs w:val="0"/>
                <w:sz w:val="24"/>
                <w:szCs w:val="24"/>
                <w:u w:val="none"/>
              </w:rPr>
              <w:t>此次</w:t>
            </w:r>
            <w:r>
              <w:rPr>
                <w:b w:val="0"/>
                <w:bCs w:val="0"/>
                <w:sz w:val="24"/>
                <w:szCs w:val="24"/>
                <w:u w:val="none"/>
              </w:rPr>
              <w:t>现场调查期间，</w:t>
            </w:r>
            <w:r>
              <w:rPr>
                <w:rFonts w:hint="eastAsia"/>
                <w:b w:val="0"/>
                <w:bCs w:val="0"/>
                <w:sz w:val="24"/>
                <w:szCs w:val="24"/>
                <w:u w:val="none"/>
              </w:rPr>
              <w:t>生产车间已建设</w:t>
            </w:r>
            <w:r>
              <w:rPr>
                <w:rFonts w:hint="eastAsia"/>
                <w:b w:val="0"/>
                <w:bCs w:val="0"/>
                <w:sz w:val="24"/>
                <w:szCs w:val="24"/>
                <w:u w:val="none"/>
                <w:lang w:val="en-US" w:eastAsia="zh-CN"/>
              </w:rPr>
              <w:t>部分设备及环保设施，存在的主要环保问题及整改要求见下表。</w:t>
            </w:r>
          </w:p>
          <w:p>
            <w:pPr>
              <w:jc w:val="center"/>
              <w:rPr>
                <w:b w:val="0"/>
                <w:bCs w:val="0"/>
                <w:color w:val="000000" w:themeColor="text1"/>
                <w:sz w:val="24"/>
                <w:szCs w:val="24"/>
                <w:highlight w:val="none"/>
                <w:u w:val="none"/>
                <w14:textFill>
                  <w14:solidFill>
                    <w14:schemeClr w14:val="tx1"/>
                  </w14:solidFill>
                </w14:textFill>
              </w:rPr>
            </w:pPr>
            <w:r>
              <w:rPr>
                <w:b w:val="0"/>
                <w:bCs w:val="0"/>
                <w:color w:val="000000" w:themeColor="text1"/>
                <w:sz w:val="24"/>
                <w:szCs w:val="24"/>
                <w:highlight w:val="none"/>
                <w:u w:val="none"/>
                <w14:textFill>
                  <w14:solidFill>
                    <w14:schemeClr w14:val="tx1"/>
                  </w14:solidFill>
                </w14:textFill>
              </w:rPr>
              <w:t>表</w:t>
            </w:r>
            <w:r>
              <w:rPr>
                <w:rFonts w:hint="eastAsia"/>
                <w:b w:val="0"/>
                <w:bCs w:val="0"/>
                <w:color w:val="000000" w:themeColor="text1"/>
                <w:sz w:val="24"/>
                <w:szCs w:val="24"/>
                <w:highlight w:val="none"/>
                <w:u w:val="none"/>
                <w14:textFill>
                  <w14:solidFill>
                    <w14:schemeClr w14:val="tx1"/>
                  </w14:solidFill>
                </w14:textFill>
              </w:rPr>
              <w:t>2-</w:t>
            </w:r>
            <w:r>
              <w:rPr>
                <w:rFonts w:hint="eastAsia"/>
                <w:b w:val="0"/>
                <w:bCs w:val="0"/>
                <w:color w:val="000000" w:themeColor="text1"/>
                <w:sz w:val="24"/>
                <w:szCs w:val="24"/>
                <w:highlight w:val="none"/>
                <w:u w:val="none"/>
                <w:lang w:val="en-US" w:eastAsia="zh-CN"/>
                <w14:textFill>
                  <w14:solidFill>
                    <w14:schemeClr w14:val="tx1"/>
                  </w14:solidFill>
                </w14:textFill>
              </w:rPr>
              <w:t>6</w:t>
            </w:r>
            <w:r>
              <w:rPr>
                <w:b w:val="0"/>
                <w:bCs w:val="0"/>
                <w:color w:val="000000" w:themeColor="text1"/>
                <w:sz w:val="24"/>
                <w:szCs w:val="24"/>
                <w:highlight w:val="none"/>
                <w:u w:val="none"/>
                <w14:textFill>
                  <w14:solidFill>
                    <w14:schemeClr w14:val="tx1"/>
                  </w14:solidFill>
                </w14:textFill>
              </w:rPr>
              <w:t xml:space="preserve"> </w:t>
            </w:r>
            <w:r>
              <w:rPr>
                <w:rFonts w:hint="eastAsia"/>
                <w:b w:val="0"/>
                <w:bCs w:val="0"/>
                <w:color w:val="000000" w:themeColor="text1"/>
                <w:sz w:val="24"/>
                <w:szCs w:val="24"/>
                <w:highlight w:val="none"/>
                <w:u w:val="none"/>
                <w14:textFill>
                  <w14:solidFill>
                    <w14:schemeClr w14:val="tx1"/>
                  </w14:solidFill>
                </w14:textFill>
              </w:rPr>
              <w:t xml:space="preserve"> </w:t>
            </w:r>
            <w:r>
              <w:rPr>
                <w:b w:val="0"/>
                <w:bCs w:val="0"/>
                <w:color w:val="000000" w:themeColor="text1"/>
                <w:sz w:val="24"/>
                <w:szCs w:val="24"/>
                <w:highlight w:val="none"/>
                <w:u w:val="none"/>
                <w14:textFill>
                  <w14:solidFill>
                    <w14:schemeClr w14:val="tx1"/>
                  </w14:solidFill>
                </w14:textFill>
              </w:rPr>
              <w:t>本项目现存主要环保问题及整改要求一览表</w:t>
            </w:r>
          </w:p>
          <w:tbl>
            <w:tblPr>
              <w:tblStyle w:val="27"/>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488"/>
              <w:gridCol w:w="388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1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序号</w:t>
                  </w:r>
                </w:p>
              </w:tc>
              <w:tc>
                <w:tcPr>
                  <w:tcW w:w="915"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主要环境问题</w:t>
                  </w:r>
                </w:p>
              </w:tc>
              <w:tc>
                <w:tcPr>
                  <w:tcW w:w="238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整改要求</w:t>
                  </w:r>
                </w:p>
              </w:tc>
              <w:tc>
                <w:tcPr>
                  <w:tcW w:w="11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highlight w:val="none"/>
                      <w:u w:val="none"/>
                      <w:lang w:val="en-US"/>
                    </w:rPr>
                  </w:pPr>
                  <w:r>
                    <w:rPr>
                      <w:rFonts w:hint="default" w:ascii="Times New Roman" w:hAnsi="Times New Roman" w:eastAsia="宋体" w:cs="Times New Roman"/>
                      <w:b w:val="0"/>
                      <w:bCs w:val="0"/>
                      <w:sz w:val="21"/>
                      <w:szCs w:val="21"/>
                      <w:highlight w:val="none"/>
                      <w:u w:val="none"/>
                      <w:lang w:val="en-US" w:eastAsia="zh-CN"/>
                    </w:rPr>
                    <w:t>本项目建成投产前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1</w:t>
                  </w:r>
                </w:p>
              </w:tc>
              <w:tc>
                <w:tcPr>
                  <w:tcW w:w="915"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未设置危险废物暂存间</w:t>
                  </w:r>
                </w:p>
              </w:tc>
              <w:tc>
                <w:tcPr>
                  <w:tcW w:w="238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在厂区设置6m</w:t>
                  </w:r>
                  <w:r>
                    <w:rPr>
                      <w:rFonts w:hint="default" w:ascii="Times New Roman" w:hAnsi="Times New Roman" w:eastAsia="宋体" w:cs="Times New Roman"/>
                      <w:b w:val="0"/>
                      <w:bCs w:val="0"/>
                      <w:sz w:val="21"/>
                      <w:szCs w:val="21"/>
                      <w:highlight w:val="none"/>
                      <w:u w:val="none"/>
                      <w:vertAlign w:val="superscript"/>
                    </w:rPr>
                    <w:t>2</w:t>
                  </w:r>
                  <w:r>
                    <w:rPr>
                      <w:rFonts w:hint="default" w:ascii="Times New Roman" w:hAnsi="Times New Roman" w:eastAsia="宋体" w:cs="Times New Roman"/>
                      <w:b w:val="0"/>
                      <w:bCs w:val="0"/>
                      <w:sz w:val="21"/>
                      <w:szCs w:val="21"/>
                      <w:highlight w:val="none"/>
                      <w:u w:val="none"/>
                    </w:rPr>
                    <w:t>的危废暂存间，按照《危险废物贮存污染控制标准》（GB18597-20</w:t>
                  </w:r>
                  <w:r>
                    <w:rPr>
                      <w:rFonts w:hint="eastAsia" w:cs="Times New Roman"/>
                      <w:b w:val="0"/>
                      <w:bCs w:val="0"/>
                      <w:sz w:val="21"/>
                      <w:szCs w:val="21"/>
                      <w:highlight w:val="none"/>
                      <w:u w:val="none"/>
                      <w:lang w:val="en-US" w:eastAsia="zh-CN"/>
                    </w:rPr>
                    <w:t>23</w:t>
                  </w:r>
                  <w:r>
                    <w:rPr>
                      <w:rFonts w:hint="default" w:ascii="Times New Roman" w:hAnsi="Times New Roman" w:eastAsia="宋体" w:cs="Times New Roman"/>
                      <w:b w:val="0"/>
                      <w:bCs w:val="0"/>
                      <w:sz w:val="21"/>
                      <w:szCs w:val="21"/>
                      <w:highlight w:val="none"/>
                      <w:u w:val="none"/>
                    </w:rPr>
                    <w:t>）及《建设项目危险废物环境影响评价指南》的要求进行，设置危废标识。</w:t>
                  </w:r>
                </w:p>
              </w:tc>
              <w:tc>
                <w:tcPr>
                  <w:tcW w:w="11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1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2</w:t>
                  </w:r>
                </w:p>
              </w:tc>
              <w:tc>
                <w:tcPr>
                  <w:tcW w:w="915"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rPr>
                    <w:t>未设置一般固废暂存</w:t>
                  </w:r>
                  <w:r>
                    <w:rPr>
                      <w:rFonts w:hint="eastAsia" w:cs="Times New Roman"/>
                      <w:b w:val="0"/>
                      <w:bCs w:val="0"/>
                      <w:sz w:val="21"/>
                      <w:szCs w:val="21"/>
                      <w:highlight w:val="none"/>
                      <w:u w:val="none"/>
                      <w:lang w:val="en-US" w:eastAsia="zh-CN"/>
                    </w:rPr>
                    <w:t>间</w:t>
                  </w:r>
                </w:p>
              </w:tc>
              <w:tc>
                <w:tcPr>
                  <w:tcW w:w="2389"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在厂区设置一般固废暂存</w:t>
                  </w:r>
                  <w:r>
                    <w:rPr>
                      <w:rFonts w:hint="eastAsia" w:cs="Times New Roman"/>
                      <w:b w:val="0"/>
                      <w:bCs w:val="0"/>
                      <w:sz w:val="21"/>
                      <w:szCs w:val="21"/>
                      <w:highlight w:val="none"/>
                      <w:u w:val="none"/>
                      <w:lang w:val="en-US" w:eastAsia="zh-CN"/>
                    </w:rPr>
                    <w:t>间</w:t>
                  </w:r>
                  <w:r>
                    <w:rPr>
                      <w:rFonts w:hint="default" w:ascii="Times New Roman" w:hAnsi="Times New Roman" w:eastAsia="宋体" w:cs="Times New Roman"/>
                      <w:b w:val="0"/>
                      <w:bCs w:val="0"/>
                      <w:sz w:val="21"/>
                      <w:szCs w:val="21"/>
                      <w:highlight w:val="none"/>
                      <w:u w:val="none"/>
                    </w:rPr>
                    <w:t>，面积共</w:t>
                  </w:r>
                  <w:r>
                    <w:rPr>
                      <w:rFonts w:hint="eastAsia" w:cs="Times New Roman"/>
                      <w:b w:val="0"/>
                      <w:bCs w:val="0"/>
                      <w:sz w:val="21"/>
                      <w:szCs w:val="21"/>
                      <w:highlight w:val="none"/>
                      <w:u w:val="none"/>
                      <w:lang w:val="en-US" w:eastAsia="zh-CN"/>
                    </w:rPr>
                    <w:t>10</w:t>
                  </w:r>
                  <w:r>
                    <w:rPr>
                      <w:rFonts w:hint="default" w:ascii="Times New Roman" w:hAnsi="Times New Roman" w:eastAsia="宋体" w:cs="Times New Roman"/>
                      <w:b w:val="0"/>
                      <w:bCs w:val="0"/>
                      <w:sz w:val="21"/>
                      <w:szCs w:val="21"/>
                      <w:highlight w:val="none"/>
                      <w:u w:val="none"/>
                    </w:rPr>
                    <w:t>m</w:t>
                  </w:r>
                  <w:r>
                    <w:rPr>
                      <w:rFonts w:hint="default" w:ascii="Times New Roman" w:hAnsi="Times New Roman" w:eastAsia="宋体" w:cs="Times New Roman"/>
                      <w:b w:val="0"/>
                      <w:bCs w:val="0"/>
                      <w:sz w:val="21"/>
                      <w:szCs w:val="21"/>
                      <w:highlight w:val="none"/>
                      <w:u w:val="none"/>
                      <w:vertAlign w:val="superscript"/>
                    </w:rPr>
                    <w:t>2</w:t>
                  </w:r>
                  <w:r>
                    <w:rPr>
                      <w:rFonts w:hint="default" w:ascii="Times New Roman" w:hAnsi="Times New Roman" w:eastAsia="宋体" w:cs="Times New Roman"/>
                      <w:b w:val="0"/>
                      <w:bCs w:val="0"/>
                      <w:sz w:val="21"/>
                      <w:szCs w:val="21"/>
                      <w:highlight w:val="none"/>
                      <w:u w:val="none"/>
                    </w:rPr>
                    <w:t>，规范厂区一般固废暂存区域，设置规范化标识。</w:t>
                  </w:r>
                </w:p>
              </w:tc>
              <w:tc>
                <w:tcPr>
                  <w:tcW w:w="1182" w:type="pct"/>
                  <w:tcBorders>
                    <w:tl2br w:val="nil"/>
                    <w:tr2bl w:val="nil"/>
                  </w:tcBorders>
                  <w:vAlign w:val="center"/>
                </w:tcPr>
                <w:p>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1~2个月</w:t>
                  </w:r>
                </w:p>
              </w:tc>
            </w:tr>
          </w:tbl>
          <w:p>
            <w:pPr>
              <w:spacing w:line="360" w:lineRule="auto"/>
              <w:rPr>
                <w:rFonts w:hint="eastAsia" w:eastAsia="宋体"/>
                <w:lang w:eastAsia="zh-CN"/>
              </w:rPr>
            </w:pPr>
          </w:p>
        </w:tc>
      </w:tr>
    </w:tbl>
    <w:p>
      <w:pPr>
        <w:rPr>
          <w:rFonts w:eastAsia="黑体"/>
          <w:snapToGrid w:val="0"/>
          <w:color w:val="FF0000"/>
          <w:sz w:val="30"/>
          <w:szCs w:val="30"/>
        </w:rPr>
      </w:pPr>
      <w:r>
        <w:rPr>
          <w:rFonts w:eastAsia="黑体"/>
          <w:snapToGrid w:val="0"/>
          <w:color w:val="FF0000"/>
          <w:sz w:val="30"/>
          <w:szCs w:val="30"/>
        </w:rPr>
        <w:br w:type="page"/>
      </w:r>
    </w:p>
    <w:p>
      <w:pPr>
        <w:spacing w:line="360" w:lineRule="auto"/>
        <w:jc w:val="center"/>
        <w:rPr>
          <w:rFonts w:eastAsia="黑体"/>
          <w:snapToGrid w:val="0"/>
          <w:color w:val="000000" w:themeColor="text1"/>
          <w:sz w:val="30"/>
          <w:szCs w:val="30"/>
          <w14:textFill>
            <w14:solidFill>
              <w14:schemeClr w14:val="tx1"/>
            </w14:solidFill>
          </w14:textFill>
        </w:rPr>
      </w:pPr>
      <w:r>
        <w:rPr>
          <w:rFonts w:eastAsia="黑体"/>
          <w:snapToGrid w:val="0"/>
          <w:color w:val="000000" w:themeColor="text1"/>
          <w:sz w:val="30"/>
          <w:szCs w:val="30"/>
          <w14:textFill>
            <w14:solidFill>
              <w14:schemeClr w14:val="tx1"/>
            </w14:solidFill>
          </w14:textFill>
        </w:rPr>
        <w:t>三、区域环境质量现状、环境保护目标及评价标准</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2" w:hRule="atLeast"/>
          <w:jc w:val="center"/>
        </w:trPr>
        <w:tc>
          <w:tcPr>
            <w:tcW w:w="800" w:type="dxa"/>
            <w:vAlign w:val="center"/>
          </w:tcPr>
          <w:p>
            <w:pPr>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区域</w:t>
            </w:r>
          </w:p>
          <w:p>
            <w:pPr>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环境</w:t>
            </w:r>
          </w:p>
          <w:p>
            <w:pPr>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质量</w:t>
            </w:r>
          </w:p>
          <w:p>
            <w:pPr>
              <w:adjustRightInd w:val="0"/>
              <w:snapToGrid w:val="0"/>
              <w:jc w:val="center"/>
              <w:rPr>
                <w:color w:val="FF0000"/>
                <w:kern w:val="0"/>
                <w:szCs w:val="21"/>
              </w:rPr>
            </w:pPr>
            <w:r>
              <w:rPr>
                <w:color w:val="000000" w:themeColor="text1"/>
                <w:kern w:val="0"/>
                <w:sz w:val="24"/>
                <w:szCs w:val="24"/>
                <w14:textFill>
                  <w14:solidFill>
                    <w14:schemeClr w14:val="tx1"/>
                  </w14:solidFill>
                </w14:textFill>
              </w:rPr>
              <w:t>现状</w:t>
            </w:r>
          </w:p>
        </w:tc>
        <w:tc>
          <w:tcPr>
            <w:tcW w:w="8190" w:type="dxa"/>
            <w:vAlign w:val="center"/>
          </w:tcPr>
          <w:p>
            <w:pPr>
              <w:spacing w:line="360" w:lineRule="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1、环境空气质量</w:t>
            </w:r>
          </w:p>
          <w:p>
            <w:pPr>
              <w:spacing w:line="360" w:lineRule="auto"/>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1.1 项目所在区域达标判断</w:t>
            </w:r>
          </w:p>
          <w:p>
            <w:pPr>
              <w:spacing w:line="360" w:lineRule="auto"/>
              <w:ind w:firstLine="480" w:firstLineChars="200"/>
              <w:rPr>
                <w:sz w:val="24"/>
                <w:szCs w:val="24"/>
                <w:lang w:bidi="ar"/>
              </w:rPr>
            </w:pPr>
            <w:r>
              <w:rPr>
                <w:rFonts w:hint="eastAsia"/>
                <w:sz w:val="24"/>
                <w:szCs w:val="24"/>
                <w:lang w:bidi="ar"/>
              </w:rPr>
              <w:t>项目所在区域属于二类环境空气功能区，环境空气质量执行《环境空气质量标准》（GB3095-2012）二级标准。为了解建设项目所在区域环境空气质量现状，本次评价引用《2022年洛阳市生态环境状况公报》数据，评价因子为SO</w:t>
            </w:r>
            <w:r>
              <w:rPr>
                <w:rFonts w:hint="eastAsia"/>
                <w:sz w:val="24"/>
                <w:szCs w:val="24"/>
                <w:vertAlign w:val="subscript"/>
                <w:lang w:bidi="ar"/>
              </w:rPr>
              <w:t>2</w:t>
            </w:r>
            <w:r>
              <w:rPr>
                <w:rFonts w:hint="eastAsia"/>
                <w:sz w:val="24"/>
                <w:szCs w:val="24"/>
                <w:lang w:bidi="ar"/>
              </w:rPr>
              <w:t>、NO</w:t>
            </w:r>
            <w:r>
              <w:rPr>
                <w:rFonts w:hint="eastAsia"/>
                <w:sz w:val="24"/>
                <w:szCs w:val="24"/>
                <w:vertAlign w:val="subscript"/>
                <w:lang w:bidi="ar"/>
              </w:rPr>
              <w:t>2</w:t>
            </w:r>
            <w:r>
              <w:rPr>
                <w:rFonts w:hint="eastAsia"/>
                <w:sz w:val="24"/>
                <w:szCs w:val="24"/>
                <w:lang w:bidi="ar"/>
              </w:rPr>
              <w:t>、PM</w:t>
            </w:r>
            <w:r>
              <w:rPr>
                <w:rFonts w:hint="eastAsia"/>
                <w:sz w:val="24"/>
                <w:szCs w:val="24"/>
                <w:vertAlign w:val="subscript"/>
                <w:lang w:bidi="ar"/>
              </w:rPr>
              <w:t>10</w:t>
            </w:r>
            <w:r>
              <w:rPr>
                <w:rFonts w:hint="eastAsia"/>
                <w:sz w:val="24"/>
                <w:szCs w:val="24"/>
                <w:lang w:bidi="ar"/>
              </w:rPr>
              <w:t>、PM</w:t>
            </w:r>
            <w:r>
              <w:rPr>
                <w:rFonts w:hint="eastAsia"/>
                <w:sz w:val="24"/>
                <w:szCs w:val="24"/>
                <w:vertAlign w:val="subscript"/>
                <w:lang w:bidi="ar"/>
              </w:rPr>
              <w:t>2.5</w:t>
            </w:r>
            <w:r>
              <w:rPr>
                <w:rFonts w:hint="eastAsia"/>
                <w:sz w:val="24"/>
                <w:szCs w:val="24"/>
                <w:lang w:bidi="ar"/>
              </w:rPr>
              <w:t>、CO及O</w:t>
            </w:r>
            <w:r>
              <w:rPr>
                <w:rFonts w:hint="eastAsia"/>
                <w:sz w:val="24"/>
                <w:szCs w:val="24"/>
                <w:vertAlign w:val="subscript"/>
                <w:lang w:bidi="ar"/>
              </w:rPr>
              <w:t>3</w:t>
            </w:r>
            <w:r>
              <w:rPr>
                <w:rFonts w:hint="eastAsia"/>
                <w:sz w:val="24"/>
                <w:szCs w:val="24"/>
                <w:lang w:bidi="ar"/>
              </w:rPr>
              <w:t>，监测结果见下表。</w:t>
            </w:r>
          </w:p>
          <w:p>
            <w:pPr>
              <w:pStyle w:val="5"/>
              <w:keepNext w:val="0"/>
              <w:autoSpaceDE w:val="0"/>
              <w:spacing w:line="240" w:lineRule="auto"/>
              <w:jc w:val="center"/>
              <w:rPr>
                <w:b w:val="0"/>
                <w:bCs w:val="0"/>
                <w:sz w:val="24"/>
                <w:szCs w:val="24"/>
              </w:rPr>
            </w:pPr>
            <w:r>
              <w:rPr>
                <w:b w:val="0"/>
                <w:bCs w:val="0"/>
                <w:kern w:val="2"/>
                <w:sz w:val="24"/>
                <w:szCs w:val="24"/>
              </w:rPr>
              <w:t xml:space="preserve">表3-1 </w:t>
            </w:r>
            <w:r>
              <w:rPr>
                <w:b w:val="0"/>
                <w:bCs w:val="0"/>
                <w:sz w:val="24"/>
                <w:szCs w:val="24"/>
              </w:rPr>
              <w:t xml:space="preserve"> </w:t>
            </w:r>
            <w:r>
              <w:rPr>
                <w:rFonts w:hint="eastAsia"/>
                <w:b w:val="0"/>
                <w:bCs w:val="0"/>
                <w:sz w:val="24"/>
                <w:szCs w:val="24"/>
              </w:rPr>
              <w:t>洛阳市2022年空气质量现状评价表</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742"/>
              <w:gridCol w:w="1144"/>
              <w:gridCol w:w="1144"/>
              <w:gridCol w:w="1057"/>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污染物</w:t>
                  </w:r>
                </w:p>
              </w:tc>
              <w:tc>
                <w:tcPr>
                  <w:tcW w:w="31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年评价指标</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现状浓度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（μg/m</w:t>
                  </w:r>
                  <w:r>
                    <w:rPr>
                      <w:rFonts w:hint="default" w:ascii="Times New Roman" w:hAnsi="Times New Roman" w:cs="Times New Roman"/>
                      <w:b w:val="0"/>
                      <w:bCs w:val="0"/>
                      <w:sz w:val="21"/>
                      <w:szCs w:val="21"/>
                      <w:u w:val="none"/>
                      <w:vertAlign w:val="superscript"/>
                    </w:rPr>
                    <w:t>3</w:t>
                  </w:r>
                  <w:r>
                    <w:rPr>
                      <w:rFonts w:hint="default" w:ascii="Times New Roman" w:hAnsi="Times New Roman" w:cs="Times New Roman"/>
                      <w:b w:val="0"/>
                      <w:bCs w:val="0"/>
                      <w:sz w:val="21"/>
                      <w:szCs w:val="21"/>
                      <w:u w:val="none"/>
                    </w:rPr>
                    <w:t>）</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标准值</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（μg/m</w:t>
                  </w:r>
                  <w:r>
                    <w:rPr>
                      <w:rFonts w:hint="default" w:ascii="Times New Roman" w:hAnsi="Times New Roman" w:cs="Times New Roman"/>
                      <w:b w:val="0"/>
                      <w:bCs w:val="0"/>
                      <w:sz w:val="21"/>
                      <w:szCs w:val="21"/>
                      <w:u w:val="none"/>
                      <w:vertAlign w:val="superscript"/>
                    </w:rPr>
                    <w:t>3</w:t>
                  </w:r>
                  <w:r>
                    <w:rPr>
                      <w:rFonts w:hint="default" w:ascii="Times New Roman" w:hAnsi="Times New Roman" w:cs="Times New Roman"/>
                      <w:b w:val="0"/>
                      <w:bCs w:val="0"/>
                      <w:sz w:val="21"/>
                      <w:szCs w:val="21"/>
                      <w:u w:val="none"/>
                    </w:rPr>
                    <w:t>）</w:t>
                  </w:r>
                </w:p>
              </w:tc>
              <w:tc>
                <w:tcPr>
                  <w:tcW w:w="10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占标率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PM</w:t>
                  </w:r>
                  <w:r>
                    <w:rPr>
                      <w:rFonts w:hint="default" w:ascii="Times New Roman" w:hAnsi="Times New Roman" w:cs="Times New Roman"/>
                      <w:b w:val="0"/>
                      <w:bCs w:val="0"/>
                      <w:sz w:val="21"/>
                      <w:szCs w:val="21"/>
                      <w:u w:val="none"/>
                      <w:vertAlign w:val="subscript"/>
                    </w:rPr>
                    <w:t>2.5</w:t>
                  </w:r>
                </w:p>
              </w:tc>
              <w:tc>
                <w:tcPr>
                  <w:tcW w:w="312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年平均质量浓度</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lang w:val="en-US" w:eastAsia="zh-CN"/>
                    </w:rPr>
                  </w:pPr>
                  <w:r>
                    <w:rPr>
                      <w:rFonts w:hint="eastAsia" w:cs="Times New Roman"/>
                      <w:b w:val="0"/>
                      <w:bCs w:val="0"/>
                      <w:sz w:val="21"/>
                      <w:szCs w:val="21"/>
                      <w:u w:val="none"/>
                      <w:lang w:val="en-US" w:eastAsia="zh-CN"/>
                    </w:rPr>
                    <w:t>47</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35</w:t>
                  </w:r>
                </w:p>
              </w:tc>
              <w:tc>
                <w:tcPr>
                  <w:tcW w:w="10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sz w:val="21"/>
                      <w:szCs w:val="21"/>
                      <w:u w:val="none"/>
                      <w:lang w:val="en-US" w:eastAsia="zh-CN"/>
                    </w:rPr>
                    <w:t>1</w:t>
                  </w:r>
                  <w:r>
                    <w:rPr>
                      <w:rFonts w:hint="eastAsia" w:cs="Times New Roman"/>
                      <w:b w:val="0"/>
                      <w:bCs w:val="0"/>
                      <w:sz w:val="21"/>
                      <w:szCs w:val="21"/>
                      <w:u w:val="none"/>
                      <w:lang w:val="en-US" w:eastAsia="zh-CN"/>
                    </w:rPr>
                    <w:t>34.3</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PM</w:t>
                  </w:r>
                  <w:r>
                    <w:rPr>
                      <w:rFonts w:hint="default" w:ascii="Times New Roman" w:hAnsi="Times New Roman" w:cs="Times New Roman"/>
                      <w:b w:val="0"/>
                      <w:bCs w:val="0"/>
                      <w:sz w:val="21"/>
                      <w:szCs w:val="21"/>
                      <w:u w:val="none"/>
                      <w:vertAlign w:val="subscript"/>
                    </w:rPr>
                    <w:t>10</w:t>
                  </w:r>
                </w:p>
              </w:tc>
              <w:tc>
                <w:tcPr>
                  <w:tcW w:w="31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80</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70</w:t>
                  </w:r>
                </w:p>
              </w:tc>
              <w:tc>
                <w:tcPr>
                  <w:tcW w:w="10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114.3</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SO</w:t>
                  </w:r>
                  <w:r>
                    <w:rPr>
                      <w:rFonts w:hint="default" w:ascii="Times New Roman" w:hAnsi="Times New Roman" w:cs="Times New Roman"/>
                      <w:b w:val="0"/>
                      <w:bCs w:val="0"/>
                      <w:sz w:val="21"/>
                      <w:szCs w:val="21"/>
                      <w:u w:val="none"/>
                      <w:vertAlign w:val="subscript"/>
                    </w:rPr>
                    <w:t>2</w:t>
                  </w:r>
                </w:p>
              </w:tc>
              <w:tc>
                <w:tcPr>
                  <w:tcW w:w="31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7</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60</w:t>
                  </w:r>
                </w:p>
              </w:tc>
              <w:tc>
                <w:tcPr>
                  <w:tcW w:w="10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11.7</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NO</w:t>
                  </w:r>
                  <w:r>
                    <w:rPr>
                      <w:rFonts w:hint="default" w:ascii="Times New Roman" w:hAnsi="Times New Roman" w:cs="Times New Roman"/>
                      <w:b w:val="0"/>
                      <w:bCs w:val="0"/>
                      <w:sz w:val="21"/>
                      <w:szCs w:val="21"/>
                      <w:u w:val="none"/>
                      <w:vertAlign w:val="subscript"/>
                    </w:rPr>
                    <w:t>2</w:t>
                  </w:r>
                </w:p>
              </w:tc>
              <w:tc>
                <w:tcPr>
                  <w:tcW w:w="31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26</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40</w:t>
                  </w:r>
                </w:p>
              </w:tc>
              <w:tc>
                <w:tcPr>
                  <w:tcW w:w="10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65.0</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CO</w:t>
                  </w:r>
                </w:p>
              </w:tc>
              <w:tc>
                <w:tcPr>
                  <w:tcW w:w="31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24小时平均浓度第95百分位数</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1200</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4000</w:t>
                  </w:r>
                </w:p>
              </w:tc>
              <w:tc>
                <w:tcPr>
                  <w:tcW w:w="10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30.0</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O</w:t>
                  </w:r>
                  <w:r>
                    <w:rPr>
                      <w:rFonts w:hint="default" w:ascii="Times New Roman" w:hAnsi="Times New Roman" w:cs="Times New Roman"/>
                      <w:b w:val="0"/>
                      <w:bCs w:val="0"/>
                      <w:sz w:val="21"/>
                      <w:szCs w:val="21"/>
                      <w:u w:val="none"/>
                      <w:vertAlign w:val="subscript"/>
                    </w:rPr>
                    <w:t>3</w:t>
                  </w:r>
                </w:p>
              </w:tc>
              <w:tc>
                <w:tcPr>
                  <w:tcW w:w="31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日最大8小时滑动平均浓度值的第90百分位数</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171</w:t>
                  </w:r>
                </w:p>
              </w:tc>
              <w:tc>
                <w:tcPr>
                  <w:tcW w:w="11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160</w:t>
                  </w:r>
                </w:p>
              </w:tc>
              <w:tc>
                <w:tcPr>
                  <w:tcW w:w="10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106.9</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不达标</w:t>
                  </w:r>
                </w:p>
              </w:tc>
            </w:tr>
          </w:tbl>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b w:val="0"/>
                <w:bCs w:val="0"/>
                <w:sz w:val="24"/>
                <w:szCs w:val="24"/>
                <w:u w:val="none"/>
              </w:rPr>
            </w:pPr>
            <w:r>
              <w:rPr>
                <w:rFonts w:hint="default" w:ascii="Times New Roman" w:hAnsi="Times New Roman" w:eastAsia="宋体" w:cs="Times New Roman"/>
                <w:b w:val="0"/>
                <w:bCs w:val="0"/>
                <w:color w:val="000000"/>
                <w:kern w:val="0"/>
                <w:sz w:val="24"/>
                <w:szCs w:val="24"/>
                <w:u w:val="none"/>
                <w:lang w:val="en-US" w:eastAsia="zh-CN" w:bidi="ar"/>
              </w:rPr>
              <w:t>由上表可知，项目所在区域为SO</w:t>
            </w:r>
            <w:r>
              <w:rPr>
                <w:rFonts w:hint="default" w:ascii="Times New Roman" w:hAnsi="Times New Roman" w:eastAsia="宋体" w:cs="Times New Roman"/>
                <w:b w:val="0"/>
                <w:bCs w:val="0"/>
                <w:color w:val="000000"/>
                <w:kern w:val="0"/>
                <w:sz w:val="24"/>
                <w:szCs w:val="24"/>
                <w:u w:val="none"/>
                <w:vertAlign w:val="subscript"/>
                <w:lang w:val="en-US" w:eastAsia="zh-CN" w:bidi="ar"/>
              </w:rPr>
              <w:t>2</w:t>
            </w:r>
            <w:r>
              <w:rPr>
                <w:rFonts w:hint="default" w:ascii="Times New Roman" w:hAnsi="Times New Roman" w:eastAsia="宋体" w:cs="Times New Roman"/>
                <w:b w:val="0"/>
                <w:bCs w:val="0"/>
                <w:color w:val="000000"/>
                <w:kern w:val="0"/>
                <w:sz w:val="24"/>
                <w:szCs w:val="24"/>
                <w:u w:val="none"/>
                <w:lang w:val="en-US" w:eastAsia="zh-CN" w:bidi="ar"/>
              </w:rPr>
              <w:t>、NO</w:t>
            </w:r>
            <w:r>
              <w:rPr>
                <w:rFonts w:hint="default" w:ascii="Times New Roman" w:hAnsi="Times New Roman" w:eastAsia="宋体" w:cs="Times New Roman"/>
                <w:b w:val="0"/>
                <w:bCs w:val="0"/>
                <w:color w:val="000000"/>
                <w:kern w:val="0"/>
                <w:sz w:val="24"/>
                <w:szCs w:val="24"/>
                <w:u w:val="none"/>
                <w:vertAlign w:val="subscript"/>
                <w:lang w:val="en-US" w:eastAsia="zh-CN" w:bidi="ar"/>
              </w:rPr>
              <w:t>2</w:t>
            </w:r>
            <w:r>
              <w:rPr>
                <w:rFonts w:hint="default" w:ascii="Times New Roman" w:hAnsi="Times New Roman" w:eastAsia="宋体" w:cs="Times New Roman"/>
                <w:b w:val="0"/>
                <w:bCs w:val="0"/>
                <w:color w:val="000000"/>
                <w:kern w:val="0"/>
                <w:sz w:val="24"/>
                <w:szCs w:val="24"/>
                <w:u w:val="none"/>
                <w:lang w:val="en-US" w:eastAsia="zh-CN" w:bidi="ar"/>
              </w:rPr>
              <w:t>对应的年平均值、CO对应的第95百分位数浓度评价结果满足《环境空气质量标准》（GB3095-2012）中二级标准，PM</w:t>
            </w:r>
            <w:r>
              <w:rPr>
                <w:rFonts w:hint="default" w:ascii="Times New Roman" w:hAnsi="Times New Roman" w:eastAsia="宋体" w:cs="Times New Roman"/>
                <w:b w:val="0"/>
                <w:bCs w:val="0"/>
                <w:color w:val="000000"/>
                <w:kern w:val="0"/>
                <w:sz w:val="24"/>
                <w:szCs w:val="24"/>
                <w:u w:val="none"/>
                <w:vertAlign w:val="subscript"/>
                <w:lang w:val="en-US" w:eastAsia="zh-CN" w:bidi="ar"/>
              </w:rPr>
              <w:t>10</w:t>
            </w:r>
            <w:r>
              <w:rPr>
                <w:rFonts w:hint="default" w:ascii="Times New Roman" w:hAnsi="Times New Roman" w:eastAsia="宋体" w:cs="Times New Roman"/>
                <w:b w:val="0"/>
                <w:bCs w:val="0"/>
                <w:color w:val="000000"/>
                <w:kern w:val="0"/>
                <w:sz w:val="24"/>
                <w:szCs w:val="24"/>
                <w:u w:val="none"/>
                <w:lang w:val="en-US" w:eastAsia="zh-CN" w:bidi="ar"/>
              </w:rPr>
              <w:t>、PM</w:t>
            </w:r>
            <w:r>
              <w:rPr>
                <w:rFonts w:hint="default" w:ascii="Times New Roman" w:hAnsi="Times New Roman" w:eastAsia="宋体" w:cs="Times New Roman"/>
                <w:b w:val="0"/>
                <w:bCs w:val="0"/>
                <w:color w:val="000000"/>
                <w:kern w:val="0"/>
                <w:sz w:val="24"/>
                <w:szCs w:val="24"/>
                <w:u w:val="none"/>
                <w:vertAlign w:val="subscript"/>
                <w:lang w:val="en-US" w:eastAsia="zh-CN" w:bidi="ar"/>
              </w:rPr>
              <w:t>2.5</w:t>
            </w:r>
            <w:r>
              <w:rPr>
                <w:rFonts w:hint="default" w:ascii="Times New Roman" w:hAnsi="Times New Roman" w:eastAsia="宋体" w:cs="Times New Roman"/>
                <w:b w:val="0"/>
                <w:bCs w:val="0"/>
                <w:color w:val="000000"/>
                <w:kern w:val="0"/>
                <w:sz w:val="24"/>
                <w:szCs w:val="24"/>
                <w:u w:val="none"/>
                <w:lang w:val="en-US" w:eastAsia="zh-CN" w:bidi="ar"/>
              </w:rPr>
              <w:t>年平均值、O</w:t>
            </w:r>
            <w:r>
              <w:rPr>
                <w:rFonts w:hint="default" w:ascii="Times New Roman" w:hAnsi="Times New Roman" w:eastAsia="宋体" w:cs="Times New Roman"/>
                <w:b w:val="0"/>
                <w:bCs w:val="0"/>
                <w:color w:val="000000"/>
                <w:kern w:val="0"/>
                <w:sz w:val="24"/>
                <w:szCs w:val="24"/>
                <w:u w:val="none"/>
                <w:vertAlign w:val="subscript"/>
                <w:lang w:val="en-US" w:eastAsia="zh-CN" w:bidi="ar"/>
              </w:rPr>
              <w:t>3</w:t>
            </w:r>
            <w:r>
              <w:rPr>
                <w:rFonts w:hint="default" w:ascii="Times New Roman" w:hAnsi="Times New Roman" w:eastAsia="宋体" w:cs="Times New Roman"/>
                <w:b w:val="0"/>
                <w:bCs w:val="0"/>
                <w:color w:val="000000"/>
                <w:kern w:val="0"/>
                <w:sz w:val="24"/>
                <w:szCs w:val="24"/>
                <w:u w:val="none"/>
                <w:lang w:val="en-US" w:eastAsia="zh-CN" w:bidi="ar"/>
              </w:rPr>
              <w:t>平均质量浓度百分位浓度评价结果为不满足《环境空气质量标准》（GB3095-2012）中二级标准，综上项目所在区域为不达标区域。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b w:val="0"/>
                <w:bCs w:val="0"/>
                <w:color w:val="000000"/>
                <w:sz w:val="24"/>
                <w:szCs w:val="24"/>
                <w:u w:val="none"/>
              </w:rPr>
            </w:pPr>
            <w:r>
              <w:rPr>
                <w:rFonts w:hint="default" w:ascii="Times New Roman" w:hAnsi="Times New Roman" w:eastAsia="宋体" w:cs="Times New Roman"/>
                <w:b w:val="0"/>
                <w:bCs w:val="0"/>
                <w:color w:val="000000"/>
                <w:kern w:val="0"/>
                <w:sz w:val="24"/>
                <w:szCs w:val="24"/>
                <w:u w:val="none"/>
                <w:lang w:val="en-US" w:eastAsia="zh-CN" w:bidi="ar"/>
              </w:rPr>
              <w:t>为改善环境空气质量，洛阳市生态环境保护委员会办公室印发了</w:t>
            </w:r>
            <w:r>
              <w:rPr>
                <w:rFonts w:hint="eastAsia" w:ascii="Times New Roman" w:hAnsi="Times New Roman" w:eastAsia="宋体" w:cs="Times New Roman"/>
                <w:b w:val="0"/>
                <w:bCs w:val="0"/>
                <w:color w:val="000000"/>
                <w:kern w:val="0"/>
                <w:sz w:val="24"/>
                <w:szCs w:val="24"/>
                <w:u w:val="none"/>
                <w:lang w:val="en-US" w:eastAsia="zh-CN" w:bidi="ar"/>
              </w:rPr>
              <w:t>《洛阳市生态环境保护委员会办公室关于印发洛阳市</w:t>
            </w:r>
            <w:r>
              <w:rPr>
                <w:rFonts w:hint="default" w:ascii="Times New Roman" w:hAnsi="Times New Roman" w:eastAsia="宋体" w:cs="Times New Roman"/>
                <w:b w:val="0"/>
                <w:bCs w:val="0"/>
                <w:color w:val="000000"/>
                <w:kern w:val="0"/>
                <w:sz w:val="24"/>
                <w:szCs w:val="24"/>
                <w:u w:val="none"/>
                <w:lang w:val="en-US" w:eastAsia="zh-CN" w:bidi="ar"/>
              </w:rPr>
              <w:t>2023</w:t>
            </w:r>
            <w:r>
              <w:rPr>
                <w:rFonts w:hint="eastAsia" w:ascii="Times New Roman" w:hAnsi="Times New Roman" w:eastAsia="宋体" w:cs="Times New Roman"/>
                <w:b w:val="0"/>
                <w:bCs w:val="0"/>
                <w:color w:val="000000"/>
                <w:kern w:val="0"/>
                <w:sz w:val="24"/>
                <w:szCs w:val="24"/>
                <w:u w:val="none"/>
                <w:lang w:val="en-US" w:eastAsia="zh-CN" w:bidi="ar"/>
              </w:rPr>
              <w:t>年蓝天、碧水、净土保卫战实施方案的通知》（洛环委办〔</w:t>
            </w:r>
            <w:r>
              <w:rPr>
                <w:rFonts w:hint="default" w:ascii="Times New Roman" w:hAnsi="Times New Roman" w:eastAsia="宋体" w:cs="Times New Roman"/>
                <w:b w:val="0"/>
                <w:bCs w:val="0"/>
                <w:color w:val="000000"/>
                <w:kern w:val="0"/>
                <w:sz w:val="24"/>
                <w:szCs w:val="24"/>
                <w:u w:val="none"/>
                <w:lang w:val="en-US" w:eastAsia="zh-CN" w:bidi="ar"/>
              </w:rPr>
              <w:t>2023</w:t>
            </w:r>
            <w:r>
              <w:rPr>
                <w:rFonts w:hint="eastAsia" w:ascii="Times New Roman" w:hAnsi="Times New Roman" w:eastAsia="宋体" w:cs="Times New Roman"/>
                <w:b w:val="0"/>
                <w:bCs w:val="0"/>
                <w:color w:val="000000"/>
                <w:kern w:val="0"/>
                <w:sz w:val="24"/>
                <w:szCs w:val="24"/>
                <w:u w:val="none"/>
                <w:lang w:val="en-US" w:eastAsia="zh-CN" w:bidi="ar"/>
              </w:rPr>
              <w:t>〕</w:t>
            </w:r>
            <w:r>
              <w:rPr>
                <w:rFonts w:hint="default" w:ascii="Times New Roman" w:hAnsi="Times New Roman" w:eastAsia="宋体" w:cs="Times New Roman"/>
                <w:b w:val="0"/>
                <w:bCs w:val="0"/>
                <w:color w:val="000000"/>
                <w:kern w:val="0"/>
                <w:sz w:val="24"/>
                <w:szCs w:val="24"/>
                <w:u w:val="none"/>
                <w:lang w:val="en-US" w:eastAsia="zh-CN" w:bidi="ar"/>
              </w:rPr>
              <w:t>24</w:t>
            </w:r>
            <w:r>
              <w:rPr>
                <w:rFonts w:hint="eastAsia" w:ascii="Times New Roman" w:hAnsi="Times New Roman" w:eastAsia="宋体" w:cs="Times New Roman"/>
                <w:b w:val="0"/>
                <w:bCs w:val="0"/>
                <w:color w:val="000000"/>
                <w:kern w:val="0"/>
                <w:sz w:val="24"/>
                <w:szCs w:val="24"/>
                <w:u w:val="none"/>
                <w:lang w:val="en-US" w:eastAsia="zh-CN" w:bidi="ar"/>
              </w:rPr>
              <w:t>号）</w:t>
            </w:r>
            <w:r>
              <w:rPr>
                <w:rFonts w:hint="eastAsia" w:cs="Times New Roman"/>
                <w:b w:val="0"/>
                <w:bCs w:val="0"/>
                <w:color w:val="000000"/>
                <w:kern w:val="0"/>
                <w:sz w:val="24"/>
                <w:szCs w:val="24"/>
                <w:u w:val="none"/>
                <w:lang w:val="en-US" w:eastAsia="zh-CN" w:bidi="ar"/>
              </w:rPr>
              <w:t>，提出</w:t>
            </w:r>
            <w:r>
              <w:rPr>
                <w:rFonts w:hint="default" w:ascii="Times New Roman" w:hAnsi="Times New Roman" w:eastAsia="宋体" w:cs="Times New Roman"/>
                <w:b w:val="0"/>
                <w:bCs w:val="0"/>
                <w:color w:val="000000"/>
                <w:kern w:val="0"/>
                <w:sz w:val="24"/>
                <w:szCs w:val="24"/>
                <w:u w:val="none"/>
                <w:lang w:val="en-US" w:eastAsia="zh-CN" w:bidi="ar"/>
              </w:rPr>
              <w:t>全市环境空气质量改善指标达到省级下达我市的“十四五”目标时序进度要求，即环境空气质量细颗粒物（PM</w:t>
            </w:r>
            <w:r>
              <w:rPr>
                <w:rFonts w:hint="default" w:ascii="Times New Roman" w:hAnsi="Times New Roman" w:eastAsia="宋体" w:cs="Times New Roman"/>
                <w:b w:val="0"/>
                <w:bCs w:val="0"/>
                <w:color w:val="000000"/>
                <w:kern w:val="0"/>
                <w:sz w:val="24"/>
                <w:szCs w:val="24"/>
                <w:u w:val="none"/>
                <w:vertAlign w:val="subscript"/>
                <w:lang w:val="en-US" w:eastAsia="zh-CN" w:bidi="ar"/>
              </w:rPr>
              <w:t>2.5</w:t>
            </w:r>
            <w:r>
              <w:rPr>
                <w:rFonts w:hint="default" w:ascii="Times New Roman" w:hAnsi="Times New Roman" w:eastAsia="宋体" w:cs="Times New Roman"/>
                <w:b w:val="0"/>
                <w:bCs w:val="0"/>
                <w:color w:val="000000"/>
                <w:kern w:val="0"/>
                <w:sz w:val="24"/>
                <w:szCs w:val="24"/>
                <w:u w:val="none"/>
                <w:lang w:val="en-US" w:eastAsia="zh-CN" w:bidi="ar"/>
              </w:rPr>
              <w:t>）平均浓度控制在47微克/立方米以下，可吸入颗粒物（PM</w:t>
            </w:r>
            <w:r>
              <w:rPr>
                <w:rFonts w:hint="default" w:ascii="Times New Roman" w:hAnsi="Times New Roman" w:eastAsia="宋体" w:cs="Times New Roman"/>
                <w:b w:val="0"/>
                <w:bCs w:val="0"/>
                <w:color w:val="000000"/>
                <w:kern w:val="0"/>
                <w:sz w:val="24"/>
                <w:szCs w:val="24"/>
                <w:u w:val="none"/>
                <w:vertAlign w:val="subscript"/>
                <w:lang w:val="en-US" w:eastAsia="zh-CN" w:bidi="ar"/>
              </w:rPr>
              <w:t>10</w:t>
            </w:r>
            <w:r>
              <w:rPr>
                <w:rFonts w:hint="default" w:ascii="Times New Roman" w:hAnsi="Times New Roman" w:eastAsia="宋体" w:cs="Times New Roman"/>
                <w:b w:val="0"/>
                <w:bCs w:val="0"/>
                <w:color w:val="000000"/>
                <w:kern w:val="0"/>
                <w:sz w:val="24"/>
                <w:szCs w:val="24"/>
                <w:u w:val="none"/>
                <w:lang w:val="en-US" w:eastAsia="zh-CN" w:bidi="ar"/>
              </w:rPr>
              <w:t>）平均浓度控制在84微克/立方米以下，环境空气质量优良天数比例不低于64.7%，重污染天数比例控制在 2.0%以下</w:t>
            </w:r>
            <w:r>
              <w:rPr>
                <w:rFonts w:hint="eastAsia" w:cs="Times New Roman"/>
                <w:b w:val="0"/>
                <w:bCs w:val="0"/>
                <w:color w:val="000000"/>
                <w:kern w:val="0"/>
                <w:sz w:val="24"/>
                <w:szCs w:val="24"/>
                <w:u w:val="none"/>
                <w:lang w:val="en-US" w:eastAsia="zh-CN" w:bidi="ar"/>
              </w:rPr>
              <w:t>的目标</w:t>
            </w:r>
            <w:r>
              <w:rPr>
                <w:rFonts w:hint="default" w:ascii="Times New Roman" w:hAnsi="Times New Roman" w:eastAsia="宋体" w:cs="Times New Roman"/>
                <w:b w:val="0"/>
                <w:bCs w:val="0"/>
                <w:color w:val="000000"/>
                <w:kern w:val="0"/>
                <w:sz w:val="24"/>
                <w:szCs w:val="24"/>
                <w:u w:val="none"/>
                <w:lang w:val="en-US" w:eastAsia="zh-CN" w:bidi="ar"/>
              </w:rPr>
              <w:t>。</w:t>
            </w:r>
            <w:r>
              <w:rPr>
                <w:rFonts w:hint="eastAsia" w:cs="Times New Roman"/>
                <w:b w:val="0"/>
                <w:bCs w:val="0"/>
                <w:color w:val="000000"/>
                <w:kern w:val="0"/>
                <w:sz w:val="24"/>
                <w:szCs w:val="24"/>
                <w:u w:val="none"/>
                <w:lang w:val="en-US" w:eastAsia="zh-CN" w:bidi="ar"/>
              </w:rPr>
              <w:t>主要任务包括：</w:t>
            </w:r>
            <w:r>
              <w:rPr>
                <w:rFonts w:hint="default" w:ascii="Times New Roman" w:hAnsi="Times New Roman" w:eastAsia="宋体" w:cs="Times New Roman"/>
                <w:b w:val="0"/>
                <w:bCs w:val="0"/>
                <w:color w:val="000000"/>
                <w:kern w:val="0"/>
                <w:sz w:val="24"/>
                <w:szCs w:val="24"/>
                <w:u w:val="none"/>
                <w:lang w:val="en-US" w:eastAsia="zh-CN" w:bidi="ar"/>
              </w:rPr>
              <w:t>（一）持续推进产业结构优化调整</w:t>
            </w:r>
            <w:r>
              <w:rPr>
                <w:rFonts w:hint="eastAsia" w:cs="Times New Roman"/>
                <w:b w:val="0"/>
                <w:bCs w:val="0"/>
                <w:color w:val="000000"/>
                <w:kern w:val="0"/>
                <w:sz w:val="24"/>
                <w:szCs w:val="24"/>
                <w:u w:val="none"/>
                <w:lang w:val="en-US" w:eastAsia="zh-CN" w:bidi="ar"/>
              </w:rPr>
              <w:t>；</w:t>
            </w:r>
            <w:r>
              <w:rPr>
                <w:rFonts w:hint="default" w:ascii="Times New Roman" w:hAnsi="Times New Roman" w:eastAsia="宋体" w:cs="Times New Roman"/>
                <w:b w:val="0"/>
                <w:bCs w:val="0"/>
                <w:color w:val="000000"/>
                <w:kern w:val="0"/>
                <w:sz w:val="24"/>
                <w:szCs w:val="24"/>
                <w:u w:val="none"/>
                <w:lang w:val="en-US" w:eastAsia="zh-CN" w:bidi="ar"/>
              </w:rPr>
              <w:t>（二）深入推进能源结构调整</w:t>
            </w:r>
            <w:r>
              <w:rPr>
                <w:rFonts w:hint="eastAsia" w:cs="Times New Roman"/>
                <w:b w:val="0"/>
                <w:bCs w:val="0"/>
                <w:color w:val="000000"/>
                <w:kern w:val="0"/>
                <w:sz w:val="24"/>
                <w:szCs w:val="24"/>
                <w:u w:val="none"/>
                <w:lang w:val="en-US" w:eastAsia="zh-CN" w:bidi="ar"/>
              </w:rPr>
              <w:t>；</w:t>
            </w:r>
            <w:r>
              <w:rPr>
                <w:rFonts w:hint="default" w:ascii="Times New Roman" w:hAnsi="Times New Roman" w:eastAsia="宋体" w:cs="Times New Roman"/>
                <w:b w:val="0"/>
                <w:bCs w:val="0"/>
                <w:color w:val="000000"/>
                <w:kern w:val="0"/>
                <w:sz w:val="24"/>
                <w:szCs w:val="24"/>
                <w:u w:val="none"/>
                <w:lang w:val="en-US" w:eastAsia="zh-CN" w:bidi="ar"/>
              </w:rPr>
              <w:t>（三）持续加强交通运输结构调整</w:t>
            </w:r>
            <w:r>
              <w:rPr>
                <w:rFonts w:hint="eastAsia" w:cs="Times New Roman"/>
                <w:b w:val="0"/>
                <w:bCs w:val="0"/>
                <w:color w:val="000000"/>
                <w:kern w:val="0"/>
                <w:sz w:val="24"/>
                <w:szCs w:val="24"/>
                <w:u w:val="none"/>
                <w:lang w:val="en-US" w:eastAsia="zh-CN" w:bidi="ar"/>
              </w:rPr>
              <w:t>；</w:t>
            </w:r>
            <w:r>
              <w:rPr>
                <w:rFonts w:hint="default" w:ascii="Times New Roman" w:hAnsi="Times New Roman" w:eastAsia="宋体" w:cs="Times New Roman"/>
                <w:b w:val="0"/>
                <w:bCs w:val="0"/>
                <w:color w:val="000000"/>
                <w:kern w:val="0"/>
                <w:sz w:val="24"/>
                <w:szCs w:val="24"/>
                <w:u w:val="none"/>
                <w:lang w:val="en-US" w:eastAsia="zh-CN" w:bidi="ar"/>
              </w:rPr>
              <w:t>（四）强化面源污染治理</w:t>
            </w:r>
            <w:r>
              <w:rPr>
                <w:rFonts w:hint="eastAsia" w:cs="Times New Roman"/>
                <w:b w:val="0"/>
                <w:bCs w:val="0"/>
                <w:color w:val="000000"/>
                <w:kern w:val="0"/>
                <w:sz w:val="24"/>
                <w:szCs w:val="24"/>
                <w:u w:val="none"/>
                <w:lang w:val="en-US" w:eastAsia="zh-CN" w:bidi="ar"/>
              </w:rPr>
              <w:t>；</w:t>
            </w:r>
            <w:r>
              <w:rPr>
                <w:rFonts w:hint="default" w:ascii="Times New Roman" w:hAnsi="Times New Roman" w:eastAsia="宋体" w:cs="Times New Roman"/>
                <w:b w:val="0"/>
                <w:bCs w:val="0"/>
                <w:color w:val="000000"/>
                <w:kern w:val="0"/>
                <w:sz w:val="24"/>
                <w:szCs w:val="24"/>
                <w:u w:val="none"/>
                <w:lang w:val="en-US" w:eastAsia="zh-CN" w:bidi="ar"/>
              </w:rPr>
              <w:t>（五）推进工业企业综合治理</w:t>
            </w:r>
            <w:r>
              <w:rPr>
                <w:rFonts w:hint="eastAsia" w:cs="Times New Roman"/>
                <w:b w:val="0"/>
                <w:bCs w:val="0"/>
                <w:color w:val="000000"/>
                <w:kern w:val="0"/>
                <w:sz w:val="24"/>
                <w:szCs w:val="24"/>
                <w:u w:val="none"/>
                <w:lang w:val="en-US" w:eastAsia="zh-CN" w:bidi="ar"/>
              </w:rPr>
              <w:t>；</w:t>
            </w:r>
            <w:r>
              <w:rPr>
                <w:rFonts w:hint="default" w:ascii="Times New Roman" w:hAnsi="Times New Roman" w:eastAsia="宋体" w:cs="Times New Roman"/>
                <w:b w:val="0"/>
                <w:bCs w:val="0"/>
                <w:color w:val="000000"/>
                <w:kern w:val="0"/>
                <w:sz w:val="24"/>
                <w:szCs w:val="24"/>
                <w:u w:val="none"/>
                <w:lang w:val="en-US" w:eastAsia="zh-CN" w:bidi="ar"/>
              </w:rPr>
              <w:t>（六）加快挥发性有机物治理</w:t>
            </w:r>
            <w:r>
              <w:rPr>
                <w:rFonts w:hint="eastAsia" w:cs="Times New Roman"/>
                <w:b w:val="0"/>
                <w:bCs w:val="0"/>
                <w:color w:val="000000"/>
                <w:kern w:val="0"/>
                <w:sz w:val="24"/>
                <w:szCs w:val="24"/>
                <w:u w:val="none"/>
                <w:lang w:val="en-US" w:eastAsia="zh-CN" w:bidi="ar"/>
              </w:rPr>
              <w:t>；</w:t>
            </w:r>
            <w:r>
              <w:rPr>
                <w:rFonts w:hint="default" w:ascii="Times New Roman" w:hAnsi="Times New Roman" w:eastAsia="宋体" w:cs="Times New Roman"/>
                <w:b w:val="0"/>
                <w:bCs w:val="0"/>
                <w:color w:val="000000"/>
                <w:kern w:val="0"/>
                <w:sz w:val="24"/>
                <w:szCs w:val="24"/>
                <w:u w:val="none"/>
                <w:lang w:val="en-US" w:eastAsia="zh-CN" w:bidi="ar"/>
              </w:rPr>
              <w:t>（七）强化区域联防联控</w:t>
            </w:r>
            <w:r>
              <w:rPr>
                <w:rFonts w:hint="eastAsia" w:cs="Times New Roman"/>
                <w:b w:val="0"/>
                <w:bCs w:val="0"/>
                <w:color w:val="000000"/>
                <w:kern w:val="0"/>
                <w:sz w:val="24"/>
                <w:szCs w:val="24"/>
                <w:u w:val="none"/>
                <w:lang w:val="en-US" w:eastAsia="zh-CN" w:bidi="ar"/>
              </w:rPr>
              <w:t>；</w:t>
            </w:r>
            <w:r>
              <w:rPr>
                <w:rFonts w:hint="default" w:ascii="Times New Roman" w:hAnsi="Times New Roman" w:eastAsia="宋体" w:cs="Times New Roman"/>
                <w:b w:val="0"/>
                <w:bCs w:val="0"/>
                <w:color w:val="000000"/>
                <w:kern w:val="0"/>
                <w:sz w:val="24"/>
                <w:szCs w:val="24"/>
                <w:u w:val="none"/>
                <w:lang w:val="en-US" w:eastAsia="zh-CN" w:bidi="ar"/>
              </w:rPr>
              <w:t>（八）强化大气环境治理能力建设。在以上任务完成后，洛阳市环境空气质量将进一步改善。</w:t>
            </w:r>
          </w:p>
          <w:p>
            <w:pPr>
              <w:pStyle w:val="9"/>
              <w:spacing w:line="360" w:lineRule="auto"/>
              <w:ind w:firstLine="0" w:firstLineChars="0"/>
              <w:rPr>
                <w:b/>
                <w:bCs/>
                <w:u w:val="single"/>
              </w:rPr>
            </w:pPr>
            <w:r>
              <w:rPr>
                <w:b/>
                <w:bCs/>
                <w:color w:val="000000" w:themeColor="text1"/>
                <w:sz w:val="24"/>
                <w:szCs w:val="24"/>
                <w:u w:val="single"/>
                <w14:textFill>
                  <w14:solidFill>
                    <w14:schemeClr w14:val="tx1"/>
                  </w14:solidFill>
                </w14:textFill>
              </w:rPr>
              <w:t>1.</w:t>
            </w:r>
            <w:r>
              <w:rPr>
                <w:rFonts w:hint="eastAsia"/>
                <w:b/>
                <w:bCs/>
                <w:color w:val="000000" w:themeColor="text1"/>
                <w:sz w:val="24"/>
                <w:szCs w:val="24"/>
                <w:u w:val="single"/>
                <w14:textFill>
                  <w14:solidFill>
                    <w14:schemeClr w14:val="tx1"/>
                  </w14:solidFill>
                </w14:textFill>
              </w:rPr>
              <w:t>2</w:t>
            </w:r>
            <w:r>
              <w:rPr>
                <w:b/>
                <w:bCs/>
                <w:color w:val="000000" w:themeColor="text1"/>
                <w:sz w:val="24"/>
                <w:szCs w:val="24"/>
                <w:u w:val="single"/>
                <w14:textFill>
                  <w14:solidFill>
                    <w14:schemeClr w14:val="tx1"/>
                  </w14:solidFill>
                </w14:textFill>
              </w:rPr>
              <w:t xml:space="preserve"> </w:t>
            </w:r>
            <w:r>
              <w:rPr>
                <w:b/>
                <w:bCs/>
                <w:sz w:val="24"/>
                <w:szCs w:val="24"/>
                <w:u w:val="single"/>
              </w:rPr>
              <w:t>特征污染物环境质量现状评价</w:t>
            </w:r>
          </w:p>
          <w:p>
            <w:pPr>
              <w:pStyle w:val="9"/>
              <w:spacing w:line="360" w:lineRule="auto"/>
              <w:rPr>
                <w:rFonts w:hint="eastAsia"/>
              </w:rPr>
            </w:pPr>
            <w:r>
              <w:rPr>
                <w:rFonts w:hint="default" w:ascii="Times New Roman" w:hAnsi="Times New Roman" w:eastAsia="宋体" w:cs="Times New Roman"/>
                <w:b/>
                <w:bCs/>
                <w:color w:val="000000"/>
                <w:kern w:val="0"/>
                <w:sz w:val="24"/>
                <w:szCs w:val="24"/>
                <w:u w:val="single"/>
              </w:rPr>
              <w:t>本项目特征污染物为非甲烷总烃，因国家、地方环境空气质量标准中对该项污染物无标准</w:t>
            </w:r>
            <w:r>
              <w:rPr>
                <w:rFonts w:hint="default" w:ascii="Times New Roman" w:hAnsi="Times New Roman" w:eastAsia="宋体" w:cs="Times New Roman"/>
                <w:b/>
                <w:bCs/>
                <w:color w:val="000000"/>
                <w:kern w:val="0"/>
                <w:sz w:val="24"/>
                <w:szCs w:val="24"/>
                <w:u w:val="single"/>
                <w:lang w:eastAsia="zh-CN"/>
              </w:rPr>
              <w:t>，</w:t>
            </w:r>
            <w:r>
              <w:rPr>
                <w:rFonts w:hint="default" w:ascii="Times New Roman" w:hAnsi="Times New Roman" w:eastAsia="宋体" w:cs="Times New Roman"/>
                <w:b/>
                <w:bCs/>
                <w:color w:val="000000"/>
                <w:kern w:val="0"/>
                <w:sz w:val="24"/>
                <w:szCs w:val="24"/>
                <w:u w:val="single"/>
                <w:lang w:val="en-US" w:eastAsia="zh-CN"/>
              </w:rPr>
              <w:t>根据</w:t>
            </w:r>
            <w:r>
              <w:rPr>
                <w:rFonts w:hint="default" w:ascii="Times New Roman" w:hAnsi="Times New Roman" w:eastAsia="宋体" w:cs="Times New Roman"/>
                <w:b/>
                <w:bCs/>
                <w:color w:val="000000"/>
                <w:sz w:val="24"/>
                <w:szCs w:val="24"/>
                <w:u w:val="single"/>
              </w:rPr>
              <w:t>《建设项目环境影响报告表编制技术指南（污染影响类）》（试行）</w:t>
            </w:r>
            <w:r>
              <w:rPr>
                <w:rFonts w:hint="default" w:ascii="Times New Roman" w:hAnsi="Times New Roman" w:eastAsia="宋体" w:cs="Times New Roman"/>
                <w:b/>
                <w:bCs/>
                <w:color w:val="000000"/>
                <w:kern w:val="0"/>
                <w:sz w:val="24"/>
                <w:szCs w:val="24"/>
                <w:u w:val="single"/>
              </w:rPr>
              <w:t>不再调查该项污染物现状监测数据。</w:t>
            </w:r>
          </w:p>
          <w:p>
            <w:pPr>
              <w:spacing w:line="360" w:lineRule="auto"/>
              <w:rPr>
                <w:b/>
                <w:bCs/>
                <w:color w:val="000000" w:themeColor="text1"/>
                <w:sz w:val="24"/>
                <w:szCs w:val="32"/>
                <w14:textFill>
                  <w14:solidFill>
                    <w14:schemeClr w14:val="tx1"/>
                  </w14:solidFill>
                </w14:textFill>
              </w:rPr>
            </w:pPr>
            <w:r>
              <w:rPr>
                <w:rFonts w:hint="eastAsia"/>
                <w:b/>
                <w:bCs/>
                <w:color w:val="000000"/>
                <w:sz w:val="24"/>
                <w:szCs w:val="24"/>
                <w:lang w:val="en-US" w:eastAsia="zh-CN"/>
              </w:rPr>
              <w:t>2</w:t>
            </w:r>
            <w:r>
              <w:rPr>
                <w:rFonts w:hint="eastAsia"/>
                <w:b/>
                <w:bCs/>
                <w:color w:val="000000"/>
                <w:sz w:val="24"/>
                <w:szCs w:val="24"/>
              </w:rPr>
              <w:t>、</w:t>
            </w:r>
            <w:r>
              <w:rPr>
                <w:b/>
                <w:bCs/>
                <w:color w:val="000000" w:themeColor="text1"/>
                <w:sz w:val="24"/>
                <w:szCs w:val="32"/>
                <w14:textFill>
                  <w14:solidFill>
                    <w14:schemeClr w14:val="tx1"/>
                  </w14:solidFill>
                </w14:textFill>
              </w:rPr>
              <w:t>声环境质量</w:t>
            </w:r>
          </w:p>
          <w:p>
            <w:pPr>
              <w:spacing w:line="360" w:lineRule="auto"/>
              <w:ind w:firstLine="480" w:firstLineChars="200"/>
              <w:rPr>
                <w:b w:val="0"/>
                <w:bCs w:val="0"/>
                <w:color w:val="000000" w:themeColor="text1"/>
                <w:sz w:val="24"/>
                <w:szCs w:val="32"/>
                <w14:textFill>
                  <w14:solidFill>
                    <w14:schemeClr w14:val="tx1"/>
                  </w14:solidFill>
                </w14:textFill>
              </w:rPr>
            </w:pPr>
            <w:r>
              <w:rPr>
                <w:rFonts w:hint="eastAsia"/>
                <w:b w:val="0"/>
                <w:bCs w:val="0"/>
                <w:color w:val="000000" w:themeColor="text1"/>
                <w:sz w:val="24"/>
                <w:szCs w:val="32"/>
                <w14:textFill>
                  <w14:solidFill>
                    <w14:schemeClr w14:val="tx1"/>
                  </w14:solidFill>
                </w14:textFill>
              </w:rPr>
              <w:t>项目四周50米范围内无声环境敏感目标，</w:t>
            </w:r>
            <w:r>
              <w:rPr>
                <w:rFonts w:hint="default" w:ascii="Times New Roman" w:hAnsi="Times New Roman" w:cs="Times New Roman"/>
                <w:b w:val="0"/>
                <w:bCs w:val="0"/>
                <w:color w:val="000000"/>
                <w:kern w:val="0"/>
                <w:sz w:val="24"/>
                <w:szCs w:val="24"/>
                <w:u w:val="none"/>
                <w:lang w:val="en-US" w:eastAsia="zh-CN"/>
              </w:rPr>
              <w:t>故项目不需要进行声环境质量现状监测</w:t>
            </w:r>
            <w:r>
              <w:rPr>
                <w:rFonts w:hint="eastAsia"/>
                <w:b w:val="0"/>
                <w:bCs w:val="0"/>
                <w:color w:val="000000" w:themeColor="text1"/>
                <w:sz w:val="24"/>
                <w:szCs w:val="32"/>
                <w14:textFill>
                  <w14:solidFill>
                    <w14:schemeClr w14:val="tx1"/>
                  </w14:solidFill>
                </w14:textFill>
              </w:rPr>
              <w:t>。</w:t>
            </w:r>
          </w:p>
          <w:p>
            <w:pPr>
              <w:widowControl/>
              <w:spacing w:line="360" w:lineRule="auto"/>
              <w:rPr>
                <w:rFonts w:hint="default" w:ascii="Times New Roman" w:hAnsi="Times New Roman" w:cs="Times New Roman"/>
                <w:b/>
                <w:bCs/>
                <w:snapToGrid w:val="0"/>
                <w:sz w:val="24"/>
                <w:szCs w:val="24"/>
              </w:rPr>
            </w:pPr>
            <w:r>
              <w:rPr>
                <w:rFonts w:hint="default" w:ascii="Times New Roman" w:hAnsi="Times New Roman" w:cs="Times New Roman"/>
                <w:b/>
                <w:bCs/>
                <w:snapToGrid w:val="0"/>
                <w:sz w:val="24"/>
                <w:szCs w:val="24"/>
                <w:lang w:val="en-US" w:eastAsia="zh-CN"/>
              </w:rPr>
              <w:t>3</w:t>
            </w:r>
            <w:r>
              <w:rPr>
                <w:rFonts w:hint="default" w:ascii="Times New Roman" w:hAnsi="Times New Roman" w:cs="Times New Roman"/>
                <w:b/>
                <w:bCs/>
                <w:snapToGrid w:val="0"/>
                <w:sz w:val="24"/>
                <w:szCs w:val="24"/>
              </w:rPr>
              <w:t>、生态环境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FF0000"/>
                <w:kern w:val="0"/>
                <w:szCs w:val="21"/>
              </w:rPr>
            </w:pPr>
            <w:r>
              <w:rPr>
                <w:rFonts w:hint="eastAsia"/>
                <w:b w:val="0"/>
                <w:bCs w:val="0"/>
                <w:sz w:val="24"/>
                <w:szCs w:val="24"/>
              </w:rPr>
              <w:t>项目厂区位于洛阳市偃师区</w:t>
            </w:r>
            <w:r>
              <w:rPr>
                <w:rFonts w:hint="eastAsia"/>
                <w:b w:val="0"/>
                <w:bCs w:val="0"/>
                <w:sz w:val="24"/>
                <w:szCs w:val="24"/>
                <w:highlight w:val="none"/>
                <w:shd w:val="clear"/>
                <w:lang w:eastAsia="zh-CN"/>
              </w:rPr>
              <w:t>大口镇后周村</w:t>
            </w:r>
            <w:r>
              <w:rPr>
                <w:rFonts w:hint="eastAsia"/>
                <w:b w:val="0"/>
                <w:bCs w:val="0"/>
                <w:sz w:val="24"/>
                <w:szCs w:val="24"/>
                <w:highlight w:val="none"/>
                <w:shd w:val="clear"/>
              </w:rPr>
              <w:t>，属于工业园区内</w:t>
            </w:r>
            <w:r>
              <w:rPr>
                <w:rFonts w:hint="eastAsia"/>
                <w:b w:val="0"/>
                <w:bCs w:val="0"/>
                <w:sz w:val="24"/>
                <w:szCs w:val="24"/>
              </w:rPr>
              <w:t>，项目租赁现有闲置厂房进行建设，厂区周围多为企业，</w:t>
            </w:r>
            <w:r>
              <w:rPr>
                <w:rFonts w:hint="eastAsia"/>
                <w:b w:val="0"/>
                <w:bCs w:val="0"/>
                <w:kern w:val="0"/>
                <w:sz w:val="24"/>
                <w:szCs w:val="24"/>
              </w:rPr>
              <w:t>区域内有简单绿化，群落结构简单</w:t>
            </w:r>
            <w:r>
              <w:rPr>
                <w:rFonts w:hint="eastAsia"/>
                <w:b w:val="0"/>
                <w:bCs w:val="0"/>
                <w:sz w:val="24"/>
                <w:szCs w:val="24"/>
              </w:rPr>
              <w:t>，调查期间未发现珍稀野生动物以及受国家保护的动植物种类。总体而言，本区域生态环境质量较好。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800" w:type="dxa"/>
            <w:vAlign w:val="center"/>
          </w:tcPr>
          <w:p>
            <w:pPr>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环境</w:t>
            </w:r>
          </w:p>
          <w:p>
            <w:pPr>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保护</w:t>
            </w:r>
          </w:p>
          <w:p>
            <w:pPr>
              <w:adjustRightInd w:val="0"/>
              <w:snapToGrid w:val="0"/>
              <w:jc w:val="center"/>
              <w:rPr>
                <w:color w:val="FF0000"/>
                <w:kern w:val="0"/>
                <w:szCs w:val="21"/>
              </w:rPr>
            </w:pPr>
            <w:r>
              <w:rPr>
                <w:color w:val="000000" w:themeColor="text1"/>
                <w:kern w:val="0"/>
                <w:sz w:val="24"/>
                <w:szCs w:val="24"/>
                <w14:textFill>
                  <w14:solidFill>
                    <w14:schemeClr w14:val="tx1"/>
                  </w14:solidFill>
                </w14:textFill>
              </w:rPr>
              <w:t>目标</w:t>
            </w:r>
          </w:p>
        </w:tc>
        <w:tc>
          <w:tcPr>
            <w:tcW w:w="8190" w:type="dxa"/>
          </w:tcPr>
          <w:p>
            <w:pPr>
              <w:spacing w:line="360" w:lineRule="auto"/>
              <w:ind w:firstLine="480" w:firstLineChars="200"/>
              <w:rPr>
                <w:sz w:val="24"/>
                <w:szCs w:val="32"/>
              </w:rPr>
            </w:pPr>
            <w:r>
              <w:rPr>
                <w:rFonts w:hint="eastAsia"/>
                <w:sz w:val="24"/>
                <w:szCs w:val="32"/>
              </w:rPr>
              <w:t>根据现场踏勘可知，项目位于</w:t>
            </w:r>
            <w:r>
              <w:rPr>
                <w:rFonts w:hint="eastAsia"/>
                <w:sz w:val="24"/>
                <w:szCs w:val="24"/>
              </w:rPr>
              <w:t>偃师区</w:t>
            </w:r>
            <w:r>
              <w:rPr>
                <w:rFonts w:hint="eastAsia"/>
                <w:sz w:val="24"/>
                <w:szCs w:val="24"/>
                <w:highlight w:val="none"/>
                <w:shd w:val="clear"/>
                <w:lang w:eastAsia="zh-CN"/>
              </w:rPr>
              <w:t>大口镇后周村</w:t>
            </w:r>
            <w:r>
              <w:rPr>
                <w:rFonts w:hint="eastAsia"/>
                <w:sz w:val="24"/>
                <w:szCs w:val="32"/>
              </w:rPr>
              <w:t>；厂界外50米范围内无声环境保护目标；本项目周围主要环境保护目标见下表。</w:t>
            </w:r>
          </w:p>
          <w:p>
            <w:pPr>
              <w:jc w:val="center"/>
              <w:rPr>
                <w:sz w:val="24"/>
                <w:szCs w:val="32"/>
              </w:rPr>
            </w:pPr>
            <w:r>
              <w:rPr>
                <w:sz w:val="24"/>
                <w:szCs w:val="32"/>
              </w:rPr>
              <w:t>表3-</w:t>
            </w:r>
            <w:r>
              <w:rPr>
                <w:rFonts w:hint="eastAsia"/>
                <w:sz w:val="24"/>
                <w:szCs w:val="32"/>
                <w:lang w:val="en-US" w:eastAsia="zh-CN"/>
              </w:rPr>
              <w:t>2</w:t>
            </w:r>
            <w:r>
              <w:rPr>
                <w:sz w:val="24"/>
                <w:szCs w:val="32"/>
              </w:rPr>
              <w:t xml:space="preserve">  主要环境保护目标</w:t>
            </w:r>
          </w:p>
          <w:tbl>
            <w:tblPr>
              <w:tblStyle w:val="26"/>
              <w:tblW w:w="79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0"/>
              <w:gridCol w:w="1316"/>
              <w:gridCol w:w="1171"/>
              <w:gridCol w:w="705"/>
              <w:gridCol w:w="598"/>
              <w:gridCol w:w="772"/>
              <w:gridCol w:w="908"/>
              <w:gridCol w:w="1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483" w:type="pct"/>
                  <w:tcBorders>
                    <w:tl2br w:val="nil"/>
                    <w:tr2bl w:val="nil"/>
                  </w:tcBorders>
                  <w:vAlign w:val="center"/>
                </w:tcPr>
                <w:p>
                  <w:pPr>
                    <w:pStyle w:val="38"/>
                    <w:keepNext w:val="0"/>
                    <w:keepLines w:val="0"/>
                    <w:pageBreakBefore w:val="0"/>
                    <w:widowControl w:val="0"/>
                    <w:kinsoku/>
                    <w:wordWrap/>
                    <w:overflowPunct/>
                    <w:topLinePunct w:val="0"/>
                    <w:autoSpaceDE/>
                    <w:autoSpaceDN/>
                    <w:bidi w:val="0"/>
                    <w:spacing w:line="240" w:lineRule="auto"/>
                    <w:ind w:firstLine="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环境要素</w:t>
                  </w:r>
                </w:p>
              </w:tc>
              <w:tc>
                <w:tcPr>
                  <w:tcW w:w="825" w:type="pct"/>
                  <w:tcBorders>
                    <w:tl2br w:val="nil"/>
                    <w:tr2bl w:val="nil"/>
                  </w:tcBorders>
                  <w:vAlign w:val="center"/>
                </w:tcPr>
                <w:p>
                  <w:pPr>
                    <w:pStyle w:val="38"/>
                    <w:keepNext w:val="0"/>
                    <w:keepLines w:val="0"/>
                    <w:pageBreakBefore w:val="0"/>
                    <w:widowControl w:val="0"/>
                    <w:kinsoku/>
                    <w:wordWrap/>
                    <w:overflowPunct/>
                    <w:topLinePunct w:val="0"/>
                    <w:autoSpaceDE/>
                    <w:autoSpaceDN/>
                    <w:bidi w:val="0"/>
                    <w:spacing w:line="240" w:lineRule="auto"/>
                    <w:ind w:firstLine="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经度</w:t>
                  </w:r>
                </w:p>
              </w:tc>
              <w:tc>
                <w:tcPr>
                  <w:tcW w:w="734" w:type="pct"/>
                  <w:tcBorders>
                    <w:tl2br w:val="nil"/>
                    <w:tr2bl w:val="nil"/>
                  </w:tcBorders>
                  <w:vAlign w:val="center"/>
                </w:tcPr>
                <w:p>
                  <w:pPr>
                    <w:pStyle w:val="38"/>
                    <w:keepNext w:val="0"/>
                    <w:keepLines w:val="0"/>
                    <w:pageBreakBefore w:val="0"/>
                    <w:widowControl w:val="0"/>
                    <w:kinsoku/>
                    <w:wordWrap/>
                    <w:overflowPunct/>
                    <w:topLinePunct w:val="0"/>
                    <w:autoSpaceDE/>
                    <w:autoSpaceDN/>
                    <w:bidi w:val="0"/>
                    <w:spacing w:line="240" w:lineRule="auto"/>
                    <w:ind w:firstLine="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纬度</w:t>
                  </w:r>
                </w:p>
              </w:tc>
              <w:tc>
                <w:tcPr>
                  <w:tcW w:w="442" w:type="pct"/>
                  <w:tcBorders>
                    <w:tl2br w:val="nil"/>
                    <w:tr2bl w:val="nil"/>
                  </w:tcBorders>
                  <w:vAlign w:val="center"/>
                </w:tcPr>
                <w:p>
                  <w:pPr>
                    <w:pStyle w:val="38"/>
                    <w:keepNext w:val="0"/>
                    <w:keepLines w:val="0"/>
                    <w:pageBreakBefore w:val="0"/>
                    <w:widowControl w:val="0"/>
                    <w:kinsoku/>
                    <w:wordWrap/>
                    <w:overflowPunct/>
                    <w:topLinePunct w:val="0"/>
                    <w:autoSpaceDE/>
                    <w:autoSpaceDN/>
                    <w:bidi w:val="0"/>
                    <w:spacing w:line="240" w:lineRule="auto"/>
                    <w:ind w:firstLine="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名称</w:t>
                  </w:r>
                </w:p>
              </w:tc>
              <w:tc>
                <w:tcPr>
                  <w:tcW w:w="375" w:type="pct"/>
                  <w:tcBorders>
                    <w:tl2br w:val="nil"/>
                    <w:tr2bl w:val="nil"/>
                  </w:tcBorders>
                  <w:vAlign w:val="center"/>
                </w:tcPr>
                <w:p>
                  <w:pPr>
                    <w:pStyle w:val="38"/>
                    <w:keepNext w:val="0"/>
                    <w:keepLines w:val="0"/>
                    <w:pageBreakBefore w:val="0"/>
                    <w:widowControl w:val="0"/>
                    <w:kinsoku/>
                    <w:wordWrap/>
                    <w:overflowPunct/>
                    <w:topLinePunct w:val="0"/>
                    <w:autoSpaceDE/>
                    <w:autoSpaceDN/>
                    <w:bidi w:val="0"/>
                    <w:spacing w:line="240" w:lineRule="auto"/>
                    <w:ind w:firstLine="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保护对象</w:t>
                  </w:r>
                </w:p>
              </w:tc>
              <w:tc>
                <w:tcPr>
                  <w:tcW w:w="484" w:type="pct"/>
                  <w:tcBorders>
                    <w:tl2br w:val="nil"/>
                    <w:tr2bl w:val="nil"/>
                  </w:tcBorders>
                  <w:vAlign w:val="center"/>
                </w:tcPr>
                <w:p>
                  <w:pPr>
                    <w:pStyle w:val="38"/>
                    <w:keepNext w:val="0"/>
                    <w:keepLines w:val="0"/>
                    <w:pageBreakBefore w:val="0"/>
                    <w:widowControl w:val="0"/>
                    <w:kinsoku/>
                    <w:wordWrap/>
                    <w:overflowPunct/>
                    <w:topLinePunct w:val="0"/>
                    <w:autoSpaceDE/>
                    <w:autoSpaceDN/>
                    <w:bidi w:val="0"/>
                    <w:spacing w:line="240" w:lineRule="auto"/>
                    <w:ind w:firstLine="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相对厂址方位</w:t>
                  </w:r>
                </w:p>
              </w:tc>
              <w:tc>
                <w:tcPr>
                  <w:tcW w:w="569" w:type="pct"/>
                  <w:tcBorders>
                    <w:tl2br w:val="nil"/>
                    <w:tr2bl w:val="nil"/>
                  </w:tcBorders>
                  <w:vAlign w:val="center"/>
                </w:tcPr>
                <w:p>
                  <w:pPr>
                    <w:pStyle w:val="38"/>
                    <w:keepNext w:val="0"/>
                    <w:keepLines w:val="0"/>
                    <w:pageBreakBefore w:val="0"/>
                    <w:widowControl w:val="0"/>
                    <w:kinsoku/>
                    <w:wordWrap/>
                    <w:overflowPunct/>
                    <w:topLinePunct w:val="0"/>
                    <w:autoSpaceDE/>
                    <w:autoSpaceDN/>
                    <w:bidi w:val="0"/>
                    <w:spacing w:line="240" w:lineRule="auto"/>
                    <w:ind w:firstLine="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相对厂界距离</w:t>
                  </w:r>
                  <w:r>
                    <w:rPr>
                      <w:rFonts w:hint="default" w:ascii="Times New Roman" w:hAnsi="Times New Roman" w:eastAsia="宋体" w:cs="Times New Roman"/>
                      <w:b w:val="0"/>
                      <w:bCs w:val="0"/>
                      <w:sz w:val="21"/>
                      <w:szCs w:val="21"/>
                      <w:lang w:val="en-US"/>
                    </w:rPr>
                    <w:t>m</w:t>
                  </w:r>
                </w:p>
              </w:tc>
              <w:tc>
                <w:tcPr>
                  <w:tcW w:w="1084" w:type="pct"/>
                  <w:tcBorders>
                    <w:tl2br w:val="nil"/>
                    <w:tr2bl w:val="nil"/>
                  </w:tcBorders>
                  <w:vAlign w:val="center"/>
                </w:tcPr>
                <w:p>
                  <w:pPr>
                    <w:pStyle w:val="38"/>
                    <w:keepNext w:val="0"/>
                    <w:keepLines w:val="0"/>
                    <w:pageBreakBefore w:val="0"/>
                    <w:widowControl w:val="0"/>
                    <w:kinsoku/>
                    <w:wordWrap/>
                    <w:overflowPunct/>
                    <w:topLinePunct w:val="0"/>
                    <w:autoSpaceDE/>
                    <w:autoSpaceDN/>
                    <w:bidi w:val="0"/>
                    <w:spacing w:line="240" w:lineRule="auto"/>
                    <w:ind w:firstLine="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保护级别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48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环境空气</w:t>
                  </w:r>
                </w:p>
              </w:tc>
              <w:tc>
                <w:tcPr>
                  <w:tcW w:w="8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112.68015862</w:t>
                  </w:r>
                </w:p>
              </w:tc>
              <w:tc>
                <w:tcPr>
                  <w:tcW w:w="7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34.58656657</w:t>
                  </w:r>
                </w:p>
              </w:tc>
              <w:tc>
                <w:tcPr>
                  <w:tcW w:w="4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后周村</w:t>
                  </w:r>
                </w:p>
              </w:tc>
              <w:tc>
                <w:tcPr>
                  <w:tcW w:w="375" w:type="pct"/>
                  <w:vMerge w:val="restart"/>
                  <w:tcBorders>
                    <w:tl2br w:val="nil"/>
                    <w:tr2bl w:val="nil"/>
                  </w:tcBorders>
                  <w:vAlign w:val="center"/>
                </w:tcPr>
                <w:p>
                  <w:pPr>
                    <w:pStyle w:val="38"/>
                    <w:keepNext w:val="0"/>
                    <w:keepLines w:val="0"/>
                    <w:pageBreakBefore w:val="0"/>
                    <w:widowControl w:val="0"/>
                    <w:kinsoku/>
                    <w:wordWrap/>
                    <w:overflowPunct/>
                    <w:topLinePunct w:val="0"/>
                    <w:autoSpaceDE/>
                    <w:autoSpaceDN/>
                    <w:bidi w:val="0"/>
                    <w:spacing w:line="240" w:lineRule="auto"/>
                    <w:ind w:firstLine="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居民</w:t>
                  </w:r>
                </w:p>
              </w:tc>
              <w:tc>
                <w:tcPr>
                  <w:tcW w:w="484" w:type="pct"/>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firstLine="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东</w:t>
                  </w:r>
                </w:p>
              </w:tc>
              <w:tc>
                <w:tcPr>
                  <w:tcW w:w="569" w:type="pct"/>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firstLine="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50</w:t>
                  </w:r>
                  <w:r>
                    <w:rPr>
                      <w:rFonts w:hint="default" w:ascii="Times New Roman" w:hAnsi="Times New Roman" w:eastAsia="宋体" w:cs="Times New Roman"/>
                      <w:b w:val="0"/>
                      <w:bCs w:val="0"/>
                      <w:sz w:val="21"/>
                      <w:szCs w:val="21"/>
                    </w:rPr>
                    <w:t>0</w:t>
                  </w:r>
                </w:p>
              </w:tc>
              <w:tc>
                <w:tcPr>
                  <w:tcW w:w="108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firstLine="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《环境空气质量标准（GB3095-2012）二级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 w:hRule="atLeast"/>
              </w:trPr>
              <w:tc>
                <w:tcPr>
                  <w:tcW w:w="48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z w:val="21"/>
                      <w:szCs w:val="21"/>
                    </w:rPr>
                  </w:pPr>
                </w:p>
              </w:tc>
              <w:tc>
                <w:tcPr>
                  <w:tcW w:w="8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112.67084599</w:t>
                  </w:r>
                </w:p>
              </w:tc>
              <w:tc>
                <w:tcPr>
                  <w:tcW w:w="7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34.58649590</w:t>
                  </w:r>
                </w:p>
              </w:tc>
              <w:tc>
                <w:tcPr>
                  <w:tcW w:w="4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干村</w:t>
                  </w:r>
                </w:p>
              </w:tc>
              <w:tc>
                <w:tcPr>
                  <w:tcW w:w="375" w:type="pct"/>
                  <w:vMerge w:val="continue"/>
                  <w:tcBorders>
                    <w:tl2br w:val="nil"/>
                    <w:tr2bl w:val="nil"/>
                  </w:tcBorders>
                  <w:vAlign w:val="center"/>
                </w:tcPr>
                <w:p>
                  <w:pPr>
                    <w:pStyle w:val="38"/>
                    <w:keepNext w:val="0"/>
                    <w:keepLines w:val="0"/>
                    <w:pageBreakBefore w:val="0"/>
                    <w:widowControl w:val="0"/>
                    <w:kinsoku/>
                    <w:wordWrap/>
                    <w:overflowPunct/>
                    <w:topLinePunct w:val="0"/>
                    <w:autoSpaceDE/>
                    <w:autoSpaceDN/>
                    <w:bidi w:val="0"/>
                    <w:spacing w:line="240" w:lineRule="auto"/>
                    <w:ind w:firstLine="0"/>
                    <w:jc w:val="center"/>
                    <w:textAlignment w:val="auto"/>
                    <w:rPr>
                      <w:rFonts w:hint="default" w:ascii="Times New Roman" w:hAnsi="Times New Roman" w:eastAsia="宋体" w:cs="Times New Roman"/>
                      <w:b w:val="0"/>
                      <w:bCs w:val="0"/>
                      <w:sz w:val="21"/>
                      <w:szCs w:val="21"/>
                    </w:rPr>
                  </w:pPr>
                </w:p>
              </w:tc>
              <w:tc>
                <w:tcPr>
                  <w:tcW w:w="484" w:type="pct"/>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firstLine="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西北</w:t>
                  </w:r>
                </w:p>
              </w:tc>
              <w:tc>
                <w:tcPr>
                  <w:tcW w:w="569" w:type="pct"/>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firstLine="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310</w:t>
                  </w:r>
                </w:p>
              </w:tc>
              <w:tc>
                <w:tcPr>
                  <w:tcW w:w="10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firstLine="0"/>
                    <w:jc w:val="center"/>
                    <w:textAlignment w:val="auto"/>
                    <w:rPr>
                      <w:rFonts w:hint="default" w:ascii="Times New Roman" w:hAnsi="Times New Roman" w:eastAsia="宋体" w:cs="Times New Roman"/>
                      <w:b w:val="0"/>
                      <w:bCs w:val="0"/>
                      <w:sz w:val="21"/>
                      <w:szCs w:val="21"/>
                    </w:rPr>
                  </w:pPr>
                </w:p>
              </w:tc>
            </w:tr>
          </w:tbl>
          <w:p>
            <w:pPr>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00" w:type="dxa"/>
            <w:vAlign w:val="center"/>
          </w:tcPr>
          <w:p>
            <w:pPr>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污染</w:t>
            </w:r>
          </w:p>
          <w:p>
            <w:pPr>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物排</w:t>
            </w:r>
          </w:p>
          <w:p>
            <w:pPr>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放控</w:t>
            </w:r>
          </w:p>
          <w:p>
            <w:pPr>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制标</w:t>
            </w:r>
          </w:p>
          <w:p>
            <w:pPr>
              <w:adjustRightInd w:val="0"/>
              <w:snapToGrid w:val="0"/>
              <w:jc w:val="center"/>
              <w:rPr>
                <w:color w:val="000000" w:themeColor="text1"/>
                <w:kern w:val="0"/>
                <w:szCs w:val="21"/>
                <w14:textFill>
                  <w14:solidFill>
                    <w14:schemeClr w14:val="tx1"/>
                  </w14:solidFill>
                </w14:textFill>
              </w:rPr>
            </w:pPr>
            <w:r>
              <w:rPr>
                <w:color w:val="000000" w:themeColor="text1"/>
                <w:kern w:val="0"/>
                <w:sz w:val="24"/>
                <w:szCs w:val="24"/>
                <w14:textFill>
                  <w14:solidFill>
                    <w14:schemeClr w14:val="tx1"/>
                  </w14:solidFill>
                </w14:textFill>
              </w:rPr>
              <w:t>准</w:t>
            </w:r>
          </w:p>
        </w:tc>
        <w:tc>
          <w:tcPr>
            <w:tcW w:w="8190" w:type="dxa"/>
            <w:vAlign w:val="center"/>
          </w:tcPr>
          <w:p>
            <w:pPr>
              <w:jc w:val="center"/>
              <w:rPr>
                <w:rFonts w:hint="default" w:eastAsia="宋体"/>
                <w:color w:val="FF0000"/>
                <w:lang w:val="en-US" w:eastAsia="zh-CN"/>
              </w:rPr>
            </w:pPr>
            <w:r>
              <w:rPr>
                <w:sz w:val="24"/>
                <w:szCs w:val="32"/>
              </w:rPr>
              <w:t>表3-</w:t>
            </w:r>
            <w:r>
              <w:rPr>
                <w:rFonts w:hint="eastAsia"/>
                <w:sz w:val="24"/>
                <w:szCs w:val="32"/>
                <w:lang w:val="en-US" w:eastAsia="zh-CN"/>
              </w:rPr>
              <w:t>3</w:t>
            </w:r>
            <w:r>
              <w:rPr>
                <w:sz w:val="24"/>
                <w:szCs w:val="32"/>
              </w:rPr>
              <w:t xml:space="preserve">  </w:t>
            </w:r>
            <w:r>
              <w:rPr>
                <w:rFonts w:hint="eastAsia"/>
                <w:sz w:val="24"/>
                <w:szCs w:val="32"/>
                <w:lang w:val="en-US" w:eastAsia="zh-CN"/>
              </w:rPr>
              <w:t>污染物排放控制标准</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861"/>
              <w:gridCol w:w="1081"/>
              <w:gridCol w:w="3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43" w:type="pc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rPr>
                  </w:pPr>
                  <w:r>
                    <w:rPr>
                      <w:b w:val="0"/>
                      <w:bCs w:val="0"/>
                      <w:szCs w:val="21"/>
                    </w:rPr>
                    <w:t>污染物</w:t>
                  </w:r>
                </w:p>
              </w:tc>
              <w:tc>
                <w:tcPr>
                  <w:tcW w:w="1795" w:type="pc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rPr>
                  </w:pPr>
                  <w:r>
                    <w:rPr>
                      <w:b w:val="0"/>
                      <w:bCs w:val="0"/>
                      <w:szCs w:val="21"/>
                    </w:rPr>
                    <w:t>标准名称及级别</w:t>
                  </w:r>
                </w:p>
              </w:tc>
              <w:tc>
                <w:tcPr>
                  <w:tcW w:w="678" w:type="pc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rPr>
                  </w:pPr>
                  <w:r>
                    <w:rPr>
                      <w:b w:val="0"/>
                      <w:bCs w:val="0"/>
                      <w:szCs w:val="21"/>
                    </w:rPr>
                    <w:t>污染因子</w:t>
                  </w:r>
                </w:p>
              </w:tc>
              <w:tc>
                <w:tcPr>
                  <w:tcW w:w="1982" w:type="pc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rPr>
                  </w:pPr>
                  <w:r>
                    <w:rPr>
                      <w:b w:val="0"/>
                      <w:bCs w:val="0"/>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43" w:type="pct"/>
                  <w:vMerge w:val="restar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color w:val="FF0000"/>
                      <w:szCs w:val="21"/>
                    </w:rPr>
                  </w:pPr>
                  <w:r>
                    <w:rPr>
                      <w:rFonts w:hint="eastAsia"/>
                      <w:b w:val="0"/>
                      <w:bCs w:val="0"/>
                      <w:szCs w:val="21"/>
                    </w:rPr>
                    <w:t>废气</w:t>
                  </w:r>
                </w:p>
              </w:tc>
              <w:tc>
                <w:tcPr>
                  <w:tcW w:w="1795" w:type="pct"/>
                  <w:vMerge w:val="restart"/>
                  <w:tcBorders>
                    <w:tl2br w:val="nil"/>
                    <w:tr2bl w:val="nil"/>
                  </w:tcBorders>
                  <w:vAlign w:val="center"/>
                </w:tcPr>
                <w:p>
                  <w:pPr>
                    <w:pStyle w:val="23"/>
                    <w:keepNext w:val="0"/>
                    <w:keepLines w:val="0"/>
                    <w:pageBreakBefore w:val="0"/>
                    <w:kinsoku/>
                    <w:wordWrap/>
                    <w:overflowPunct/>
                    <w:topLinePunct w:val="0"/>
                    <w:bidi w:val="0"/>
                    <w:spacing w:before="0" w:beforeAutospacing="0" w:after="0" w:afterAutospacing="0" w:line="240" w:lineRule="auto"/>
                    <w:ind w:firstLine="0" w:firstLineChars="0"/>
                    <w:jc w:val="center"/>
                    <w:rPr>
                      <w:b w:val="0"/>
                      <w:bCs w:val="0"/>
                      <w:szCs w:val="21"/>
                    </w:rPr>
                  </w:pPr>
                  <w:r>
                    <w:rPr>
                      <w:rFonts w:ascii="Times New Roman" w:hAnsi="Times New Roman"/>
                      <w:b w:val="0"/>
                      <w:bCs w:val="0"/>
                      <w:sz w:val="21"/>
                      <w:szCs w:val="21"/>
                    </w:rPr>
                    <w:t>《大气污染物综合排放标准》（GB16297-1996）表2二级</w:t>
                  </w:r>
                </w:p>
              </w:tc>
              <w:tc>
                <w:tcPr>
                  <w:tcW w:w="678" w:type="pct"/>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rPr>
                      <w:b w:val="0"/>
                      <w:bCs w:val="0"/>
                      <w:szCs w:val="21"/>
                    </w:rPr>
                  </w:pPr>
                  <w:r>
                    <w:rPr>
                      <w:b w:val="0"/>
                      <w:bCs w:val="0"/>
                      <w:szCs w:val="21"/>
                    </w:rPr>
                    <w:t>非甲烷</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rPr>
                      <w:b w:val="0"/>
                      <w:bCs w:val="0"/>
                      <w:szCs w:val="21"/>
                    </w:rPr>
                  </w:pPr>
                  <w:r>
                    <w:rPr>
                      <w:b w:val="0"/>
                      <w:bCs w:val="0"/>
                      <w:szCs w:val="21"/>
                    </w:rPr>
                    <w:t>总烃</w:t>
                  </w:r>
                </w:p>
              </w:tc>
              <w:tc>
                <w:tcPr>
                  <w:tcW w:w="1982" w:type="pct"/>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rPr>
                      <w:b w:val="0"/>
                      <w:bCs w:val="0"/>
                      <w:szCs w:val="21"/>
                    </w:rPr>
                  </w:pPr>
                  <w:r>
                    <w:rPr>
                      <w:b w:val="0"/>
                      <w:bCs w:val="0"/>
                      <w:szCs w:val="21"/>
                    </w:rPr>
                    <w:t>15m高排气筒最高允许排放浓度120mg/m</w:t>
                  </w:r>
                  <w:r>
                    <w:rPr>
                      <w:b w:val="0"/>
                      <w:bCs w:val="0"/>
                      <w:szCs w:val="21"/>
                      <w:vertAlign w:val="superscript"/>
                    </w:rPr>
                    <w:t>3</w:t>
                  </w:r>
                  <w:r>
                    <w:rPr>
                      <w:b w:val="0"/>
                      <w:bCs w:val="0"/>
                      <w:szCs w:val="21"/>
                    </w:rPr>
                    <w:t>，排放速率10kg/h，无组织周界外浓度最高点4mg/m</w:t>
                  </w:r>
                  <w:r>
                    <w:rPr>
                      <w:b w:val="0"/>
                      <w:bCs w:val="0"/>
                      <w:szCs w:val="21"/>
                      <w:vertAlign w:val="superscript"/>
                    </w:rPr>
                    <w:t>3</w:t>
                  </w:r>
                  <w:r>
                    <w:rPr>
                      <w:b w:val="0"/>
                      <w:bCs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43" w:type="pct"/>
                  <w:vMerge w:val="continue"/>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rFonts w:hint="eastAsia"/>
                      <w:b w:val="0"/>
                      <w:bCs w:val="0"/>
                      <w:szCs w:val="21"/>
                    </w:rPr>
                  </w:pPr>
                </w:p>
              </w:tc>
              <w:tc>
                <w:tcPr>
                  <w:tcW w:w="1795" w:type="pct"/>
                  <w:vMerge w:val="continue"/>
                  <w:tcBorders>
                    <w:tl2br w:val="nil"/>
                    <w:tr2bl w:val="nil"/>
                  </w:tcBorders>
                  <w:vAlign w:val="center"/>
                </w:tcPr>
                <w:p>
                  <w:pPr>
                    <w:pStyle w:val="23"/>
                    <w:keepNext w:val="0"/>
                    <w:keepLines w:val="0"/>
                    <w:pageBreakBefore w:val="0"/>
                    <w:kinsoku/>
                    <w:wordWrap/>
                    <w:overflowPunct/>
                    <w:topLinePunct w:val="0"/>
                    <w:bidi w:val="0"/>
                    <w:spacing w:before="0" w:beforeAutospacing="0" w:after="0" w:afterAutospacing="0" w:line="240" w:lineRule="auto"/>
                    <w:ind w:firstLine="0" w:firstLineChars="0"/>
                    <w:jc w:val="center"/>
                    <w:rPr>
                      <w:rFonts w:ascii="Times New Roman" w:hAnsi="Times New Roman"/>
                      <w:b w:val="0"/>
                      <w:bCs w:val="0"/>
                      <w:sz w:val="21"/>
                      <w:szCs w:val="21"/>
                    </w:rPr>
                  </w:pPr>
                </w:p>
              </w:tc>
              <w:tc>
                <w:tcPr>
                  <w:tcW w:w="678" w:type="pct"/>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kern w:val="0"/>
                      <w:sz w:val="21"/>
                      <w:szCs w:val="21"/>
                      <w:u w:val="none"/>
                      <w:vertAlign w:val="baseline"/>
                      <w:lang w:eastAsia="zh-CN"/>
                    </w:rPr>
                    <w:t>颗粒物</w:t>
                  </w:r>
                </w:p>
              </w:tc>
              <w:tc>
                <w:tcPr>
                  <w:tcW w:w="1982" w:type="pct"/>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15m高排气筒最高允许排放浓度120mg/m</w:t>
                  </w:r>
                  <w:r>
                    <w:rPr>
                      <w:rFonts w:hint="default" w:ascii="Times New Roman" w:hAnsi="Times New Roman" w:cs="Times New Roman"/>
                      <w:b w:val="0"/>
                      <w:bCs w:val="0"/>
                      <w:sz w:val="21"/>
                      <w:szCs w:val="21"/>
                      <w:vertAlign w:val="superscript"/>
                    </w:rPr>
                    <w:t>3</w:t>
                  </w:r>
                  <w:r>
                    <w:rPr>
                      <w:rFonts w:hint="default" w:ascii="Times New Roman" w:hAnsi="Times New Roman" w:cs="Times New Roman"/>
                      <w:b w:val="0"/>
                      <w:bCs w:val="0"/>
                      <w:sz w:val="21"/>
                      <w:szCs w:val="21"/>
                    </w:rPr>
                    <w:t>，排放速率</w:t>
                  </w:r>
                  <w:r>
                    <w:rPr>
                      <w:rFonts w:hint="default" w:ascii="Times New Roman" w:hAnsi="Times New Roman" w:cs="Times New Roman"/>
                      <w:b w:val="0"/>
                      <w:bCs w:val="0"/>
                      <w:sz w:val="21"/>
                      <w:szCs w:val="21"/>
                      <w:lang w:val="en-US" w:eastAsia="zh-CN"/>
                    </w:rPr>
                    <w:t>3.5</w:t>
                  </w:r>
                  <w:r>
                    <w:rPr>
                      <w:rFonts w:hint="default" w:ascii="Times New Roman" w:hAnsi="Times New Roman" w:cs="Times New Roman"/>
                      <w:b w:val="0"/>
                      <w:bCs w:val="0"/>
                      <w:sz w:val="21"/>
                      <w:szCs w:val="21"/>
                    </w:rPr>
                    <w:t>kg/h，无组织周界外浓度最高点</w:t>
                  </w:r>
                  <w:r>
                    <w:rPr>
                      <w:rFonts w:hint="default" w:ascii="Times New Roman" w:hAnsi="Times New Roman" w:cs="Times New Roman"/>
                      <w:b w:val="0"/>
                      <w:bCs w:val="0"/>
                      <w:sz w:val="21"/>
                      <w:szCs w:val="21"/>
                      <w:lang w:val="en-US" w:eastAsia="zh-CN"/>
                    </w:rPr>
                    <w:t>1</w:t>
                  </w:r>
                  <w:r>
                    <w:rPr>
                      <w:rFonts w:hint="default" w:ascii="Times New Roman" w:hAnsi="Times New Roman" w:cs="Times New Roman"/>
                      <w:b w:val="0"/>
                      <w:bCs w:val="0"/>
                      <w:sz w:val="21"/>
                      <w:szCs w:val="21"/>
                    </w:rPr>
                    <w:t>mg/m</w:t>
                  </w:r>
                  <w:r>
                    <w:rPr>
                      <w:rFonts w:hint="default" w:ascii="Times New Roman" w:hAnsi="Times New Roman" w:cs="Times New Roman"/>
                      <w:b w:val="0"/>
                      <w:bCs w:val="0"/>
                      <w:sz w:val="21"/>
                      <w:szCs w:val="21"/>
                      <w:vertAlign w:val="superscript"/>
                    </w:rPr>
                    <w:t>3</w:t>
                  </w:r>
                  <w:r>
                    <w:rPr>
                      <w:rFonts w:hint="default" w:ascii="Times New Roman" w:hAnsi="Times New Roman" w:cs="Times New Roman"/>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3" w:type="pct"/>
                  <w:vMerge w:val="continue"/>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color w:val="FF0000"/>
                      <w:szCs w:val="21"/>
                    </w:rPr>
                  </w:pPr>
                </w:p>
              </w:tc>
              <w:tc>
                <w:tcPr>
                  <w:tcW w:w="1795" w:type="pct"/>
                  <w:vMerge w:val="restar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rPr>
                  </w:pPr>
                  <w:r>
                    <w:rPr>
                      <w:rFonts w:hint="eastAsia"/>
                      <w:b w:val="0"/>
                      <w:bCs w:val="0"/>
                      <w:szCs w:val="21"/>
                    </w:rPr>
                    <w:t>《工业炉窑大气污染物排放标准》（DB41/1066-2020）</w:t>
                  </w:r>
                </w:p>
              </w:tc>
              <w:tc>
                <w:tcPr>
                  <w:tcW w:w="678" w:type="pct"/>
                  <w:tcBorders>
                    <w:tl2br w:val="nil"/>
                    <w:tr2bl w:val="nil"/>
                  </w:tcBorders>
                  <w:vAlign w:val="center"/>
                </w:tcPr>
                <w:p>
                  <w:pPr>
                    <w:pStyle w:val="55"/>
                    <w:keepNext w:val="0"/>
                    <w:keepLines w:val="0"/>
                    <w:pageBreakBefore w:val="0"/>
                    <w:kinsoku/>
                    <w:wordWrap/>
                    <w:overflowPunct/>
                    <w:topLinePunct w:val="0"/>
                    <w:bidi w:val="0"/>
                    <w:snapToGrid w:val="0"/>
                    <w:spacing w:before="0" w:after="0" w:line="240" w:lineRule="auto"/>
                    <w:ind w:firstLine="0" w:firstLineChars="0"/>
                    <w:rPr>
                      <w:b w:val="0"/>
                      <w:bCs w:val="0"/>
                      <w:szCs w:val="21"/>
                    </w:rPr>
                  </w:pPr>
                  <w:r>
                    <w:rPr>
                      <w:b w:val="0"/>
                      <w:bCs w:val="0"/>
                      <w:szCs w:val="21"/>
                    </w:rPr>
                    <w:t>颗粒物</w:t>
                  </w:r>
                </w:p>
              </w:tc>
              <w:tc>
                <w:tcPr>
                  <w:tcW w:w="1982" w:type="pc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rPr>
                  </w:pPr>
                  <w:r>
                    <w:rPr>
                      <w:b w:val="0"/>
                      <w:bCs w:val="0"/>
                      <w:szCs w:val="21"/>
                    </w:rPr>
                    <w:t>有组织最高允许排放限值</w:t>
                  </w:r>
                  <w:r>
                    <w:rPr>
                      <w:rFonts w:hint="eastAsia"/>
                      <w:b w:val="0"/>
                      <w:bCs w:val="0"/>
                      <w:szCs w:val="21"/>
                    </w:rPr>
                    <w:t>30</w:t>
                  </w:r>
                  <w:r>
                    <w:rPr>
                      <w:b w:val="0"/>
                      <w:bCs w:val="0"/>
                      <w:szCs w:val="21"/>
                    </w:rPr>
                    <w:t>mg/m</w:t>
                  </w:r>
                  <w:r>
                    <w:rPr>
                      <w:b w:val="0"/>
                      <w:bCs w:val="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3" w:type="pct"/>
                  <w:vMerge w:val="continue"/>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color w:val="FF0000"/>
                      <w:szCs w:val="21"/>
                    </w:rPr>
                  </w:pPr>
                </w:p>
              </w:tc>
              <w:tc>
                <w:tcPr>
                  <w:tcW w:w="1795" w:type="pct"/>
                  <w:vMerge w:val="continue"/>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rPr>
                  </w:pPr>
                </w:p>
              </w:tc>
              <w:tc>
                <w:tcPr>
                  <w:tcW w:w="678" w:type="pct"/>
                  <w:tcBorders>
                    <w:tl2br w:val="nil"/>
                    <w:tr2bl w:val="nil"/>
                  </w:tcBorders>
                  <w:vAlign w:val="center"/>
                </w:tcPr>
                <w:p>
                  <w:pPr>
                    <w:pStyle w:val="55"/>
                    <w:keepNext w:val="0"/>
                    <w:keepLines w:val="0"/>
                    <w:pageBreakBefore w:val="0"/>
                    <w:kinsoku/>
                    <w:wordWrap/>
                    <w:overflowPunct/>
                    <w:topLinePunct w:val="0"/>
                    <w:bidi w:val="0"/>
                    <w:snapToGrid w:val="0"/>
                    <w:spacing w:before="0" w:after="0" w:line="240" w:lineRule="auto"/>
                    <w:ind w:firstLine="0" w:firstLineChars="0"/>
                    <w:rPr>
                      <w:b w:val="0"/>
                      <w:bCs w:val="0"/>
                      <w:szCs w:val="21"/>
                    </w:rPr>
                  </w:pPr>
                  <w:r>
                    <w:rPr>
                      <w:rFonts w:hint="eastAsia"/>
                      <w:b w:val="0"/>
                      <w:bCs w:val="0"/>
                      <w:szCs w:val="21"/>
                    </w:rPr>
                    <w:t>SO</w:t>
                  </w:r>
                  <w:r>
                    <w:rPr>
                      <w:rFonts w:hint="eastAsia"/>
                      <w:b w:val="0"/>
                      <w:bCs w:val="0"/>
                      <w:szCs w:val="21"/>
                      <w:vertAlign w:val="subscript"/>
                    </w:rPr>
                    <w:t>2</w:t>
                  </w:r>
                </w:p>
              </w:tc>
              <w:tc>
                <w:tcPr>
                  <w:tcW w:w="1982" w:type="pc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rPr>
                  </w:pPr>
                  <w:r>
                    <w:rPr>
                      <w:b w:val="0"/>
                      <w:bCs w:val="0"/>
                      <w:szCs w:val="21"/>
                    </w:rPr>
                    <w:t>有组织最高允许排放限值</w:t>
                  </w:r>
                  <w:r>
                    <w:rPr>
                      <w:rFonts w:hint="eastAsia"/>
                      <w:b w:val="0"/>
                      <w:bCs w:val="0"/>
                      <w:szCs w:val="21"/>
                    </w:rPr>
                    <w:t>200</w:t>
                  </w:r>
                  <w:r>
                    <w:rPr>
                      <w:b w:val="0"/>
                      <w:bCs w:val="0"/>
                      <w:szCs w:val="21"/>
                    </w:rPr>
                    <w:t>mg/m</w:t>
                  </w:r>
                  <w:r>
                    <w:rPr>
                      <w:b w:val="0"/>
                      <w:bCs w:val="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43" w:type="pct"/>
                  <w:vMerge w:val="continue"/>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color w:val="FF0000"/>
                      <w:szCs w:val="21"/>
                    </w:rPr>
                  </w:pPr>
                </w:p>
              </w:tc>
              <w:tc>
                <w:tcPr>
                  <w:tcW w:w="1795" w:type="pct"/>
                  <w:vMerge w:val="continue"/>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rPr>
                  </w:pPr>
                </w:p>
              </w:tc>
              <w:tc>
                <w:tcPr>
                  <w:tcW w:w="678" w:type="pct"/>
                  <w:tcBorders>
                    <w:tl2br w:val="nil"/>
                    <w:tr2bl w:val="nil"/>
                  </w:tcBorders>
                  <w:vAlign w:val="center"/>
                </w:tcPr>
                <w:p>
                  <w:pPr>
                    <w:pStyle w:val="55"/>
                    <w:keepNext w:val="0"/>
                    <w:keepLines w:val="0"/>
                    <w:pageBreakBefore w:val="0"/>
                    <w:kinsoku/>
                    <w:wordWrap/>
                    <w:overflowPunct/>
                    <w:topLinePunct w:val="0"/>
                    <w:bidi w:val="0"/>
                    <w:snapToGrid w:val="0"/>
                    <w:spacing w:before="0" w:after="0" w:line="240" w:lineRule="auto"/>
                    <w:ind w:firstLine="0" w:firstLineChars="0"/>
                    <w:rPr>
                      <w:b w:val="0"/>
                      <w:bCs w:val="0"/>
                      <w:szCs w:val="21"/>
                    </w:rPr>
                  </w:pPr>
                  <w:r>
                    <w:rPr>
                      <w:rFonts w:hint="eastAsia"/>
                      <w:b w:val="0"/>
                      <w:bCs w:val="0"/>
                      <w:szCs w:val="21"/>
                    </w:rPr>
                    <w:t>NO</w:t>
                  </w:r>
                  <w:r>
                    <w:rPr>
                      <w:rFonts w:hint="eastAsia"/>
                      <w:b w:val="0"/>
                      <w:bCs w:val="0"/>
                      <w:szCs w:val="21"/>
                      <w:vertAlign w:val="subscript"/>
                    </w:rPr>
                    <w:t>X</w:t>
                  </w:r>
                </w:p>
              </w:tc>
              <w:tc>
                <w:tcPr>
                  <w:tcW w:w="1982" w:type="pc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rPr>
                  </w:pPr>
                  <w:r>
                    <w:rPr>
                      <w:b w:val="0"/>
                      <w:bCs w:val="0"/>
                      <w:szCs w:val="21"/>
                    </w:rPr>
                    <w:t>有组织最高允许排放限值</w:t>
                  </w:r>
                  <w:r>
                    <w:rPr>
                      <w:rFonts w:hint="eastAsia"/>
                      <w:b w:val="0"/>
                      <w:bCs w:val="0"/>
                      <w:szCs w:val="21"/>
                    </w:rPr>
                    <w:t>300</w:t>
                  </w:r>
                  <w:r>
                    <w:rPr>
                      <w:b w:val="0"/>
                      <w:bCs w:val="0"/>
                      <w:szCs w:val="21"/>
                    </w:rPr>
                    <w:t>mg/m</w:t>
                  </w:r>
                  <w:r>
                    <w:rPr>
                      <w:b w:val="0"/>
                      <w:bCs w:val="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43" w:type="pct"/>
                  <w:vMerge w:val="continue"/>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color w:val="FF0000"/>
                      <w:szCs w:val="21"/>
                    </w:rPr>
                  </w:pPr>
                </w:p>
              </w:tc>
              <w:tc>
                <w:tcPr>
                  <w:tcW w:w="1795" w:type="pct"/>
                  <w:vMerge w:val="restar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highlight w:val="none"/>
                    </w:rPr>
                  </w:pPr>
                  <w:r>
                    <w:rPr>
                      <w:rFonts w:hint="eastAsia"/>
                      <w:b w:val="0"/>
                      <w:bCs w:val="0"/>
                      <w:szCs w:val="21"/>
                      <w:highlight w:val="none"/>
                    </w:rPr>
                    <w:t>《河南省重污染天气通用行业应急减排措施制定技术指南》中绩效分级指标中“涉锅炉/炉窑企业绩效分级指标”A级标准要求</w:t>
                  </w:r>
                </w:p>
              </w:tc>
              <w:tc>
                <w:tcPr>
                  <w:tcW w:w="678" w:type="pct"/>
                  <w:tcBorders>
                    <w:tl2br w:val="nil"/>
                    <w:tr2bl w:val="nil"/>
                  </w:tcBorders>
                  <w:vAlign w:val="center"/>
                </w:tcPr>
                <w:p>
                  <w:pPr>
                    <w:pStyle w:val="55"/>
                    <w:keepNext w:val="0"/>
                    <w:keepLines w:val="0"/>
                    <w:pageBreakBefore w:val="0"/>
                    <w:kinsoku/>
                    <w:wordWrap/>
                    <w:overflowPunct/>
                    <w:topLinePunct w:val="0"/>
                    <w:bidi w:val="0"/>
                    <w:snapToGrid w:val="0"/>
                    <w:spacing w:before="0" w:after="0" w:line="240" w:lineRule="auto"/>
                    <w:ind w:firstLine="0" w:firstLineChars="0"/>
                    <w:rPr>
                      <w:b w:val="0"/>
                      <w:bCs w:val="0"/>
                      <w:szCs w:val="21"/>
                      <w:highlight w:val="none"/>
                    </w:rPr>
                  </w:pPr>
                  <w:r>
                    <w:rPr>
                      <w:b w:val="0"/>
                      <w:bCs w:val="0"/>
                      <w:szCs w:val="21"/>
                      <w:highlight w:val="none"/>
                    </w:rPr>
                    <w:t>颗粒物</w:t>
                  </w:r>
                </w:p>
              </w:tc>
              <w:tc>
                <w:tcPr>
                  <w:tcW w:w="1982" w:type="pc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highlight w:val="none"/>
                    </w:rPr>
                  </w:pPr>
                  <w:r>
                    <w:rPr>
                      <w:b w:val="0"/>
                      <w:bCs w:val="0"/>
                      <w:szCs w:val="21"/>
                      <w:highlight w:val="none"/>
                    </w:rPr>
                    <w:t>有组织最高允许排放限值</w:t>
                  </w:r>
                  <w:r>
                    <w:rPr>
                      <w:rFonts w:hint="eastAsia"/>
                      <w:b w:val="0"/>
                      <w:bCs w:val="0"/>
                      <w:szCs w:val="21"/>
                      <w:highlight w:val="none"/>
                    </w:rPr>
                    <w:t>10</w:t>
                  </w:r>
                  <w:r>
                    <w:rPr>
                      <w:b w:val="0"/>
                      <w:bCs w:val="0"/>
                      <w:szCs w:val="21"/>
                      <w:highlight w:val="none"/>
                    </w:rPr>
                    <w:t>mg/m</w:t>
                  </w:r>
                  <w:r>
                    <w:rPr>
                      <w:b w:val="0"/>
                      <w:bCs w:val="0"/>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43" w:type="pct"/>
                  <w:vMerge w:val="continue"/>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color w:val="FF0000"/>
                      <w:szCs w:val="21"/>
                    </w:rPr>
                  </w:pPr>
                </w:p>
              </w:tc>
              <w:tc>
                <w:tcPr>
                  <w:tcW w:w="1795" w:type="pct"/>
                  <w:vMerge w:val="continue"/>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highlight w:val="none"/>
                    </w:rPr>
                  </w:pPr>
                </w:p>
              </w:tc>
              <w:tc>
                <w:tcPr>
                  <w:tcW w:w="678" w:type="pct"/>
                  <w:tcBorders>
                    <w:tl2br w:val="nil"/>
                    <w:tr2bl w:val="nil"/>
                  </w:tcBorders>
                  <w:vAlign w:val="center"/>
                </w:tcPr>
                <w:p>
                  <w:pPr>
                    <w:pStyle w:val="55"/>
                    <w:keepNext w:val="0"/>
                    <w:keepLines w:val="0"/>
                    <w:pageBreakBefore w:val="0"/>
                    <w:kinsoku/>
                    <w:wordWrap/>
                    <w:overflowPunct/>
                    <w:topLinePunct w:val="0"/>
                    <w:bidi w:val="0"/>
                    <w:snapToGrid w:val="0"/>
                    <w:spacing w:before="0" w:after="0" w:line="240" w:lineRule="auto"/>
                    <w:ind w:firstLine="0" w:firstLineChars="0"/>
                    <w:rPr>
                      <w:b w:val="0"/>
                      <w:bCs w:val="0"/>
                      <w:szCs w:val="21"/>
                      <w:highlight w:val="none"/>
                    </w:rPr>
                  </w:pPr>
                  <w:r>
                    <w:rPr>
                      <w:rFonts w:hint="eastAsia"/>
                      <w:b w:val="0"/>
                      <w:bCs w:val="0"/>
                      <w:szCs w:val="21"/>
                      <w:highlight w:val="none"/>
                    </w:rPr>
                    <w:t>SO</w:t>
                  </w:r>
                  <w:r>
                    <w:rPr>
                      <w:rFonts w:hint="eastAsia"/>
                      <w:b w:val="0"/>
                      <w:bCs w:val="0"/>
                      <w:szCs w:val="21"/>
                      <w:highlight w:val="none"/>
                      <w:vertAlign w:val="subscript"/>
                    </w:rPr>
                    <w:t>2</w:t>
                  </w:r>
                </w:p>
              </w:tc>
              <w:tc>
                <w:tcPr>
                  <w:tcW w:w="1982" w:type="pc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highlight w:val="none"/>
                    </w:rPr>
                  </w:pPr>
                  <w:r>
                    <w:rPr>
                      <w:b w:val="0"/>
                      <w:bCs w:val="0"/>
                      <w:szCs w:val="21"/>
                      <w:highlight w:val="none"/>
                    </w:rPr>
                    <w:t>有组织最高允许排放限值</w:t>
                  </w:r>
                  <w:r>
                    <w:rPr>
                      <w:rFonts w:hint="eastAsia"/>
                      <w:b w:val="0"/>
                      <w:bCs w:val="0"/>
                      <w:szCs w:val="21"/>
                      <w:highlight w:val="none"/>
                    </w:rPr>
                    <w:t>50</w:t>
                  </w:r>
                  <w:r>
                    <w:rPr>
                      <w:b w:val="0"/>
                      <w:bCs w:val="0"/>
                      <w:szCs w:val="21"/>
                      <w:highlight w:val="none"/>
                    </w:rPr>
                    <w:t>mg/m</w:t>
                  </w:r>
                  <w:r>
                    <w:rPr>
                      <w:b w:val="0"/>
                      <w:bCs w:val="0"/>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43" w:type="pct"/>
                  <w:vMerge w:val="continue"/>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color w:val="FF0000"/>
                      <w:szCs w:val="21"/>
                    </w:rPr>
                  </w:pPr>
                </w:p>
              </w:tc>
              <w:tc>
                <w:tcPr>
                  <w:tcW w:w="1795" w:type="pct"/>
                  <w:vMerge w:val="continue"/>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highlight w:val="none"/>
                    </w:rPr>
                  </w:pPr>
                </w:p>
              </w:tc>
              <w:tc>
                <w:tcPr>
                  <w:tcW w:w="678" w:type="pct"/>
                  <w:tcBorders>
                    <w:tl2br w:val="nil"/>
                    <w:tr2bl w:val="nil"/>
                  </w:tcBorders>
                  <w:vAlign w:val="center"/>
                </w:tcPr>
                <w:p>
                  <w:pPr>
                    <w:pStyle w:val="55"/>
                    <w:keepNext w:val="0"/>
                    <w:keepLines w:val="0"/>
                    <w:pageBreakBefore w:val="0"/>
                    <w:kinsoku/>
                    <w:wordWrap/>
                    <w:overflowPunct/>
                    <w:topLinePunct w:val="0"/>
                    <w:bidi w:val="0"/>
                    <w:snapToGrid w:val="0"/>
                    <w:spacing w:before="0" w:after="0" w:line="240" w:lineRule="auto"/>
                    <w:ind w:firstLine="0" w:firstLineChars="0"/>
                    <w:rPr>
                      <w:b w:val="0"/>
                      <w:bCs w:val="0"/>
                      <w:szCs w:val="21"/>
                      <w:highlight w:val="none"/>
                    </w:rPr>
                  </w:pPr>
                  <w:r>
                    <w:rPr>
                      <w:rFonts w:hint="eastAsia"/>
                      <w:b w:val="0"/>
                      <w:bCs w:val="0"/>
                      <w:szCs w:val="21"/>
                      <w:highlight w:val="none"/>
                    </w:rPr>
                    <w:t>NO</w:t>
                  </w:r>
                  <w:r>
                    <w:rPr>
                      <w:rFonts w:hint="eastAsia"/>
                      <w:b w:val="0"/>
                      <w:bCs w:val="0"/>
                      <w:szCs w:val="21"/>
                      <w:highlight w:val="none"/>
                      <w:vertAlign w:val="subscript"/>
                    </w:rPr>
                    <w:t>X</w:t>
                  </w:r>
                </w:p>
              </w:tc>
              <w:tc>
                <w:tcPr>
                  <w:tcW w:w="1982" w:type="pc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highlight w:val="none"/>
                    </w:rPr>
                  </w:pPr>
                  <w:r>
                    <w:rPr>
                      <w:b w:val="0"/>
                      <w:bCs w:val="0"/>
                      <w:szCs w:val="21"/>
                      <w:highlight w:val="none"/>
                    </w:rPr>
                    <w:t>有组织最高允许排放限值</w:t>
                  </w:r>
                  <w:r>
                    <w:rPr>
                      <w:rFonts w:hint="eastAsia"/>
                      <w:b w:val="0"/>
                      <w:bCs w:val="0"/>
                      <w:szCs w:val="21"/>
                      <w:highlight w:val="none"/>
                    </w:rPr>
                    <w:t>100</w:t>
                  </w:r>
                  <w:r>
                    <w:rPr>
                      <w:b w:val="0"/>
                      <w:bCs w:val="0"/>
                      <w:szCs w:val="21"/>
                      <w:highlight w:val="none"/>
                    </w:rPr>
                    <w:t>mg/m</w:t>
                  </w:r>
                  <w:r>
                    <w:rPr>
                      <w:b w:val="0"/>
                      <w:bCs w:val="0"/>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43" w:type="pct"/>
                  <w:vMerge w:val="continue"/>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color w:val="FF0000"/>
                      <w:szCs w:val="21"/>
                    </w:rPr>
                  </w:pPr>
                </w:p>
              </w:tc>
              <w:tc>
                <w:tcPr>
                  <w:tcW w:w="1795"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b w:val="0"/>
                      <w:bCs w:val="0"/>
                      <w:sz w:val="21"/>
                      <w:szCs w:val="21"/>
                      <w:u w:val="none"/>
                    </w:rPr>
                    <w:t>《工业涂装工序挥发性有机物排放标准》（DB41/1951-2020）</w:t>
                  </w:r>
                </w:p>
              </w:tc>
              <w:tc>
                <w:tcPr>
                  <w:tcW w:w="678"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b w:val="0"/>
                      <w:bCs w:val="0"/>
                      <w:kern w:val="0"/>
                      <w:sz w:val="21"/>
                      <w:szCs w:val="21"/>
                      <w:u w:val="none"/>
                    </w:rPr>
                  </w:pPr>
                  <w:r>
                    <w:rPr>
                      <w:rFonts w:hint="default" w:ascii="Times New Roman" w:hAnsi="Times New Roman" w:cs="Times New Roman"/>
                      <w:b w:val="0"/>
                      <w:bCs w:val="0"/>
                      <w:kern w:val="0"/>
                      <w:sz w:val="21"/>
                      <w:szCs w:val="21"/>
                      <w:u w:val="none"/>
                    </w:rPr>
                    <w:t>非甲烷</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b w:val="0"/>
                      <w:bCs w:val="0"/>
                      <w:kern w:val="0"/>
                      <w:sz w:val="21"/>
                      <w:szCs w:val="21"/>
                      <w:u w:val="none"/>
                      <w:lang w:val="en-US" w:eastAsia="zh-CN" w:bidi="ar-SA"/>
                    </w:rPr>
                  </w:pPr>
                  <w:r>
                    <w:rPr>
                      <w:rFonts w:hint="default" w:ascii="Times New Roman" w:hAnsi="Times New Roman" w:cs="Times New Roman"/>
                      <w:b w:val="0"/>
                      <w:bCs w:val="0"/>
                      <w:kern w:val="0"/>
                      <w:sz w:val="21"/>
                      <w:szCs w:val="21"/>
                      <w:u w:val="none"/>
                    </w:rPr>
                    <w:t>总烃</w:t>
                  </w:r>
                </w:p>
              </w:tc>
              <w:tc>
                <w:tcPr>
                  <w:tcW w:w="1982"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sz w:val="21"/>
                      <w:szCs w:val="21"/>
                      <w:highlight w:val="none"/>
                      <w:u w:val="none"/>
                      <w:lang w:val="en-US" w:eastAsia="zh-CN"/>
                    </w:rPr>
                    <w:t>有组织排放浓度为50mg/m</w:t>
                  </w:r>
                  <w:r>
                    <w:rPr>
                      <w:rFonts w:hint="default" w:ascii="Times New Roman" w:hAnsi="Times New Roman" w:eastAsia="宋体" w:cs="Times New Roman"/>
                      <w:b w:val="0"/>
                      <w:bCs w:val="0"/>
                      <w:sz w:val="21"/>
                      <w:szCs w:val="21"/>
                      <w:highlight w:val="none"/>
                      <w:u w:val="none"/>
                      <w:vertAlign w:val="superscript"/>
                      <w:lang w:val="en-US" w:eastAsia="zh-CN"/>
                    </w:rPr>
                    <w:t>3</w:t>
                  </w:r>
                  <w:r>
                    <w:rPr>
                      <w:rFonts w:hint="default" w:ascii="Times New Roman" w:hAnsi="Times New Roman" w:eastAsia="宋体" w:cs="Times New Roman"/>
                      <w:b w:val="0"/>
                      <w:bCs w:val="0"/>
                      <w:sz w:val="21"/>
                      <w:szCs w:val="21"/>
                      <w:highlight w:val="none"/>
                      <w:u w:val="none"/>
                      <w:vertAlign w:val="baseline"/>
                      <w:lang w:val="en-US" w:eastAsia="zh-CN"/>
                    </w:rPr>
                    <w:t>，</w:t>
                  </w:r>
                  <w:r>
                    <w:rPr>
                      <w:rFonts w:hint="default" w:ascii="Times New Roman" w:hAnsi="Times New Roman" w:eastAsia="宋体" w:cs="Times New Roman"/>
                      <w:b w:val="0"/>
                      <w:bCs w:val="0"/>
                      <w:sz w:val="21"/>
                      <w:szCs w:val="21"/>
                      <w:highlight w:val="none"/>
                      <w:u w:val="none"/>
                      <w:lang w:val="en-US" w:eastAsia="zh-CN"/>
                    </w:rPr>
                    <w:t>监控点处1h平均浓度限值6mg/m</w:t>
                  </w:r>
                  <w:r>
                    <w:rPr>
                      <w:rFonts w:hint="default" w:ascii="Times New Roman" w:hAnsi="Times New Roman" w:eastAsia="宋体" w:cs="Times New Roman"/>
                      <w:b w:val="0"/>
                      <w:bCs w:val="0"/>
                      <w:sz w:val="21"/>
                      <w:szCs w:val="21"/>
                      <w:highlight w:val="none"/>
                      <w:u w:val="none"/>
                      <w:vertAlign w:val="superscript"/>
                      <w:lang w:val="en-US" w:eastAsia="zh-CN"/>
                    </w:rPr>
                    <w:t>3</w:t>
                  </w:r>
                  <w:r>
                    <w:rPr>
                      <w:rFonts w:hint="default" w:ascii="Times New Roman" w:hAnsi="Times New Roman" w:eastAsia="宋体" w:cs="Times New Roman"/>
                      <w:b w:val="0"/>
                      <w:bCs w:val="0"/>
                      <w:sz w:val="21"/>
                      <w:szCs w:val="21"/>
                      <w:highlight w:val="none"/>
                      <w:u w:val="none"/>
                      <w:vertAlign w:val="baseline"/>
                      <w:lang w:val="en-US" w:eastAsia="zh-CN"/>
                    </w:rPr>
                    <w:t>，监控点处</w:t>
                  </w:r>
                  <w:r>
                    <w:rPr>
                      <w:rFonts w:hint="default" w:ascii="Times New Roman" w:hAnsi="Times New Roman" w:eastAsia="宋体" w:cs="Times New Roman"/>
                      <w:b w:val="0"/>
                      <w:bCs w:val="0"/>
                      <w:sz w:val="21"/>
                      <w:szCs w:val="21"/>
                      <w:highlight w:val="none"/>
                      <w:u w:val="none"/>
                      <w:lang w:val="en-US" w:eastAsia="zh-CN"/>
                    </w:rPr>
                    <w:t>任意一次浓度限值20mg/m</w:t>
                  </w:r>
                  <w:r>
                    <w:rPr>
                      <w:rFonts w:hint="default" w:ascii="Times New Roman" w:hAnsi="Times New Roman" w:eastAsia="宋体" w:cs="Times New Roman"/>
                      <w:b w:val="0"/>
                      <w:bCs w:val="0"/>
                      <w:sz w:val="21"/>
                      <w:szCs w:val="21"/>
                      <w:highlight w:val="none"/>
                      <w:u w:val="none"/>
                      <w:vertAlign w:val="superscript"/>
                      <w:lang w:val="en-US" w:eastAsia="zh-CN"/>
                    </w:rPr>
                    <w:t>3</w:t>
                  </w:r>
                  <w:r>
                    <w:rPr>
                      <w:rFonts w:hint="default" w:ascii="Times New Roman" w:hAnsi="Times New Roman" w:eastAsia="宋体" w:cs="Times New Roman"/>
                      <w:b w:val="0"/>
                      <w:bCs w:val="0"/>
                      <w:sz w:val="21"/>
                      <w:szCs w:val="21"/>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543" w:type="pct"/>
                  <w:vMerge w:val="continue"/>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color w:val="FF0000"/>
                      <w:szCs w:val="21"/>
                    </w:rPr>
                  </w:pPr>
                </w:p>
              </w:tc>
              <w:tc>
                <w:tcPr>
                  <w:tcW w:w="1795" w:type="pc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color w:val="FF0000"/>
                      <w:szCs w:val="21"/>
                    </w:rPr>
                  </w:pPr>
                  <w:r>
                    <w:rPr>
                      <w:b w:val="0"/>
                      <w:bCs w:val="0"/>
                      <w:szCs w:val="21"/>
                    </w:rPr>
                    <w:t>《关于全省开展工业企业挥发性有机物专项治理工作中排放建议值的通知》（豫环攻坚办【2017】162号）：其他行业有机废气排放要求</w:t>
                  </w:r>
                </w:p>
              </w:tc>
              <w:tc>
                <w:tcPr>
                  <w:tcW w:w="678" w:type="pc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rPr>
                  </w:pPr>
                  <w:r>
                    <w:rPr>
                      <w:b w:val="0"/>
                      <w:bCs w:val="0"/>
                      <w:szCs w:val="21"/>
                    </w:rPr>
                    <w:t>非甲烷</w:t>
                  </w:r>
                </w:p>
                <w:p>
                  <w:pPr>
                    <w:keepNext w:val="0"/>
                    <w:keepLines w:val="0"/>
                    <w:pageBreakBefore w:val="0"/>
                    <w:kinsoku/>
                    <w:wordWrap/>
                    <w:overflowPunct/>
                    <w:topLinePunct w:val="0"/>
                    <w:bidi w:val="0"/>
                    <w:spacing w:line="240" w:lineRule="auto"/>
                    <w:ind w:firstLine="0" w:firstLineChars="0"/>
                    <w:jc w:val="center"/>
                    <w:rPr>
                      <w:b w:val="0"/>
                      <w:bCs w:val="0"/>
                      <w:color w:val="FF0000"/>
                      <w:szCs w:val="21"/>
                    </w:rPr>
                  </w:pPr>
                  <w:r>
                    <w:rPr>
                      <w:b w:val="0"/>
                      <w:bCs w:val="0"/>
                      <w:szCs w:val="21"/>
                    </w:rPr>
                    <w:t>总烃</w:t>
                  </w:r>
                </w:p>
              </w:tc>
              <w:tc>
                <w:tcPr>
                  <w:tcW w:w="1982" w:type="pc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color w:val="FF0000"/>
                      <w:szCs w:val="21"/>
                    </w:rPr>
                  </w:pPr>
                  <w:r>
                    <w:rPr>
                      <w:b w:val="0"/>
                      <w:bCs w:val="0"/>
                      <w:szCs w:val="21"/>
                    </w:rPr>
                    <w:t>建议排放浓度值80mg/m</w:t>
                  </w:r>
                  <w:r>
                    <w:rPr>
                      <w:b w:val="0"/>
                      <w:bCs w:val="0"/>
                      <w:szCs w:val="21"/>
                      <w:vertAlign w:val="superscript"/>
                    </w:rPr>
                    <w:t>3</w:t>
                  </w:r>
                  <w:r>
                    <w:rPr>
                      <w:b w:val="0"/>
                      <w:bCs w:val="0"/>
                      <w:szCs w:val="21"/>
                    </w:rPr>
                    <w:t>，建议去除效率70%，无组织排放浓度建议值2.0mg/m</w:t>
                  </w:r>
                  <w:r>
                    <w:rPr>
                      <w:b w:val="0"/>
                      <w:bCs w:val="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3" w:type="pct"/>
                  <w:vMerge w:val="continue"/>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color w:val="FF0000"/>
                      <w:szCs w:val="21"/>
                    </w:rPr>
                  </w:pPr>
                </w:p>
              </w:tc>
              <w:tc>
                <w:tcPr>
                  <w:tcW w:w="1795" w:type="pct"/>
                  <w:tcBorders>
                    <w:tl2br w:val="nil"/>
                    <w:tr2bl w:val="nil"/>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rPr>
                      <w:b w:val="0"/>
                      <w:bCs w:val="0"/>
                      <w:szCs w:val="21"/>
                    </w:rPr>
                  </w:pPr>
                  <w:r>
                    <w:rPr>
                      <w:rFonts w:hint="eastAsia"/>
                      <w:b w:val="0"/>
                      <w:bCs w:val="0"/>
                      <w:szCs w:val="21"/>
                    </w:rPr>
                    <w:t>《挥发性有机物无组织排放控制标准》（GB37822-2019）附录A.1厂区内VOCs无组织排放限值</w:t>
                  </w:r>
                </w:p>
              </w:tc>
              <w:tc>
                <w:tcPr>
                  <w:tcW w:w="678" w:type="pct"/>
                  <w:tcBorders>
                    <w:tl2br w:val="nil"/>
                    <w:tr2bl w:val="nil"/>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rPr>
                      <w:b w:val="0"/>
                      <w:bCs w:val="0"/>
                      <w:szCs w:val="21"/>
                    </w:rPr>
                  </w:pPr>
                  <w:r>
                    <w:rPr>
                      <w:rFonts w:hint="eastAsia"/>
                      <w:b w:val="0"/>
                      <w:bCs w:val="0"/>
                      <w:szCs w:val="21"/>
                    </w:rPr>
                    <w:t>非甲烷总烃</w:t>
                  </w:r>
                </w:p>
              </w:tc>
              <w:tc>
                <w:tcPr>
                  <w:tcW w:w="1982" w:type="pct"/>
                  <w:tcBorders>
                    <w:tl2br w:val="nil"/>
                    <w:tr2bl w:val="nil"/>
                  </w:tcBorders>
                  <w:vAlign w:val="center"/>
                </w:tcPr>
                <w:p>
                  <w:pPr>
                    <w:keepNext w:val="0"/>
                    <w:keepLines w:val="0"/>
                    <w:pageBreakBefore w:val="0"/>
                    <w:kinsoku/>
                    <w:wordWrap/>
                    <w:overflowPunct/>
                    <w:topLinePunct w:val="0"/>
                    <w:autoSpaceDE w:val="0"/>
                    <w:autoSpaceDN w:val="0"/>
                    <w:bidi w:val="0"/>
                    <w:spacing w:line="240" w:lineRule="auto"/>
                    <w:ind w:firstLine="0" w:firstLineChars="0"/>
                    <w:jc w:val="center"/>
                    <w:rPr>
                      <w:b w:val="0"/>
                      <w:bCs w:val="0"/>
                      <w:szCs w:val="21"/>
                    </w:rPr>
                  </w:pPr>
                  <w:r>
                    <w:rPr>
                      <w:rFonts w:hint="eastAsia"/>
                      <w:b w:val="0"/>
                      <w:bCs w:val="0"/>
                      <w:szCs w:val="21"/>
                    </w:rPr>
                    <w:t>无组织监控点处1h平均浓度限值6</w:t>
                  </w:r>
                  <w:r>
                    <w:rPr>
                      <w:b w:val="0"/>
                      <w:bCs w:val="0"/>
                      <w:szCs w:val="21"/>
                    </w:rPr>
                    <w:t>mg/m</w:t>
                  </w:r>
                  <w:r>
                    <w:rPr>
                      <w:b w:val="0"/>
                      <w:bCs w:val="0"/>
                      <w:szCs w:val="21"/>
                      <w:vertAlign w:val="superscript"/>
                    </w:rPr>
                    <w:t>3</w:t>
                  </w:r>
                  <w:r>
                    <w:rPr>
                      <w:b w:val="0"/>
                      <w:bCs w:val="0"/>
                      <w:szCs w:val="21"/>
                    </w:rPr>
                    <w:t>，监控点处任意一次浓度限值</w:t>
                  </w:r>
                  <w:r>
                    <w:rPr>
                      <w:rFonts w:hint="eastAsia"/>
                      <w:b w:val="0"/>
                      <w:bCs w:val="0"/>
                      <w:szCs w:val="21"/>
                    </w:rPr>
                    <w:t>20</w:t>
                  </w:r>
                  <w:r>
                    <w:rPr>
                      <w:b w:val="0"/>
                      <w:bCs w:val="0"/>
                      <w:szCs w:val="21"/>
                    </w:rPr>
                    <w:t>mg/m</w:t>
                  </w:r>
                  <w:r>
                    <w:rPr>
                      <w:b w:val="0"/>
                      <w:bCs w:val="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543" w:type="pc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rPr>
                  </w:pPr>
                  <w:r>
                    <w:rPr>
                      <w:b w:val="0"/>
                      <w:bCs w:val="0"/>
                      <w:szCs w:val="21"/>
                    </w:rPr>
                    <w:t>噪声</w:t>
                  </w:r>
                </w:p>
              </w:tc>
              <w:tc>
                <w:tcPr>
                  <w:tcW w:w="1795" w:type="pc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rPr>
                  </w:pPr>
                  <w:r>
                    <w:rPr>
                      <w:b w:val="0"/>
                      <w:bCs w:val="0"/>
                      <w:szCs w:val="21"/>
                    </w:rPr>
                    <w:t>《工业企业厂界环境噪声排放标准》（GB12348-2008）中：</w:t>
                  </w:r>
                  <w:r>
                    <w:rPr>
                      <w:rFonts w:hint="eastAsia"/>
                      <w:b w:val="0"/>
                      <w:bCs w:val="0"/>
                      <w:szCs w:val="21"/>
                      <w:lang w:val="en-US" w:eastAsia="zh-CN"/>
                    </w:rPr>
                    <w:t>2</w:t>
                  </w:r>
                  <w:r>
                    <w:rPr>
                      <w:b w:val="0"/>
                      <w:bCs w:val="0"/>
                      <w:szCs w:val="21"/>
                    </w:rPr>
                    <w:t>类标准</w:t>
                  </w:r>
                </w:p>
              </w:tc>
              <w:tc>
                <w:tcPr>
                  <w:tcW w:w="678" w:type="pc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rPr>
                  </w:pPr>
                  <w:r>
                    <w:rPr>
                      <w:b w:val="0"/>
                      <w:bCs w:val="0"/>
                      <w:szCs w:val="21"/>
                    </w:rPr>
                    <w:t>等效声级</w:t>
                  </w:r>
                </w:p>
              </w:tc>
              <w:tc>
                <w:tcPr>
                  <w:tcW w:w="1982" w:type="pc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rPr>
                  </w:pPr>
                  <w:r>
                    <w:rPr>
                      <w:b w:val="0"/>
                      <w:bCs w:val="0"/>
                      <w:szCs w:val="21"/>
                    </w:rPr>
                    <w:t>昼间</w:t>
                  </w:r>
                  <w:r>
                    <w:rPr>
                      <w:rFonts w:hint="eastAsia"/>
                      <w:b w:val="0"/>
                      <w:bCs w:val="0"/>
                      <w:szCs w:val="21"/>
                      <w:lang w:eastAsia="zh-CN"/>
                    </w:rPr>
                    <w:t>：</w:t>
                  </w:r>
                  <w:r>
                    <w:rPr>
                      <w:rFonts w:hint="eastAsia"/>
                      <w:b w:val="0"/>
                      <w:bCs w:val="0"/>
                      <w:szCs w:val="21"/>
                      <w:lang w:val="en-US" w:eastAsia="zh-CN"/>
                    </w:rPr>
                    <w:t>60</w:t>
                  </w:r>
                  <w:r>
                    <w:rPr>
                      <w:b w:val="0"/>
                      <w:bCs w:val="0"/>
                      <w:szCs w:val="21"/>
                    </w:rPr>
                    <w:t>dB(A)、夜间</w:t>
                  </w:r>
                  <w:r>
                    <w:rPr>
                      <w:rFonts w:hint="eastAsia"/>
                      <w:b w:val="0"/>
                      <w:bCs w:val="0"/>
                      <w:szCs w:val="21"/>
                      <w:lang w:eastAsia="zh-CN"/>
                    </w:rPr>
                    <w:t>：</w:t>
                  </w:r>
                  <w:r>
                    <w:rPr>
                      <w:rFonts w:hint="eastAsia"/>
                      <w:b w:val="0"/>
                      <w:bCs w:val="0"/>
                      <w:szCs w:val="21"/>
                      <w:lang w:val="en-US" w:eastAsia="zh-CN"/>
                    </w:rPr>
                    <w:t>50</w:t>
                  </w:r>
                  <w:r>
                    <w:rPr>
                      <w:b w:val="0"/>
                      <w:bCs w:val="0"/>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43" w:type="pct"/>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center"/>
                    <w:rPr>
                      <w:b w:val="0"/>
                      <w:bCs w:val="0"/>
                      <w:szCs w:val="21"/>
                    </w:rPr>
                  </w:pPr>
                  <w:r>
                    <w:rPr>
                      <w:b w:val="0"/>
                      <w:bCs w:val="0"/>
                      <w:szCs w:val="21"/>
                    </w:rPr>
                    <w:t>固废</w:t>
                  </w:r>
                </w:p>
              </w:tc>
              <w:tc>
                <w:tcPr>
                  <w:tcW w:w="4456" w:type="pct"/>
                  <w:gridSpan w:val="3"/>
                  <w:tcBorders>
                    <w:tl2br w:val="nil"/>
                    <w:tr2bl w:val="nil"/>
                  </w:tcBorders>
                  <w:vAlign w:val="center"/>
                </w:tcPr>
                <w:p>
                  <w:pPr>
                    <w:keepNext w:val="0"/>
                    <w:keepLines w:val="0"/>
                    <w:pageBreakBefore w:val="0"/>
                    <w:kinsoku/>
                    <w:wordWrap/>
                    <w:overflowPunct/>
                    <w:topLinePunct w:val="0"/>
                    <w:bidi w:val="0"/>
                    <w:spacing w:line="240" w:lineRule="auto"/>
                    <w:ind w:firstLine="0" w:firstLineChars="0"/>
                    <w:jc w:val="left"/>
                    <w:rPr>
                      <w:b w:val="0"/>
                      <w:bCs w:val="0"/>
                      <w:szCs w:val="21"/>
                    </w:rPr>
                  </w:pPr>
                  <w:r>
                    <w:rPr>
                      <w:b w:val="0"/>
                      <w:bCs w:val="0"/>
                      <w:szCs w:val="21"/>
                    </w:rPr>
                    <w:t>《危险废物贮存污染控制标准》（GB18597-20</w:t>
                  </w:r>
                  <w:r>
                    <w:rPr>
                      <w:rFonts w:hint="eastAsia"/>
                      <w:b w:val="0"/>
                      <w:bCs w:val="0"/>
                      <w:szCs w:val="21"/>
                      <w:lang w:val="en-US" w:eastAsia="zh-CN"/>
                    </w:rPr>
                    <w:t>23</w:t>
                  </w:r>
                  <w:r>
                    <w:rPr>
                      <w:b w:val="0"/>
                      <w:bCs w:val="0"/>
                      <w:szCs w:val="21"/>
                    </w:rPr>
                    <w:t>）</w:t>
                  </w:r>
                  <w:r>
                    <w:rPr>
                      <w:b w:val="0"/>
                      <w:bCs w:val="0"/>
                      <w:szCs w:val="21"/>
                    </w:rPr>
                    <w:br w:type="textWrapping"/>
                  </w:r>
                  <w:r>
                    <w:rPr>
                      <w:color w:val="000000"/>
                      <w:sz w:val="21"/>
                      <w:szCs w:val="18"/>
                    </w:rPr>
                    <w:t>《一般工业固体废物贮存和填埋污染控制标准》（GB18599-2020）</w:t>
                  </w:r>
                </w:p>
              </w:tc>
            </w:tr>
          </w:tbl>
          <w:p>
            <w:pPr>
              <w:rPr>
                <w:rFonts w:hint="eastAsia" w:eastAsia="宋体"/>
                <w:color w:val="FF0000"/>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800" w:type="dxa"/>
            <w:vAlign w:val="center"/>
          </w:tcPr>
          <w:p>
            <w:pPr>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总量</w:t>
            </w:r>
          </w:p>
          <w:p>
            <w:pPr>
              <w:adjustRightInd w:val="0"/>
              <w:snapToGrid w:val="0"/>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控制</w:t>
            </w:r>
          </w:p>
          <w:p>
            <w:pPr>
              <w:adjustRightInd w:val="0"/>
              <w:snapToGrid w:val="0"/>
              <w:jc w:val="center"/>
              <w:rPr>
                <w:color w:val="000000" w:themeColor="text1"/>
                <w:kern w:val="0"/>
                <w:szCs w:val="21"/>
                <w14:textFill>
                  <w14:solidFill>
                    <w14:schemeClr w14:val="tx1"/>
                  </w14:solidFill>
                </w14:textFill>
              </w:rPr>
            </w:pPr>
            <w:r>
              <w:rPr>
                <w:color w:val="000000" w:themeColor="text1"/>
                <w:kern w:val="0"/>
                <w:sz w:val="24"/>
                <w:szCs w:val="24"/>
                <w14:textFill>
                  <w14:solidFill>
                    <w14:schemeClr w14:val="tx1"/>
                  </w14:solidFill>
                </w14:textFill>
              </w:rPr>
              <w:t>指标</w:t>
            </w:r>
          </w:p>
        </w:tc>
        <w:tc>
          <w:tcPr>
            <w:tcW w:w="8190" w:type="dxa"/>
          </w:tcPr>
          <w:p>
            <w:pPr>
              <w:adjustRightInd w:val="0"/>
              <w:snapToGrid w:val="0"/>
              <w:spacing w:line="360" w:lineRule="auto"/>
              <w:ind w:firstLine="480" w:firstLineChars="200"/>
              <w:rPr>
                <w:rFonts w:hint="eastAsia"/>
                <w:b w:val="0"/>
                <w:bCs w:val="0"/>
                <w:color w:val="000000" w:themeColor="text1"/>
                <w:sz w:val="24"/>
                <w:szCs w:val="32"/>
                <w:u w:val="none"/>
                <w14:textFill>
                  <w14:solidFill>
                    <w14:schemeClr w14:val="tx1"/>
                  </w14:solidFill>
                </w14:textFill>
              </w:rPr>
            </w:pPr>
            <w:r>
              <w:rPr>
                <w:rFonts w:hint="eastAsia"/>
                <w:b w:val="0"/>
                <w:bCs w:val="0"/>
                <w:color w:val="000000" w:themeColor="text1"/>
                <w:sz w:val="24"/>
                <w:szCs w:val="32"/>
                <w:u w:val="none"/>
                <w14:textFill>
                  <w14:solidFill>
                    <w14:schemeClr w14:val="tx1"/>
                  </w14:solidFill>
                </w14:textFill>
              </w:rPr>
              <w:t>根据环保部确定的污染物排放总量控制指标，结合本项目污染物特点，确定二氧化硫、氮氧化物、非甲烷总烃为本项目污染物总量控制因子。</w:t>
            </w:r>
          </w:p>
          <w:p>
            <w:pPr>
              <w:adjustRightInd w:val="0"/>
              <w:snapToGrid w:val="0"/>
              <w:spacing w:line="360" w:lineRule="auto"/>
              <w:ind w:firstLine="480" w:firstLineChars="200"/>
              <w:rPr>
                <w:rFonts w:hint="eastAsia"/>
                <w:b w:val="0"/>
                <w:bCs w:val="0"/>
                <w:color w:val="000000" w:themeColor="text1"/>
                <w:sz w:val="24"/>
                <w:szCs w:val="32"/>
                <w:highlight w:val="none"/>
                <w:u w:val="none"/>
                <w14:textFill>
                  <w14:solidFill>
                    <w14:schemeClr w14:val="tx1"/>
                  </w14:solidFill>
                </w14:textFill>
              </w:rPr>
            </w:pPr>
            <w:r>
              <w:rPr>
                <w:rFonts w:hint="eastAsia"/>
                <w:b w:val="0"/>
                <w:bCs w:val="0"/>
                <w:color w:val="000000" w:themeColor="text1"/>
                <w:sz w:val="24"/>
                <w:szCs w:val="32"/>
                <w:highlight w:val="none"/>
                <w:u w:val="none"/>
                <w14:textFill>
                  <w14:solidFill>
                    <w14:schemeClr w14:val="tx1"/>
                  </w14:solidFill>
                </w14:textFill>
              </w:rPr>
              <w:t>本项目废气总量控制指标为：SO</w:t>
            </w:r>
            <w:r>
              <w:rPr>
                <w:rFonts w:hint="eastAsia"/>
                <w:b w:val="0"/>
                <w:bCs w:val="0"/>
                <w:color w:val="000000" w:themeColor="text1"/>
                <w:sz w:val="24"/>
                <w:szCs w:val="32"/>
                <w:highlight w:val="none"/>
                <w:u w:val="none"/>
                <w:vertAlign w:val="subscript"/>
                <w14:textFill>
                  <w14:solidFill>
                    <w14:schemeClr w14:val="tx1"/>
                  </w14:solidFill>
                </w14:textFill>
              </w:rPr>
              <w:t>2</w:t>
            </w:r>
            <w:r>
              <w:rPr>
                <w:rFonts w:hint="eastAsia"/>
                <w:b w:val="0"/>
                <w:bCs w:val="0"/>
                <w:color w:val="000000" w:themeColor="text1"/>
                <w:sz w:val="24"/>
                <w:szCs w:val="32"/>
                <w:highlight w:val="none"/>
                <w:u w:val="none"/>
                <w14:textFill>
                  <w14:solidFill>
                    <w14:schemeClr w14:val="tx1"/>
                  </w14:solidFill>
                </w14:textFill>
              </w:rPr>
              <w:t>0.0</w:t>
            </w:r>
            <w:r>
              <w:rPr>
                <w:rFonts w:hint="eastAsia"/>
                <w:b w:val="0"/>
                <w:bCs w:val="0"/>
                <w:color w:val="000000" w:themeColor="text1"/>
                <w:sz w:val="24"/>
                <w:szCs w:val="32"/>
                <w:highlight w:val="none"/>
                <w:u w:val="none"/>
                <w:lang w:val="en-US" w:eastAsia="zh-CN"/>
                <w14:textFill>
                  <w14:solidFill>
                    <w14:schemeClr w14:val="tx1"/>
                  </w14:solidFill>
                </w14:textFill>
              </w:rPr>
              <w:t>105</w:t>
            </w:r>
            <w:r>
              <w:rPr>
                <w:rFonts w:hint="eastAsia"/>
                <w:b w:val="0"/>
                <w:bCs w:val="0"/>
                <w:color w:val="000000" w:themeColor="text1"/>
                <w:sz w:val="24"/>
                <w:szCs w:val="32"/>
                <w:highlight w:val="none"/>
                <w:u w:val="none"/>
                <w14:textFill>
                  <w14:solidFill>
                    <w14:schemeClr w14:val="tx1"/>
                  </w14:solidFill>
                </w14:textFill>
              </w:rPr>
              <w:t>t/a、NO</w:t>
            </w:r>
            <w:r>
              <w:rPr>
                <w:rFonts w:hint="eastAsia"/>
                <w:b w:val="0"/>
                <w:bCs w:val="0"/>
                <w:color w:val="000000" w:themeColor="text1"/>
                <w:sz w:val="24"/>
                <w:szCs w:val="32"/>
                <w:highlight w:val="none"/>
                <w:u w:val="none"/>
                <w:vertAlign w:val="subscript"/>
                <w14:textFill>
                  <w14:solidFill>
                    <w14:schemeClr w14:val="tx1"/>
                  </w14:solidFill>
                </w14:textFill>
              </w:rPr>
              <w:t>x</w:t>
            </w:r>
            <w:r>
              <w:rPr>
                <w:rFonts w:hint="eastAsia"/>
                <w:b w:val="0"/>
                <w:bCs w:val="0"/>
                <w:color w:val="000000" w:themeColor="text1"/>
                <w:sz w:val="24"/>
                <w:szCs w:val="32"/>
                <w:highlight w:val="none"/>
                <w:u w:val="none"/>
                <w14:textFill>
                  <w14:solidFill>
                    <w14:schemeClr w14:val="tx1"/>
                  </w14:solidFill>
                </w14:textFill>
              </w:rPr>
              <w:t>0.</w:t>
            </w:r>
            <w:r>
              <w:rPr>
                <w:rFonts w:hint="eastAsia"/>
                <w:b w:val="0"/>
                <w:bCs w:val="0"/>
                <w:color w:val="000000" w:themeColor="text1"/>
                <w:sz w:val="24"/>
                <w:szCs w:val="32"/>
                <w:highlight w:val="none"/>
                <w:u w:val="none"/>
                <w:lang w:val="en-US" w:eastAsia="zh-CN"/>
                <w14:textFill>
                  <w14:solidFill>
                    <w14:schemeClr w14:val="tx1"/>
                  </w14:solidFill>
                </w14:textFill>
              </w:rPr>
              <w:t>1579</w:t>
            </w:r>
            <w:r>
              <w:rPr>
                <w:rFonts w:hint="eastAsia"/>
                <w:b w:val="0"/>
                <w:bCs w:val="0"/>
                <w:color w:val="000000" w:themeColor="text1"/>
                <w:sz w:val="24"/>
                <w:szCs w:val="32"/>
                <w:highlight w:val="none"/>
                <w:u w:val="none"/>
                <w14:textFill>
                  <w14:solidFill>
                    <w14:schemeClr w14:val="tx1"/>
                  </w14:solidFill>
                </w14:textFill>
              </w:rPr>
              <w:t>t/a，VOC</w:t>
            </w:r>
            <w:r>
              <w:rPr>
                <w:rFonts w:hint="eastAsia"/>
                <w:b w:val="0"/>
                <w:bCs w:val="0"/>
                <w:color w:val="000000" w:themeColor="text1"/>
                <w:sz w:val="24"/>
                <w:szCs w:val="32"/>
                <w:highlight w:val="none"/>
                <w:u w:val="none"/>
                <w:vertAlign w:val="subscript"/>
                <w14:textFill>
                  <w14:solidFill>
                    <w14:schemeClr w14:val="tx1"/>
                  </w14:solidFill>
                </w14:textFill>
              </w:rPr>
              <w:t>S</w:t>
            </w:r>
            <w:r>
              <w:rPr>
                <w:rFonts w:hint="eastAsia"/>
                <w:b w:val="0"/>
                <w:bCs w:val="0"/>
                <w:color w:val="000000" w:themeColor="text1"/>
                <w:sz w:val="24"/>
                <w:szCs w:val="32"/>
                <w:highlight w:val="none"/>
                <w:u w:val="none"/>
                <w14:textFill>
                  <w14:solidFill>
                    <w14:schemeClr w14:val="tx1"/>
                  </w14:solidFill>
                </w14:textFill>
              </w:rPr>
              <w:t>0.</w:t>
            </w:r>
            <w:r>
              <w:rPr>
                <w:rFonts w:hint="eastAsia"/>
                <w:b w:val="0"/>
                <w:bCs w:val="0"/>
                <w:color w:val="000000" w:themeColor="text1"/>
                <w:sz w:val="24"/>
                <w:szCs w:val="32"/>
                <w:highlight w:val="none"/>
                <w:u w:val="none"/>
                <w:lang w:val="en-US" w:eastAsia="zh-CN"/>
                <w14:textFill>
                  <w14:solidFill>
                    <w14:schemeClr w14:val="tx1"/>
                  </w14:solidFill>
                </w14:textFill>
              </w:rPr>
              <w:t>0068</w:t>
            </w:r>
            <w:r>
              <w:rPr>
                <w:rFonts w:hint="eastAsia"/>
                <w:b w:val="0"/>
                <w:bCs w:val="0"/>
                <w:color w:val="000000" w:themeColor="text1"/>
                <w:sz w:val="24"/>
                <w:szCs w:val="32"/>
                <w:highlight w:val="none"/>
                <w:u w:val="none"/>
                <w14:textFill>
                  <w14:solidFill>
                    <w14:schemeClr w14:val="tx1"/>
                  </w14:solidFill>
                </w14:textFill>
              </w:rPr>
              <w:t>t/a。非甲烷总烃替代来源为偃师区202</w:t>
            </w:r>
            <w:r>
              <w:rPr>
                <w:rFonts w:hint="eastAsia"/>
                <w:b w:val="0"/>
                <w:bCs w:val="0"/>
                <w:color w:val="000000" w:themeColor="text1"/>
                <w:sz w:val="24"/>
                <w:szCs w:val="32"/>
                <w:highlight w:val="none"/>
                <w:u w:val="none"/>
                <w:lang w:val="en-US" w:eastAsia="zh-CN"/>
                <w14:textFill>
                  <w14:solidFill>
                    <w14:schemeClr w14:val="tx1"/>
                  </w14:solidFill>
                </w14:textFill>
              </w:rPr>
              <w:t>2</w:t>
            </w:r>
            <w:r>
              <w:rPr>
                <w:rFonts w:hint="eastAsia"/>
                <w:b w:val="0"/>
                <w:bCs w:val="0"/>
                <w:color w:val="000000" w:themeColor="text1"/>
                <w:sz w:val="24"/>
                <w:szCs w:val="32"/>
                <w:highlight w:val="none"/>
                <w:u w:val="none"/>
                <w14:textFill>
                  <w14:solidFill>
                    <w14:schemeClr w14:val="tx1"/>
                  </w14:solidFill>
                </w14:textFill>
              </w:rPr>
              <w:t>年减排档案中的VOCs减排量。SO</w:t>
            </w:r>
            <w:r>
              <w:rPr>
                <w:rFonts w:hint="eastAsia"/>
                <w:b w:val="0"/>
                <w:bCs w:val="0"/>
                <w:color w:val="000000" w:themeColor="text1"/>
                <w:sz w:val="24"/>
                <w:szCs w:val="32"/>
                <w:highlight w:val="none"/>
                <w:u w:val="none"/>
                <w:vertAlign w:val="subscript"/>
                <w14:textFill>
                  <w14:solidFill>
                    <w14:schemeClr w14:val="tx1"/>
                  </w14:solidFill>
                </w14:textFill>
              </w:rPr>
              <w:t>2</w:t>
            </w:r>
            <w:r>
              <w:rPr>
                <w:rFonts w:hint="eastAsia"/>
                <w:b w:val="0"/>
                <w:bCs w:val="0"/>
                <w:color w:val="000000" w:themeColor="text1"/>
                <w:sz w:val="24"/>
                <w:szCs w:val="32"/>
                <w:highlight w:val="none"/>
                <w:u w:val="none"/>
                <w14:textFill>
                  <w14:solidFill>
                    <w14:schemeClr w14:val="tx1"/>
                  </w14:solidFill>
                </w14:textFill>
              </w:rPr>
              <w:t>、NO</w:t>
            </w:r>
            <w:r>
              <w:rPr>
                <w:rFonts w:hint="eastAsia"/>
                <w:b w:val="0"/>
                <w:bCs w:val="0"/>
                <w:color w:val="000000" w:themeColor="text1"/>
                <w:sz w:val="24"/>
                <w:szCs w:val="32"/>
                <w:highlight w:val="none"/>
                <w:u w:val="none"/>
                <w:vertAlign w:val="subscript"/>
                <w14:textFill>
                  <w14:solidFill>
                    <w14:schemeClr w14:val="tx1"/>
                  </w14:solidFill>
                </w14:textFill>
              </w:rPr>
              <w:t>x</w:t>
            </w:r>
            <w:r>
              <w:rPr>
                <w:rFonts w:hint="eastAsia"/>
                <w:b w:val="0"/>
                <w:bCs w:val="0"/>
                <w:color w:val="000000" w:themeColor="text1"/>
                <w:sz w:val="24"/>
                <w:szCs w:val="32"/>
                <w:highlight w:val="none"/>
                <w:u w:val="none"/>
                <w14:textFill>
                  <w14:solidFill>
                    <w14:schemeClr w14:val="tx1"/>
                  </w14:solidFill>
                </w14:textFill>
              </w:rPr>
              <w:t>替代来源为《偃师市全域环境污染突出问题专项整治百日攻坚实施方案》（偃发〔2019〕1号）中已拆除的偃师市军鑫矿业有限公司等7家企业和经省生态环境厅认定已实施总量减排工程的45个项目的减排量。</w:t>
            </w:r>
          </w:p>
          <w:p>
            <w:pPr>
              <w:adjustRightInd w:val="0"/>
              <w:snapToGrid w:val="0"/>
              <w:spacing w:line="360" w:lineRule="auto"/>
              <w:ind w:firstLine="480" w:firstLineChars="200"/>
              <w:rPr>
                <w:rFonts w:hint="eastAsia" w:eastAsia="宋体"/>
                <w:b w:val="0"/>
                <w:bCs w:val="0"/>
                <w:color w:val="000000" w:themeColor="text1"/>
                <w:sz w:val="24"/>
                <w:szCs w:val="32"/>
                <w:highlight w:val="none"/>
                <w:u w:val="none"/>
                <w:lang w:eastAsia="zh-CN"/>
                <w14:textFill>
                  <w14:solidFill>
                    <w14:schemeClr w14:val="tx1"/>
                  </w14:solidFill>
                </w14:textFill>
              </w:rPr>
            </w:pPr>
          </w:p>
          <w:p>
            <w:pPr>
              <w:adjustRightInd w:val="0"/>
              <w:snapToGrid w:val="0"/>
              <w:spacing w:line="360" w:lineRule="auto"/>
              <w:rPr>
                <w:color w:val="FF0000"/>
              </w:rPr>
            </w:pPr>
          </w:p>
        </w:tc>
      </w:tr>
    </w:tbl>
    <w:p>
      <w:pPr>
        <w:pStyle w:val="23"/>
        <w:jc w:val="center"/>
        <w:outlineLvl w:val="0"/>
        <w:rPr>
          <w:rFonts w:ascii="Times New Roman" w:hAnsi="Times New Roman" w:eastAsia="黑体"/>
          <w:snapToGrid w:val="0"/>
          <w:color w:val="FF0000"/>
          <w:sz w:val="21"/>
          <w:szCs w:val="21"/>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3"/>
        <w:jc w:val="center"/>
        <w:outlineLvl w:val="0"/>
        <w:rPr>
          <w:rFonts w:ascii="Times New Roman" w:hAnsi="Times New Roman" w:eastAsia="黑体"/>
          <w:snapToGrid w:val="0"/>
          <w:color w:val="000000" w:themeColor="text1"/>
          <w:sz w:val="30"/>
          <w:szCs w:val="30"/>
          <w:highlight w:val="none"/>
          <w14:textFill>
            <w14:solidFill>
              <w14:schemeClr w14:val="tx1"/>
            </w14:solidFill>
          </w14:textFill>
        </w:rPr>
      </w:pPr>
      <w:r>
        <w:rPr>
          <w:rFonts w:ascii="Times New Roman" w:hAnsi="Times New Roman" w:eastAsia="黑体"/>
          <w:snapToGrid w:val="0"/>
          <w:color w:val="000000" w:themeColor="text1"/>
          <w:sz w:val="30"/>
          <w:szCs w:val="30"/>
          <w:highlight w:val="none"/>
          <w14:textFill>
            <w14:solidFill>
              <w14:schemeClr w14:val="tx1"/>
            </w14:solidFill>
          </w14:textFill>
        </w:rPr>
        <w:t>四、主要环境影响和保护措施</w:t>
      </w:r>
    </w:p>
    <w:tbl>
      <w:tblPr>
        <w:tblStyle w:val="26"/>
        <w:tblW w:w="508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27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66" w:type="pct"/>
            <w:tcMar>
              <w:left w:w="28" w:type="dxa"/>
              <w:right w:w="28" w:type="dxa"/>
            </w:tcMar>
            <w:vAlign w:val="center"/>
          </w:tcPr>
          <w:p>
            <w:pPr>
              <w:pStyle w:val="23"/>
              <w:adjustRightInd w:val="0"/>
              <w:snapToGrid w:val="0"/>
              <w:spacing w:before="0" w:beforeAutospacing="0" w:after="0" w:afterAutospacing="0" w:line="240" w:lineRule="auto"/>
              <w:jc w:val="center"/>
              <w:rPr>
                <w:rFonts w:ascii="Times New Roman" w:hAnsi="Times New Roman"/>
                <w:bCs/>
                <w:color w:val="FF0000"/>
                <w:kern w:val="2"/>
                <w:sz w:val="24"/>
                <w:szCs w:val="24"/>
              </w:rPr>
            </w:pPr>
            <w:r>
              <w:rPr>
                <w:rFonts w:ascii="Times New Roman" w:hAnsi="Times New Roman"/>
                <w:color w:val="000000" w:themeColor="text1"/>
                <w:kern w:val="2"/>
                <w:sz w:val="24"/>
                <w:szCs w:val="24"/>
                <w14:textFill>
                  <w14:solidFill>
                    <w14:schemeClr w14:val="tx1"/>
                  </w14:solidFill>
                </w14:textFill>
              </w:rPr>
              <w:t>施工期环境保护措施</w:t>
            </w:r>
          </w:p>
        </w:tc>
        <w:tc>
          <w:tcPr>
            <w:tcW w:w="4633" w:type="pct"/>
            <w:vAlign w:val="center"/>
          </w:tcPr>
          <w:p>
            <w:pPr>
              <w:spacing w:line="240" w:lineRule="auto"/>
              <w:ind w:firstLine="480" w:firstLineChars="200"/>
              <w:rPr>
                <w:bCs/>
                <w:color w:val="FF0000"/>
                <w:spacing w:val="-10"/>
                <w:sz w:val="24"/>
                <w:szCs w:val="24"/>
              </w:rPr>
            </w:pPr>
            <w:r>
              <w:rPr>
                <w:color w:val="000000" w:themeColor="text1"/>
                <w:sz w:val="24"/>
                <w:szCs w:val="32"/>
                <w14:textFill>
                  <w14:solidFill>
                    <w14:schemeClr w14:val="tx1"/>
                  </w14:solidFill>
                </w14:textFill>
              </w:rPr>
              <w:t>根据现场调查，本项目</w:t>
            </w:r>
            <w:r>
              <w:rPr>
                <w:rFonts w:hint="eastAsia"/>
                <w:color w:val="000000" w:themeColor="text1"/>
                <w:sz w:val="24"/>
                <w:szCs w:val="32"/>
                <w:lang w:eastAsia="zh-CN"/>
                <w14:textFill>
                  <w14:solidFill>
                    <w14:schemeClr w14:val="tx1"/>
                  </w14:solidFill>
                </w14:textFill>
              </w:rPr>
              <w:t>已</w:t>
            </w:r>
            <w:r>
              <w:rPr>
                <w:rFonts w:hint="eastAsia"/>
                <w:color w:val="000000" w:themeColor="text1"/>
                <w:sz w:val="24"/>
                <w:szCs w:val="32"/>
                <w:lang w:val="en-US" w:eastAsia="zh-CN"/>
                <w14:textFill>
                  <w14:solidFill>
                    <w14:schemeClr w14:val="tx1"/>
                  </w14:solidFill>
                </w14:textFill>
              </w:rPr>
              <w:t>基本</w:t>
            </w:r>
            <w:r>
              <w:rPr>
                <w:rFonts w:hint="eastAsia"/>
                <w:color w:val="000000" w:themeColor="text1"/>
                <w:sz w:val="24"/>
                <w:szCs w:val="32"/>
                <w:lang w:eastAsia="zh-CN"/>
                <w14:textFill>
                  <w14:solidFill>
                    <w14:schemeClr w14:val="tx1"/>
                  </w14:solidFill>
                </w14:textFill>
              </w:rPr>
              <w:t>建成</w:t>
            </w:r>
            <w:r>
              <w:rPr>
                <w:color w:val="000000" w:themeColor="text1"/>
                <w:sz w:val="24"/>
                <w:szCs w:val="32"/>
                <w14:textFill>
                  <w14:solidFill>
                    <w14:schemeClr w14:val="tx1"/>
                  </w14:solidFill>
                </w14:textFill>
              </w:rPr>
              <w:t>。因此，不再对施工期进行分析。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366" w:type="pct"/>
            <w:tcMar>
              <w:left w:w="28" w:type="dxa"/>
              <w:right w:w="28" w:type="dxa"/>
            </w:tcMar>
            <w:vAlign w:val="center"/>
          </w:tcPr>
          <w:p>
            <w:pPr>
              <w:adjustRightInd w:val="0"/>
              <w:snapToGrid w:val="0"/>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运营</w:t>
            </w:r>
          </w:p>
          <w:p>
            <w:pPr>
              <w:adjustRightInd w:val="0"/>
              <w:snapToGrid w:val="0"/>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期环</w:t>
            </w:r>
          </w:p>
          <w:p>
            <w:pPr>
              <w:adjustRightInd w:val="0"/>
              <w:snapToGrid w:val="0"/>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境影</w:t>
            </w:r>
          </w:p>
          <w:p>
            <w:pPr>
              <w:adjustRightInd w:val="0"/>
              <w:snapToGrid w:val="0"/>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响和</w:t>
            </w:r>
          </w:p>
          <w:p>
            <w:pPr>
              <w:adjustRightInd w:val="0"/>
              <w:snapToGrid w:val="0"/>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保护</w:t>
            </w:r>
          </w:p>
          <w:p>
            <w:pPr>
              <w:adjustRightInd w:val="0"/>
              <w:snapToGrid w:val="0"/>
              <w:jc w:val="center"/>
              <w:rPr>
                <w:rFonts w:ascii="Times New Roman" w:hAnsi="Times New Roman"/>
                <w:color w:val="000000" w:themeColor="text1"/>
                <w:kern w:val="2"/>
                <w:sz w:val="24"/>
                <w:szCs w:val="24"/>
                <w14:textFill>
                  <w14:solidFill>
                    <w14:schemeClr w14:val="tx1"/>
                  </w14:solidFill>
                </w14:textFill>
              </w:rPr>
            </w:pPr>
            <w:r>
              <w:rPr>
                <w:bCs/>
                <w:color w:val="000000" w:themeColor="text1"/>
                <w:sz w:val="24"/>
                <w:szCs w:val="24"/>
                <w14:textFill>
                  <w14:solidFill>
                    <w14:schemeClr w14:val="tx1"/>
                  </w14:solidFill>
                </w14:textFill>
              </w:rPr>
              <w:t>措施</w:t>
            </w:r>
          </w:p>
        </w:tc>
        <w:tc>
          <w:tcPr>
            <w:tcW w:w="4633" w:type="pct"/>
            <w:vAlign w:val="top"/>
          </w:tcPr>
          <w:p>
            <w:pPr>
              <w:adjustRightInd w:val="0"/>
              <w:snapToGrid w:val="0"/>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w:t>
            </w:r>
            <w:r>
              <w:rPr>
                <w:b/>
                <w:bCs/>
                <w:color w:val="000000" w:themeColor="text1"/>
                <w:sz w:val="24"/>
                <w:szCs w:val="24"/>
                <w14:textFill>
                  <w14:solidFill>
                    <w14:schemeClr w14:val="tx1"/>
                  </w14:solidFill>
                </w14:textFill>
              </w:rPr>
              <w:t>废气</w:t>
            </w:r>
          </w:p>
          <w:p>
            <w:pPr>
              <w:pStyle w:val="46"/>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工程废气污染物排放情况统计见下表。</w:t>
            </w:r>
          </w:p>
          <w:p>
            <w:pPr>
              <w:pStyle w:val="9"/>
              <w:spacing w:before="24" w:after="24"/>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表4-1  项目主要大气污染物治理设施及产排情况汇总表</w:t>
            </w:r>
          </w:p>
          <w:tbl>
            <w:tblPr>
              <w:tblStyle w:val="26"/>
              <w:tblW w:w="499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30"/>
              <w:gridCol w:w="649"/>
              <w:gridCol w:w="717"/>
              <w:gridCol w:w="639"/>
              <w:gridCol w:w="822"/>
              <w:gridCol w:w="835"/>
              <w:gridCol w:w="687"/>
              <w:gridCol w:w="1959"/>
              <w:gridCol w:w="868"/>
              <w:gridCol w:w="785"/>
              <w:gridCol w:w="847"/>
              <w:gridCol w:w="928"/>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4" w:hRule="atLeast"/>
              </w:trPr>
              <w:tc>
                <w:tcPr>
                  <w:tcW w:w="251" w:type="pct"/>
                  <w:vMerge w:val="restart"/>
                  <w:tcBorders>
                    <w:tl2br w:val="nil"/>
                    <w:tr2bl w:val="nil"/>
                  </w:tcBorders>
                  <w:vAlign w:val="center"/>
                </w:tcPr>
                <w:p>
                  <w:pPr>
                    <w:spacing w:line="240" w:lineRule="auto"/>
                    <w:jc w:val="center"/>
                    <w:rPr>
                      <w:b w:val="0"/>
                      <w:bCs w:val="0"/>
                      <w:color w:val="000000" w:themeColor="text1"/>
                      <w:szCs w:val="21"/>
                      <w:u w:val="none"/>
                      <w:lang w:val="zh-CN"/>
                      <w14:textFill>
                        <w14:solidFill>
                          <w14:schemeClr w14:val="tx1"/>
                        </w14:solidFill>
                      </w14:textFill>
                    </w:rPr>
                  </w:pPr>
                  <w:r>
                    <w:rPr>
                      <w:rFonts w:hint="eastAsia"/>
                      <w:b w:val="0"/>
                      <w:bCs w:val="0"/>
                      <w:color w:val="000000" w:themeColor="text1"/>
                      <w:szCs w:val="21"/>
                      <w:u w:val="none"/>
                      <w:lang w:val="zh-CN"/>
                      <w14:textFill>
                        <w14:solidFill>
                          <w14:schemeClr w14:val="tx1"/>
                        </w14:solidFill>
                      </w14:textFill>
                    </w:rPr>
                    <w:t>主要生产单元</w:t>
                  </w:r>
                </w:p>
              </w:tc>
              <w:tc>
                <w:tcPr>
                  <w:tcW w:w="258" w:type="pct"/>
                  <w:vMerge w:val="restart"/>
                  <w:tcBorders>
                    <w:tl2br w:val="nil"/>
                    <w:tr2bl w:val="nil"/>
                  </w:tcBorders>
                  <w:vAlign w:val="center"/>
                </w:tcPr>
                <w:p>
                  <w:pPr>
                    <w:spacing w:line="240" w:lineRule="auto"/>
                    <w:jc w:val="center"/>
                    <w:rPr>
                      <w:b w:val="0"/>
                      <w:bCs w:val="0"/>
                      <w:color w:val="000000" w:themeColor="text1"/>
                      <w:szCs w:val="21"/>
                      <w:u w:val="none"/>
                      <w:lang w:val="zh-CN"/>
                      <w14:textFill>
                        <w14:solidFill>
                          <w14:schemeClr w14:val="tx1"/>
                        </w14:solidFill>
                      </w14:textFill>
                    </w:rPr>
                  </w:pPr>
                  <w:r>
                    <w:rPr>
                      <w:rFonts w:hint="eastAsia"/>
                      <w:b w:val="0"/>
                      <w:bCs w:val="0"/>
                      <w:color w:val="000000" w:themeColor="text1"/>
                      <w:szCs w:val="21"/>
                      <w:u w:val="none"/>
                      <w:lang w:val="zh-CN"/>
                      <w14:textFill>
                        <w14:solidFill>
                          <w14:schemeClr w14:val="tx1"/>
                        </w14:solidFill>
                      </w14:textFill>
                    </w:rPr>
                    <w:t>产污设施</w:t>
                  </w:r>
                </w:p>
              </w:tc>
              <w:tc>
                <w:tcPr>
                  <w:tcW w:w="285" w:type="pct"/>
                  <w:vMerge w:val="restart"/>
                  <w:tcBorders>
                    <w:tl2br w:val="nil"/>
                    <w:tr2bl w:val="nil"/>
                  </w:tcBorders>
                  <w:vAlign w:val="center"/>
                </w:tcPr>
                <w:p>
                  <w:pPr>
                    <w:spacing w:line="240" w:lineRule="auto"/>
                    <w:jc w:val="center"/>
                    <w:rPr>
                      <w:b w:val="0"/>
                      <w:bCs w:val="0"/>
                      <w:color w:val="000000" w:themeColor="text1"/>
                      <w:szCs w:val="21"/>
                      <w:u w:val="none"/>
                      <w:lang w:val="zh-CN"/>
                      <w14:textFill>
                        <w14:solidFill>
                          <w14:schemeClr w14:val="tx1"/>
                        </w14:solidFill>
                      </w14:textFill>
                    </w:rPr>
                  </w:pPr>
                  <w:r>
                    <w:rPr>
                      <w:rFonts w:hint="eastAsia"/>
                      <w:b w:val="0"/>
                      <w:bCs w:val="0"/>
                      <w:color w:val="000000" w:themeColor="text1"/>
                      <w:szCs w:val="21"/>
                      <w:u w:val="none"/>
                      <w:lang w:val="zh-CN"/>
                      <w14:textFill>
                        <w14:solidFill>
                          <w14:schemeClr w14:val="tx1"/>
                        </w14:solidFill>
                      </w14:textFill>
                    </w:rPr>
                    <w:t>产排污环节</w:t>
                  </w:r>
                </w:p>
              </w:tc>
              <w:tc>
                <w:tcPr>
                  <w:tcW w:w="254" w:type="pct"/>
                  <w:vMerge w:val="restart"/>
                  <w:tcBorders>
                    <w:tl2br w:val="nil"/>
                    <w:tr2bl w:val="nil"/>
                  </w:tcBorders>
                  <w:vAlign w:val="center"/>
                </w:tcPr>
                <w:p>
                  <w:pPr>
                    <w:adjustRightInd w:val="0"/>
                    <w:snapToGrid w:val="0"/>
                    <w:spacing w:line="240" w:lineRule="auto"/>
                    <w:ind w:left="-105" w:leftChars="-50" w:right="-105" w:rightChars="-50"/>
                    <w:jc w:val="center"/>
                    <w:rPr>
                      <w:b w:val="0"/>
                      <w:bCs w:val="0"/>
                      <w:color w:val="000000" w:themeColor="text1"/>
                      <w:szCs w:val="21"/>
                      <w:u w:val="none"/>
                      <w:lang w:val="zh-CN"/>
                      <w14:textFill>
                        <w14:solidFill>
                          <w14:schemeClr w14:val="tx1"/>
                        </w14:solidFill>
                      </w14:textFill>
                    </w:rPr>
                  </w:pPr>
                  <w:r>
                    <w:rPr>
                      <w:b w:val="0"/>
                      <w:bCs w:val="0"/>
                      <w:color w:val="000000" w:themeColor="text1"/>
                      <w:szCs w:val="21"/>
                      <w:u w:val="none"/>
                      <w:lang w:val="zh-CN"/>
                      <w14:textFill>
                        <w14:solidFill>
                          <w14:schemeClr w14:val="tx1"/>
                        </w14:solidFill>
                      </w14:textFill>
                    </w:rPr>
                    <w:t>污染</w:t>
                  </w:r>
                  <w:r>
                    <w:rPr>
                      <w:rFonts w:hint="eastAsia"/>
                      <w:b w:val="0"/>
                      <w:bCs w:val="0"/>
                      <w:color w:val="000000" w:themeColor="text1"/>
                      <w:szCs w:val="21"/>
                      <w:u w:val="none"/>
                      <w:lang w:val="zh-CN"/>
                      <w14:textFill>
                        <w14:solidFill>
                          <w14:schemeClr w14:val="tx1"/>
                        </w14:solidFill>
                      </w14:textFill>
                    </w:rPr>
                    <w:t>物种类</w:t>
                  </w:r>
                </w:p>
              </w:tc>
              <w:tc>
                <w:tcPr>
                  <w:tcW w:w="327" w:type="pct"/>
                  <w:vMerge w:val="restart"/>
                  <w:tcBorders>
                    <w:tl2br w:val="nil"/>
                    <w:tr2bl w:val="nil"/>
                  </w:tcBorders>
                  <w:vAlign w:val="center"/>
                </w:tcPr>
                <w:p>
                  <w:pPr>
                    <w:spacing w:line="240" w:lineRule="auto"/>
                    <w:jc w:val="center"/>
                    <w:rPr>
                      <w:b w:val="0"/>
                      <w:bCs w:val="0"/>
                      <w:color w:val="000000" w:themeColor="text1"/>
                      <w:szCs w:val="21"/>
                      <w:u w:val="none"/>
                      <w:lang w:val="zh-CN"/>
                      <w14:textFill>
                        <w14:solidFill>
                          <w14:schemeClr w14:val="tx1"/>
                        </w14:solidFill>
                      </w14:textFill>
                    </w:rPr>
                  </w:pPr>
                  <w:r>
                    <w:rPr>
                      <w:rFonts w:hint="eastAsia"/>
                      <w:b w:val="0"/>
                      <w:bCs w:val="0"/>
                      <w:color w:val="000000" w:themeColor="text1"/>
                      <w:szCs w:val="21"/>
                      <w:u w:val="none"/>
                      <w:lang w:val="zh-CN"/>
                      <w14:textFill>
                        <w14:solidFill>
                          <w14:schemeClr w14:val="tx1"/>
                        </w14:solidFill>
                      </w14:textFill>
                    </w:rPr>
                    <w:t>污染物</w:t>
                  </w:r>
                  <w:r>
                    <w:rPr>
                      <w:b w:val="0"/>
                      <w:bCs w:val="0"/>
                      <w:color w:val="000000" w:themeColor="text1"/>
                      <w:szCs w:val="21"/>
                      <w:u w:val="none"/>
                      <w:lang w:val="zh-CN"/>
                      <w14:textFill>
                        <w14:solidFill>
                          <w14:schemeClr w14:val="tx1"/>
                        </w14:solidFill>
                      </w14:textFill>
                    </w:rPr>
                    <w:t>产生量t/a</w:t>
                  </w:r>
                </w:p>
              </w:tc>
              <w:tc>
                <w:tcPr>
                  <w:tcW w:w="332" w:type="pct"/>
                  <w:vMerge w:val="restart"/>
                  <w:tcBorders>
                    <w:tl2br w:val="nil"/>
                    <w:tr2bl w:val="nil"/>
                  </w:tcBorders>
                  <w:vAlign w:val="center"/>
                </w:tcPr>
                <w:p>
                  <w:pPr>
                    <w:adjustRightInd w:val="0"/>
                    <w:snapToGrid w:val="0"/>
                    <w:spacing w:line="240" w:lineRule="auto"/>
                    <w:ind w:left="-105" w:leftChars="-50" w:right="-105" w:rightChars="-50"/>
                    <w:jc w:val="center"/>
                    <w:rPr>
                      <w:b w:val="0"/>
                      <w:bCs w:val="0"/>
                      <w:color w:val="000000" w:themeColor="text1"/>
                      <w:szCs w:val="21"/>
                      <w:u w:val="none"/>
                      <w:lang w:val="zh-CN"/>
                      <w14:textFill>
                        <w14:solidFill>
                          <w14:schemeClr w14:val="tx1"/>
                        </w14:solidFill>
                      </w14:textFill>
                    </w:rPr>
                  </w:pPr>
                  <w:r>
                    <w:rPr>
                      <w:rFonts w:hint="eastAsia"/>
                      <w:b w:val="0"/>
                      <w:bCs w:val="0"/>
                      <w:color w:val="000000" w:themeColor="text1"/>
                      <w:szCs w:val="21"/>
                      <w:u w:val="none"/>
                      <w:lang w:val="zh-CN"/>
                      <w14:textFill>
                        <w14:solidFill>
                          <w14:schemeClr w14:val="tx1"/>
                        </w14:solidFill>
                      </w14:textFill>
                    </w:rPr>
                    <w:t>污染物</w:t>
                  </w:r>
                  <w:r>
                    <w:rPr>
                      <w:b w:val="0"/>
                      <w:bCs w:val="0"/>
                      <w:color w:val="000000" w:themeColor="text1"/>
                      <w:szCs w:val="21"/>
                      <w:u w:val="none"/>
                      <w:lang w:val="zh-CN"/>
                      <w14:textFill>
                        <w14:solidFill>
                          <w14:schemeClr w14:val="tx1"/>
                        </w14:solidFill>
                      </w14:textFill>
                    </w:rPr>
                    <w:t>产生浓度mg/m</w:t>
                  </w:r>
                  <w:r>
                    <w:rPr>
                      <w:b w:val="0"/>
                      <w:bCs w:val="0"/>
                      <w:color w:val="000000" w:themeColor="text1"/>
                      <w:szCs w:val="21"/>
                      <w:u w:val="none"/>
                      <w:vertAlign w:val="superscript"/>
                      <w:lang w:val="zh-CN"/>
                      <w14:textFill>
                        <w14:solidFill>
                          <w14:schemeClr w14:val="tx1"/>
                        </w14:solidFill>
                      </w14:textFill>
                    </w:rPr>
                    <w:t>3</w:t>
                  </w:r>
                </w:p>
              </w:tc>
              <w:tc>
                <w:tcPr>
                  <w:tcW w:w="273" w:type="pct"/>
                  <w:vMerge w:val="restart"/>
                  <w:tcBorders>
                    <w:tl2br w:val="nil"/>
                    <w:tr2bl w:val="nil"/>
                  </w:tcBorders>
                  <w:vAlign w:val="center"/>
                </w:tcPr>
                <w:p>
                  <w:pPr>
                    <w:spacing w:line="240" w:lineRule="auto"/>
                    <w:jc w:val="center"/>
                    <w:rPr>
                      <w:b w:val="0"/>
                      <w:bCs w:val="0"/>
                      <w:color w:val="000000" w:themeColor="text1"/>
                      <w:szCs w:val="21"/>
                      <w:u w:val="none"/>
                      <w:lang w:val="zh-CN"/>
                      <w14:textFill>
                        <w14:solidFill>
                          <w14:schemeClr w14:val="tx1"/>
                        </w14:solidFill>
                      </w14:textFill>
                    </w:rPr>
                  </w:pPr>
                  <w:r>
                    <w:rPr>
                      <w:rFonts w:hint="eastAsia"/>
                      <w:b w:val="0"/>
                      <w:bCs w:val="0"/>
                      <w:color w:val="000000" w:themeColor="text1"/>
                      <w:szCs w:val="21"/>
                      <w:u w:val="none"/>
                      <w:lang w:val="zh-CN"/>
                      <w14:textFill>
                        <w14:solidFill>
                          <w14:schemeClr w14:val="tx1"/>
                        </w14:solidFill>
                      </w14:textFill>
                    </w:rPr>
                    <w:t>排放形式</w:t>
                  </w:r>
                </w:p>
              </w:tc>
              <w:tc>
                <w:tcPr>
                  <w:tcW w:w="1124" w:type="pct"/>
                  <w:gridSpan w:val="2"/>
                  <w:tcBorders>
                    <w:tl2br w:val="nil"/>
                    <w:tr2bl w:val="nil"/>
                  </w:tcBorders>
                  <w:vAlign w:val="center"/>
                </w:tcPr>
                <w:p>
                  <w:pPr>
                    <w:spacing w:line="240" w:lineRule="auto"/>
                    <w:jc w:val="center"/>
                    <w:rPr>
                      <w:b w:val="0"/>
                      <w:bCs w:val="0"/>
                      <w:color w:val="000000" w:themeColor="text1"/>
                      <w:szCs w:val="21"/>
                      <w:u w:val="none"/>
                      <w:lang w:val="zh-CN"/>
                      <w14:textFill>
                        <w14:solidFill>
                          <w14:schemeClr w14:val="tx1"/>
                        </w14:solidFill>
                      </w14:textFill>
                    </w:rPr>
                  </w:pPr>
                  <w:r>
                    <w:rPr>
                      <w:b w:val="0"/>
                      <w:bCs w:val="0"/>
                      <w:color w:val="000000" w:themeColor="text1"/>
                      <w:szCs w:val="21"/>
                      <w:u w:val="none"/>
                      <w:lang w:val="zh-CN"/>
                      <w14:textFill>
                        <w14:solidFill>
                          <w14:schemeClr w14:val="tx1"/>
                        </w14:solidFill>
                      </w14:textFill>
                    </w:rPr>
                    <w:t>治理</w:t>
                  </w:r>
                  <w:r>
                    <w:rPr>
                      <w:rFonts w:hint="eastAsia"/>
                      <w:b w:val="0"/>
                      <w:bCs w:val="0"/>
                      <w:color w:val="000000" w:themeColor="text1"/>
                      <w:szCs w:val="21"/>
                      <w:u w:val="none"/>
                      <w:lang w:val="zh-CN"/>
                      <w14:textFill>
                        <w14:solidFill>
                          <w14:schemeClr w14:val="tx1"/>
                        </w14:solidFill>
                      </w14:textFill>
                    </w:rPr>
                    <w:t>设施</w:t>
                  </w:r>
                </w:p>
              </w:tc>
              <w:tc>
                <w:tcPr>
                  <w:tcW w:w="312" w:type="pct"/>
                  <w:vMerge w:val="restart"/>
                  <w:tcBorders>
                    <w:tl2br w:val="nil"/>
                    <w:tr2bl w:val="nil"/>
                  </w:tcBorders>
                  <w:vAlign w:val="center"/>
                </w:tcPr>
                <w:p>
                  <w:pPr>
                    <w:spacing w:line="240" w:lineRule="auto"/>
                    <w:jc w:val="center"/>
                    <w:rPr>
                      <w:b w:val="0"/>
                      <w:bCs w:val="0"/>
                      <w:color w:val="000000" w:themeColor="text1"/>
                      <w:szCs w:val="21"/>
                      <w:u w:val="none"/>
                      <w:lang w:val="zh-CN"/>
                      <w14:textFill>
                        <w14:solidFill>
                          <w14:schemeClr w14:val="tx1"/>
                        </w14:solidFill>
                      </w14:textFill>
                    </w:rPr>
                  </w:pPr>
                  <w:r>
                    <w:rPr>
                      <w:rFonts w:hint="eastAsia"/>
                      <w:b w:val="0"/>
                      <w:bCs w:val="0"/>
                      <w:color w:val="000000" w:themeColor="text1"/>
                      <w:szCs w:val="21"/>
                      <w:u w:val="none"/>
                      <w:lang w:val="zh-CN"/>
                      <w14:textFill>
                        <w14:solidFill>
                          <w14:schemeClr w14:val="tx1"/>
                        </w14:solidFill>
                      </w14:textFill>
                    </w:rPr>
                    <w:t>污染物</w:t>
                  </w:r>
                  <w:r>
                    <w:rPr>
                      <w:b w:val="0"/>
                      <w:bCs w:val="0"/>
                      <w:color w:val="000000" w:themeColor="text1"/>
                      <w:szCs w:val="21"/>
                      <w:u w:val="none"/>
                      <w:lang w:val="zh-CN"/>
                      <w14:textFill>
                        <w14:solidFill>
                          <w14:schemeClr w14:val="tx1"/>
                        </w14:solidFill>
                      </w14:textFill>
                    </w:rPr>
                    <w:t>排放量t/a</w:t>
                  </w:r>
                </w:p>
              </w:tc>
              <w:tc>
                <w:tcPr>
                  <w:tcW w:w="337" w:type="pct"/>
                  <w:vMerge w:val="restart"/>
                  <w:tcBorders>
                    <w:tl2br w:val="nil"/>
                    <w:tr2bl w:val="nil"/>
                  </w:tcBorders>
                  <w:vAlign w:val="center"/>
                </w:tcPr>
                <w:p>
                  <w:pPr>
                    <w:spacing w:line="240" w:lineRule="auto"/>
                    <w:jc w:val="center"/>
                    <w:rPr>
                      <w:b w:val="0"/>
                      <w:bCs w:val="0"/>
                      <w:color w:val="000000" w:themeColor="text1"/>
                      <w:szCs w:val="21"/>
                      <w:u w:val="none"/>
                      <w14:textFill>
                        <w14:solidFill>
                          <w14:schemeClr w14:val="tx1"/>
                        </w14:solidFill>
                      </w14:textFill>
                    </w:rPr>
                  </w:pPr>
                  <w:r>
                    <w:rPr>
                      <w:rFonts w:hint="eastAsia"/>
                      <w:b w:val="0"/>
                      <w:bCs w:val="0"/>
                      <w:color w:val="000000" w:themeColor="text1"/>
                      <w:szCs w:val="21"/>
                      <w:u w:val="none"/>
                      <w:lang w:val="zh-CN"/>
                      <w14:textFill>
                        <w14:solidFill>
                          <w14:schemeClr w14:val="tx1"/>
                        </w14:solidFill>
                      </w14:textFill>
                    </w:rPr>
                    <w:t>污染物排放速率</w:t>
                  </w:r>
                  <w:r>
                    <w:rPr>
                      <w:rFonts w:hint="eastAsia"/>
                      <w:b w:val="0"/>
                      <w:bCs w:val="0"/>
                      <w:color w:val="000000" w:themeColor="text1"/>
                      <w:szCs w:val="21"/>
                      <w:u w:val="none"/>
                      <w14:textFill>
                        <w14:solidFill>
                          <w14:schemeClr w14:val="tx1"/>
                        </w14:solidFill>
                      </w14:textFill>
                    </w:rPr>
                    <w:t>kg/h</w:t>
                  </w:r>
                </w:p>
              </w:tc>
              <w:tc>
                <w:tcPr>
                  <w:tcW w:w="369" w:type="pct"/>
                  <w:vMerge w:val="restart"/>
                  <w:tcBorders>
                    <w:tl2br w:val="nil"/>
                    <w:tr2bl w:val="nil"/>
                  </w:tcBorders>
                  <w:vAlign w:val="center"/>
                </w:tcPr>
                <w:p>
                  <w:pPr>
                    <w:spacing w:line="240" w:lineRule="auto"/>
                    <w:jc w:val="center"/>
                    <w:rPr>
                      <w:b w:val="0"/>
                      <w:bCs w:val="0"/>
                      <w:color w:val="000000" w:themeColor="text1"/>
                      <w:szCs w:val="21"/>
                      <w:u w:val="none"/>
                      <w:lang w:val="zh-CN"/>
                      <w14:textFill>
                        <w14:solidFill>
                          <w14:schemeClr w14:val="tx1"/>
                        </w14:solidFill>
                      </w14:textFill>
                    </w:rPr>
                  </w:pPr>
                  <w:r>
                    <w:rPr>
                      <w:rFonts w:hint="eastAsia"/>
                      <w:b w:val="0"/>
                      <w:bCs w:val="0"/>
                      <w:color w:val="000000" w:themeColor="text1"/>
                      <w:szCs w:val="21"/>
                      <w:u w:val="none"/>
                      <w:lang w:val="zh-CN"/>
                      <w14:textFill>
                        <w14:solidFill>
                          <w14:schemeClr w14:val="tx1"/>
                        </w14:solidFill>
                      </w14:textFill>
                    </w:rPr>
                    <w:t>污染物</w:t>
                  </w:r>
                  <w:r>
                    <w:rPr>
                      <w:b w:val="0"/>
                      <w:bCs w:val="0"/>
                      <w:color w:val="000000" w:themeColor="text1"/>
                      <w:szCs w:val="21"/>
                      <w:u w:val="none"/>
                      <w:lang w:val="zh-CN"/>
                      <w14:textFill>
                        <w14:solidFill>
                          <w14:schemeClr w14:val="tx1"/>
                        </w14:solidFill>
                      </w14:textFill>
                    </w:rPr>
                    <w:t>排放浓度mg/m</w:t>
                  </w:r>
                  <w:r>
                    <w:rPr>
                      <w:b w:val="0"/>
                      <w:bCs w:val="0"/>
                      <w:color w:val="000000" w:themeColor="text1"/>
                      <w:szCs w:val="21"/>
                      <w:u w:val="none"/>
                      <w:vertAlign w:val="superscript"/>
                      <w:lang w:val="zh-CN"/>
                      <w14:textFill>
                        <w14:solidFill>
                          <w14:schemeClr w14:val="tx1"/>
                        </w14:solidFill>
                      </w14:textFill>
                    </w:rPr>
                    <w:t>3</w:t>
                  </w:r>
                </w:p>
              </w:tc>
              <w:tc>
                <w:tcPr>
                  <w:tcW w:w="873" w:type="pct"/>
                  <w:vMerge w:val="restart"/>
                  <w:tcBorders>
                    <w:tl2br w:val="nil"/>
                    <w:tr2bl w:val="nil"/>
                  </w:tcBorders>
                  <w:vAlign w:val="center"/>
                </w:tcPr>
                <w:p>
                  <w:pPr>
                    <w:adjustRightInd w:val="0"/>
                    <w:snapToGrid w:val="0"/>
                    <w:spacing w:line="240" w:lineRule="auto"/>
                    <w:ind w:left="-105" w:leftChars="-50" w:right="-105" w:rightChars="-50"/>
                    <w:jc w:val="center"/>
                    <w:rPr>
                      <w:b w:val="0"/>
                      <w:bCs w:val="0"/>
                      <w:color w:val="000000" w:themeColor="text1"/>
                      <w:szCs w:val="21"/>
                      <w:u w:val="none"/>
                      <w:lang w:val="zh-CN"/>
                      <w14:textFill>
                        <w14:solidFill>
                          <w14:schemeClr w14:val="tx1"/>
                        </w14:solidFill>
                      </w14:textFill>
                    </w:rPr>
                  </w:pPr>
                  <w:r>
                    <w:rPr>
                      <w:rFonts w:hint="eastAsia"/>
                      <w:b w:val="0"/>
                      <w:bCs w:val="0"/>
                      <w:color w:val="000000" w:themeColor="text1"/>
                      <w:szCs w:val="21"/>
                      <w:u w:val="none"/>
                      <w:lang w:val="zh-CN"/>
                      <w14:textFill>
                        <w14:solidFill>
                          <w14:schemeClr w14:val="tx1"/>
                        </w14:solidFill>
                      </w14:textFill>
                    </w:rPr>
                    <w:t>排放执行标准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5" w:hRule="atLeast"/>
              </w:trPr>
              <w:tc>
                <w:tcPr>
                  <w:tcW w:w="251" w:type="pct"/>
                  <w:vMerge w:val="continue"/>
                  <w:tcBorders>
                    <w:tl2br w:val="nil"/>
                    <w:tr2bl w:val="nil"/>
                  </w:tcBorders>
                  <w:vAlign w:val="center"/>
                </w:tcPr>
                <w:p>
                  <w:pPr>
                    <w:spacing w:line="240" w:lineRule="auto"/>
                    <w:jc w:val="center"/>
                    <w:rPr>
                      <w:b w:val="0"/>
                      <w:bCs w:val="0"/>
                      <w:color w:val="000000" w:themeColor="text1"/>
                      <w:szCs w:val="21"/>
                      <w:u w:val="none"/>
                      <w14:textFill>
                        <w14:solidFill>
                          <w14:schemeClr w14:val="tx1"/>
                        </w14:solidFill>
                      </w14:textFill>
                    </w:rPr>
                  </w:pPr>
                </w:p>
              </w:tc>
              <w:tc>
                <w:tcPr>
                  <w:tcW w:w="258" w:type="pct"/>
                  <w:vMerge w:val="continue"/>
                  <w:tcBorders>
                    <w:tl2br w:val="nil"/>
                    <w:tr2bl w:val="nil"/>
                  </w:tcBorders>
                  <w:vAlign w:val="center"/>
                </w:tcPr>
                <w:p>
                  <w:pPr>
                    <w:spacing w:line="240" w:lineRule="auto"/>
                    <w:jc w:val="center"/>
                    <w:rPr>
                      <w:b w:val="0"/>
                      <w:bCs w:val="0"/>
                      <w:color w:val="000000" w:themeColor="text1"/>
                      <w:szCs w:val="21"/>
                      <w:u w:val="none"/>
                      <w14:textFill>
                        <w14:solidFill>
                          <w14:schemeClr w14:val="tx1"/>
                        </w14:solidFill>
                      </w14:textFill>
                    </w:rPr>
                  </w:pPr>
                </w:p>
              </w:tc>
              <w:tc>
                <w:tcPr>
                  <w:tcW w:w="285" w:type="pct"/>
                  <w:vMerge w:val="continue"/>
                  <w:tcBorders>
                    <w:tl2br w:val="nil"/>
                    <w:tr2bl w:val="nil"/>
                  </w:tcBorders>
                  <w:vAlign w:val="center"/>
                </w:tcPr>
                <w:p>
                  <w:pPr>
                    <w:spacing w:line="240" w:lineRule="auto"/>
                    <w:jc w:val="center"/>
                    <w:rPr>
                      <w:b w:val="0"/>
                      <w:bCs w:val="0"/>
                      <w:color w:val="000000" w:themeColor="text1"/>
                      <w:szCs w:val="21"/>
                      <w:u w:val="none"/>
                      <w14:textFill>
                        <w14:solidFill>
                          <w14:schemeClr w14:val="tx1"/>
                        </w14:solidFill>
                      </w14:textFill>
                    </w:rPr>
                  </w:pPr>
                </w:p>
              </w:tc>
              <w:tc>
                <w:tcPr>
                  <w:tcW w:w="254" w:type="pct"/>
                  <w:vMerge w:val="continue"/>
                  <w:tcBorders>
                    <w:tl2br w:val="nil"/>
                    <w:tr2bl w:val="nil"/>
                  </w:tcBorders>
                  <w:vAlign w:val="center"/>
                </w:tcPr>
                <w:p>
                  <w:pPr>
                    <w:spacing w:line="240" w:lineRule="auto"/>
                    <w:jc w:val="center"/>
                    <w:rPr>
                      <w:b w:val="0"/>
                      <w:bCs w:val="0"/>
                      <w:color w:val="000000" w:themeColor="text1"/>
                      <w:szCs w:val="21"/>
                      <w:u w:val="none"/>
                      <w14:textFill>
                        <w14:solidFill>
                          <w14:schemeClr w14:val="tx1"/>
                        </w14:solidFill>
                      </w14:textFill>
                    </w:rPr>
                  </w:pPr>
                </w:p>
              </w:tc>
              <w:tc>
                <w:tcPr>
                  <w:tcW w:w="327" w:type="pct"/>
                  <w:vMerge w:val="continue"/>
                  <w:tcBorders>
                    <w:tl2br w:val="nil"/>
                    <w:tr2bl w:val="nil"/>
                  </w:tcBorders>
                  <w:vAlign w:val="center"/>
                </w:tcPr>
                <w:p>
                  <w:pPr>
                    <w:spacing w:line="240" w:lineRule="auto"/>
                    <w:jc w:val="center"/>
                    <w:rPr>
                      <w:b w:val="0"/>
                      <w:bCs w:val="0"/>
                      <w:color w:val="000000" w:themeColor="text1"/>
                      <w:szCs w:val="21"/>
                      <w:u w:val="none"/>
                      <w14:textFill>
                        <w14:solidFill>
                          <w14:schemeClr w14:val="tx1"/>
                        </w14:solidFill>
                      </w14:textFill>
                    </w:rPr>
                  </w:pPr>
                </w:p>
              </w:tc>
              <w:tc>
                <w:tcPr>
                  <w:tcW w:w="332" w:type="pct"/>
                  <w:vMerge w:val="continue"/>
                  <w:tcBorders>
                    <w:tl2br w:val="nil"/>
                    <w:tr2bl w:val="nil"/>
                  </w:tcBorders>
                  <w:vAlign w:val="center"/>
                </w:tcPr>
                <w:p>
                  <w:pPr>
                    <w:spacing w:line="240" w:lineRule="auto"/>
                    <w:jc w:val="center"/>
                    <w:rPr>
                      <w:b w:val="0"/>
                      <w:bCs w:val="0"/>
                      <w:color w:val="000000" w:themeColor="text1"/>
                      <w:szCs w:val="21"/>
                      <w:u w:val="none"/>
                      <w14:textFill>
                        <w14:solidFill>
                          <w14:schemeClr w14:val="tx1"/>
                        </w14:solidFill>
                      </w14:textFill>
                    </w:rPr>
                  </w:pPr>
                </w:p>
              </w:tc>
              <w:tc>
                <w:tcPr>
                  <w:tcW w:w="273" w:type="pct"/>
                  <w:vMerge w:val="continue"/>
                  <w:tcBorders>
                    <w:tl2br w:val="nil"/>
                    <w:tr2bl w:val="nil"/>
                  </w:tcBorders>
                  <w:vAlign w:val="center"/>
                </w:tcPr>
                <w:p>
                  <w:pPr>
                    <w:spacing w:line="240" w:lineRule="auto"/>
                    <w:jc w:val="center"/>
                    <w:rPr>
                      <w:b w:val="0"/>
                      <w:bCs w:val="0"/>
                      <w:color w:val="000000" w:themeColor="text1"/>
                      <w:szCs w:val="21"/>
                      <w:u w:val="none"/>
                      <w14:textFill>
                        <w14:solidFill>
                          <w14:schemeClr w14:val="tx1"/>
                        </w14:solidFill>
                      </w14:textFill>
                    </w:rPr>
                  </w:pPr>
                </w:p>
              </w:tc>
              <w:tc>
                <w:tcPr>
                  <w:tcW w:w="779" w:type="pct"/>
                  <w:tcBorders>
                    <w:tl2br w:val="nil"/>
                    <w:tr2bl w:val="nil"/>
                  </w:tcBorders>
                  <w:vAlign w:val="center"/>
                </w:tcPr>
                <w:p>
                  <w:pPr>
                    <w:spacing w:line="240" w:lineRule="auto"/>
                    <w:jc w:val="center"/>
                    <w:rPr>
                      <w:b w:val="0"/>
                      <w:bCs w:val="0"/>
                      <w:color w:val="000000" w:themeColor="text1"/>
                      <w:szCs w:val="21"/>
                      <w:u w:val="none"/>
                      <w:lang w:val="zh-CN"/>
                      <w14:textFill>
                        <w14:solidFill>
                          <w14:schemeClr w14:val="tx1"/>
                        </w14:solidFill>
                      </w14:textFill>
                    </w:rPr>
                  </w:pPr>
                  <w:r>
                    <w:rPr>
                      <w:rFonts w:hint="eastAsia"/>
                      <w:b w:val="0"/>
                      <w:bCs w:val="0"/>
                      <w:color w:val="000000" w:themeColor="text1"/>
                      <w:szCs w:val="21"/>
                      <w:u w:val="none"/>
                      <w:lang w:val="zh-CN"/>
                      <w14:textFill>
                        <w14:solidFill>
                          <w14:schemeClr w14:val="tx1"/>
                        </w14:solidFill>
                      </w14:textFill>
                    </w:rPr>
                    <w:t>名称、处理能力、收集效率、去除率</w:t>
                  </w:r>
                </w:p>
              </w:tc>
              <w:tc>
                <w:tcPr>
                  <w:tcW w:w="344" w:type="pct"/>
                  <w:tcBorders>
                    <w:tl2br w:val="nil"/>
                    <w:tr2bl w:val="nil"/>
                  </w:tcBorders>
                  <w:vAlign w:val="center"/>
                </w:tcPr>
                <w:p>
                  <w:pPr>
                    <w:spacing w:line="240" w:lineRule="auto"/>
                    <w:jc w:val="center"/>
                    <w:rPr>
                      <w:b w:val="0"/>
                      <w:bCs w:val="0"/>
                      <w:color w:val="000000" w:themeColor="text1"/>
                      <w:szCs w:val="21"/>
                      <w:u w:val="none"/>
                      <w:lang w:val="zh-CN"/>
                      <w14:textFill>
                        <w14:solidFill>
                          <w14:schemeClr w14:val="tx1"/>
                        </w14:solidFill>
                      </w14:textFill>
                    </w:rPr>
                  </w:pPr>
                  <w:r>
                    <w:rPr>
                      <w:rFonts w:hint="eastAsia"/>
                      <w:b w:val="0"/>
                      <w:bCs w:val="0"/>
                      <w:color w:val="000000" w:themeColor="text1"/>
                      <w:szCs w:val="21"/>
                      <w:u w:val="none"/>
                      <w:lang w:val="zh-CN"/>
                      <w14:textFill>
                        <w14:solidFill>
                          <w14:schemeClr w14:val="tx1"/>
                        </w14:solidFill>
                      </w14:textFill>
                    </w:rPr>
                    <w:t>是否技术可行</w:t>
                  </w:r>
                </w:p>
              </w:tc>
              <w:tc>
                <w:tcPr>
                  <w:tcW w:w="312" w:type="pct"/>
                  <w:vMerge w:val="continue"/>
                  <w:tcBorders>
                    <w:tl2br w:val="nil"/>
                    <w:tr2bl w:val="nil"/>
                  </w:tcBorders>
                  <w:vAlign w:val="center"/>
                </w:tcPr>
                <w:p>
                  <w:pPr>
                    <w:spacing w:line="240" w:lineRule="auto"/>
                    <w:jc w:val="center"/>
                    <w:rPr>
                      <w:b w:val="0"/>
                      <w:bCs w:val="0"/>
                      <w:color w:val="000000" w:themeColor="text1"/>
                      <w:szCs w:val="21"/>
                      <w:u w:val="none"/>
                      <w:lang w:val="zh-CN"/>
                      <w14:textFill>
                        <w14:solidFill>
                          <w14:schemeClr w14:val="tx1"/>
                        </w14:solidFill>
                      </w14:textFill>
                    </w:rPr>
                  </w:pPr>
                </w:p>
              </w:tc>
              <w:tc>
                <w:tcPr>
                  <w:tcW w:w="337" w:type="pct"/>
                  <w:vMerge w:val="continue"/>
                  <w:tcBorders>
                    <w:tl2br w:val="nil"/>
                    <w:tr2bl w:val="nil"/>
                  </w:tcBorders>
                  <w:vAlign w:val="center"/>
                </w:tcPr>
                <w:p>
                  <w:pPr>
                    <w:spacing w:line="240" w:lineRule="auto"/>
                    <w:jc w:val="center"/>
                    <w:rPr>
                      <w:b w:val="0"/>
                      <w:bCs w:val="0"/>
                      <w:color w:val="000000" w:themeColor="text1"/>
                      <w:szCs w:val="21"/>
                      <w:u w:val="none"/>
                      <w:lang w:val="zh-CN"/>
                      <w14:textFill>
                        <w14:solidFill>
                          <w14:schemeClr w14:val="tx1"/>
                        </w14:solidFill>
                      </w14:textFill>
                    </w:rPr>
                  </w:pPr>
                </w:p>
              </w:tc>
              <w:tc>
                <w:tcPr>
                  <w:tcW w:w="369" w:type="pct"/>
                  <w:vMerge w:val="continue"/>
                  <w:tcBorders>
                    <w:tl2br w:val="nil"/>
                    <w:tr2bl w:val="nil"/>
                  </w:tcBorders>
                  <w:vAlign w:val="center"/>
                </w:tcPr>
                <w:p>
                  <w:pPr>
                    <w:spacing w:line="240" w:lineRule="auto"/>
                    <w:jc w:val="center"/>
                    <w:rPr>
                      <w:b w:val="0"/>
                      <w:bCs w:val="0"/>
                      <w:color w:val="000000" w:themeColor="text1"/>
                      <w:szCs w:val="21"/>
                      <w:u w:val="none"/>
                      <w:lang w:val="zh-CN"/>
                      <w14:textFill>
                        <w14:solidFill>
                          <w14:schemeClr w14:val="tx1"/>
                        </w14:solidFill>
                      </w14:textFill>
                    </w:rPr>
                  </w:pPr>
                </w:p>
              </w:tc>
              <w:tc>
                <w:tcPr>
                  <w:tcW w:w="873" w:type="pct"/>
                  <w:vMerge w:val="continue"/>
                  <w:tcBorders>
                    <w:tl2br w:val="nil"/>
                    <w:tr2bl w:val="nil"/>
                  </w:tcBorders>
                  <w:vAlign w:val="center"/>
                </w:tcPr>
                <w:p>
                  <w:pPr>
                    <w:spacing w:line="240" w:lineRule="auto"/>
                    <w:jc w:val="center"/>
                    <w:rPr>
                      <w:b w:val="0"/>
                      <w:bCs w:val="0"/>
                      <w:color w:val="000000" w:themeColor="text1"/>
                      <w:szCs w:val="21"/>
                      <w:u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1" w:hRule="atLeast"/>
              </w:trPr>
              <w:tc>
                <w:tcPr>
                  <w:tcW w:w="251" w:type="pct"/>
                  <w:vMerge w:val="restart"/>
                  <w:tcBorders>
                    <w:tl2br w:val="nil"/>
                    <w:tr2bl w:val="nil"/>
                  </w:tcBorders>
                  <w:vAlign w:val="center"/>
                </w:tcPr>
                <w:p>
                  <w:pPr>
                    <w:spacing w:line="240" w:lineRule="auto"/>
                    <w:jc w:val="center"/>
                    <w:rPr>
                      <w:b w:val="0"/>
                      <w:bCs w:val="0"/>
                      <w:color w:val="000000" w:themeColor="text1"/>
                      <w:szCs w:val="21"/>
                      <w:u w:val="none"/>
                      <w14:textFill>
                        <w14:solidFill>
                          <w14:schemeClr w14:val="tx1"/>
                        </w14:solidFill>
                      </w14:textFill>
                    </w:rPr>
                  </w:pPr>
                  <w:r>
                    <w:rPr>
                      <w:rFonts w:hint="eastAsia"/>
                      <w:b w:val="0"/>
                      <w:bCs w:val="0"/>
                      <w:color w:val="000000" w:themeColor="text1"/>
                      <w:szCs w:val="21"/>
                      <w:u w:val="none"/>
                      <w14:textFill>
                        <w14:solidFill>
                          <w14:schemeClr w14:val="tx1"/>
                        </w14:solidFill>
                      </w14:textFill>
                    </w:rPr>
                    <w:t>生产线</w:t>
                  </w:r>
                </w:p>
              </w:tc>
              <w:tc>
                <w:tcPr>
                  <w:tcW w:w="258" w:type="pct"/>
                  <w:vMerge w:val="restart"/>
                  <w:tcBorders>
                    <w:tl2br w:val="nil"/>
                    <w:tr2bl w:val="nil"/>
                  </w:tcBorders>
                  <w:vAlign w:val="center"/>
                </w:tcPr>
                <w:p>
                  <w:pPr>
                    <w:spacing w:line="240" w:lineRule="auto"/>
                    <w:jc w:val="center"/>
                    <w:rPr>
                      <w:rFonts w:hint="default" w:eastAsia="宋体"/>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焊机、打磨机、切割机</w:t>
                  </w:r>
                </w:p>
              </w:tc>
              <w:tc>
                <w:tcPr>
                  <w:tcW w:w="285" w:type="pct"/>
                  <w:vMerge w:val="restart"/>
                  <w:tcBorders>
                    <w:tl2br w:val="nil"/>
                    <w:tr2bl w:val="nil"/>
                  </w:tcBorders>
                  <w:vAlign w:val="center"/>
                </w:tcPr>
                <w:p>
                  <w:pPr>
                    <w:spacing w:line="240" w:lineRule="auto"/>
                    <w:jc w:val="center"/>
                    <w:rPr>
                      <w:rFonts w:hint="default" w:eastAsia="宋体"/>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切割、焊接、打磨</w:t>
                  </w:r>
                </w:p>
              </w:tc>
              <w:tc>
                <w:tcPr>
                  <w:tcW w:w="254" w:type="pct"/>
                  <w:vMerge w:val="restart"/>
                  <w:tcBorders>
                    <w:tl2br w:val="nil"/>
                    <w:tr2bl w:val="nil"/>
                  </w:tcBorders>
                  <w:vAlign w:val="center"/>
                </w:tcPr>
                <w:p>
                  <w:pPr>
                    <w:spacing w:line="240" w:lineRule="auto"/>
                    <w:jc w:val="center"/>
                    <w:rPr>
                      <w:rFonts w:hint="eastAsia" w:eastAsia="宋体"/>
                      <w:b/>
                      <w:bCs/>
                      <w:color w:val="000000" w:themeColor="text1"/>
                      <w:szCs w:val="21"/>
                      <w:highlight w:val="none"/>
                      <w:u w:val="single"/>
                      <w:lang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颗粒物</w:t>
                  </w:r>
                </w:p>
              </w:tc>
              <w:tc>
                <w:tcPr>
                  <w:tcW w:w="327" w:type="pct"/>
                  <w:tcBorders>
                    <w:tl2br w:val="nil"/>
                    <w:tr2bl w:val="nil"/>
                  </w:tcBorders>
                  <w:shd w:val="clear" w:color="auto" w:fill="auto"/>
                  <w:vAlign w:val="center"/>
                </w:tcPr>
                <w:p>
                  <w:pPr>
                    <w:spacing w:line="240" w:lineRule="auto"/>
                    <w:jc w:val="center"/>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1.8097</w:t>
                  </w:r>
                </w:p>
              </w:tc>
              <w:tc>
                <w:tcPr>
                  <w:tcW w:w="332" w:type="pct"/>
                  <w:tcBorders>
                    <w:tl2br w:val="nil"/>
                    <w:tr2bl w:val="nil"/>
                  </w:tcBorders>
                  <w:shd w:val="clear" w:color="auto" w:fill="auto"/>
                  <w:vAlign w:val="center"/>
                </w:tcPr>
                <w:p>
                  <w:pPr>
                    <w:spacing w:line="240" w:lineRule="auto"/>
                    <w:jc w:val="center"/>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301.62</w:t>
                  </w:r>
                </w:p>
              </w:tc>
              <w:tc>
                <w:tcPr>
                  <w:tcW w:w="273" w:type="pct"/>
                  <w:tcBorders>
                    <w:tl2br w:val="nil"/>
                    <w:tr2bl w:val="nil"/>
                  </w:tcBorders>
                  <w:shd w:val="clear" w:color="auto" w:fill="auto"/>
                  <w:vAlign w:val="center"/>
                </w:tcPr>
                <w:p>
                  <w:pPr>
                    <w:spacing w:line="240" w:lineRule="auto"/>
                    <w:jc w:val="center"/>
                    <w:rPr>
                      <w:b/>
                      <w:bCs/>
                      <w:color w:val="000000" w:themeColor="text1"/>
                      <w:szCs w:val="21"/>
                      <w:highlight w:val="none"/>
                      <w:u w:val="single"/>
                      <w14:textFill>
                        <w14:solidFill>
                          <w14:schemeClr w14:val="tx1"/>
                        </w14:solidFill>
                      </w14:textFill>
                    </w:rPr>
                  </w:pPr>
                  <w:r>
                    <w:rPr>
                      <w:rFonts w:hint="eastAsia"/>
                      <w:b/>
                      <w:bCs/>
                      <w:color w:val="000000" w:themeColor="text1"/>
                      <w:szCs w:val="21"/>
                      <w:highlight w:val="none"/>
                      <w:u w:val="single"/>
                      <w14:textFill>
                        <w14:solidFill>
                          <w14:schemeClr w14:val="tx1"/>
                        </w14:solidFill>
                      </w14:textFill>
                    </w:rPr>
                    <w:t>有组织</w:t>
                  </w:r>
                </w:p>
              </w:tc>
              <w:tc>
                <w:tcPr>
                  <w:tcW w:w="779" w:type="pct"/>
                  <w:tcBorders>
                    <w:tl2br w:val="nil"/>
                    <w:tr2bl w:val="nil"/>
                  </w:tcBorders>
                  <w:vAlign w:val="center"/>
                </w:tcPr>
                <w:p>
                  <w:pPr>
                    <w:spacing w:line="240" w:lineRule="auto"/>
                    <w:jc w:val="center"/>
                    <w:rPr>
                      <w:rFonts w:hint="eastAsia" w:eastAsia="宋体"/>
                      <w:b/>
                      <w:bCs/>
                      <w:color w:val="000000" w:themeColor="text1"/>
                      <w:szCs w:val="21"/>
                      <w:highlight w:val="none"/>
                      <w:u w:val="single"/>
                      <w:lang w:val="zh-CN"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袋式除尘器</w:t>
                  </w:r>
                </w:p>
                <w:p>
                  <w:pPr>
                    <w:spacing w:line="240" w:lineRule="auto"/>
                    <w:jc w:val="center"/>
                    <w:rPr>
                      <w:rFonts w:hint="eastAsia" w:ascii="Times New Roman" w:hAnsi="Times New Roman" w:eastAsia="宋体" w:cs="Times New Roman"/>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zh-CN"/>
                      <w14:textFill>
                        <w14:solidFill>
                          <w14:schemeClr w14:val="tx1"/>
                        </w14:solidFill>
                      </w14:textFill>
                    </w:rPr>
                    <w:t>处理能力</w:t>
                  </w:r>
                  <w:r>
                    <w:rPr>
                      <w:rFonts w:hint="eastAsia" w:ascii="Times New Roman" w:hAnsi="Times New Roman" w:eastAsia="宋体" w:cs="Times New Roman"/>
                      <w:b/>
                      <w:bCs/>
                      <w:color w:val="000000" w:themeColor="text1"/>
                      <w:szCs w:val="21"/>
                      <w:highlight w:val="none"/>
                      <w:u w:val="single"/>
                      <w:lang w:val="en-US" w:eastAsia="zh-CN"/>
                      <w14:textFill>
                        <w14:solidFill>
                          <w14:schemeClr w14:val="tx1"/>
                        </w14:solidFill>
                      </w14:textFill>
                    </w:rPr>
                    <w:t>5000m</w:t>
                  </w:r>
                  <w:r>
                    <w:rPr>
                      <w:rFonts w:hint="eastAsia" w:ascii="Times New Roman" w:hAnsi="Times New Roman" w:eastAsia="宋体" w:cs="Times New Roman"/>
                      <w:b/>
                      <w:bCs/>
                      <w:color w:val="000000" w:themeColor="text1"/>
                      <w:szCs w:val="21"/>
                      <w:highlight w:val="none"/>
                      <w:u w:val="single"/>
                      <w:vertAlign w:val="superscript"/>
                      <w:lang w:val="en-US" w:eastAsia="zh-CN"/>
                      <w14:textFill>
                        <w14:solidFill>
                          <w14:schemeClr w14:val="tx1"/>
                        </w14:solidFill>
                      </w14:textFill>
                    </w:rPr>
                    <w:t>3</w:t>
                  </w:r>
                  <w:r>
                    <w:rPr>
                      <w:rFonts w:hint="eastAsia" w:ascii="Times New Roman" w:hAnsi="Times New Roman" w:eastAsia="宋体" w:cs="Times New Roman"/>
                      <w:b/>
                      <w:bCs/>
                      <w:color w:val="000000" w:themeColor="text1"/>
                      <w:szCs w:val="21"/>
                      <w:highlight w:val="none"/>
                      <w:u w:val="single"/>
                      <w:lang w:val="en-US" w:eastAsia="zh-CN"/>
                      <w14:textFill>
                        <w14:solidFill>
                          <w14:schemeClr w14:val="tx1"/>
                        </w14:solidFill>
                      </w14:textFill>
                    </w:rPr>
                    <w:t>/h</w:t>
                  </w:r>
                </w:p>
                <w:p>
                  <w:pPr>
                    <w:spacing w:line="240" w:lineRule="auto"/>
                    <w:jc w:val="center"/>
                    <w:rPr>
                      <w:b/>
                      <w:bCs/>
                      <w:color w:val="000000" w:themeColor="text1"/>
                      <w:szCs w:val="21"/>
                      <w:highlight w:val="none"/>
                      <w:u w:val="single"/>
                      <w14:textFill>
                        <w14:solidFill>
                          <w14:schemeClr w14:val="tx1"/>
                        </w14:solidFill>
                      </w14:textFill>
                    </w:rPr>
                  </w:pPr>
                  <w:r>
                    <w:rPr>
                      <w:rFonts w:hint="eastAsia" w:ascii="Times New Roman" w:hAnsi="Times New Roman" w:eastAsia="宋体" w:cs="Times New Roman"/>
                      <w:b/>
                      <w:bCs/>
                      <w:color w:val="000000" w:themeColor="text1"/>
                      <w:szCs w:val="21"/>
                      <w:highlight w:val="none"/>
                      <w:u w:val="single"/>
                      <w:lang w:val="en-US" w:eastAsia="zh-CN"/>
                      <w14:textFill>
                        <w14:solidFill>
                          <w14:schemeClr w14:val="tx1"/>
                        </w14:solidFill>
                      </w14:textFill>
                    </w:rPr>
                    <w:t>收集效率90</w:t>
                  </w:r>
                  <w:r>
                    <w:rPr>
                      <w:rFonts w:hint="eastAsia"/>
                      <w:b/>
                      <w:bCs/>
                      <w:color w:val="000000" w:themeColor="text1"/>
                      <w:szCs w:val="21"/>
                      <w:highlight w:val="none"/>
                      <w:u w:val="single"/>
                      <w14:textFill>
                        <w14:solidFill>
                          <w14:schemeClr w14:val="tx1"/>
                        </w14:solidFill>
                      </w14:textFill>
                    </w:rPr>
                    <w:t>%</w:t>
                  </w:r>
                </w:p>
                <w:p>
                  <w:pPr>
                    <w:spacing w:line="240" w:lineRule="auto"/>
                    <w:jc w:val="center"/>
                    <w:rPr>
                      <w:b/>
                      <w:bCs/>
                      <w:color w:val="000000" w:themeColor="text1"/>
                      <w:szCs w:val="21"/>
                      <w:highlight w:val="none"/>
                      <w:u w:val="single"/>
                      <w14:textFill>
                        <w14:solidFill>
                          <w14:schemeClr w14:val="tx1"/>
                        </w14:solidFill>
                      </w14:textFill>
                    </w:rPr>
                  </w:pPr>
                  <w:r>
                    <w:rPr>
                      <w:rFonts w:hint="eastAsia"/>
                      <w:b/>
                      <w:bCs/>
                      <w:color w:val="000000" w:themeColor="text1"/>
                      <w:szCs w:val="21"/>
                      <w:highlight w:val="none"/>
                      <w:u w:val="single"/>
                      <w:lang w:val="zh-CN"/>
                      <w14:textFill>
                        <w14:solidFill>
                          <w14:schemeClr w14:val="tx1"/>
                        </w14:solidFill>
                      </w14:textFill>
                    </w:rPr>
                    <w:t>去除率</w:t>
                  </w:r>
                  <w:r>
                    <w:rPr>
                      <w:rFonts w:hint="eastAsia"/>
                      <w:b/>
                      <w:bCs/>
                      <w:color w:val="000000" w:themeColor="text1"/>
                      <w:szCs w:val="21"/>
                      <w:highlight w:val="none"/>
                      <w:u w:val="single"/>
                      <w:lang w:val="en-US" w:eastAsia="zh-CN"/>
                      <w14:textFill>
                        <w14:solidFill>
                          <w14:schemeClr w14:val="tx1"/>
                        </w14:solidFill>
                      </w14:textFill>
                    </w:rPr>
                    <w:t>98</w:t>
                  </w:r>
                  <w:r>
                    <w:rPr>
                      <w:rFonts w:hint="eastAsia"/>
                      <w:b/>
                      <w:bCs/>
                      <w:color w:val="000000" w:themeColor="text1"/>
                      <w:szCs w:val="21"/>
                      <w:highlight w:val="none"/>
                      <w:u w:val="single"/>
                      <w14:textFill>
                        <w14:solidFill>
                          <w14:schemeClr w14:val="tx1"/>
                        </w14:solidFill>
                      </w14:textFill>
                    </w:rPr>
                    <w:t>%</w:t>
                  </w:r>
                </w:p>
              </w:tc>
              <w:tc>
                <w:tcPr>
                  <w:tcW w:w="344" w:type="pct"/>
                  <w:tcBorders>
                    <w:tl2br w:val="nil"/>
                    <w:tr2bl w:val="nil"/>
                  </w:tcBorders>
                  <w:vAlign w:val="center"/>
                </w:tcPr>
                <w:p>
                  <w:pPr>
                    <w:spacing w:line="240" w:lineRule="auto"/>
                    <w:jc w:val="center"/>
                    <w:rPr>
                      <w:b/>
                      <w:bCs/>
                      <w:color w:val="000000" w:themeColor="text1"/>
                      <w:szCs w:val="21"/>
                      <w:highlight w:val="none"/>
                      <w:u w:val="single"/>
                      <w14:textFill>
                        <w14:solidFill>
                          <w14:schemeClr w14:val="tx1"/>
                        </w14:solidFill>
                      </w14:textFill>
                    </w:rPr>
                  </w:pPr>
                  <w:r>
                    <w:rPr>
                      <w:rFonts w:hint="eastAsia"/>
                      <w:b/>
                      <w:bCs/>
                      <w:color w:val="000000" w:themeColor="text1"/>
                      <w:szCs w:val="21"/>
                      <w:highlight w:val="none"/>
                      <w:u w:val="single"/>
                      <w:lang w:val="zh-CN"/>
                      <w14:textFill>
                        <w14:solidFill>
                          <w14:schemeClr w14:val="tx1"/>
                        </w14:solidFill>
                      </w14:textFill>
                    </w:rPr>
                    <w:t>是</w:t>
                  </w:r>
                </w:p>
              </w:tc>
              <w:tc>
                <w:tcPr>
                  <w:tcW w:w="312" w:type="pct"/>
                  <w:tcBorders>
                    <w:tl2br w:val="nil"/>
                    <w:tr2bl w:val="nil"/>
                  </w:tcBorders>
                  <w:shd w:val="clear" w:color="auto" w:fill="auto"/>
                  <w:vAlign w:val="center"/>
                </w:tcPr>
                <w:p>
                  <w:pPr>
                    <w:spacing w:line="240" w:lineRule="auto"/>
                    <w:jc w:val="center"/>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0.0362</w:t>
                  </w:r>
                </w:p>
              </w:tc>
              <w:tc>
                <w:tcPr>
                  <w:tcW w:w="337" w:type="pct"/>
                  <w:tcBorders>
                    <w:tl2br w:val="nil"/>
                    <w:tr2bl w:val="nil"/>
                  </w:tcBorders>
                  <w:shd w:val="clear" w:color="auto" w:fill="auto"/>
                  <w:vAlign w:val="center"/>
                </w:tcPr>
                <w:p>
                  <w:pPr>
                    <w:spacing w:line="240" w:lineRule="auto"/>
                    <w:jc w:val="center"/>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0.0302</w:t>
                  </w:r>
                </w:p>
              </w:tc>
              <w:tc>
                <w:tcPr>
                  <w:tcW w:w="369" w:type="pct"/>
                  <w:tcBorders>
                    <w:tl2br w:val="nil"/>
                    <w:tr2bl w:val="nil"/>
                  </w:tcBorders>
                  <w:shd w:val="clear" w:color="auto" w:fill="auto"/>
                  <w:vAlign w:val="center"/>
                </w:tcPr>
                <w:p>
                  <w:pPr>
                    <w:spacing w:line="240" w:lineRule="auto"/>
                    <w:jc w:val="center"/>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6.03</w:t>
                  </w:r>
                </w:p>
              </w:tc>
              <w:tc>
                <w:tcPr>
                  <w:tcW w:w="873" w:type="pct"/>
                  <w:vMerge w:val="restart"/>
                  <w:tcBorders>
                    <w:tl2br w:val="nil"/>
                    <w:tr2bl w:val="nil"/>
                  </w:tcBorders>
                  <w:vAlign w:val="center"/>
                </w:tcPr>
                <w:p>
                  <w:pPr>
                    <w:spacing w:line="240" w:lineRule="auto"/>
                    <w:jc w:val="center"/>
                    <w:rPr>
                      <w:b w:val="0"/>
                      <w:bCs w:val="0"/>
                      <w:color w:val="000000" w:themeColor="text1"/>
                      <w:szCs w:val="21"/>
                      <w:u w:val="none"/>
                      <w14:textFill>
                        <w14:solidFill>
                          <w14:schemeClr w14:val="tx1"/>
                        </w14:solidFill>
                      </w14:textFill>
                    </w:rPr>
                  </w:pPr>
                  <w:r>
                    <w:rPr>
                      <w:rFonts w:hint="eastAsia"/>
                      <w:b w:val="0"/>
                      <w:bCs w:val="0"/>
                      <w:color w:val="000000"/>
                      <w:u w:val="none"/>
                    </w:rPr>
                    <w:t>《大气污染物综合排放标准》（GB16297-1996）表2二级标准。同时满足洛市环〔2021〕47号要求：颗粒物排放浓度不高于10mg/m</w:t>
                  </w:r>
                  <w:r>
                    <w:rPr>
                      <w:rFonts w:hint="eastAsia"/>
                      <w:b w:val="0"/>
                      <w:bCs w:val="0"/>
                      <w:color w:val="000000"/>
                      <w:u w:val="none"/>
                      <w:vertAlign w:val="superscript"/>
                    </w:rPr>
                    <w:t>3</w:t>
                  </w:r>
                  <w:r>
                    <w:rPr>
                      <w:rFonts w:hint="eastAsia"/>
                      <w:b w:val="0"/>
                      <w:bCs w:val="0"/>
                      <w:color w:val="000000"/>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5" w:hRule="atLeast"/>
              </w:trPr>
              <w:tc>
                <w:tcPr>
                  <w:tcW w:w="251" w:type="pct"/>
                  <w:vMerge w:val="continue"/>
                  <w:tcBorders>
                    <w:tl2br w:val="nil"/>
                    <w:tr2bl w:val="nil"/>
                  </w:tcBorders>
                  <w:vAlign w:val="center"/>
                </w:tcPr>
                <w:p>
                  <w:pPr>
                    <w:spacing w:line="240" w:lineRule="auto"/>
                    <w:jc w:val="center"/>
                    <w:rPr>
                      <w:b w:val="0"/>
                      <w:bCs w:val="0"/>
                      <w:color w:val="000000" w:themeColor="text1"/>
                      <w:szCs w:val="21"/>
                      <w:u w:val="none"/>
                      <w14:textFill>
                        <w14:solidFill>
                          <w14:schemeClr w14:val="tx1"/>
                        </w14:solidFill>
                      </w14:textFill>
                    </w:rPr>
                  </w:pPr>
                </w:p>
              </w:tc>
              <w:tc>
                <w:tcPr>
                  <w:tcW w:w="258" w:type="pct"/>
                  <w:vMerge w:val="continue"/>
                  <w:tcBorders>
                    <w:tl2br w:val="nil"/>
                    <w:tr2bl w:val="nil"/>
                  </w:tcBorders>
                  <w:vAlign w:val="center"/>
                </w:tcPr>
                <w:p>
                  <w:pPr>
                    <w:spacing w:line="240" w:lineRule="auto"/>
                    <w:jc w:val="center"/>
                    <w:rPr>
                      <w:rFonts w:hint="eastAsia" w:eastAsia="宋体"/>
                      <w:b/>
                      <w:bCs/>
                      <w:color w:val="000000" w:themeColor="text1"/>
                      <w:szCs w:val="21"/>
                      <w:u w:val="single"/>
                      <w:lang w:eastAsia="zh-CN"/>
                      <w14:textFill>
                        <w14:solidFill>
                          <w14:schemeClr w14:val="tx1"/>
                        </w14:solidFill>
                      </w14:textFill>
                    </w:rPr>
                  </w:pPr>
                </w:p>
              </w:tc>
              <w:tc>
                <w:tcPr>
                  <w:tcW w:w="285" w:type="pct"/>
                  <w:vMerge w:val="continue"/>
                  <w:tcBorders>
                    <w:tl2br w:val="nil"/>
                    <w:tr2bl w:val="nil"/>
                  </w:tcBorders>
                  <w:vAlign w:val="center"/>
                </w:tcPr>
                <w:p>
                  <w:pPr>
                    <w:spacing w:line="240" w:lineRule="auto"/>
                    <w:jc w:val="center"/>
                    <w:rPr>
                      <w:b/>
                      <w:bCs/>
                      <w:color w:val="000000" w:themeColor="text1"/>
                      <w:szCs w:val="21"/>
                      <w:u w:val="single"/>
                      <w14:textFill>
                        <w14:solidFill>
                          <w14:schemeClr w14:val="tx1"/>
                        </w14:solidFill>
                      </w14:textFill>
                    </w:rPr>
                  </w:pPr>
                </w:p>
              </w:tc>
              <w:tc>
                <w:tcPr>
                  <w:tcW w:w="254" w:type="pct"/>
                  <w:vMerge w:val="continue"/>
                  <w:tcBorders>
                    <w:tl2br w:val="nil"/>
                    <w:tr2bl w:val="nil"/>
                  </w:tcBorders>
                  <w:vAlign w:val="center"/>
                </w:tcPr>
                <w:p>
                  <w:pPr>
                    <w:spacing w:line="240" w:lineRule="auto"/>
                    <w:jc w:val="center"/>
                    <w:rPr>
                      <w:b/>
                      <w:bCs/>
                      <w:color w:val="000000" w:themeColor="text1"/>
                      <w:szCs w:val="21"/>
                      <w:highlight w:val="none"/>
                      <w:u w:val="single"/>
                      <w14:textFill>
                        <w14:solidFill>
                          <w14:schemeClr w14:val="tx1"/>
                        </w14:solidFill>
                      </w14:textFill>
                    </w:rPr>
                  </w:pPr>
                </w:p>
              </w:tc>
              <w:tc>
                <w:tcPr>
                  <w:tcW w:w="327" w:type="pct"/>
                  <w:tcBorders>
                    <w:tl2br w:val="nil"/>
                    <w:tr2bl w:val="nil"/>
                  </w:tcBorders>
                  <w:shd w:val="clear" w:color="auto" w:fill="auto"/>
                  <w:vAlign w:val="center"/>
                </w:tcPr>
                <w:p>
                  <w:pPr>
                    <w:spacing w:line="240" w:lineRule="auto"/>
                    <w:jc w:val="center"/>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14:textFill>
                        <w14:solidFill>
                          <w14:schemeClr w14:val="tx1"/>
                        </w14:solidFill>
                      </w14:textFill>
                    </w:rPr>
                    <w:t>0.</w:t>
                  </w:r>
                  <w:r>
                    <w:rPr>
                      <w:rFonts w:hint="eastAsia"/>
                      <w:b/>
                      <w:bCs/>
                      <w:color w:val="000000" w:themeColor="text1"/>
                      <w:highlight w:val="none"/>
                      <w:u w:val="single"/>
                      <w:lang w:val="en-US" w:eastAsia="zh-CN"/>
                      <w14:textFill>
                        <w14:solidFill>
                          <w14:schemeClr w14:val="tx1"/>
                        </w14:solidFill>
                      </w14:textFill>
                    </w:rPr>
                    <w:t>2011</w:t>
                  </w:r>
                </w:p>
              </w:tc>
              <w:tc>
                <w:tcPr>
                  <w:tcW w:w="332" w:type="pct"/>
                  <w:tcBorders>
                    <w:tl2br w:val="nil"/>
                    <w:tr2bl w:val="nil"/>
                  </w:tcBorders>
                  <w:shd w:val="clear" w:color="auto" w:fill="auto"/>
                  <w:vAlign w:val="center"/>
                </w:tcPr>
                <w:p>
                  <w:pPr>
                    <w:spacing w:line="240" w:lineRule="auto"/>
                    <w:jc w:val="center"/>
                    <w:rPr>
                      <w:rFonts w:hint="eastAsia"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w:t>
                  </w:r>
                </w:p>
              </w:tc>
              <w:tc>
                <w:tcPr>
                  <w:tcW w:w="273" w:type="pct"/>
                  <w:tcBorders>
                    <w:tl2br w:val="nil"/>
                    <w:tr2bl w:val="nil"/>
                  </w:tcBorders>
                  <w:shd w:val="clear" w:color="auto" w:fill="auto"/>
                  <w:vAlign w:val="center"/>
                </w:tcPr>
                <w:p>
                  <w:pPr>
                    <w:spacing w:line="240" w:lineRule="auto"/>
                    <w:jc w:val="center"/>
                    <w:rPr>
                      <w:b/>
                      <w:bCs/>
                      <w:color w:val="000000" w:themeColor="text1"/>
                      <w:szCs w:val="21"/>
                      <w:highlight w:val="none"/>
                      <w:u w:val="single"/>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无</w:t>
                  </w:r>
                  <w:r>
                    <w:rPr>
                      <w:rFonts w:hint="eastAsia"/>
                      <w:b/>
                      <w:bCs/>
                      <w:color w:val="000000" w:themeColor="text1"/>
                      <w:szCs w:val="21"/>
                      <w:highlight w:val="none"/>
                      <w:u w:val="single"/>
                      <w14:textFill>
                        <w14:solidFill>
                          <w14:schemeClr w14:val="tx1"/>
                        </w14:solidFill>
                      </w14:textFill>
                    </w:rPr>
                    <w:t>组织</w:t>
                  </w:r>
                </w:p>
              </w:tc>
              <w:tc>
                <w:tcPr>
                  <w:tcW w:w="779" w:type="pct"/>
                  <w:tcBorders>
                    <w:tl2br w:val="nil"/>
                    <w:tr2bl w:val="nil"/>
                  </w:tcBorders>
                  <w:vAlign w:val="center"/>
                </w:tcPr>
                <w:p>
                  <w:pPr>
                    <w:spacing w:line="240" w:lineRule="auto"/>
                    <w:jc w:val="center"/>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焊接、打磨二次密闭</w:t>
                  </w:r>
                </w:p>
                <w:p>
                  <w:pPr>
                    <w:spacing w:line="240" w:lineRule="auto"/>
                    <w:jc w:val="center"/>
                    <w:rPr>
                      <w:b/>
                      <w:bCs/>
                      <w:color w:val="000000" w:themeColor="text1"/>
                      <w:szCs w:val="21"/>
                      <w:highlight w:val="none"/>
                      <w:u w:val="single"/>
                      <w:lang w:val="zh-CN"/>
                      <w14:textFill>
                        <w14:solidFill>
                          <w14:schemeClr w14:val="tx1"/>
                        </w14:solidFill>
                      </w14:textFill>
                    </w:rPr>
                  </w:pPr>
                  <w:r>
                    <w:rPr>
                      <w:rFonts w:hint="eastAsia"/>
                      <w:b/>
                      <w:bCs/>
                      <w:color w:val="000000" w:themeColor="text1"/>
                      <w:highlight w:val="none"/>
                      <w:u w:val="single"/>
                      <w:lang w:val="zh-CN" w:eastAsia="zh-CN"/>
                      <w14:textFill>
                        <w14:solidFill>
                          <w14:schemeClr w14:val="tx1"/>
                        </w14:solidFill>
                      </w14:textFill>
                    </w:rPr>
                    <w:t>车间密闭</w:t>
                  </w:r>
                </w:p>
              </w:tc>
              <w:tc>
                <w:tcPr>
                  <w:tcW w:w="344" w:type="pct"/>
                  <w:tcBorders>
                    <w:tl2br w:val="nil"/>
                    <w:tr2bl w:val="nil"/>
                  </w:tcBorders>
                  <w:vAlign w:val="center"/>
                </w:tcPr>
                <w:p>
                  <w:pPr>
                    <w:spacing w:line="240" w:lineRule="auto"/>
                    <w:jc w:val="center"/>
                    <w:rPr>
                      <w:b/>
                      <w:bCs/>
                      <w:color w:val="000000" w:themeColor="text1"/>
                      <w:szCs w:val="21"/>
                      <w:highlight w:val="none"/>
                      <w:u w:val="single"/>
                      <w:lang w:val="zh-CN"/>
                      <w14:textFill>
                        <w14:solidFill>
                          <w14:schemeClr w14:val="tx1"/>
                        </w14:solidFill>
                      </w14:textFill>
                    </w:rPr>
                  </w:pPr>
                  <w:r>
                    <w:rPr>
                      <w:rFonts w:hint="eastAsia"/>
                      <w:b/>
                      <w:bCs/>
                      <w:color w:val="000000" w:themeColor="text1"/>
                      <w:szCs w:val="21"/>
                      <w:highlight w:val="none"/>
                      <w:u w:val="single"/>
                      <w:lang w:val="zh-CN"/>
                      <w14:textFill>
                        <w14:solidFill>
                          <w14:schemeClr w14:val="tx1"/>
                        </w14:solidFill>
                      </w14:textFill>
                    </w:rPr>
                    <w:t>是</w:t>
                  </w:r>
                </w:p>
              </w:tc>
              <w:tc>
                <w:tcPr>
                  <w:tcW w:w="312" w:type="pct"/>
                  <w:tcBorders>
                    <w:tl2br w:val="nil"/>
                    <w:tr2bl w:val="nil"/>
                  </w:tcBorders>
                  <w:shd w:val="clear" w:color="auto" w:fill="auto"/>
                  <w:vAlign w:val="center"/>
                </w:tcPr>
                <w:p>
                  <w:pPr>
                    <w:spacing w:line="240" w:lineRule="auto"/>
                    <w:jc w:val="center"/>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0.2011</w:t>
                  </w:r>
                </w:p>
              </w:tc>
              <w:tc>
                <w:tcPr>
                  <w:tcW w:w="337" w:type="pct"/>
                  <w:tcBorders>
                    <w:tl2br w:val="nil"/>
                    <w:tr2bl w:val="nil"/>
                  </w:tcBorders>
                  <w:shd w:val="clear" w:color="auto" w:fill="auto"/>
                  <w:vAlign w:val="center"/>
                </w:tcPr>
                <w:p>
                  <w:pPr>
                    <w:spacing w:line="240" w:lineRule="auto"/>
                    <w:jc w:val="center"/>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w:t>
                  </w:r>
                </w:p>
              </w:tc>
              <w:tc>
                <w:tcPr>
                  <w:tcW w:w="369" w:type="pct"/>
                  <w:tcBorders>
                    <w:tl2br w:val="nil"/>
                    <w:tr2bl w:val="nil"/>
                  </w:tcBorders>
                  <w:shd w:val="clear" w:color="auto" w:fill="auto"/>
                  <w:vAlign w:val="center"/>
                </w:tcPr>
                <w:p>
                  <w:pPr>
                    <w:spacing w:line="240" w:lineRule="auto"/>
                    <w:jc w:val="center"/>
                    <w:rPr>
                      <w:rFonts w:hint="eastAsia"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w:t>
                  </w:r>
                </w:p>
              </w:tc>
              <w:tc>
                <w:tcPr>
                  <w:tcW w:w="873" w:type="pct"/>
                  <w:vMerge w:val="continue"/>
                  <w:tcBorders>
                    <w:tl2br w:val="nil"/>
                    <w:tr2bl w:val="nil"/>
                  </w:tcBorders>
                  <w:vAlign w:val="center"/>
                </w:tcPr>
                <w:p>
                  <w:pPr>
                    <w:spacing w:line="240" w:lineRule="auto"/>
                    <w:jc w:val="center"/>
                    <w:rPr>
                      <w:b w:val="0"/>
                      <w:bCs w:val="0"/>
                      <w:color w:val="00000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4" w:hRule="atLeast"/>
              </w:trPr>
              <w:tc>
                <w:tcPr>
                  <w:tcW w:w="251" w:type="pct"/>
                  <w:vMerge w:val="continue"/>
                  <w:tcBorders>
                    <w:tl2br w:val="nil"/>
                    <w:tr2bl w:val="nil"/>
                  </w:tcBorders>
                  <w:vAlign w:val="center"/>
                </w:tcPr>
                <w:p>
                  <w:pPr>
                    <w:spacing w:line="240" w:lineRule="auto"/>
                    <w:jc w:val="center"/>
                    <w:rPr>
                      <w:b w:val="0"/>
                      <w:bCs w:val="0"/>
                      <w:color w:val="000000" w:themeColor="text1"/>
                      <w:szCs w:val="21"/>
                      <w:u w:val="none"/>
                      <w14:textFill>
                        <w14:solidFill>
                          <w14:schemeClr w14:val="tx1"/>
                        </w14:solidFill>
                      </w14:textFill>
                    </w:rPr>
                  </w:pPr>
                </w:p>
              </w:tc>
              <w:tc>
                <w:tcPr>
                  <w:tcW w:w="258" w:type="pct"/>
                  <w:tcBorders>
                    <w:tl2br w:val="nil"/>
                    <w:tr2bl w:val="nil"/>
                  </w:tcBorders>
                  <w:vAlign w:val="center"/>
                </w:tcPr>
                <w:p>
                  <w:pPr>
                    <w:spacing w:line="240" w:lineRule="auto"/>
                    <w:jc w:val="center"/>
                    <w:rPr>
                      <w:rFonts w:hint="default"/>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喷塑</w:t>
                  </w:r>
                </w:p>
              </w:tc>
              <w:tc>
                <w:tcPr>
                  <w:tcW w:w="285" w:type="pct"/>
                  <w:tcBorders>
                    <w:tl2br w:val="nil"/>
                    <w:tr2bl w:val="nil"/>
                  </w:tcBorders>
                  <w:vAlign w:val="center"/>
                </w:tcPr>
                <w:p>
                  <w:pPr>
                    <w:spacing w:line="240" w:lineRule="auto"/>
                    <w:jc w:val="center"/>
                    <w:rPr>
                      <w:rFonts w:hint="eastAsia"/>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喷塑</w:t>
                  </w:r>
                </w:p>
              </w:tc>
              <w:tc>
                <w:tcPr>
                  <w:tcW w:w="254" w:type="pct"/>
                  <w:tcBorders>
                    <w:tl2br w:val="nil"/>
                    <w:tr2bl w:val="nil"/>
                  </w:tcBorders>
                  <w:vAlign w:val="center"/>
                </w:tcPr>
                <w:p>
                  <w:pPr>
                    <w:spacing w:line="240" w:lineRule="auto"/>
                    <w:jc w:val="center"/>
                    <w:rPr>
                      <w:rFonts w:hint="eastAsia"/>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颗粒物</w:t>
                  </w:r>
                </w:p>
              </w:tc>
              <w:tc>
                <w:tcPr>
                  <w:tcW w:w="327" w:type="pct"/>
                  <w:tcBorders>
                    <w:tl2br w:val="nil"/>
                    <w:tr2bl w:val="nil"/>
                  </w:tcBorders>
                  <w:vAlign w:val="center"/>
                </w:tcPr>
                <w:p>
                  <w:pPr>
                    <w:spacing w:line="240" w:lineRule="auto"/>
                    <w:jc w:val="center"/>
                    <w:rPr>
                      <w:rFonts w:hint="default" w:ascii="Times New Roman" w:hAnsi="Times New Roman" w:eastAsia="宋体" w:cs="Times New Roman"/>
                      <w:b w:val="0"/>
                      <w:bCs w:val="0"/>
                      <w:color w:val="000000" w:themeColor="text1"/>
                      <w:kern w:val="2"/>
                      <w:sz w:val="21"/>
                      <w:szCs w:val="24"/>
                      <w:highlight w:val="none"/>
                      <w:u w:val="none"/>
                      <w:lang w:val="en-US" w:eastAsia="zh-CN" w:bidi="ar-SA"/>
                      <w14:textFill>
                        <w14:solidFill>
                          <w14:schemeClr w14:val="tx1"/>
                        </w14:solidFill>
                      </w14:textFill>
                    </w:rPr>
                  </w:pPr>
                  <w:r>
                    <w:rPr>
                      <w:rFonts w:hint="eastAsia"/>
                      <w:b w:val="0"/>
                      <w:bCs w:val="0"/>
                      <w:color w:val="000000" w:themeColor="text1"/>
                      <w:highlight w:val="none"/>
                      <w:u w:val="none"/>
                      <w:lang w:val="en-US" w:eastAsia="zh-CN"/>
                      <w14:textFill>
                        <w14:solidFill>
                          <w14:schemeClr w14:val="tx1"/>
                        </w14:solidFill>
                      </w14:textFill>
                    </w:rPr>
                    <w:t>3.6</w:t>
                  </w:r>
                </w:p>
              </w:tc>
              <w:tc>
                <w:tcPr>
                  <w:tcW w:w="332" w:type="pct"/>
                  <w:tcBorders>
                    <w:tl2br w:val="nil"/>
                    <w:tr2bl w:val="nil"/>
                  </w:tcBorders>
                  <w:vAlign w:val="center"/>
                </w:tcPr>
                <w:p>
                  <w:pPr>
                    <w:spacing w:line="240" w:lineRule="auto"/>
                    <w:jc w:val="center"/>
                    <w:rPr>
                      <w:rFonts w:hint="default" w:ascii="Times New Roman" w:hAnsi="Times New Roman" w:eastAsia="宋体" w:cs="Times New Roman"/>
                      <w:b w:val="0"/>
                      <w:bCs w:val="0"/>
                      <w:color w:val="000000" w:themeColor="text1"/>
                      <w:kern w:val="2"/>
                      <w:sz w:val="21"/>
                      <w:szCs w:val="21"/>
                      <w:highlight w:val="none"/>
                      <w:u w:val="none"/>
                      <w:lang w:val="en-US" w:eastAsia="zh-CN" w:bidi="ar-SA"/>
                      <w14:textFill>
                        <w14:solidFill>
                          <w14:schemeClr w14:val="tx1"/>
                        </w14:solidFill>
                      </w14:textFill>
                    </w:rPr>
                  </w:pPr>
                  <w:r>
                    <w:rPr>
                      <w:rFonts w:hint="eastAsia"/>
                      <w:b w:val="0"/>
                      <w:bCs w:val="0"/>
                      <w:color w:val="000000" w:themeColor="text1"/>
                      <w:szCs w:val="21"/>
                      <w:highlight w:val="none"/>
                      <w:u w:val="none"/>
                      <w:lang w:val="en-US" w:eastAsia="zh-CN"/>
                      <w14:textFill>
                        <w14:solidFill>
                          <w14:schemeClr w14:val="tx1"/>
                        </w14:solidFill>
                      </w14:textFill>
                    </w:rPr>
                    <w:t>300</w:t>
                  </w:r>
                </w:p>
              </w:tc>
              <w:tc>
                <w:tcPr>
                  <w:tcW w:w="273" w:type="pct"/>
                  <w:tcBorders>
                    <w:tl2br w:val="nil"/>
                    <w:tr2bl w:val="nil"/>
                  </w:tcBorders>
                  <w:vAlign w:val="center"/>
                </w:tcPr>
                <w:p>
                  <w:pPr>
                    <w:spacing w:line="240" w:lineRule="auto"/>
                    <w:jc w:val="center"/>
                    <w:rPr>
                      <w:rFonts w:hint="eastAsia"/>
                      <w:b w:val="0"/>
                      <w:bCs w:val="0"/>
                      <w:color w:val="000000" w:themeColor="text1"/>
                      <w:highlight w:val="none"/>
                      <w:u w:val="none"/>
                      <w:lang w:val="en-US" w:eastAsia="zh-CN"/>
                      <w14:textFill>
                        <w14:solidFill>
                          <w14:schemeClr w14:val="tx1"/>
                        </w14:solidFill>
                      </w14:textFill>
                    </w:rPr>
                  </w:pPr>
                  <w:r>
                    <w:rPr>
                      <w:rFonts w:hint="eastAsia"/>
                      <w:b w:val="0"/>
                      <w:bCs w:val="0"/>
                      <w:color w:val="000000" w:themeColor="text1"/>
                      <w:highlight w:val="none"/>
                      <w:u w:val="none"/>
                      <w:lang w:val="en-US" w:eastAsia="zh-CN"/>
                      <w14:textFill>
                        <w14:solidFill>
                          <w14:schemeClr w14:val="tx1"/>
                        </w14:solidFill>
                      </w14:textFill>
                    </w:rPr>
                    <w:t>有组织</w:t>
                  </w:r>
                </w:p>
              </w:tc>
              <w:tc>
                <w:tcPr>
                  <w:tcW w:w="779" w:type="pct"/>
                  <w:tcBorders>
                    <w:tl2br w:val="nil"/>
                    <w:tr2bl w:val="nil"/>
                  </w:tcBorders>
                  <w:vAlign w:val="center"/>
                </w:tcPr>
                <w:p>
                  <w:pPr>
                    <w:spacing w:line="240" w:lineRule="auto"/>
                    <w:jc w:val="center"/>
                    <w:rPr>
                      <w:rFonts w:hint="eastAsia"/>
                      <w:b w:val="0"/>
                      <w:bCs w:val="0"/>
                      <w:color w:val="000000" w:themeColor="text1"/>
                      <w:highlight w:val="none"/>
                      <w:u w:val="none"/>
                      <w:lang w:val="zh-CN" w:eastAsia="zh-CN"/>
                      <w14:textFill>
                        <w14:solidFill>
                          <w14:schemeClr w14:val="tx1"/>
                        </w14:solidFill>
                      </w14:textFill>
                    </w:rPr>
                  </w:pPr>
                  <w:r>
                    <w:rPr>
                      <w:rFonts w:hint="eastAsia"/>
                      <w:b w:val="0"/>
                      <w:bCs w:val="0"/>
                      <w:color w:val="000000" w:themeColor="text1"/>
                      <w:highlight w:val="none"/>
                      <w:u w:val="none"/>
                      <w:lang w:val="zh-CN" w:eastAsia="zh-CN"/>
                      <w14:textFill>
                        <w14:solidFill>
                          <w14:schemeClr w14:val="tx1"/>
                        </w14:solidFill>
                      </w14:textFill>
                    </w:rPr>
                    <w:t>旋风+滤筒除尘器</w:t>
                  </w:r>
                </w:p>
                <w:p>
                  <w:pPr>
                    <w:spacing w:line="240" w:lineRule="auto"/>
                    <w:jc w:val="center"/>
                    <w:rPr>
                      <w:rFonts w:hint="eastAsia"/>
                      <w:b w:val="0"/>
                      <w:bCs w:val="0"/>
                      <w:color w:val="000000" w:themeColor="text1"/>
                      <w:highlight w:val="none"/>
                      <w:u w:val="none"/>
                      <w:lang w:val="zh-CN" w:eastAsia="zh-CN"/>
                      <w14:textFill>
                        <w14:solidFill>
                          <w14:schemeClr w14:val="tx1"/>
                        </w14:solidFill>
                      </w14:textFill>
                    </w:rPr>
                  </w:pPr>
                  <w:r>
                    <w:rPr>
                      <w:rFonts w:hint="eastAsia"/>
                      <w:b w:val="0"/>
                      <w:bCs w:val="0"/>
                      <w:color w:val="000000" w:themeColor="text1"/>
                      <w:highlight w:val="none"/>
                      <w:u w:val="none"/>
                      <w:lang w:val="en-US" w:eastAsia="zh-CN"/>
                      <w14:textFill>
                        <w14:solidFill>
                          <w14:schemeClr w14:val="tx1"/>
                        </w14:solidFill>
                      </w14:textFill>
                    </w:rPr>
                    <w:t>处理能力10000</w:t>
                  </w:r>
                  <w:r>
                    <w:rPr>
                      <w:rFonts w:hint="eastAsia"/>
                      <w:b w:val="0"/>
                      <w:bCs w:val="0"/>
                      <w:color w:val="000000" w:themeColor="text1"/>
                      <w:szCs w:val="21"/>
                      <w:highlight w:val="none"/>
                      <w:u w:val="none"/>
                      <w14:textFill>
                        <w14:solidFill>
                          <w14:schemeClr w14:val="tx1"/>
                        </w14:solidFill>
                      </w14:textFill>
                    </w:rPr>
                    <w:t>m</w:t>
                  </w:r>
                  <w:r>
                    <w:rPr>
                      <w:rFonts w:hint="eastAsia"/>
                      <w:b w:val="0"/>
                      <w:bCs w:val="0"/>
                      <w:color w:val="000000" w:themeColor="text1"/>
                      <w:szCs w:val="21"/>
                      <w:highlight w:val="none"/>
                      <w:u w:val="none"/>
                      <w:vertAlign w:val="superscript"/>
                      <w14:textFill>
                        <w14:solidFill>
                          <w14:schemeClr w14:val="tx1"/>
                        </w14:solidFill>
                      </w14:textFill>
                    </w:rPr>
                    <w:t>3</w:t>
                  </w:r>
                  <w:r>
                    <w:rPr>
                      <w:rFonts w:hint="eastAsia"/>
                      <w:b w:val="0"/>
                      <w:bCs w:val="0"/>
                      <w:color w:val="000000" w:themeColor="text1"/>
                      <w:szCs w:val="21"/>
                      <w:highlight w:val="none"/>
                      <w:u w:val="none"/>
                      <w14:textFill>
                        <w14:solidFill>
                          <w14:schemeClr w14:val="tx1"/>
                        </w14:solidFill>
                      </w14:textFill>
                    </w:rPr>
                    <w:t>/h</w:t>
                  </w:r>
                  <w:r>
                    <w:rPr>
                      <w:rFonts w:hint="eastAsia"/>
                      <w:b w:val="0"/>
                      <w:bCs w:val="0"/>
                      <w:color w:val="000000" w:themeColor="text1"/>
                      <w:highlight w:val="none"/>
                      <w:u w:val="none"/>
                      <w:lang w:val="zh-CN" w:eastAsia="zh-CN"/>
                      <w14:textFill>
                        <w14:solidFill>
                          <w14:schemeClr w14:val="tx1"/>
                        </w14:solidFill>
                      </w14:textFill>
                    </w:rPr>
                    <w:t>去除率</w:t>
                  </w:r>
                  <w:r>
                    <w:rPr>
                      <w:rFonts w:hint="eastAsia"/>
                      <w:b w:val="0"/>
                      <w:bCs w:val="0"/>
                      <w:color w:val="000000" w:themeColor="text1"/>
                      <w:highlight w:val="none"/>
                      <w:u w:val="none"/>
                      <w:lang w:val="en-US" w:eastAsia="zh-CN"/>
                      <w14:textFill>
                        <w14:solidFill>
                          <w14:schemeClr w14:val="tx1"/>
                        </w14:solidFill>
                      </w14:textFill>
                    </w:rPr>
                    <w:t>99%</w:t>
                  </w:r>
                </w:p>
              </w:tc>
              <w:tc>
                <w:tcPr>
                  <w:tcW w:w="344" w:type="pct"/>
                  <w:tcBorders>
                    <w:tl2br w:val="nil"/>
                    <w:tr2bl w:val="nil"/>
                  </w:tcBorders>
                  <w:vAlign w:val="center"/>
                </w:tcPr>
                <w:p>
                  <w:pPr>
                    <w:spacing w:line="240" w:lineRule="auto"/>
                    <w:jc w:val="center"/>
                    <w:rPr>
                      <w:rFonts w:hint="eastAsia"/>
                      <w:b w:val="0"/>
                      <w:bCs w:val="0"/>
                      <w:color w:val="000000" w:themeColor="text1"/>
                      <w:szCs w:val="21"/>
                      <w:highlight w:val="none"/>
                      <w:u w:val="none"/>
                      <w:lang w:val="zh-CN"/>
                      <w14:textFill>
                        <w14:solidFill>
                          <w14:schemeClr w14:val="tx1"/>
                        </w14:solidFill>
                      </w14:textFill>
                    </w:rPr>
                  </w:pPr>
                  <w:r>
                    <w:rPr>
                      <w:rFonts w:hint="eastAsia"/>
                      <w:b w:val="0"/>
                      <w:bCs w:val="0"/>
                      <w:color w:val="000000" w:themeColor="text1"/>
                      <w:szCs w:val="21"/>
                      <w:highlight w:val="none"/>
                      <w:u w:val="none"/>
                      <w:lang w:val="zh-CN"/>
                      <w14:textFill>
                        <w14:solidFill>
                          <w14:schemeClr w14:val="tx1"/>
                        </w14:solidFill>
                      </w14:textFill>
                    </w:rPr>
                    <w:t>是</w:t>
                  </w:r>
                </w:p>
              </w:tc>
              <w:tc>
                <w:tcPr>
                  <w:tcW w:w="312" w:type="pct"/>
                  <w:tcBorders>
                    <w:tl2br w:val="nil"/>
                    <w:tr2bl w:val="nil"/>
                  </w:tcBorders>
                  <w:vAlign w:val="center"/>
                </w:tcPr>
                <w:p>
                  <w:pPr>
                    <w:spacing w:line="240" w:lineRule="auto"/>
                    <w:jc w:val="center"/>
                    <w:rPr>
                      <w:rFonts w:hint="default" w:ascii="Times New Roman" w:hAnsi="Times New Roman" w:eastAsia="宋体" w:cs="Times New Roman"/>
                      <w:b w:val="0"/>
                      <w:bCs w:val="0"/>
                      <w:color w:val="000000" w:themeColor="text1"/>
                      <w:kern w:val="2"/>
                      <w:sz w:val="21"/>
                      <w:szCs w:val="24"/>
                      <w:highlight w:val="none"/>
                      <w:u w:val="none"/>
                      <w:lang w:val="en-US" w:eastAsia="zh-CN" w:bidi="ar-SA"/>
                      <w14:textFill>
                        <w14:solidFill>
                          <w14:schemeClr w14:val="tx1"/>
                        </w14:solidFill>
                      </w14:textFill>
                    </w:rPr>
                  </w:pPr>
                  <w:r>
                    <w:rPr>
                      <w:rFonts w:hint="eastAsia"/>
                      <w:b w:val="0"/>
                      <w:bCs w:val="0"/>
                      <w:color w:val="000000" w:themeColor="text1"/>
                      <w:highlight w:val="none"/>
                      <w:u w:val="none"/>
                      <w:lang w:val="en-US" w:eastAsia="zh-CN"/>
                      <w14:textFill>
                        <w14:solidFill>
                          <w14:schemeClr w14:val="tx1"/>
                        </w14:solidFill>
                      </w14:textFill>
                    </w:rPr>
                    <w:t>0.036</w:t>
                  </w:r>
                </w:p>
              </w:tc>
              <w:tc>
                <w:tcPr>
                  <w:tcW w:w="337" w:type="pct"/>
                  <w:tcBorders>
                    <w:tl2br w:val="nil"/>
                    <w:tr2bl w:val="nil"/>
                  </w:tcBorders>
                  <w:vAlign w:val="center"/>
                </w:tcPr>
                <w:p>
                  <w:pPr>
                    <w:spacing w:line="240" w:lineRule="auto"/>
                    <w:jc w:val="center"/>
                    <w:rPr>
                      <w:rFonts w:hint="default" w:ascii="Times New Roman" w:hAnsi="Times New Roman" w:eastAsia="宋体" w:cs="Times New Roman"/>
                      <w:b w:val="0"/>
                      <w:bCs w:val="0"/>
                      <w:color w:val="000000" w:themeColor="text1"/>
                      <w:kern w:val="2"/>
                      <w:sz w:val="21"/>
                      <w:szCs w:val="24"/>
                      <w:highlight w:val="none"/>
                      <w:u w:val="none"/>
                      <w:lang w:val="en-US" w:eastAsia="zh-CN" w:bidi="ar-SA"/>
                      <w14:textFill>
                        <w14:solidFill>
                          <w14:schemeClr w14:val="tx1"/>
                        </w14:solidFill>
                      </w14:textFill>
                    </w:rPr>
                  </w:pPr>
                  <w:r>
                    <w:rPr>
                      <w:rFonts w:hint="eastAsia"/>
                      <w:b w:val="0"/>
                      <w:bCs w:val="0"/>
                      <w:color w:val="000000" w:themeColor="text1"/>
                      <w:highlight w:val="none"/>
                      <w:u w:val="none"/>
                      <w:lang w:val="en-US" w:eastAsia="zh-CN"/>
                      <w14:textFill>
                        <w14:solidFill>
                          <w14:schemeClr w14:val="tx1"/>
                        </w14:solidFill>
                      </w14:textFill>
                    </w:rPr>
                    <w:t>0.03</w:t>
                  </w:r>
                </w:p>
              </w:tc>
              <w:tc>
                <w:tcPr>
                  <w:tcW w:w="369" w:type="pct"/>
                  <w:tcBorders>
                    <w:tl2br w:val="nil"/>
                    <w:tr2bl w:val="nil"/>
                  </w:tcBorders>
                  <w:vAlign w:val="center"/>
                </w:tcPr>
                <w:p>
                  <w:pPr>
                    <w:spacing w:line="240" w:lineRule="auto"/>
                    <w:jc w:val="center"/>
                    <w:rPr>
                      <w:rFonts w:hint="default" w:ascii="Times New Roman" w:hAnsi="Times New Roman" w:eastAsia="宋体" w:cs="Times New Roman"/>
                      <w:b w:val="0"/>
                      <w:bCs w:val="0"/>
                      <w:color w:val="000000" w:themeColor="text1"/>
                      <w:kern w:val="2"/>
                      <w:sz w:val="21"/>
                      <w:szCs w:val="21"/>
                      <w:highlight w:val="none"/>
                      <w:u w:val="none"/>
                      <w:lang w:val="en-US" w:eastAsia="zh-CN" w:bidi="ar-SA"/>
                      <w14:textFill>
                        <w14:solidFill>
                          <w14:schemeClr w14:val="tx1"/>
                        </w14:solidFill>
                      </w14:textFill>
                    </w:rPr>
                  </w:pPr>
                  <w:r>
                    <w:rPr>
                      <w:rFonts w:hint="eastAsia"/>
                      <w:b w:val="0"/>
                      <w:bCs w:val="0"/>
                      <w:color w:val="000000" w:themeColor="text1"/>
                      <w:szCs w:val="21"/>
                      <w:highlight w:val="none"/>
                      <w:u w:val="none"/>
                      <w:lang w:val="en-US" w:eastAsia="zh-CN"/>
                      <w14:textFill>
                        <w14:solidFill>
                          <w14:schemeClr w14:val="tx1"/>
                        </w14:solidFill>
                      </w14:textFill>
                    </w:rPr>
                    <w:t>3.0</w:t>
                  </w:r>
                </w:p>
              </w:tc>
              <w:tc>
                <w:tcPr>
                  <w:tcW w:w="873" w:type="pct"/>
                  <w:vMerge w:val="continue"/>
                  <w:tcBorders>
                    <w:tl2br w:val="nil"/>
                    <w:tr2bl w:val="nil"/>
                  </w:tcBorders>
                  <w:vAlign w:val="center"/>
                </w:tcPr>
                <w:p>
                  <w:pPr>
                    <w:spacing w:line="240" w:lineRule="auto"/>
                    <w:jc w:val="center"/>
                    <w:rPr>
                      <w:rFonts w:hint="eastAsia"/>
                      <w:b w:val="0"/>
                      <w:bCs w:val="0"/>
                      <w:color w:val="00000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atLeast"/>
              </w:trPr>
              <w:tc>
                <w:tcPr>
                  <w:tcW w:w="251" w:type="pct"/>
                  <w:vMerge w:val="continue"/>
                  <w:tcBorders>
                    <w:tl2br w:val="nil"/>
                    <w:tr2bl w:val="nil"/>
                  </w:tcBorders>
                  <w:vAlign w:val="center"/>
                </w:tcPr>
                <w:p>
                  <w:pPr>
                    <w:spacing w:line="240" w:lineRule="auto"/>
                    <w:jc w:val="center"/>
                    <w:rPr>
                      <w:b w:val="0"/>
                      <w:bCs w:val="0"/>
                      <w:color w:val="000000" w:themeColor="text1"/>
                      <w:szCs w:val="21"/>
                      <w:u w:val="none"/>
                      <w14:textFill>
                        <w14:solidFill>
                          <w14:schemeClr w14:val="tx1"/>
                        </w14:solidFill>
                      </w14:textFill>
                    </w:rPr>
                  </w:pPr>
                </w:p>
              </w:tc>
              <w:tc>
                <w:tcPr>
                  <w:tcW w:w="25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val="0"/>
                      <w:color w:val="000000" w:themeColor="text1"/>
                      <w:szCs w:val="21"/>
                      <w:u w:val="none"/>
                      <w:lang w:val="en-US" w:eastAsia="zh-CN"/>
                      <w14:textFill>
                        <w14:solidFill>
                          <w14:schemeClr w14:val="tx1"/>
                        </w14:solidFill>
                      </w14:textFill>
                    </w:rPr>
                  </w:pPr>
                  <w:r>
                    <w:rPr>
                      <w:rFonts w:hint="eastAsia" w:ascii="Times New Roman" w:hAnsi="Times New Roman"/>
                      <w:sz w:val="21"/>
                      <w:szCs w:val="21"/>
                      <w:lang w:val="zh-CN"/>
                    </w:rPr>
                    <w:t>液化石油气燃烧机</w:t>
                  </w:r>
                </w:p>
              </w:tc>
              <w:tc>
                <w:tcPr>
                  <w:tcW w:w="285" w:type="pct"/>
                  <w:vMerge w:val="restart"/>
                  <w:tcBorders>
                    <w:tl2br w:val="nil"/>
                    <w:tr2bl w:val="nil"/>
                  </w:tcBorders>
                  <w:vAlign w:val="center"/>
                </w:tcPr>
                <w:p>
                  <w:pPr>
                    <w:spacing w:line="240" w:lineRule="auto"/>
                    <w:jc w:val="center"/>
                    <w:rPr>
                      <w:rFonts w:hint="default" w:eastAsia="宋体"/>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固化、液化气燃烧</w:t>
                  </w:r>
                </w:p>
              </w:tc>
              <w:tc>
                <w:tcPr>
                  <w:tcW w:w="254" w:type="pct"/>
                  <w:tcBorders>
                    <w:tl2br w:val="nil"/>
                    <w:tr2bl w:val="nil"/>
                  </w:tcBorders>
                  <w:vAlign w:val="center"/>
                </w:tcPr>
                <w:p>
                  <w:pPr>
                    <w:spacing w:line="240" w:lineRule="auto"/>
                    <w:jc w:val="center"/>
                    <w:rPr>
                      <w:b w:val="0"/>
                      <w:bCs w:val="0"/>
                      <w:color w:val="000000" w:themeColor="text1"/>
                      <w:szCs w:val="21"/>
                      <w:u w:val="none"/>
                      <w:lang w:val="zh-CN"/>
                      <w14:textFill>
                        <w14:solidFill>
                          <w14:schemeClr w14:val="tx1"/>
                        </w14:solidFill>
                      </w14:textFill>
                    </w:rPr>
                  </w:pPr>
                  <w:r>
                    <w:rPr>
                      <w:rFonts w:hint="eastAsia"/>
                      <w:b w:val="0"/>
                      <w:bCs w:val="0"/>
                      <w:color w:val="000000" w:themeColor="text1"/>
                      <w:szCs w:val="21"/>
                      <w:u w:val="none"/>
                      <w14:textFill>
                        <w14:solidFill>
                          <w14:schemeClr w14:val="tx1"/>
                        </w14:solidFill>
                      </w14:textFill>
                    </w:rPr>
                    <w:t>非甲烷总烃</w:t>
                  </w:r>
                </w:p>
              </w:tc>
              <w:tc>
                <w:tcPr>
                  <w:tcW w:w="327" w:type="pct"/>
                  <w:tcBorders>
                    <w:tl2br w:val="nil"/>
                    <w:tr2bl w:val="nil"/>
                  </w:tcBorders>
                  <w:vAlign w:val="center"/>
                </w:tcPr>
                <w:p>
                  <w:pPr>
                    <w:spacing w:line="240" w:lineRule="auto"/>
                    <w:jc w:val="center"/>
                    <w:rPr>
                      <w:rFonts w:hint="default" w:eastAsia="宋体"/>
                      <w:b w:val="0"/>
                      <w:bCs w:val="0"/>
                      <w:color w:val="000000" w:themeColor="text1"/>
                      <w:highlight w:val="none"/>
                      <w:u w:val="none"/>
                      <w:lang w:val="en-US" w:eastAsia="zh-CN"/>
                      <w14:textFill>
                        <w14:solidFill>
                          <w14:schemeClr w14:val="tx1"/>
                        </w14:solidFill>
                      </w14:textFill>
                    </w:rPr>
                  </w:pPr>
                  <w:r>
                    <w:rPr>
                      <w:rFonts w:hint="eastAsia"/>
                      <w:b w:val="0"/>
                      <w:bCs w:val="0"/>
                      <w:color w:val="000000" w:themeColor="text1"/>
                      <w:highlight w:val="none"/>
                      <w:u w:val="none"/>
                      <w:lang w:val="en-US" w:eastAsia="zh-CN"/>
                      <w14:textFill>
                        <w14:solidFill>
                          <w14:schemeClr w14:val="tx1"/>
                        </w14:solidFill>
                      </w14:textFill>
                    </w:rPr>
                    <w:t>0.0259</w:t>
                  </w:r>
                </w:p>
              </w:tc>
              <w:tc>
                <w:tcPr>
                  <w:tcW w:w="332" w:type="pct"/>
                  <w:tcBorders>
                    <w:tl2br w:val="nil"/>
                    <w:tr2bl w:val="nil"/>
                  </w:tcBorders>
                  <w:vAlign w:val="center"/>
                </w:tcPr>
                <w:p>
                  <w:pPr>
                    <w:spacing w:line="240" w:lineRule="auto"/>
                    <w:jc w:val="center"/>
                    <w:rPr>
                      <w:rFonts w:hint="default" w:eastAsia="宋体"/>
                      <w:b w:val="0"/>
                      <w:bCs w:val="0"/>
                      <w:color w:val="000000" w:themeColor="text1"/>
                      <w:highlight w:val="none"/>
                      <w:u w:val="none"/>
                      <w:lang w:val="en-US" w:eastAsia="zh-CN"/>
                      <w14:textFill>
                        <w14:solidFill>
                          <w14:schemeClr w14:val="tx1"/>
                        </w14:solidFill>
                      </w14:textFill>
                    </w:rPr>
                  </w:pPr>
                  <w:r>
                    <w:rPr>
                      <w:rFonts w:hint="eastAsia"/>
                      <w:b w:val="0"/>
                      <w:bCs w:val="0"/>
                      <w:color w:val="000000" w:themeColor="text1"/>
                      <w:szCs w:val="21"/>
                      <w:highlight w:val="none"/>
                      <w:u w:val="none"/>
                      <w:lang w:val="en-US" w:eastAsia="zh-CN"/>
                      <w14:textFill>
                        <w14:solidFill>
                          <w14:schemeClr w14:val="tx1"/>
                        </w14:solidFill>
                      </w14:textFill>
                    </w:rPr>
                    <w:t>7.19</w:t>
                  </w:r>
                </w:p>
              </w:tc>
              <w:tc>
                <w:tcPr>
                  <w:tcW w:w="273" w:type="pct"/>
                  <w:vMerge w:val="restart"/>
                  <w:tcBorders>
                    <w:tl2br w:val="nil"/>
                    <w:tr2bl w:val="nil"/>
                  </w:tcBorders>
                  <w:vAlign w:val="center"/>
                </w:tcPr>
                <w:p>
                  <w:pPr>
                    <w:spacing w:line="240" w:lineRule="auto"/>
                    <w:jc w:val="center"/>
                    <w:rPr>
                      <w:b w:val="0"/>
                      <w:bCs w:val="0"/>
                      <w:color w:val="000000" w:themeColor="text1"/>
                      <w:szCs w:val="21"/>
                      <w:highlight w:val="none"/>
                      <w:u w:val="none"/>
                      <w14:textFill>
                        <w14:solidFill>
                          <w14:schemeClr w14:val="tx1"/>
                        </w14:solidFill>
                      </w14:textFill>
                    </w:rPr>
                  </w:pPr>
                  <w:r>
                    <w:rPr>
                      <w:rFonts w:hint="eastAsia"/>
                      <w:b w:val="0"/>
                      <w:bCs w:val="0"/>
                      <w:color w:val="000000" w:themeColor="text1"/>
                      <w:szCs w:val="21"/>
                      <w:highlight w:val="none"/>
                      <w:u w:val="none"/>
                      <w14:textFill>
                        <w14:solidFill>
                          <w14:schemeClr w14:val="tx1"/>
                        </w14:solidFill>
                      </w14:textFill>
                    </w:rPr>
                    <w:t>有组织</w:t>
                  </w:r>
                </w:p>
              </w:tc>
              <w:tc>
                <w:tcPr>
                  <w:tcW w:w="779" w:type="pct"/>
                  <w:tcBorders>
                    <w:tl2br w:val="nil"/>
                    <w:tr2bl w:val="nil"/>
                  </w:tcBorders>
                  <w:vAlign w:val="center"/>
                </w:tcPr>
                <w:p>
                  <w:pPr>
                    <w:spacing w:line="240" w:lineRule="auto"/>
                    <w:jc w:val="center"/>
                    <w:rPr>
                      <w:b w:val="0"/>
                      <w:bCs w:val="0"/>
                      <w:color w:val="000000" w:themeColor="text1"/>
                      <w:szCs w:val="21"/>
                      <w:highlight w:val="none"/>
                      <w:u w:val="none"/>
                      <w:lang w:val="zh-CN"/>
                      <w14:textFill>
                        <w14:solidFill>
                          <w14:schemeClr w14:val="tx1"/>
                        </w14:solidFill>
                      </w14:textFill>
                    </w:rPr>
                  </w:pPr>
                  <w:r>
                    <w:rPr>
                      <w:rFonts w:hint="eastAsia"/>
                      <w:b w:val="0"/>
                      <w:bCs w:val="0"/>
                      <w:color w:val="000000" w:themeColor="text1"/>
                      <w:highlight w:val="none"/>
                      <w:u w:val="none"/>
                      <w14:textFill>
                        <w14:solidFill>
                          <w14:schemeClr w14:val="tx1"/>
                        </w14:solidFill>
                      </w14:textFill>
                    </w:rPr>
                    <w:t>UV光氧+活性炭</w:t>
                  </w:r>
                </w:p>
                <w:p>
                  <w:pPr>
                    <w:spacing w:line="240" w:lineRule="auto"/>
                    <w:jc w:val="center"/>
                    <w:rPr>
                      <w:b w:val="0"/>
                      <w:bCs w:val="0"/>
                      <w:color w:val="000000" w:themeColor="text1"/>
                      <w:szCs w:val="21"/>
                      <w:highlight w:val="none"/>
                      <w:u w:val="none"/>
                      <w14:textFill>
                        <w14:solidFill>
                          <w14:schemeClr w14:val="tx1"/>
                        </w14:solidFill>
                      </w14:textFill>
                    </w:rPr>
                  </w:pPr>
                  <w:r>
                    <w:rPr>
                      <w:rFonts w:hint="eastAsia"/>
                      <w:b w:val="0"/>
                      <w:bCs w:val="0"/>
                      <w:color w:val="000000" w:themeColor="text1"/>
                      <w:szCs w:val="21"/>
                      <w:highlight w:val="none"/>
                      <w:u w:val="none"/>
                      <w:lang w:val="zh-CN"/>
                      <w14:textFill>
                        <w14:solidFill>
                          <w14:schemeClr w14:val="tx1"/>
                        </w14:solidFill>
                      </w14:textFill>
                    </w:rPr>
                    <w:t>处理能力</w:t>
                  </w:r>
                  <w:r>
                    <w:rPr>
                      <w:rFonts w:hint="eastAsia"/>
                      <w:b w:val="0"/>
                      <w:bCs w:val="0"/>
                      <w:color w:val="000000" w:themeColor="text1"/>
                      <w:szCs w:val="21"/>
                      <w:highlight w:val="none"/>
                      <w:u w:val="none"/>
                      <w:lang w:val="en-US" w:eastAsia="zh-CN"/>
                      <w14:textFill>
                        <w14:solidFill>
                          <w14:schemeClr w14:val="tx1"/>
                        </w14:solidFill>
                      </w14:textFill>
                    </w:rPr>
                    <w:t>3000</w:t>
                  </w:r>
                  <w:r>
                    <w:rPr>
                      <w:rFonts w:hint="eastAsia"/>
                      <w:b w:val="0"/>
                      <w:bCs w:val="0"/>
                      <w:color w:val="000000" w:themeColor="text1"/>
                      <w:szCs w:val="21"/>
                      <w:highlight w:val="none"/>
                      <w:u w:val="none"/>
                      <w14:textFill>
                        <w14:solidFill>
                          <w14:schemeClr w14:val="tx1"/>
                        </w14:solidFill>
                      </w14:textFill>
                    </w:rPr>
                    <w:t>m</w:t>
                  </w:r>
                  <w:r>
                    <w:rPr>
                      <w:rFonts w:hint="eastAsia"/>
                      <w:b w:val="0"/>
                      <w:bCs w:val="0"/>
                      <w:color w:val="000000" w:themeColor="text1"/>
                      <w:szCs w:val="21"/>
                      <w:highlight w:val="none"/>
                      <w:u w:val="none"/>
                      <w:vertAlign w:val="superscript"/>
                      <w14:textFill>
                        <w14:solidFill>
                          <w14:schemeClr w14:val="tx1"/>
                        </w14:solidFill>
                      </w14:textFill>
                    </w:rPr>
                    <w:t>3</w:t>
                  </w:r>
                  <w:r>
                    <w:rPr>
                      <w:rFonts w:hint="eastAsia"/>
                      <w:b w:val="0"/>
                      <w:bCs w:val="0"/>
                      <w:color w:val="000000" w:themeColor="text1"/>
                      <w:szCs w:val="21"/>
                      <w:highlight w:val="none"/>
                      <w:u w:val="none"/>
                      <w14:textFill>
                        <w14:solidFill>
                          <w14:schemeClr w14:val="tx1"/>
                        </w14:solidFill>
                      </w14:textFill>
                    </w:rPr>
                    <w:t>/h</w:t>
                  </w:r>
                </w:p>
                <w:p>
                  <w:pPr>
                    <w:spacing w:line="240" w:lineRule="auto"/>
                    <w:jc w:val="center"/>
                    <w:rPr>
                      <w:b w:val="0"/>
                      <w:bCs w:val="0"/>
                      <w:color w:val="000000" w:themeColor="text1"/>
                      <w:szCs w:val="21"/>
                      <w:highlight w:val="none"/>
                      <w:u w:val="none"/>
                      <w14:textFill>
                        <w14:solidFill>
                          <w14:schemeClr w14:val="tx1"/>
                        </w14:solidFill>
                      </w14:textFill>
                    </w:rPr>
                  </w:pPr>
                  <w:r>
                    <w:rPr>
                      <w:rFonts w:hint="eastAsia"/>
                      <w:b w:val="0"/>
                      <w:bCs w:val="0"/>
                      <w:color w:val="000000" w:themeColor="text1"/>
                      <w:szCs w:val="21"/>
                      <w:highlight w:val="none"/>
                      <w:u w:val="none"/>
                      <w14:textFill>
                        <w14:solidFill>
                          <w14:schemeClr w14:val="tx1"/>
                        </w14:solidFill>
                      </w14:textFill>
                    </w:rPr>
                    <w:t>收集效率90%</w:t>
                  </w:r>
                </w:p>
                <w:p>
                  <w:pPr>
                    <w:spacing w:line="240" w:lineRule="auto"/>
                    <w:jc w:val="center"/>
                    <w:rPr>
                      <w:b w:val="0"/>
                      <w:bCs w:val="0"/>
                      <w:color w:val="000000" w:themeColor="text1"/>
                      <w:szCs w:val="21"/>
                      <w:highlight w:val="none"/>
                      <w:u w:val="none"/>
                      <w:lang w:val="zh-CN"/>
                      <w14:textFill>
                        <w14:solidFill>
                          <w14:schemeClr w14:val="tx1"/>
                        </w14:solidFill>
                      </w14:textFill>
                    </w:rPr>
                  </w:pPr>
                  <w:r>
                    <w:rPr>
                      <w:rFonts w:hint="eastAsia"/>
                      <w:b w:val="0"/>
                      <w:bCs w:val="0"/>
                      <w:color w:val="000000" w:themeColor="text1"/>
                      <w:szCs w:val="21"/>
                      <w:highlight w:val="none"/>
                      <w:u w:val="none"/>
                      <w:lang w:val="zh-CN"/>
                      <w14:textFill>
                        <w14:solidFill>
                          <w14:schemeClr w14:val="tx1"/>
                        </w14:solidFill>
                      </w14:textFill>
                    </w:rPr>
                    <w:t>去除率</w:t>
                  </w:r>
                  <w:r>
                    <w:rPr>
                      <w:rFonts w:hint="eastAsia"/>
                      <w:b w:val="0"/>
                      <w:bCs w:val="0"/>
                      <w:color w:val="000000" w:themeColor="text1"/>
                      <w:szCs w:val="21"/>
                      <w:highlight w:val="none"/>
                      <w:u w:val="none"/>
                      <w:lang w:val="en-US" w:eastAsia="zh-CN"/>
                      <w14:textFill>
                        <w14:solidFill>
                          <w14:schemeClr w14:val="tx1"/>
                        </w14:solidFill>
                      </w14:textFill>
                    </w:rPr>
                    <w:t>85</w:t>
                  </w:r>
                  <w:r>
                    <w:rPr>
                      <w:rFonts w:hint="eastAsia"/>
                      <w:b w:val="0"/>
                      <w:bCs w:val="0"/>
                      <w:color w:val="000000" w:themeColor="text1"/>
                      <w:szCs w:val="21"/>
                      <w:highlight w:val="none"/>
                      <w:u w:val="none"/>
                      <w14:textFill>
                        <w14:solidFill>
                          <w14:schemeClr w14:val="tx1"/>
                        </w14:solidFill>
                      </w14:textFill>
                    </w:rPr>
                    <w:t>%</w:t>
                  </w:r>
                </w:p>
              </w:tc>
              <w:tc>
                <w:tcPr>
                  <w:tcW w:w="344" w:type="pct"/>
                  <w:tcBorders>
                    <w:tl2br w:val="nil"/>
                    <w:tr2bl w:val="nil"/>
                  </w:tcBorders>
                  <w:vAlign w:val="center"/>
                </w:tcPr>
                <w:p>
                  <w:pPr>
                    <w:spacing w:line="240" w:lineRule="auto"/>
                    <w:jc w:val="center"/>
                    <w:rPr>
                      <w:b w:val="0"/>
                      <w:bCs w:val="0"/>
                      <w:color w:val="000000" w:themeColor="text1"/>
                      <w:szCs w:val="21"/>
                      <w:highlight w:val="none"/>
                      <w:u w:val="none"/>
                      <w:lang w:val="zh-CN"/>
                      <w14:textFill>
                        <w14:solidFill>
                          <w14:schemeClr w14:val="tx1"/>
                        </w14:solidFill>
                      </w14:textFill>
                    </w:rPr>
                  </w:pPr>
                  <w:r>
                    <w:rPr>
                      <w:rFonts w:hint="eastAsia"/>
                      <w:b w:val="0"/>
                      <w:bCs w:val="0"/>
                      <w:color w:val="000000" w:themeColor="text1"/>
                      <w:szCs w:val="21"/>
                      <w:highlight w:val="none"/>
                      <w:u w:val="none"/>
                      <w:lang w:val="zh-CN"/>
                      <w14:textFill>
                        <w14:solidFill>
                          <w14:schemeClr w14:val="tx1"/>
                        </w14:solidFill>
                      </w14:textFill>
                    </w:rPr>
                    <w:t>是</w:t>
                  </w:r>
                </w:p>
              </w:tc>
              <w:tc>
                <w:tcPr>
                  <w:tcW w:w="312" w:type="pct"/>
                  <w:tcBorders>
                    <w:tl2br w:val="nil"/>
                    <w:tr2bl w:val="nil"/>
                  </w:tcBorders>
                  <w:vAlign w:val="center"/>
                </w:tcPr>
                <w:p>
                  <w:pPr>
                    <w:spacing w:line="240" w:lineRule="auto"/>
                    <w:jc w:val="center"/>
                    <w:rPr>
                      <w:rFonts w:hint="default" w:eastAsia="宋体"/>
                      <w:b w:val="0"/>
                      <w:bCs w:val="0"/>
                      <w:color w:val="000000" w:themeColor="text1"/>
                      <w:highlight w:val="none"/>
                      <w:u w:val="none"/>
                      <w:lang w:val="en-US" w:eastAsia="zh-CN"/>
                      <w14:textFill>
                        <w14:solidFill>
                          <w14:schemeClr w14:val="tx1"/>
                        </w14:solidFill>
                      </w14:textFill>
                    </w:rPr>
                  </w:pPr>
                  <w:r>
                    <w:rPr>
                      <w:rFonts w:hint="eastAsia"/>
                      <w:b w:val="0"/>
                      <w:bCs w:val="0"/>
                      <w:color w:val="000000" w:themeColor="text1"/>
                      <w:highlight w:val="none"/>
                      <w:u w:val="none"/>
                      <w:lang w:val="en-US" w:eastAsia="zh-CN"/>
                      <w14:textFill>
                        <w14:solidFill>
                          <w14:schemeClr w14:val="tx1"/>
                        </w14:solidFill>
                      </w14:textFill>
                    </w:rPr>
                    <w:t>0.0039</w:t>
                  </w:r>
                </w:p>
              </w:tc>
              <w:tc>
                <w:tcPr>
                  <w:tcW w:w="337" w:type="pct"/>
                  <w:tcBorders>
                    <w:tl2br w:val="nil"/>
                    <w:tr2bl w:val="nil"/>
                  </w:tcBorders>
                  <w:vAlign w:val="center"/>
                </w:tcPr>
                <w:p>
                  <w:pPr>
                    <w:spacing w:line="240" w:lineRule="auto"/>
                    <w:jc w:val="center"/>
                    <w:rPr>
                      <w:rFonts w:hint="default" w:eastAsia="宋体"/>
                      <w:b w:val="0"/>
                      <w:bCs w:val="0"/>
                      <w:color w:val="000000" w:themeColor="text1"/>
                      <w:highlight w:val="none"/>
                      <w:u w:val="none"/>
                      <w:lang w:val="en-US" w:eastAsia="zh-CN"/>
                      <w14:textFill>
                        <w14:solidFill>
                          <w14:schemeClr w14:val="tx1"/>
                        </w14:solidFill>
                      </w14:textFill>
                    </w:rPr>
                  </w:pPr>
                  <w:r>
                    <w:rPr>
                      <w:rFonts w:hint="eastAsia"/>
                      <w:b w:val="0"/>
                      <w:bCs w:val="0"/>
                      <w:color w:val="000000" w:themeColor="text1"/>
                      <w:highlight w:val="none"/>
                      <w:u w:val="none"/>
                      <w:lang w:val="en-US" w:eastAsia="zh-CN"/>
                      <w14:textFill>
                        <w14:solidFill>
                          <w14:schemeClr w14:val="tx1"/>
                        </w14:solidFill>
                      </w14:textFill>
                    </w:rPr>
                    <w:t>0.0033</w:t>
                  </w:r>
                </w:p>
              </w:tc>
              <w:tc>
                <w:tcPr>
                  <w:tcW w:w="369" w:type="pct"/>
                  <w:tcBorders>
                    <w:tl2br w:val="nil"/>
                    <w:tr2bl w:val="nil"/>
                  </w:tcBorders>
                  <w:vAlign w:val="center"/>
                </w:tcPr>
                <w:p>
                  <w:pPr>
                    <w:spacing w:line="240" w:lineRule="auto"/>
                    <w:jc w:val="center"/>
                    <w:rPr>
                      <w:rFonts w:hint="default" w:eastAsia="宋体"/>
                      <w:b w:val="0"/>
                      <w:bCs w:val="0"/>
                      <w:color w:val="000000" w:themeColor="text1"/>
                      <w:highlight w:val="none"/>
                      <w:u w:val="none"/>
                      <w:lang w:val="en-US" w:eastAsia="zh-CN"/>
                      <w14:textFill>
                        <w14:solidFill>
                          <w14:schemeClr w14:val="tx1"/>
                        </w14:solidFill>
                      </w14:textFill>
                    </w:rPr>
                  </w:pPr>
                  <w:r>
                    <w:rPr>
                      <w:rFonts w:hint="eastAsia"/>
                      <w:b w:val="0"/>
                      <w:bCs w:val="0"/>
                      <w:color w:val="000000" w:themeColor="text1"/>
                      <w:szCs w:val="21"/>
                      <w:highlight w:val="none"/>
                      <w:u w:val="none"/>
                      <w:lang w:val="en-US" w:eastAsia="zh-CN"/>
                      <w14:textFill>
                        <w14:solidFill>
                          <w14:schemeClr w14:val="tx1"/>
                        </w14:solidFill>
                      </w14:textFill>
                    </w:rPr>
                    <w:t>1.1</w:t>
                  </w:r>
                </w:p>
              </w:tc>
              <w:tc>
                <w:tcPr>
                  <w:tcW w:w="87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《工业涂装工序挥发性有机物排放标准》</w:t>
                  </w:r>
                  <w:r>
                    <w:rPr>
                      <w:rFonts w:hint="default" w:ascii="Times New Roman" w:hAnsi="Times New Roman" w:eastAsia="宋体" w:cs="Times New Roman"/>
                      <w:lang w:val="en-US" w:eastAsia="zh-CN"/>
                    </w:rPr>
                    <w:t>(</w:t>
                  </w:r>
                  <w:r>
                    <w:rPr>
                      <w:rFonts w:hint="default" w:ascii="Times New Roman" w:hAnsi="Times New Roman" w:eastAsia="宋体" w:cs="Times New Roman"/>
                    </w:rPr>
                    <w:t>DB41/ 1951-202</w:t>
                  </w:r>
                  <w:r>
                    <w:rPr>
                      <w:rFonts w:hint="default"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trPr>
              <w:tc>
                <w:tcPr>
                  <w:tcW w:w="251" w:type="pct"/>
                  <w:vMerge w:val="continue"/>
                  <w:tcBorders>
                    <w:tl2br w:val="nil"/>
                    <w:tr2bl w:val="nil"/>
                  </w:tcBorders>
                  <w:vAlign w:val="center"/>
                </w:tcPr>
                <w:p>
                  <w:pPr>
                    <w:spacing w:line="240" w:lineRule="auto"/>
                    <w:jc w:val="center"/>
                    <w:rPr>
                      <w:b w:val="0"/>
                      <w:bCs w:val="0"/>
                      <w:color w:val="000000" w:themeColor="text1"/>
                      <w:szCs w:val="21"/>
                      <w:u w:val="none"/>
                      <w14:textFill>
                        <w14:solidFill>
                          <w14:schemeClr w14:val="tx1"/>
                        </w14:solidFill>
                      </w14:textFill>
                    </w:rPr>
                  </w:pPr>
                </w:p>
              </w:tc>
              <w:tc>
                <w:tcPr>
                  <w:tcW w:w="258" w:type="pct"/>
                  <w:vMerge w:val="continue"/>
                  <w:tcBorders>
                    <w:tl2br w:val="nil"/>
                    <w:tr2bl w:val="nil"/>
                  </w:tcBorders>
                  <w:vAlign w:val="center"/>
                </w:tcPr>
                <w:p>
                  <w:pPr>
                    <w:spacing w:line="240" w:lineRule="auto"/>
                    <w:jc w:val="center"/>
                    <w:rPr>
                      <w:rFonts w:hint="eastAsia"/>
                      <w:b w:val="0"/>
                      <w:bCs w:val="0"/>
                      <w:color w:val="000000" w:themeColor="text1"/>
                      <w:szCs w:val="21"/>
                      <w:u w:val="none"/>
                      <w:lang w:val="en-US" w:eastAsia="zh-CN"/>
                      <w14:textFill>
                        <w14:solidFill>
                          <w14:schemeClr w14:val="tx1"/>
                        </w14:solidFill>
                      </w14:textFill>
                    </w:rPr>
                  </w:pPr>
                </w:p>
              </w:tc>
              <w:tc>
                <w:tcPr>
                  <w:tcW w:w="285" w:type="pct"/>
                  <w:vMerge w:val="continue"/>
                  <w:tcBorders>
                    <w:tl2br w:val="nil"/>
                    <w:tr2bl w:val="nil"/>
                  </w:tcBorders>
                  <w:vAlign w:val="center"/>
                </w:tcPr>
                <w:p>
                  <w:pPr>
                    <w:spacing w:line="240" w:lineRule="auto"/>
                    <w:jc w:val="center"/>
                    <w:rPr>
                      <w:rFonts w:hint="eastAsia"/>
                      <w:b w:val="0"/>
                      <w:bCs w:val="0"/>
                      <w:color w:val="000000" w:themeColor="text1"/>
                      <w:szCs w:val="21"/>
                      <w:u w:val="none"/>
                      <w:lang w:val="en-US" w:eastAsia="zh-CN"/>
                      <w14:textFill>
                        <w14:solidFill>
                          <w14:schemeClr w14:val="tx1"/>
                        </w14:solidFill>
                      </w14:textFill>
                    </w:rPr>
                  </w:pPr>
                </w:p>
              </w:tc>
              <w:tc>
                <w:tcPr>
                  <w:tcW w:w="254" w:type="pct"/>
                  <w:tcBorders>
                    <w:tl2br w:val="nil"/>
                    <w:tr2bl w:val="nil"/>
                  </w:tcBorders>
                  <w:vAlign w:val="center"/>
                </w:tcPr>
                <w:p>
                  <w:pPr>
                    <w:spacing w:line="240" w:lineRule="auto"/>
                    <w:jc w:val="center"/>
                    <w:rPr>
                      <w:rFonts w:hint="eastAsia"/>
                      <w:b w:val="0"/>
                      <w:bCs w:val="0"/>
                      <w:color w:val="000000" w:themeColor="text1"/>
                      <w:szCs w:val="21"/>
                      <w:u w:val="none"/>
                      <w14:textFill>
                        <w14:solidFill>
                          <w14:schemeClr w14:val="tx1"/>
                        </w14:solidFill>
                      </w14:textFill>
                    </w:rPr>
                  </w:pPr>
                  <w:r>
                    <w:rPr>
                      <w:rFonts w:hint="eastAsia"/>
                      <w:b w:val="0"/>
                      <w:bCs w:val="0"/>
                      <w:color w:val="000000" w:themeColor="text1"/>
                      <w:szCs w:val="21"/>
                      <w:u w:val="none"/>
                      <w14:textFill>
                        <w14:solidFill>
                          <w14:schemeClr w14:val="tx1"/>
                        </w14:solidFill>
                      </w14:textFill>
                    </w:rPr>
                    <w:t>颗粒物</w:t>
                  </w:r>
                </w:p>
              </w:tc>
              <w:tc>
                <w:tcPr>
                  <w:tcW w:w="327" w:type="pct"/>
                  <w:tcBorders>
                    <w:tl2br w:val="nil"/>
                    <w:tr2bl w:val="nil"/>
                  </w:tcBorders>
                  <w:vAlign w:val="center"/>
                </w:tcPr>
                <w:p>
                  <w:pPr>
                    <w:spacing w:line="240" w:lineRule="auto"/>
                    <w:jc w:val="center"/>
                    <w:rPr>
                      <w:rFonts w:hint="default" w:eastAsia="宋体"/>
                      <w:b w:val="0"/>
                      <w:bCs w:val="0"/>
                      <w:color w:val="000000" w:themeColor="text1"/>
                      <w:u w:val="none"/>
                      <w:lang w:val="en-US" w:eastAsia="zh-CN"/>
                      <w14:textFill>
                        <w14:solidFill>
                          <w14:schemeClr w14:val="tx1"/>
                        </w14:solidFill>
                      </w14:textFill>
                    </w:rPr>
                  </w:pPr>
                  <w:r>
                    <w:rPr>
                      <w:rFonts w:hint="eastAsia"/>
                      <w:b w:val="0"/>
                      <w:bCs w:val="0"/>
                      <w:color w:val="000000" w:themeColor="text1"/>
                      <w:u w:val="none"/>
                      <w:lang w:val="en-US" w:eastAsia="zh-CN"/>
                      <w14:textFill>
                        <w14:solidFill>
                          <w14:schemeClr w14:val="tx1"/>
                        </w14:solidFill>
                      </w14:textFill>
                    </w:rPr>
                    <w:t>0.0038</w:t>
                  </w:r>
                </w:p>
              </w:tc>
              <w:tc>
                <w:tcPr>
                  <w:tcW w:w="332" w:type="pct"/>
                  <w:tcBorders>
                    <w:tl2br w:val="nil"/>
                    <w:tr2bl w:val="nil"/>
                  </w:tcBorders>
                  <w:vAlign w:val="center"/>
                </w:tcPr>
                <w:p>
                  <w:pPr>
                    <w:spacing w:line="240" w:lineRule="auto"/>
                    <w:jc w:val="center"/>
                    <w:rPr>
                      <w:rFonts w:hint="default" w:eastAsia="宋体"/>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1.07</w:t>
                  </w:r>
                </w:p>
              </w:tc>
              <w:tc>
                <w:tcPr>
                  <w:tcW w:w="273" w:type="pct"/>
                  <w:vMerge w:val="continue"/>
                  <w:tcBorders>
                    <w:tl2br w:val="nil"/>
                    <w:tr2bl w:val="nil"/>
                  </w:tcBorders>
                  <w:vAlign w:val="center"/>
                </w:tcPr>
                <w:p>
                  <w:pPr>
                    <w:spacing w:line="240" w:lineRule="auto"/>
                    <w:jc w:val="center"/>
                    <w:rPr>
                      <w:rFonts w:hint="eastAsia"/>
                      <w:b w:val="0"/>
                      <w:bCs w:val="0"/>
                      <w:color w:val="000000" w:themeColor="text1"/>
                      <w:szCs w:val="21"/>
                      <w:u w:val="none"/>
                      <w14:textFill>
                        <w14:solidFill>
                          <w14:schemeClr w14:val="tx1"/>
                        </w14:solidFill>
                      </w14:textFill>
                    </w:rPr>
                  </w:pPr>
                </w:p>
              </w:tc>
              <w:tc>
                <w:tcPr>
                  <w:tcW w:w="779" w:type="pct"/>
                  <w:vMerge w:val="restart"/>
                  <w:tcBorders>
                    <w:tl2br w:val="nil"/>
                    <w:tr2bl w:val="nil"/>
                  </w:tcBorders>
                  <w:vAlign w:val="center"/>
                </w:tcPr>
                <w:p>
                  <w:pPr>
                    <w:spacing w:line="240" w:lineRule="auto"/>
                    <w:jc w:val="center"/>
                    <w:rPr>
                      <w:rFonts w:hint="default" w:eastAsia="宋体"/>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节能直燃机</w:t>
                  </w:r>
                </w:p>
              </w:tc>
              <w:tc>
                <w:tcPr>
                  <w:tcW w:w="344" w:type="pct"/>
                  <w:vMerge w:val="restart"/>
                  <w:tcBorders>
                    <w:tl2br w:val="nil"/>
                    <w:tr2bl w:val="nil"/>
                  </w:tcBorders>
                  <w:vAlign w:val="center"/>
                </w:tcPr>
                <w:p>
                  <w:pPr>
                    <w:spacing w:line="240" w:lineRule="auto"/>
                    <w:jc w:val="center"/>
                    <w:rPr>
                      <w:rFonts w:hint="eastAsia"/>
                      <w:b w:val="0"/>
                      <w:bCs w:val="0"/>
                      <w:color w:val="000000" w:themeColor="text1"/>
                      <w:szCs w:val="21"/>
                      <w:u w:val="none"/>
                      <w:lang w:val="zh-CN"/>
                      <w14:textFill>
                        <w14:solidFill>
                          <w14:schemeClr w14:val="tx1"/>
                        </w14:solidFill>
                      </w14:textFill>
                    </w:rPr>
                  </w:pPr>
                  <w:r>
                    <w:rPr>
                      <w:rFonts w:hint="eastAsia"/>
                      <w:b w:val="0"/>
                      <w:bCs w:val="0"/>
                      <w:color w:val="000000" w:themeColor="text1"/>
                      <w:szCs w:val="21"/>
                      <w:u w:val="none"/>
                      <w14:textFill>
                        <w14:solidFill>
                          <w14:schemeClr w14:val="tx1"/>
                        </w14:solidFill>
                      </w14:textFill>
                    </w:rPr>
                    <w:t>是</w:t>
                  </w:r>
                </w:p>
              </w:tc>
              <w:tc>
                <w:tcPr>
                  <w:tcW w:w="312" w:type="pct"/>
                  <w:tcBorders>
                    <w:tl2br w:val="nil"/>
                    <w:tr2bl w:val="nil"/>
                  </w:tcBorders>
                  <w:vAlign w:val="center"/>
                </w:tcPr>
                <w:p>
                  <w:pPr>
                    <w:spacing w:line="240" w:lineRule="auto"/>
                    <w:jc w:val="center"/>
                    <w:rPr>
                      <w:rFonts w:hint="default" w:eastAsia="宋体"/>
                      <w:b w:val="0"/>
                      <w:bCs w:val="0"/>
                      <w:color w:val="000000" w:themeColor="text1"/>
                      <w:u w:val="none"/>
                      <w:lang w:val="en-US" w:eastAsia="zh-CN"/>
                      <w14:textFill>
                        <w14:solidFill>
                          <w14:schemeClr w14:val="tx1"/>
                        </w14:solidFill>
                      </w14:textFill>
                    </w:rPr>
                  </w:pPr>
                  <w:r>
                    <w:rPr>
                      <w:rFonts w:hint="eastAsia"/>
                      <w:b w:val="0"/>
                      <w:bCs w:val="0"/>
                      <w:color w:val="000000" w:themeColor="text1"/>
                      <w:u w:val="none"/>
                      <w:lang w:val="en-US" w:eastAsia="zh-CN"/>
                      <w14:textFill>
                        <w14:solidFill>
                          <w14:schemeClr w14:val="tx1"/>
                        </w14:solidFill>
                      </w14:textFill>
                    </w:rPr>
                    <w:t>0.0038</w:t>
                  </w:r>
                </w:p>
              </w:tc>
              <w:tc>
                <w:tcPr>
                  <w:tcW w:w="337" w:type="pct"/>
                  <w:tcBorders>
                    <w:tl2br w:val="nil"/>
                    <w:tr2bl w:val="nil"/>
                  </w:tcBorders>
                  <w:vAlign w:val="center"/>
                </w:tcPr>
                <w:p>
                  <w:pPr>
                    <w:spacing w:line="240" w:lineRule="auto"/>
                    <w:jc w:val="center"/>
                    <w:rPr>
                      <w:rFonts w:hint="default" w:eastAsia="宋体"/>
                      <w:b w:val="0"/>
                      <w:bCs w:val="0"/>
                      <w:color w:val="000000" w:themeColor="text1"/>
                      <w:u w:val="none"/>
                      <w:lang w:val="en-US" w:eastAsia="zh-CN"/>
                      <w14:textFill>
                        <w14:solidFill>
                          <w14:schemeClr w14:val="tx1"/>
                        </w14:solidFill>
                      </w14:textFill>
                    </w:rPr>
                  </w:pPr>
                  <w:r>
                    <w:rPr>
                      <w:rFonts w:hint="eastAsia"/>
                      <w:b w:val="0"/>
                      <w:bCs w:val="0"/>
                      <w:color w:val="000000" w:themeColor="text1"/>
                      <w:u w:val="none"/>
                      <w:lang w:val="en-US" w:eastAsia="zh-CN"/>
                      <w14:textFill>
                        <w14:solidFill>
                          <w14:schemeClr w14:val="tx1"/>
                        </w14:solidFill>
                      </w14:textFill>
                    </w:rPr>
                    <w:t>0.0032</w:t>
                  </w:r>
                </w:p>
              </w:tc>
              <w:tc>
                <w:tcPr>
                  <w:tcW w:w="369" w:type="pct"/>
                  <w:tcBorders>
                    <w:tl2br w:val="nil"/>
                    <w:tr2bl w:val="nil"/>
                  </w:tcBorders>
                  <w:vAlign w:val="center"/>
                </w:tcPr>
                <w:p>
                  <w:pPr>
                    <w:spacing w:line="240" w:lineRule="auto"/>
                    <w:jc w:val="center"/>
                    <w:rPr>
                      <w:rFonts w:hint="default" w:eastAsia="宋体"/>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1.07</w:t>
                  </w:r>
                </w:p>
              </w:tc>
              <w:tc>
                <w:tcPr>
                  <w:tcW w:w="873" w:type="pct"/>
                  <w:vMerge w:val="restart"/>
                  <w:tcBorders>
                    <w:tl2br w:val="nil"/>
                    <w:tr2bl w:val="nil"/>
                  </w:tcBorders>
                  <w:vAlign w:val="center"/>
                </w:tcPr>
                <w:p>
                  <w:pPr>
                    <w:spacing w:line="240" w:lineRule="auto"/>
                    <w:jc w:val="center"/>
                    <w:rPr>
                      <w:rFonts w:hint="eastAsia" w:eastAsia="宋体"/>
                      <w:b w:val="0"/>
                      <w:bCs w:val="0"/>
                      <w:color w:val="000000"/>
                      <w:u w:val="none"/>
                      <w:lang w:eastAsia="zh-CN"/>
                    </w:rPr>
                  </w:pPr>
                  <w:r>
                    <w:rPr>
                      <w:rFonts w:hint="eastAsia"/>
                      <w:b w:val="0"/>
                      <w:bCs w:val="0"/>
                      <w:szCs w:val="21"/>
                      <w:u w:val="none"/>
                    </w:rPr>
                    <w:t>《河南省重污染天气通用行业应急减排措施制定技术指南》中“涉锅炉/炉窑企业绩效分级指标”A级</w:t>
                  </w:r>
                  <w:r>
                    <w:rPr>
                      <w:rFonts w:hint="eastAsia"/>
                      <w:b w:val="0"/>
                      <w:bCs w:val="0"/>
                      <w:szCs w:val="21"/>
                      <w:u w:val="none"/>
                      <w:lang w:val="en-US" w:eastAsia="zh-CN"/>
                    </w:rPr>
                    <w:t>指标</w:t>
                  </w:r>
                  <w:r>
                    <w:rPr>
                      <w:rFonts w:hint="eastAsia"/>
                      <w:b w:val="0"/>
                      <w:bCs w:val="0"/>
                      <w:szCs w:val="21"/>
                      <w:u w:val="none"/>
                    </w:rPr>
                    <w:t>要求</w:t>
                  </w:r>
                  <w:r>
                    <w:rPr>
                      <w:rFonts w:hint="eastAsia"/>
                      <w:b w:val="0"/>
                      <w:bCs w:val="0"/>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trPr>
              <w:tc>
                <w:tcPr>
                  <w:tcW w:w="251" w:type="pct"/>
                  <w:vMerge w:val="continue"/>
                  <w:tcBorders>
                    <w:tl2br w:val="nil"/>
                    <w:tr2bl w:val="nil"/>
                  </w:tcBorders>
                  <w:vAlign w:val="center"/>
                </w:tcPr>
                <w:p>
                  <w:pPr>
                    <w:spacing w:line="240" w:lineRule="auto"/>
                    <w:jc w:val="center"/>
                    <w:rPr>
                      <w:b w:val="0"/>
                      <w:bCs w:val="0"/>
                      <w:color w:val="000000" w:themeColor="text1"/>
                      <w:szCs w:val="21"/>
                      <w:u w:val="none"/>
                      <w14:textFill>
                        <w14:solidFill>
                          <w14:schemeClr w14:val="tx1"/>
                        </w14:solidFill>
                      </w14:textFill>
                    </w:rPr>
                  </w:pPr>
                </w:p>
              </w:tc>
              <w:tc>
                <w:tcPr>
                  <w:tcW w:w="258" w:type="pct"/>
                  <w:vMerge w:val="continue"/>
                  <w:tcBorders>
                    <w:tl2br w:val="nil"/>
                    <w:tr2bl w:val="nil"/>
                  </w:tcBorders>
                  <w:vAlign w:val="center"/>
                </w:tcPr>
                <w:p>
                  <w:pPr>
                    <w:spacing w:line="240" w:lineRule="auto"/>
                    <w:jc w:val="center"/>
                    <w:rPr>
                      <w:rFonts w:hint="eastAsia"/>
                      <w:b w:val="0"/>
                      <w:bCs w:val="0"/>
                      <w:color w:val="000000" w:themeColor="text1"/>
                      <w:szCs w:val="21"/>
                      <w:u w:val="none"/>
                      <w:lang w:val="en-US" w:eastAsia="zh-CN"/>
                      <w14:textFill>
                        <w14:solidFill>
                          <w14:schemeClr w14:val="tx1"/>
                        </w14:solidFill>
                      </w14:textFill>
                    </w:rPr>
                  </w:pPr>
                </w:p>
              </w:tc>
              <w:tc>
                <w:tcPr>
                  <w:tcW w:w="285" w:type="pct"/>
                  <w:vMerge w:val="continue"/>
                  <w:tcBorders>
                    <w:tl2br w:val="nil"/>
                    <w:tr2bl w:val="nil"/>
                  </w:tcBorders>
                  <w:vAlign w:val="center"/>
                </w:tcPr>
                <w:p>
                  <w:pPr>
                    <w:spacing w:line="240" w:lineRule="auto"/>
                    <w:jc w:val="center"/>
                    <w:rPr>
                      <w:rFonts w:hint="eastAsia"/>
                      <w:b w:val="0"/>
                      <w:bCs w:val="0"/>
                      <w:color w:val="000000" w:themeColor="text1"/>
                      <w:szCs w:val="21"/>
                      <w:u w:val="none"/>
                      <w:lang w:val="en-US" w:eastAsia="zh-CN"/>
                      <w14:textFill>
                        <w14:solidFill>
                          <w14:schemeClr w14:val="tx1"/>
                        </w14:solidFill>
                      </w14:textFill>
                    </w:rPr>
                  </w:pPr>
                </w:p>
              </w:tc>
              <w:tc>
                <w:tcPr>
                  <w:tcW w:w="254" w:type="pct"/>
                  <w:tcBorders>
                    <w:tl2br w:val="nil"/>
                    <w:tr2bl w:val="nil"/>
                  </w:tcBorders>
                  <w:vAlign w:val="center"/>
                </w:tcPr>
                <w:p>
                  <w:pPr>
                    <w:spacing w:line="240" w:lineRule="auto"/>
                    <w:jc w:val="center"/>
                    <w:rPr>
                      <w:rFonts w:hint="eastAsia"/>
                      <w:b w:val="0"/>
                      <w:bCs w:val="0"/>
                      <w:color w:val="000000" w:themeColor="text1"/>
                      <w:szCs w:val="21"/>
                      <w:u w:val="none"/>
                      <w14:textFill>
                        <w14:solidFill>
                          <w14:schemeClr w14:val="tx1"/>
                        </w14:solidFill>
                      </w14:textFill>
                    </w:rPr>
                  </w:pPr>
                  <w:r>
                    <w:rPr>
                      <w:rFonts w:hint="eastAsia"/>
                      <w:b w:val="0"/>
                      <w:bCs w:val="0"/>
                      <w:color w:val="000000" w:themeColor="text1"/>
                      <w:szCs w:val="21"/>
                      <w:u w:val="none"/>
                      <w14:textFill>
                        <w14:solidFill>
                          <w14:schemeClr w14:val="tx1"/>
                        </w14:solidFill>
                      </w14:textFill>
                    </w:rPr>
                    <w:t>SO</w:t>
                  </w:r>
                  <w:r>
                    <w:rPr>
                      <w:rFonts w:hint="eastAsia"/>
                      <w:b w:val="0"/>
                      <w:bCs w:val="0"/>
                      <w:color w:val="000000" w:themeColor="text1"/>
                      <w:szCs w:val="21"/>
                      <w:u w:val="none"/>
                      <w:vertAlign w:val="subscript"/>
                      <w14:textFill>
                        <w14:solidFill>
                          <w14:schemeClr w14:val="tx1"/>
                        </w14:solidFill>
                      </w14:textFill>
                    </w:rPr>
                    <w:t>2</w:t>
                  </w:r>
                </w:p>
              </w:tc>
              <w:tc>
                <w:tcPr>
                  <w:tcW w:w="327" w:type="pct"/>
                  <w:tcBorders>
                    <w:tl2br w:val="nil"/>
                    <w:tr2bl w:val="nil"/>
                  </w:tcBorders>
                  <w:vAlign w:val="center"/>
                </w:tcPr>
                <w:p>
                  <w:pPr>
                    <w:spacing w:line="240" w:lineRule="auto"/>
                    <w:jc w:val="center"/>
                    <w:rPr>
                      <w:rFonts w:hint="default" w:eastAsia="宋体"/>
                      <w:b w:val="0"/>
                      <w:bCs w:val="0"/>
                      <w:color w:val="000000" w:themeColor="text1"/>
                      <w:u w:val="none"/>
                      <w:lang w:val="en-US" w:eastAsia="zh-CN"/>
                      <w14:textFill>
                        <w14:solidFill>
                          <w14:schemeClr w14:val="tx1"/>
                        </w14:solidFill>
                      </w14:textFill>
                    </w:rPr>
                  </w:pPr>
                  <w:r>
                    <w:rPr>
                      <w:rFonts w:hint="eastAsia"/>
                      <w:b w:val="0"/>
                      <w:bCs w:val="0"/>
                      <w:color w:val="000000" w:themeColor="text1"/>
                      <w:u w:val="none"/>
                      <w:lang w:val="en-US" w:eastAsia="zh-CN"/>
                      <w14:textFill>
                        <w14:solidFill>
                          <w14:schemeClr w14:val="tx1"/>
                        </w14:solidFill>
                      </w14:textFill>
                    </w:rPr>
                    <w:t>0.0105</w:t>
                  </w:r>
                </w:p>
              </w:tc>
              <w:tc>
                <w:tcPr>
                  <w:tcW w:w="332" w:type="pct"/>
                  <w:tcBorders>
                    <w:tl2br w:val="nil"/>
                    <w:tr2bl w:val="nil"/>
                  </w:tcBorders>
                  <w:vAlign w:val="center"/>
                </w:tcPr>
                <w:p>
                  <w:pPr>
                    <w:spacing w:line="240" w:lineRule="auto"/>
                    <w:jc w:val="center"/>
                    <w:rPr>
                      <w:rFonts w:hint="default" w:eastAsia="宋体"/>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2.92</w:t>
                  </w:r>
                </w:p>
              </w:tc>
              <w:tc>
                <w:tcPr>
                  <w:tcW w:w="273" w:type="pct"/>
                  <w:vMerge w:val="continue"/>
                  <w:tcBorders>
                    <w:tl2br w:val="nil"/>
                    <w:tr2bl w:val="nil"/>
                  </w:tcBorders>
                  <w:vAlign w:val="center"/>
                </w:tcPr>
                <w:p>
                  <w:pPr>
                    <w:spacing w:line="240" w:lineRule="auto"/>
                    <w:jc w:val="center"/>
                    <w:rPr>
                      <w:rFonts w:hint="eastAsia"/>
                      <w:b w:val="0"/>
                      <w:bCs w:val="0"/>
                      <w:color w:val="000000" w:themeColor="text1"/>
                      <w:szCs w:val="21"/>
                      <w:u w:val="none"/>
                      <w14:textFill>
                        <w14:solidFill>
                          <w14:schemeClr w14:val="tx1"/>
                        </w14:solidFill>
                      </w14:textFill>
                    </w:rPr>
                  </w:pPr>
                </w:p>
              </w:tc>
              <w:tc>
                <w:tcPr>
                  <w:tcW w:w="779" w:type="pct"/>
                  <w:vMerge w:val="continue"/>
                  <w:tcBorders>
                    <w:tl2br w:val="nil"/>
                    <w:tr2bl w:val="nil"/>
                  </w:tcBorders>
                  <w:vAlign w:val="center"/>
                </w:tcPr>
                <w:p>
                  <w:pPr>
                    <w:spacing w:line="240" w:lineRule="auto"/>
                    <w:jc w:val="center"/>
                    <w:rPr>
                      <w:rFonts w:hint="eastAsia"/>
                      <w:b w:val="0"/>
                      <w:bCs w:val="0"/>
                      <w:color w:val="000000" w:themeColor="text1"/>
                      <w:szCs w:val="21"/>
                      <w:u w:val="none"/>
                      <w:lang w:val="zh-CN"/>
                      <w14:textFill>
                        <w14:solidFill>
                          <w14:schemeClr w14:val="tx1"/>
                        </w14:solidFill>
                      </w14:textFill>
                    </w:rPr>
                  </w:pPr>
                </w:p>
              </w:tc>
              <w:tc>
                <w:tcPr>
                  <w:tcW w:w="344" w:type="pct"/>
                  <w:vMerge w:val="continue"/>
                  <w:tcBorders>
                    <w:tl2br w:val="nil"/>
                    <w:tr2bl w:val="nil"/>
                  </w:tcBorders>
                  <w:vAlign w:val="center"/>
                </w:tcPr>
                <w:p>
                  <w:pPr>
                    <w:spacing w:line="240" w:lineRule="auto"/>
                    <w:jc w:val="center"/>
                    <w:rPr>
                      <w:rFonts w:hint="eastAsia"/>
                      <w:b w:val="0"/>
                      <w:bCs w:val="0"/>
                      <w:color w:val="000000" w:themeColor="text1"/>
                      <w:szCs w:val="21"/>
                      <w:u w:val="none"/>
                      <w:lang w:val="zh-CN"/>
                      <w14:textFill>
                        <w14:solidFill>
                          <w14:schemeClr w14:val="tx1"/>
                        </w14:solidFill>
                      </w14:textFill>
                    </w:rPr>
                  </w:pPr>
                </w:p>
              </w:tc>
              <w:tc>
                <w:tcPr>
                  <w:tcW w:w="312" w:type="pct"/>
                  <w:tcBorders>
                    <w:tl2br w:val="nil"/>
                    <w:tr2bl w:val="nil"/>
                  </w:tcBorders>
                  <w:vAlign w:val="center"/>
                </w:tcPr>
                <w:p>
                  <w:pPr>
                    <w:spacing w:line="240" w:lineRule="auto"/>
                    <w:jc w:val="center"/>
                    <w:rPr>
                      <w:rFonts w:hint="default" w:eastAsia="宋体"/>
                      <w:b w:val="0"/>
                      <w:bCs w:val="0"/>
                      <w:color w:val="000000" w:themeColor="text1"/>
                      <w:u w:val="none"/>
                      <w:lang w:val="en-US" w:eastAsia="zh-CN"/>
                      <w14:textFill>
                        <w14:solidFill>
                          <w14:schemeClr w14:val="tx1"/>
                        </w14:solidFill>
                      </w14:textFill>
                    </w:rPr>
                  </w:pPr>
                  <w:r>
                    <w:rPr>
                      <w:rFonts w:hint="eastAsia"/>
                      <w:b w:val="0"/>
                      <w:bCs w:val="0"/>
                      <w:color w:val="000000" w:themeColor="text1"/>
                      <w:u w:val="none"/>
                      <w:lang w:val="en-US" w:eastAsia="zh-CN"/>
                      <w14:textFill>
                        <w14:solidFill>
                          <w14:schemeClr w14:val="tx1"/>
                        </w14:solidFill>
                      </w14:textFill>
                    </w:rPr>
                    <w:t>0.0105</w:t>
                  </w:r>
                </w:p>
              </w:tc>
              <w:tc>
                <w:tcPr>
                  <w:tcW w:w="337" w:type="pct"/>
                  <w:tcBorders>
                    <w:tl2br w:val="nil"/>
                    <w:tr2bl w:val="nil"/>
                  </w:tcBorders>
                  <w:vAlign w:val="center"/>
                </w:tcPr>
                <w:p>
                  <w:pPr>
                    <w:spacing w:line="240" w:lineRule="auto"/>
                    <w:jc w:val="center"/>
                    <w:rPr>
                      <w:rFonts w:hint="default" w:eastAsia="宋体"/>
                      <w:b w:val="0"/>
                      <w:bCs w:val="0"/>
                      <w:color w:val="000000" w:themeColor="text1"/>
                      <w:u w:val="none"/>
                      <w:lang w:val="en-US" w:eastAsia="zh-CN"/>
                      <w14:textFill>
                        <w14:solidFill>
                          <w14:schemeClr w14:val="tx1"/>
                        </w14:solidFill>
                      </w14:textFill>
                    </w:rPr>
                  </w:pPr>
                  <w:r>
                    <w:rPr>
                      <w:rFonts w:hint="eastAsia"/>
                      <w:b w:val="0"/>
                      <w:bCs w:val="0"/>
                      <w:color w:val="000000" w:themeColor="text1"/>
                      <w:u w:val="none"/>
                      <w:lang w:val="en-US" w:eastAsia="zh-CN"/>
                      <w14:textFill>
                        <w14:solidFill>
                          <w14:schemeClr w14:val="tx1"/>
                        </w14:solidFill>
                      </w14:textFill>
                    </w:rPr>
                    <w:t>0.009</w:t>
                  </w:r>
                </w:p>
              </w:tc>
              <w:tc>
                <w:tcPr>
                  <w:tcW w:w="369" w:type="pct"/>
                  <w:tcBorders>
                    <w:tl2br w:val="nil"/>
                    <w:tr2bl w:val="nil"/>
                  </w:tcBorders>
                  <w:vAlign w:val="center"/>
                </w:tcPr>
                <w:p>
                  <w:pPr>
                    <w:spacing w:line="240" w:lineRule="auto"/>
                    <w:jc w:val="center"/>
                    <w:rPr>
                      <w:rFonts w:hint="default" w:eastAsia="宋体"/>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2.92</w:t>
                  </w:r>
                </w:p>
              </w:tc>
              <w:tc>
                <w:tcPr>
                  <w:tcW w:w="873" w:type="pct"/>
                  <w:vMerge w:val="continue"/>
                  <w:tcBorders>
                    <w:tl2br w:val="nil"/>
                    <w:tr2bl w:val="nil"/>
                  </w:tcBorders>
                  <w:vAlign w:val="center"/>
                </w:tcPr>
                <w:p>
                  <w:pPr>
                    <w:spacing w:line="240" w:lineRule="auto"/>
                    <w:jc w:val="center"/>
                    <w:rPr>
                      <w:rFonts w:hint="eastAsia"/>
                      <w:b w:val="0"/>
                      <w:bCs w:val="0"/>
                      <w:color w:val="00000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251" w:type="pct"/>
                  <w:vMerge w:val="continue"/>
                  <w:tcBorders>
                    <w:tl2br w:val="nil"/>
                    <w:tr2bl w:val="nil"/>
                  </w:tcBorders>
                  <w:vAlign w:val="center"/>
                </w:tcPr>
                <w:p>
                  <w:pPr>
                    <w:spacing w:line="240" w:lineRule="auto"/>
                    <w:jc w:val="center"/>
                    <w:rPr>
                      <w:b w:val="0"/>
                      <w:bCs w:val="0"/>
                      <w:color w:val="000000" w:themeColor="text1"/>
                      <w:szCs w:val="21"/>
                      <w:u w:val="none"/>
                      <w14:textFill>
                        <w14:solidFill>
                          <w14:schemeClr w14:val="tx1"/>
                        </w14:solidFill>
                      </w14:textFill>
                    </w:rPr>
                  </w:pPr>
                </w:p>
              </w:tc>
              <w:tc>
                <w:tcPr>
                  <w:tcW w:w="258" w:type="pct"/>
                  <w:vMerge w:val="continue"/>
                  <w:tcBorders>
                    <w:tl2br w:val="nil"/>
                    <w:tr2bl w:val="nil"/>
                  </w:tcBorders>
                  <w:vAlign w:val="center"/>
                </w:tcPr>
                <w:p>
                  <w:pPr>
                    <w:spacing w:line="240" w:lineRule="auto"/>
                    <w:jc w:val="center"/>
                    <w:rPr>
                      <w:rFonts w:hint="eastAsia"/>
                      <w:b w:val="0"/>
                      <w:bCs w:val="0"/>
                      <w:color w:val="000000" w:themeColor="text1"/>
                      <w:szCs w:val="21"/>
                      <w:u w:val="none"/>
                      <w:lang w:val="en-US" w:eastAsia="zh-CN"/>
                      <w14:textFill>
                        <w14:solidFill>
                          <w14:schemeClr w14:val="tx1"/>
                        </w14:solidFill>
                      </w14:textFill>
                    </w:rPr>
                  </w:pPr>
                </w:p>
              </w:tc>
              <w:tc>
                <w:tcPr>
                  <w:tcW w:w="285" w:type="pct"/>
                  <w:vMerge w:val="continue"/>
                  <w:tcBorders>
                    <w:tl2br w:val="nil"/>
                    <w:tr2bl w:val="nil"/>
                  </w:tcBorders>
                  <w:vAlign w:val="center"/>
                </w:tcPr>
                <w:p>
                  <w:pPr>
                    <w:spacing w:line="240" w:lineRule="auto"/>
                    <w:jc w:val="center"/>
                    <w:rPr>
                      <w:rFonts w:hint="eastAsia"/>
                      <w:b w:val="0"/>
                      <w:bCs w:val="0"/>
                      <w:color w:val="000000" w:themeColor="text1"/>
                      <w:szCs w:val="21"/>
                      <w:u w:val="none"/>
                      <w:lang w:val="en-US" w:eastAsia="zh-CN"/>
                      <w14:textFill>
                        <w14:solidFill>
                          <w14:schemeClr w14:val="tx1"/>
                        </w14:solidFill>
                      </w14:textFill>
                    </w:rPr>
                  </w:pPr>
                </w:p>
              </w:tc>
              <w:tc>
                <w:tcPr>
                  <w:tcW w:w="254" w:type="pct"/>
                  <w:tcBorders>
                    <w:tl2br w:val="nil"/>
                    <w:tr2bl w:val="nil"/>
                  </w:tcBorders>
                  <w:vAlign w:val="center"/>
                </w:tcPr>
                <w:p>
                  <w:pPr>
                    <w:spacing w:line="240" w:lineRule="auto"/>
                    <w:jc w:val="center"/>
                    <w:rPr>
                      <w:rFonts w:hint="eastAsia"/>
                      <w:b w:val="0"/>
                      <w:bCs w:val="0"/>
                      <w:color w:val="000000" w:themeColor="text1"/>
                      <w:szCs w:val="21"/>
                      <w:u w:val="none"/>
                      <w14:textFill>
                        <w14:solidFill>
                          <w14:schemeClr w14:val="tx1"/>
                        </w14:solidFill>
                      </w14:textFill>
                    </w:rPr>
                  </w:pPr>
                  <w:r>
                    <w:rPr>
                      <w:rFonts w:hint="eastAsia"/>
                      <w:b w:val="0"/>
                      <w:bCs w:val="0"/>
                      <w:color w:val="000000" w:themeColor="text1"/>
                      <w:szCs w:val="21"/>
                      <w:u w:val="none"/>
                      <w14:textFill>
                        <w14:solidFill>
                          <w14:schemeClr w14:val="tx1"/>
                        </w14:solidFill>
                      </w14:textFill>
                    </w:rPr>
                    <w:t>NOx</w:t>
                  </w:r>
                </w:p>
              </w:tc>
              <w:tc>
                <w:tcPr>
                  <w:tcW w:w="327" w:type="pct"/>
                  <w:tcBorders>
                    <w:tl2br w:val="nil"/>
                    <w:tr2bl w:val="nil"/>
                  </w:tcBorders>
                  <w:vAlign w:val="center"/>
                </w:tcPr>
                <w:p>
                  <w:pPr>
                    <w:spacing w:line="240" w:lineRule="auto"/>
                    <w:jc w:val="center"/>
                    <w:rPr>
                      <w:rFonts w:hint="default" w:eastAsia="宋体"/>
                      <w:b w:val="0"/>
                      <w:bCs w:val="0"/>
                      <w:color w:val="000000" w:themeColor="text1"/>
                      <w:u w:val="none"/>
                      <w:lang w:val="en-US" w:eastAsia="zh-CN"/>
                      <w14:textFill>
                        <w14:solidFill>
                          <w14:schemeClr w14:val="tx1"/>
                        </w14:solidFill>
                      </w14:textFill>
                    </w:rPr>
                  </w:pPr>
                  <w:r>
                    <w:rPr>
                      <w:rFonts w:hint="eastAsia"/>
                      <w:b w:val="0"/>
                      <w:bCs w:val="0"/>
                      <w:color w:val="000000" w:themeColor="text1"/>
                      <w:u w:val="none"/>
                      <w:lang w:val="en-US" w:eastAsia="zh-CN"/>
                      <w14:textFill>
                        <w14:solidFill>
                          <w14:schemeClr w14:val="tx1"/>
                        </w14:solidFill>
                      </w14:textFill>
                    </w:rPr>
                    <w:t>0.1579</w:t>
                  </w:r>
                </w:p>
              </w:tc>
              <w:tc>
                <w:tcPr>
                  <w:tcW w:w="332" w:type="pct"/>
                  <w:tcBorders>
                    <w:tl2br w:val="nil"/>
                    <w:tr2bl w:val="nil"/>
                  </w:tcBorders>
                  <w:vAlign w:val="center"/>
                </w:tcPr>
                <w:p>
                  <w:pPr>
                    <w:spacing w:line="240" w:lineRule="auto"/>
                    <w:jc w:val="center"/>
                    <w:rPr>
                      <w:rFonts w:hint="default" w:eastAsia="宋体"/>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43.86</w:t>
                  </w:r>
                </w:p>
              </w:tc>
              <w:tc>
                <w:tcPr>
                  <w:tcW w:w="273" w:type="pct"/>
                  <w:vMerge w:val="continue"/>
                  <w:tcBorders>
                    <w:tl2br w:val="nil"/>
                    <w:tr2bl w:val="nil"/>
                  </w:tcBorders>
                  <w:vAlign w:val="center"/>
                </w:tcPr>
                <w:p>
                  <w:pPr>
                    <w:spacing w:line="240" w:lineRule="auto"/>
                    <w:jc w:val="center"/>
                    <w:rPr>
                      <w:rFonts w:hint="eastAsia"/>
                      <w:b w:val="0"/>
                      <w:bCs w:val="0"/>
                      <w:color w:val="000000" w:themeColor="text1"/>
                      <w:szCs w:val="21"/>
                      <w:u w:val="none"/>
                      <w14:textFill>
                        <w14:solidFill>
                          <w14:schemeClr w14:val="tx1"/>
                        </w14:solidFill>
                      </w14:textFill>
                    </w:rPr>
                  </w:pPr>
                </w:p>
              </w:tc>
              <w:tc>
                <w:tcPr>
                  <w:tcW w:w="779" w:type="pct"/>
                  <w:vMerge w:val="continue"/>
                  <w:tcBorders>
                    <w:tl2br w:val="nil"/>
                    <w:tr2bl w:val="nil"/>
                  </w:tcBorders>
                  <w:vAlign w:val="center"/>
                </w:tcPr>
                <w:p>
                  <w:pPr>
                    <w:spacing w:line="240" w:lineRule="auto"/>
                    <w:jc w:val="center"/>
                    <w:rPr>
                      <w:rFonts w:hint="eastAsia"/>
                      <w:b w:val="0"/>
                      <w:bCs w:val="0"/>
                      <w:color w:val="000000" w:themeColor="text1"/>
                      <w:szCs w:val="21"/>
                      <w:u w:val="none"/>
                      <w:lang w:val="zh-CN"/>
                      <w14:textFill>
                        <w14:solidFill>
                          <w14:schemeClr w14:val="tx1"/>
                        </w14:solidFill>
                      </w14:textFill>
                    </w:rPr>
                  </w:pPr>
                </w:p>
              </w:tc>
              <w:tc>
                <w:tcPr>
                  <w:tcW w:w="344" w:type="pct"/>
                  <w:vMerge w:val="continue"/>
                  <w:tcBorders>
                    <w:tl2br w:val="nil"/>
                    <w:tr2bl w:val="nil"/>
                  </w:tcBorders>
                  <w:vAlign w:val="center"/>
                </w:tcPr>
                <w:p>
                  <w:pPr>
                    <w:spacing w:line="240" w:lineRule="auto"/>
                    <w:jc w:val="center"/>
                    <w:rPr>
                      <w:rFonts w:hint="eastAsia"/>
                      <w:b w:val="0"/>
                      <w:bCs w:val="0"/>
                      <w:color w:val="000000" w:themeColor="text1"/>
                      <w:szCs w:val="21"/>
                      <w:u w:val="none"/>
                      <w:lang w:val="zh-CN"/>
                      <w14:textFill>
                        <w14:solidFill>
                          <w14:schemeClr w14:val="tx1"/>
                        </w14:solidFill>
                      </w14:textFill>
                    </w:rPr>
                  </w:pPr>
                </w:p>
              </w:tc>
              <w:tc>
                <w:tcPr>
                  <w:tcW w:w="312" w:type="pct"/>
                  <w:tcBorders>
                    <w:tl2br w:val="nil"/>
                    <w:tr2bl w:val="nil"/>
                  </w:tcBorders>
                  <w:vAlign w:val="center"/>
                </w:tcPr>
                <w:p>
                  <w:pPr>
                    <w:spacing w:line="240" w:lineRule="auto"/>
                    <w:jc w:val="center"/>
                    <w:rPr>
                      <w:rFonts w:hint="default" w:eastAsia="宋体"/>
                      <w:b w:val="0"/>
                      <w:bCs w:val="0"/>
                      <w:color w:val="000000" w:themeColor="text1"/>
                      <w:u w:val="none"/>
                      <w:lang w:val="en-US" w:eastAsia="zh-CN"/>
                      <w14:textFill>
                        <w14:solidFill>
                          <w14:schemeClr w14:val="tx1"/>
                        </w14:solidFill>
                      </w14:textFill>
                    </w:rPr>
                  </w:pPr>
                  <w:r>
                    <w:rPr>
                      <w:rFonts w:hint="eastAsia"/>
                      <w:b w:val="0"/>
                      <w:bCs w:val="0"/>
                      <w:color w:val="000000" w:themeColor="text1"/>
                      <w:u w:val="none"/>
                      <w:lang w:val="en-US" w:eastAsia="zh-CN"/>
                      <w14:textFill>
                        <w14:solidFill>
                          <w14:schemeClr w14:val="tx1"/>
                        </w14:solidFill>
                      </w14:textFill>
                    </w:rPr>
                    <w:t>0.1579</w:t>
                  </w:r>
                </w:p>
              </w:tc>
              <w:tc>
                <w:tcPr>
                  <w:tcW w:w="337" w:type="pct"/>
                  <w:tcBorders>
                    <w:tl2br w:val="nil"/>
                    <w:tr2bl w:val="nil"/>
                  </w:tcBorders>
                  <w:vAlign w:val="center"/>
                </w:tcPr>
                <w:p>
                  <w:pPr>
                    <w:spacing w:line="240" w:lineRule="auto"/>
                    <w:jc w:val="center"/>
                    <w:rPr>
                      <w:rFonts w:hint="default" w:eastAsia="宋体"/>
                      <w:b w:val="0"/>
                      <w:bCs w:val="0"/>
                      <w:color w:val="000000" w:themeColor="text1"/>
                      <w:u w:val="none"/>
                      <w:lang w:val="en-US" w:eastAsia="zh-CN"/>
                      <w14:textFill>
                        <w14:solidFill>
                          <w14:schemeClr w14:val="tx1"/>
                        </w14:solidFill>
                      </w14:textFill>
                    </w:rPr>
                  </w:pPr>
                  <w:r>
                    <w:rPr>
                      <w:rFonts w:hint="eastAsia"/>
                      <w:b w:val="0"/>
                      <w:bCs w:val="0"/>
                      <w:color w:val="000000" w:themeColor="text1"/>
                      <w:u w:val="none"/>
                      <w:lang w:val="en-US" w:eastAsia="zh-CN"/>
                      <w14:textFill>
                        <w14:solidFill>
                          <w14:schemeClr w14:val="tx1"/>
                        </w14:solidFill>
                      </w14:textFill>
                    </w:rPr>
                    <w:t>0.1316</w:t>
                  </w:r>
                </w:p>
              </w:tc>
              <w:tc>
                <w:tcPr>
                  <w:tcW w:w="369" w:type="pct"/>
                  <w:tcBorders>
                    <w:tl2br w:val="nil"/>
                    <w:tr2bl w:val="nil"/>
                  </w:tcBorders>
                  <w:vAlign w:val="center"/>
                </w:tcPr>
                <w:p>
                  <w:pPr>
                    <w:spacing w:line="240" w:lineRule="auto"/>
                    <w:jc w:val="center"/>
                    <w:rPr>
                      <w:rFonts w:hint="default" w:eastAsia="宋体"/>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43.86</w:t>
                  </w:r>
                </w:p>
              </w:tc>
              <w:tc>
                <w:tcPr>
                  <w:tcW w:w="873" w:type="pct"/>
                  <w:vMerge w:val="continue"/>
                  <w:tcBorders>
                    <w:tl2br w:val="nil"/>
                    <w:tr2bl w:val="nil"/>
                  </w:tcBorders>
                  <w:vAlign w:val="center"/>
                </w:tcPr>
                <w:p>
                  <w:pPr>
                    <w:spacing w:line="240" w:lineRule="auto"/>
                    <w:jc w:val="center"/>
                    <w:rPr>
                      <w:rFonts w:hint="eastAsia"/>
                      <w:b w:val="0"/>
                      <w:bCs w:val="0"/>
                      <w:color w:val="00000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 w:hRule="atLeast"/>
              </w:trPr>
              <w:tc>
                <w:tcPr>
                  <w:tcW w:w="251" w:type="pct"/>
                  <w:vMerge w:val="continue"/>
                  <w:tcBorders>
                    <w:tl2br w:val="nil"/>
                    <w:tr2bl w:val="nil"/>
                  </w:tcBorders>
                  <w:vAlign w:val="center"/>
                </w:tcPr>
                <w:p>
                  <w:pPr>
                    <w:spacing w:line="240" w:lineRule="auto"/>
                    <w:jc w:val="center"/>
                    <w:rPr>
                      <w:b w:val="0"/>
                      <w:bCs w:val="0"/>
                      <w:color w:val="000000" w:themeColor="text1"/>
                      <w:szCs w:val="21"/>
                      <w:u w:val="none"/>
                      <w14:textFill>
                        <w14:solidFill>
                          <w14:schemeClr w14:val="tx1"/>
                        </w14:solidFill>
                      </w14:textFill>
                    </w:rPr>
                  </w:pPr>
                </w:p>
              </w:tc>
              <w:tc>
                <w:tcPr>
                  <w:tcW w:w="258" w:type="pct"/>
                  <w:vMerge w:val="continue"/>
                  <w:tcBorders>
                    <w:tl2br w:val="nil"/>
                    <w:tr2bl w:val="nil"/>
                  </w:tcBorders>
                  <w:vAlign w:val="center"/>
                </w:tcPr>
                <w:p>
                  <w:pPr>
                    <w:spacing w:line="240" w:lineRule="auto"/>
                    <w:jc w:val="center"/>
                    <w:rPr>
                      <w:rFonts w:hint="eastAsia"/>
                      <w:b w:val="0"/>
                      <w:bCs w:val="0"/>
                      <w:color w:val="000000" w:themeColor="text1"/>
                      <w:szCs w:val="21"/>
                      <w:u w:val="none"/>
                      <w:lang w:val="en-US" w:eastAsia="zh-CN"/>
                      <w14:textFill>
                        <w14:solidFill>
                          <w14:schemeClr w14:val="tx1"/>
                        </w14:solidFill>
                      </w14:textFill>
                    </w:rPr>
                  </w:pPr>
                </w:p>
              </w:tc>
              <w:tc>
                <w:tcPr>
                  <w:tcW w:w="285" w:type="pct"/>
                  <w:vMerge w:val="continue"/>
                  <w:tcBorders>
                    <w:tl2br w:val="nil"/>
                    <w:tr2bl w:val="nil"/>
                  </w:tcBorders>
                  <w:vAlign w:val="center"/>
                </w:tcPr>
                <w:p>
                  <w:pPr>
                    <w:spacing w:line="240" w:lineRule="auto"/>
                    <w:jc w:val="center"/>
                    <w:rPr>
                      <w:rFonts w:hint="eastAsia"/>
                      <w:b w:val="0"/>
                      <w:bCs w:val="0"/>
                      <w:color w:val="000000" w:themeColor="text1"/>
                      <w:szCs w:val="21"/>
                      <w:u w:val="none"/>
                      <w:lang w:val="en-US" w:eastAsia="zh-CN"/>
                      <w14:textFill>
                        <w14:solidFill>
                          <w14:schemeClr w14:val="tx1"/>
                        </w14:solidFill>
                      </w14:textFill>
                    </w:rPr>
                  </w:pPr>
                </w:p>
              </w:tc>
              <w:tc>
                <w:tcPr>
                  <w:tcW w:w="254" w:type="pct"/>
                  <w:tcBorders>
                    <w:tl2br w:val="nil"/>
                    <w:tr2bl w:val="nil"/>
                  </w:tcBorders>
                  <w:vAlign w:val="center"/>
                </w:tcPr>
                <w:p>
                  <w:pPr>
                    <w:spacing w:line="240" w:lineRule="auto"/>
                    <w:jc w:val="center"/>
                    <w:rPr>
                      <w:rFonts w:hint="eastAsia"/>
                      <w:b w:val="0"/>
                      <w:bCs w:val="0"/>
                      <w:color w:val="000000" w:themeColor="text1"/>
                      <w:szCs w:val="21"/>
                      <w:u w:val="none"/>
                      <w14:textFill>
                        <w14:solidFill>
                          <w14:schemeClr w14:val="tx1"/>
                        </w14:solidFill>
                      </w14:textFill>
                    </w:rPr>
                  </w:pPr>
                  <w:r>
                    <w:rPr>
                      <w:rFonts w:hint="eastAsia"/>
                      <w:b w:val="0"/>
                      <w:bCs w:val="0"/>
                      <w:color w:val="000000" w:themeColor="text1"/>
                      <w:szCs w:val="21"/>
                      <w:u w:val="none"/>
                      <w14:textFill>
                        <w14:solidFill>
                          <w14:schemeClr w14:val="tx1"/>
                        </w14:solidFill>
                      </w14:textFill>
                    </w:rPr>
                    <w:t>非甲烷总烃</w:t>
                  </w:r>
                </w:p>
              </w:tc>
              <w:tc>
                <w:tcPr>
                  <w:tcW w:w="327" w:type="pct"/>
                  <w:tcBorders>
                    <w:tl2br w:val="nil"/>
                    <w:tr2bl w:val="nil"/>
                  </w:tcBorders>
                  <w:vAlign w:val="center"/>
                </w:tcPr>
                <w:p>
                  <w:pPr>
                    <w:spacing w:line="240" w:lineRule="auto"/>
                    <w:jc w:val="center"/>
                    <w:rPr>
                      <w:rFonts w:hint="default" w:eastAsia="宋体"/>
                      <w:b w:val="0"/>
                      <w:bCs w:val="0"/>
                      <w:color w:val="000000" w:themeColor="text1"/>
                      <w:u w:val="none"/>
                      <w:lang w:val="en-US" w:eastAsia="zh-CN"/>
                      <w14:textFill>
                        <w14:solidFill>
                          <w14:schemeClr w14:val="tx1"/>
                        </w14:solidFill>
                      </w14:textFill>
                    </w:rPr>
                  </w:pPr>
                  <w:r>
                    <w:rPr>
                      <w:rFonts w:hint="eastAsia"/>
                      <w:b w:val="0"/>
                      <w:bCs w:val="0"/>
                      <w:color w:val="000000" w:themeColor="text1"/>
                      <w:highlight w:val="none"/>
                      <w:u w:val="none"/>
                      <w:lang w:val="en-US" w:eastAsia="zh-CN"/>
                      <w14:textFill>
                        <w14:solidFill>
                          <w14:schemeClr w14:val="tx1"/>
                        </w14:solidFill>
                      </w14:textFill>
                    </w:rPr>
                    <w:t>0.0029</w:t>
                  </w:r>
                </w:p>
              </w:tc>
              <w:tc>
                <w:tcPr>
                  <w:tcW w:w="332" w:type="pct"/>
                  <w:tcBorders>
                    <w:tl2br w:val="nil"/>
                    <w:tr2bl w:val="nil"/>
                  </w:tcBorders>
                  <w:vAlign w:val="center"/>
                </w:tcPr>
                <w:p>
                  <w:pPr>
                    <w:spacing w:line="240" w:lineRule="auto"/>
                    <w:jc w:val="center"/>
                    <w:rPr>
                      <w:rFonts w:hint="default" w:eastAsia="宋体"/>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w:t>
                  </w:r>
                </w:p>
              </w:tc>
              <w:tc>
                <w:tcPr>
                  <w:tcW w:w="273" w:type="pct"/>
                  <w:tcBorders>
                    <w:tl2br w:val="nil"/>
                    <w:tr2bl w:val="nil"/>
                  </w:tcBorders>
                  <w:vAlign w:val="center"/>
                </w:tcPr>
                <w:p>
                  <w:pPr>
                    <w:spacing w:line="240" w:lineRule="auto"/>
                    <w:jc w:val="center"/>
                    <w:rPr>
                      <w:rFonts w:hint="eastAsia" w:eastAsia="宋体"/>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无组织</w:t>
                  </w:r>
                </w:p>
              </w:tc>
              <w:tc>
                <w:tcPr>
                  <w:tcW w:w="779" w:type="pct"/>
                  <w:tcBorders>
                    <w:tl2br w:val="nil"/>
                    <w:tr2bl w:val="nil"/>
                  </w:tcBorders>
                  <w:vAlign w:val="center"/>
                </w:tcPr>
                <w:p>
                  <w:pPr>
                    <w:spacing w:line="240" w:lineRule="auto"/>
                    <w:jc w:val="center"/>
                    <w:rPr>
                      <w:rFonts w:hint="default" w:eastAsia="宋体"/>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车间密闭</w:t>
                  </w:r>
                </w:p>
              </w:tc>
              <w:tc>
                <w:tcPr>
                  <w:tcW w:w="344" w:type="pct"/>
                  <w:tcBorders>
                    <w:tl2br w:val="nil"/>
                    <w:tr2bl w:val="nil"/>
                  </w:tcBorders>
                  <w:vAlign w:val="center"/>
                </w:tcPr>
                <w:p>
                  <w:pPr>
                    <w:spacing w:line="240" w:lineRule="auto"/>
                    <w:jc w:val="center"/>
                    <w:rPr>
                      <w:rFonts w:hint="default" w:eastAsia="宋体"/>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是</w:t>
                  </w:r>
                </w:p>
              </w:tc>
              <w:tc>
                <w:tcPr>
                  <w:tcW w:w="312" w:type="pct"/>
                  <w:tcBorders>
                    <w:tl2br w:val="nil"/>
                    <w:tr2bl w:val="nil"/>
                  </w:tcBorders>
                  <w:vAlign w:val="center"/>
                </w:tcPr>
                <w:p>
                  <w:pPr>
                    <w:spacing w:line="240" w:lineRule="auto"/>
                    <w:jc w:val="center"/>
                    <w:rPr>
                      <w:rFonts w:hint="default" w:eastAsia="宋体"/>
                      <w:b w:val="0"/>
                      <w:bCs w:val="0"/>
                      <w:color w:val="000000" w:themeColor="text1"/>
                      <w:u w:val="none"/>
                      <w:lang w:val="en-US" w:eastAsia="zh-CN"/>
                      <w14:textFill>
                        <w14:solidFill>
                          <w14:schemeClr w14:val="tx1"/>
                        </w14:solidFill>
                      </w14:textFill>
                    </w:rPr>
                  </w:pPr>
                  <w:r>
                    <w:rPr>
                      <w:rFonts w:hint="eastAsia"/>
                      <w:b w:val="0"/>
                      <w:bCs w:val="0"/>
                      <w:color w:val="000000" w:themeColor="text1"/>
                      <w:highlight w:val="none"/>
                      <w:u w:val="none"/>
                      <w:lang w:val="en-US" w:eastAsia="zh-CN"/>
                      <w14:textFill>
                        <w14:solidFill>
                          <w14:schemeClr w14:val="tx1"/>
                        </w14:solidFill>
                      </w14:textFill>
                    </w:rPr>
                    <w:t>0.0029</w:t>
                  </w:r>
                </w:p>
              </w:tc>
              <w:tc>
                <w:tcPr>
                  <w:tcW w:w="337" w:type="pct"/>
                  <w:tcBorders>
                    <w:tl2br w:val="nil"/>
                    <w:tr2bl w:val="nil"/>
                  </w:tcBorders>
                  <w:vAlign w:val="center"/>
                </w:tcPr>
                <w:p>
                  <w:pPr>
                    <w:spacing w:line="240" w:lineRule="auto"/>
                    <w:jc w:val="center"/>
                    <w:rPr>
                      <w:rFonts w:hint="eastAsia" w:eastAsia="宋体"/>
                      <w:b w:val="0"/>
                      <w:bCs w:val="0"/>
                      <w:color w:val="000000" w:themeColor="text1"/>
                      <w:u w:val="none"/>
                      <w:lang w:val="en-US" w:eastAsia="zh-CN"/>
                      <w14:textFill>
                        <w14:solidFill>
                          <w14:schemeClr w14:val="tx1"/>
                        </w14:solidFill>
                      </w14:textFill>
                    </w:rPr>
                  </w:pPr>
                  <w:r>
                    <w:rPr>
                      <w:rFonts w:hint="eastAsia"/>
                      <w:b w:val="0"/>
                      <w:bCs w:val="0"/>
                      <w:color w:val="000000" w:themeColor="text1"/>
                      <w:u w:val="none"/>
                      <w:lang w:val="en-US" w:eastAsia="zh-CN"/>
                      <w14:textFill>
                        <w14:solidFill>
                          <w14:schemeClr w14:val="tx1"/>
                        </w14:solidFill>
                      </w14:textFill>
                    </w:rPr>
                    <w:t>/</w:t>
                  </w:r>
                </w:p>
              </w:tc>
              <w:tc>
                <w:tcPr>
                  <w:tcW w:w="369" w:type="pct"/>
                  <w:tcBorders>
                    <w:tl2br w:val="nil"/>
                    <w:tr2bl w:val="nil"/>
                  </w:tcBorders>
                  <w:vAlign w:val="center"/>
                </w:tcPr>
                <w:p>
                  <w:pPr>
                    <w:spacing w:line="240" w:lineRule="auto"/>
                    <w:jc w:val="center"/>
                    <w:rPr>
                      <w:rFonts w:hint="eastAsia" w:eastAsia="宋体"/>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w:t>
                  </w:r>
                </w:p>
              </w:tc>
              <w:tc>
                <w:tcPr>
                  <w:tcW w:w="873" w:type="pct"/>
                  <w:tcBorders>
                    <w:tl2br w:val="nil"/>
                    <w:tr2bl w:val="nil"/>
                  </w:tcBorders>
                  <w:vAlign w:val="center"/>
                </w:tcPr>
                <w:p>
                  <w:pPr>
                    <w:spacing w:line="240" w:lineRule="auto"/>
                    <w:jc w:val="center"/>
                    <w:rPr>
                      <w:rFonts w:hint="eastAsia"/>
                      <w:b w:val="0"/>
                      <w:bCs w:val="0"/>
                      <w:color w:val="000000"/>
                      <w:u w:val="none"/>
                    </w:rPr>
                  </w:pPr>
                  <w:r>
                    <w:rPr>
                      <w:rFonts w:hint="eastAsia"/>
                      <w:b w:val="0"/>
                      <w:bCs w:val="0"/>
                      <w:color w:val="000000"/>
                      <w:u w:val="none"/>
                    </w:rPr>
                    <w:t>《挥发性有机物无组织排放控制标准》（GB37822-2019）</w:t>
                  </w:r>
                </w:p>
              </w:tc>
            </w:tr>
          </w:tbl>
          <w:p>
            <w:pPr>
              <w:pStyle w:val="25"/>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sz w:val="24"/>
                <w:szCs w:val="32"/>
                <w:lang w:eastAsia="zh-CN"/>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sz w:val="24"/>
                <w:szCs w:val="32"/>
                <w:lang w:eastAsia="zh-CN"/>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sz w:val="24"/>
                <w:szCs w:val="32"/>
                <w:lang w:eastAsia="zh-CN"/>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sz w:val="24"/>
                <w:szCs w:val="32"/>
                <w:lang w:eastAsia="zh-CN"/>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sz w:val="24"/>
                <w:szCs w:val="32"/>
                <w:lang w:eastAsia="zh-CN"/>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sz w:val="24"/>
                <w:szCs w:val="32"/>
                <w:lang w:eastAsia="zh-CN"/>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sz w:val="24"/>
                <w:szCs w:val="32"/>
                <w:lang w:eastAsia="zh-CN"/>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sz w:val="24"/>
                <w:szCs w:val="32"/>
                <w:lang w:eastAsia="zh-CN"/>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sz w:val="24"/>
                <w:szCs w:val="32"/>
                <w:lang w:eastAsia="zh-CN"/>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sz w:val="24"/>
                <w:szCs w:val="32"/>
                <w:lang w:eastAsia="zh-CN"/>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sz w:val="24"/>
                <w:szCs w:val="32"/>
                <w:lang w:eastAsia="zh-CN"/>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sz w:val="24"/>
                <w:szCs w:val="32"/>
                <w:lang w:eastAsia="zh-CN"/>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sz w:val="24"/>
                <w:szCs w:val="32"/>
                <w:lang w:eastAsia="zh-CN"/>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sz w:val="24"/>
                <w:szCs w:val="32"/>
                <w:lang w:eastAsia="zh-CN"/>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sz w:val="24"/>
                <w:szCs w:val="32"/>
                <w:lang w:eastAsia="zh-CN"/>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sz w:val="24"/>
                <w:szCs w:val="32"/>
                <w:lang w:eastAsia="zh-CN"/>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sz w:val="24"/>
                <w:szCs w:val="32"/>
                <w:lang w:eastAsia="zh-CN"/>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ind w:firstLine="0" w:firstLineChars="0"/>
              <w:textAlignment w:val="auto"/>
              <w:rPr>
                <w:rFonts w:hint="eastAsia" w:eastAsia="宋体"/>
                <w:color w:val="000000" w:themeColor="text1"/>
                <w:sz w:val="24"/>
                <w:szCs w:val="32"/>
                <w:lang w:eastAsia="zh-CN"/>
                <w14:textFill>
                  <w14:solidFill>
                    <w14:schemeClr w14:val="tx1"/>
                  </w14:solidFill>
                </w14:textFill>
              </w:rPr>
            </w:pPr>
          </w:p>
        </w:tc>
      </w:tr>
    </w:tbl>
    <w:p>
      <w:pPr>
        <w:pStyle w:val="25"/>
        <w:ind w:firstLine="280"/>
        <w:rPr>
          <w:color w:val="FF0000"/>
        </w:rPr>
        <w:sectPr>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6"/>
        <w:tblW w:w="89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5"/>
        <w:gridCol w:w="8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73" w:hRule="atLeast"/>
          <w:jc w:val="center"/>
        </w:trPr>
        <w:tc>
          <w:tcPr>
            <w:tcW w:w="648" w:type="dxa"/>
            <w:tcMar>
              <w:left w:w="28" w:type="dxa"/>
              <w:right w:w="28" w:type="dxa"/>
            </w:tcMar>
            <w:vAlign w:val="center"/>
          </w:tcPr>
          <w:p>
            <w:pPr>
              <w:adjustRightInd w:val="0"/>
              <w:snapToGrid w:val="0"/>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运营</w:t>
            </w:r>
          </w:p>
          <w:p>
            <w:pPr>
              <w:adjustRightInd w:val="0"/>
              <w:snapToGrid w:val="0"/>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期环</w:t>
            </w:r>
          </w:p>
          <w:p>
            <w:pPr>
              <w:adjustRightInd w:val="0"/>
              <w:snapToGrid w:val="0"/>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境影</w:t>
            </w:r>
          </w:p>
          <w:p>
            <w:pPr>
              <w:adjustRightInd w:val="0"/>
              <w:snapToGrid w:val="0"/>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响和</w:t>
            </w:r>
          </w:p>
          <w:p>
            <w:pPr>
              <w:adjustRightInd w:val="0"/>
              <w:snapToGrid w:val="0"/>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保护</w:t>
            </w:r>
          </w:p>
          <w:p>
            <w:pPr>
              <w:adjustRightInd w:val="0"/>
              <w:snapToGrid w:val="0"/>
              <w:jc w:val="center"/>
              <w:rPr>
                <w:bCs/>
                <w:color w:val="FF0000"/>
                <w:szCs w:val="21"/>
              </w:rPr>
            </w:pPr>
            <w:r>
              <w:rPr>
                <w:bCs/>
                <w:color w:val="000000" w:themeColor="text1"/>
                <w:sz w:val="24"/>
                <w:szCs w:val="24"/>
                <w14:textFill>
                  <w14:solidFill>
                    <w14:schemeClr w14:val="tx1"/>
                  </w14:solidFill>
                </w14:textFill>
              </w:rPr>
              <w:t>措施</w:t>
            </w:r>
          </w:p>
        </w:tc>
        <w:tc>
          <w:tcPr>
            <w:tcW w:w="8316" w:type="dxa"/>
            <w:vAlign w:val="center"/>
          </w:tcPr>
          <w:p>
            <w:pPr>
              <w:spacing w:line="360" w:lineRule="auto"/>
              <w:rPr>
                <w:b/>
                <w:bCs/>
                <w:color w:val="000000" w:themeColor="text1"/>
                <w:sz w:val="24"/>
                <w:szCs w:val="32"/>
                <w14:textFill>
                  <w14:solidFill>
                    <w14:schemeClr w14:val="tx1"/>
                  </w14:solidFill>
                </w14:textFill>
              </w:rPr>
            </w:pPr>
            <w:r>
              <w:rPr>
                <w:b/>
                <w:bCs/>
                <w:color w:val="000000" w:themeColor="text1"/>
                <w:sz w:val="24"/>
                <w:szCs w:val="32"/>
                <w14:textFill>
                  <w14:solidFill>
                    <w14:schemeClr w14:val="tx1"/>
                  </w14:solidFill>
                </w14:textFill>
              </w:rPr>
              <w:t>1.1 废气产排情况</w:t>
            </w:r>
          </w:p>
          <w:p>
            <w:pPr>
              <w:spacing w:line="360" w:lineRule="auto"/>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本项目废气主要为</w:t>
            </w:r>
            <w:r>
              <w:rPr>
                <w:rFonts w:hint="eastAsia"/>
                <w:color w:val="000000" w:themeColor="text1"/>
                <w:sz w:val="24"/>
                <w:szCs w:val="32"/>
                <w:lang w:val="en-US" w:eastAsia="zh-CN"/>
                <w14:textFill>
                  <w14:solidFill>
                    <w14:schemeClr w14:val="tx1"/>
                  </w14:solidFill>
                </w14:textFill>
              </w:rPr>
              <w:t>切割、焊接、打磨、喷塑</w:t>
            </w:r>
            <w:r>
              <w:rPr>
                <w:rFonts w:hint="eastAsia"/>
                <w:color w:val="000000" w:themeColor="text1"/>
                <w:sz w:val="24"/>
                <w:szCs w:val="32"/>
                <w14:textFill>
                  <w14:solidFill>
                    <w14:schemeClr w14:val="tx1"/>
                  </w14:solidFill>
                </w14:textFill>
              </w:rPr>
              <w:t>工序</w:t>
            </w:r>
            <w:r>
              <w:rPr>
                <w:rFonts w:hint="eastAsia"/>
                <w:color w:val="000000" w:themeColor="text1"/>
                <w:sz w:val="24"/>
                <w:szCs w:val="32"/>
                <w:lang w:val="en-US" w:eastAsia="zh-CN"/>
                <w14:textFill>
                  <w14:solidFill>
                    <w14:schemeClr w14:val="tx1"/>
                  </w14:solidFill>
                </w14:textFill>
              </w:rPr>
              <w:t>产生的颗粒物</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固化</w:t>
            </w:r>
            <w:r>
              <w:rPr>
                <w:rFonts w:hint="eastAsia"/>
                <w:color w:val="000000" w:themeColor="text1"/>
                <w:sz w:val="24"/>
                <w:szCs w:val="32"/>
                <w14:textFill>
                  <w14:solidFill>
                    <w14:schemeClr w14:val="tx1"/>
                  </w14:solidFill>
                </w14:textFill>
              </w:rPr>
              <w:t>工序产生的有机废气</w:t>
            </w:r>
            <w:r>
              <w:rPr>
                <w:rFonts w:hint="eastAsia"/>
                <w:color w:val="000000" w:themeColor="text1"/>
                <w:sz w:val="24"/>
                <w:szCs w:val="32"/>
                <w:lang w:val="en-US" w:eastAsia="zh-CN"/>
                <w14:textFill>
                  <w14:solidFill>
                    <w14:schemeClr w14:val="tx1"/>
                  </w14:solidFill>
                </w14:textFill>
              </w:rPr>
              <w:t>非甲烷总烃</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液化石油气</w:t>
            </w:r>
            <w:r>
              <w:rPr>
                <w:rFonts w:hint="eastAsia"/>
                <w:color w:val="000000" w:themeColor="text1"/>
                <w:sz w:val="24"/>
                <w:szCs w:val="32"/>
                <w14:textFill>
                  <w14:solidFill>
                    <w14:schemeClr w14:val="tx1"/>
                  </w14:solidFill>
                </w14:textFill>
              </w:rPr>
              <w:t>燃烧废气</w:t>
            </w:r>
            <w:r>
              <w:rPr>
                <w:color w:val="000000" w:themeColor="text1"/>
                <w:sz w:val="24"/>
                <w:szCs w:val="32"/>
                <w14:textFill>
                  <w14:solidFill>
                    <w14:schemeClr w14:val="tx1"/>
                  </w14:solidFill>
                </w14:textFill>
              </w:rPr>
              <w:t>。</w:t>
            </w:r>
          </w:p>
          <w:p>
            <w:pPr>
              <w:spacing w:line="360" w:lineRule="auto"/>
              <w:ind w:firstLine="480" w:firstLineChars="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1.1.1 废气产生情况</w:t>
            </w:r>
          </w:p>
          <w:p>
            <w:pPr>
              <w:spacing w:line="360" w:lineRule="auto"/>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（1）</w:t>
            </w:r>
            <w:r>
              <w:rPr>
                <w:rFonts w:hint="eastAsia"/>
                <w:color w:val="000000" w:themeColor="text1"/>
                <w:sz w:val="24"/>
                <w:szCs w:val="32"/>
                <w:lang w:val="en-US" w:eastAsia="zh-CN"/>
                <w14:textFill>
                  <w14:solidFill>
                    <w14:schemeClr w14:val="tx1"/>
                  </w14:solidFill>
                </w14:textFill>
              </w:rPr>
              <w:t>切割、焊接、打磨</w:t>
            </w:r>
            <w:r>
              <w:rPr>
                <w:rFonts w:hint="eastAsia"/>
                <w:color w:val="000000" w:themeColor="text1"/>
                <w:sz w:val="24"/>
                <w:szCs w:val="32"/>
                <w14:textFill>
                  <w14:solidFill>
                    <w14:schemeClr w14:val="tx1"/>
                  </w14:solidFill>
                </w14:textFill>
              </w:rPr>
              <w:t>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000000" w:themeColor="text1"/>
                <w:sz w:val="24"/>
                <w:szCs w:val="32"/>
                <w:highlight w:val="none"/>
                <w:lang w:val="en-US" w:eastAsia="zh-CN"/>
                <w14:textFill>
                  <w14:solidFill>
                    <w14:schemeClr w14:val="tx1"/>
                  </w14:solidFill>
                </w14:textFill>
              </w:rPr>
            </w:pPr>
            <w:r>
              <w:rPr>
                <w:rFonts w:hint="eastAsia"/>
                <w:color w:val="000000" w:themeColor="text1"/>
                <w:sz w:val="24"/>
                <w:szCs w:val="32"/>
                <w:highlight w:val="none"/>
                <w:lang w:val="en-US" w:eastAsia="zh-CN"/>
                <w14:textFill>
                  <w14:solidFill>
                    <w14:schemeClr w14:val="tx1"/>
                  </w14:solidFill>
                </w14:textFill>
              </w:rPr>
              <w:t>项目切割工序产生颗粒物废气，</w:t>
            </w:r>
            <w:r>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参照《排放源统计调查产排污核算方法和系数手册》（生态环境部公告2021年第24号）中《工业行业排污系数手册》</w:t>
            </w:r>
            <w:r>
              <w:rPr>
                <w:rFonts w:hint="eastAsia"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，切割</w:t>
            </w:r>
            <w:r>
              <w:rPr>
                <w:rFonts w:hint="eastAsia"/>
                <w:color w:val="000000" w:themeColor="text1"/>
                <w:sz w:val="24"/>
                <w:szCs w:val="32"/>
                <w:highlight w:val="none"/>
                <w14:textFill>
                  <w14:solidFill>
                    <w14:schemeClr w14:val="tx1"/>
                  </w14:solidFill>
                </w14:textFill>
              </w:rPr>
              <w:t>颗粒物</w:t>
            </w:r>
            <w:r>
              <w:rPr>
                <w:rFonts w:hint="eastAsia"/>
                <w:color w:val="000000" w:themeColor="text1"/>
                <w:sz w:val="24"/>
                <w:szCs w:val="32"/>
                <w:highlight w:val="none"/>
                <w:lang w:val="en-US" w:eastAsia="zh-CN"/>
                <w14:textFill>
                  <w14:solidFill>
                    <w14:schemeClr w14:val="tx1"/>
                  </w14:solidFill>
                </w14:textFill>
              </w:rPr>
              <w:t>产污</w:t>
            </w:r>
            <w:r>
              <w:rPr>
                <w:rFonts w:hint="eastAsia"/>
                <w:color w:val="000000" w:themeColor="text1"/>
                <w:sz w:val="24"/>
                <w:szCs w:val="32"/>
                <w:highlight w:val="none"/>
                <w14:textFill>
                  <w14:solidFill>
                    <w14:schemeClr w14:val="tx1"/>
                  </w14:solidFill>
                </w14:textFill>
              </w:rPr>
              <w:t>系数为1.10kg/t原料</w:t>
            </w:r>
            <w:r>
              <w:rPr>
                <w:rFonts w:hint="eastAsia"/>
                <w:color w:val="000000" w:themeColor="text1"/>
                <w:sz w:val="24"/>
                <w:szCs w:val="32"/>
                <w:highlight w:val="none"/>
                <w:lang w:eastAsia="zh-CN"/>
                <w14:textFill>
                  <w14:solidFill>
                    <w14:schemeClr w14:val="tx1"/>
                  </w14:solidFill>
                </w14:textFill>
              </w:rPr>
              <w:t>，</w:t>
            </w:r>
            <w:r>
              <w:rPr>
                <w:rFonts w:hint="eastAsia"/>
                <w:color w:val="000000" w:themeColor="text1"/>
                <w:sz w:val="24"/>
                <w:szCs w:val="32"/>
                <w:highlight w:val="none"/>
                <w14:textFill>
                  <w14:solidFill>
                    <w14:schemeClr w14:val="tx1"/>
                  </w14:solidFill>
                </w14:textFill>
              </w:rPr>
              <w:t>本</w:t>
            </w:r>
            <w:r>
              <w:rPr>
                <w:rFonts w:hint="eastAsia"/>
                <w:color w:val="000000" w:themeColor="text1"/>
                <w:sz w:val="24"/>
                <w:szCs w:val="32"/>
                <w:highlight w:val="none"/>
                <w:lang w:val="en-US" w:eastAsia="zh-CN"/>
                <w14:textFill>
                  <w14:solidFill>
                    <w14:schemeClr w14:val="tx1"/>
                  </w14:solidFill>
                </w14:textFill>
              </w:rPr>
              <w:t>项目钢管、钢板的使用量为</w:t>
            </w:r>
            <w:r>
              <w:rPr>
                <w:rFonts w:hint="eastAsia"/>
                <w:color w:val="000000" w:themeColor="text1"/>
                <w:sz w:val="24"/>
                <w:szCs w:val="32"/>
                <w:highlight w:val="none"/>
                <w14:textFill>
                  <w14:solidFill>
                    <w14:schemeClr w14:val="tx1"/>
                  </w14:solidFill>
                </w14:textFill>
              </w:rPr>
              <w:t>600t/a，则切割颗粒物产生量约为0.66t/a</w:t>
            </w:r>
            <w:r>
              <w:rPr>
                <w:rFonts w:hint="eastAsia"/>
                <w:color w:val="000000" w:themeColor="text1"/>
                <w:sz w:val="24"/>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szCs w:val="32"/>
                <w:highlight w:val="none"/>
                <w:u w:val="single"/>
                <w:lang w:val="en-US" w:eastAsia="zh-CN"/>
                <w14:textFill>
                  <w14:solidFill>
                    <w14:schemeClr w14:val="tx1"/>
                  </w14:solidFill>
                </w14:textFill>
              </w:rPr>
            </w:pPr>
            <w:r>
              <w:rPr>
                <w:rFonts w:hint="eastAsia"/>
                <w:b/>
                <w:bCs/>
                <w:color w:val="000000" w:themeColor="text1"/>
                <w:sz w:val="24"/>
                <w:szCs w:val="32"/>
                <w:highlight w:val="none"/>
                <w:u w:val="single"/>
                <w:lang w:val="en-US" w:eastAsia="zh-CN"/>
                <w14:textFill>
                  <w14:solidFill>
                    <w14:schemeClr w14:val="tx1"/>
                  </w14:solidFill>
                </w14:textFill>
              </w:rPr>
              <w:t>项目焊接工序产生颗粒物废气，根据</w:t>
            </w:r>
            <w:r>
              <w:rPr>
                <w:rFonts w:hint="default" w:ascii="Times New Roman" w:hAnsi="Times New Roman" w:cs="Times New Roman"/>
                <w:b/>
                <w:bCs/>
                <w:color w:val="000000" w:themeColor="text1"/>
                <w:sz w:val="24"/>
                <w:szCs w:val="32"/>
                <w:highlight w:val="none"/>
                <w:u w:val="single"/>
                <w:lang w:val="en-US" w:eastAsia="zh-CN"/>
                <w14:textFill>
                  <w14:solidFill>
                    <w14:schemeClr w14:val="tx1"/>
                  </w14:solidFill>
                </w14:textFill>
              </w:rPr>
              <w:t>《排放源统计调查产排污核算方法和系数手册》（生态环境部公告2021年第24号）中</w:t>
            </w:r>
            <w:r>
              <w:rPr>
                <w:rFonts w:hint="eastAsia" w:cs="Times New Roman"/>
                <w:b/>
                <w:bCs/>
                <w:color w:val="000000" w:themeColor="text1"/>
                <w:sz w:val="24"/>
                <w:szCs w:val="32"/>
                <w:highlight w:val="none"/>
                <w:u w:val="single"/>
                <w:lang w:val="en-US" w:eastAsia="zh-CN"/>
                <w14:textFill>
                  <w14:solidFill>
                    <w14:schemeClr w14:val="tx1"/>
                  </w14:solidFill>
                </w14:textFill>
              </w:rPr>
              <w:t>金属制品业 韩界颗粒物产污系数为9.19kg/t·原料</w:t>
            </w:r>
            <w:r>
              <w:rPr>
                <w:rFonts w:hint="eastAsia"/>
                <w:b/>
                <w:bCs/>
                <w:color w:val="000000" w:themeColor="text1"/>
                <w:sz w:val="24"/>
                <w:szCs w:val="32"/>
                <w:highlight w:val="none"/>
                <w:u w:val="single"/>
                <w:lang w:val="en-US" w:eastAsia="zh-CN"/>
                <w14:textFill>
                  <w14:solidFill>
                    <w14:schemeClr w14:val="tx1"/>
                  </w14:solidFill>
                </w14:textFill>
              </w:rPr>
              <w:t>。本项目焊丝用量共4t/a，则焊接烟尘产生量为0.0368t/a。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32"/>
                <w:highlight w:val="yellow"/>
                <w:lang w:eastAsia="zh-CN"/>
                <w14:textFill>
                  <w14:solidFill>
                    <w14:schemeClr w14:val="tx1"/>
                  </w14:solidFill>
                </w14:textFill>
              </w:rPr>
            </w:pPr>
            <w:r>
              <w:rPr>
                <w:rFonts w:hint="eastAsia"/>
                <w:color w:val="000000" w:themeColor="text1"/>
                <w:sz w:val="24"/>
                <w:szCs w:val="32"/>
                <w:highlight w:val="none"/>
                <w:lang w:val="en-US" w:eastAsia="zh-CN"/>
                <w14:textFill>
                  <w14:solidFill>
                    <w14:schemeClr w14:val="tx1"/>
                  </w14:solidFill>
                </w14:textFill>
              </w:rPr>
              <w:t>项目打磨工序产生颗粒物废气，</w:t>
            </w:r>
            <w:r>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参照《排放源统计调查产排污核算方法和系数手册》（生态环境部公告2021年第24号）中《工业行业排污系数手册》，</w:t>
            </w:r>
            <w:r>
              <w:rPr>
                <w:rFonts w:hint="eastAsia"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打磨</w:t>
            </w:r>
            <w:r>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工序颗粒物</w:t>
            </w:r>
            <w:r>
              <w:rPr>
                <w:rFonts w:hint="eastAsia"/>
                <w:color w:val="000000" w:themeColor="text1"/>
                <w:sz w:val="24"/>
                <w:szCs w:val="32"/>
                <w:highlight w:val="none"/>
                <w:lang w:val="en-US" w:eastAsia="zh-CN"/>
                <w14:textFill>
                  <w14:solidFill>
                    <w14:schemeClr w14:val="tx1"/>
                  </w14:solidFill>
                </w14:textFill>
              </w:rPr>
              <w:t>产污</w:t>
            </w:r>
            <w:r>
              <w:rPr>
                <w:rFonts w:hint="eastAsia"/>
                <w:color w:val="000000" w:themeColor="text1"/>
                <w:sz w:val="24"/>
                <w:szCs w:val="32"/>
                <w:highlight w:val="none"/>
                <w14:textFill>
                  <w14:solidFill>
                    <w14:schemeClr w14:val="tx1"/>
                  </w14:solidFill>
                </w14:textFill>
              </w:rPr>
              <w:t>系数</w:t>
            </w:r>
            <w:r>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为</w:t>
            </w:r>
            <w:r>
              <w:rPr>
                <w:rFonts w:hint="eastAsia"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2.19</w:t>
            </w:r>
            <w:r>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千克/吨-原料</w:t>
            </w:r>
            <w:r>
              <w:rPr>
                <w:rFonts w:hint="eastAsia"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，本项目打磨的量为</w:t>
            </w:r>
            <w:r>
              <w:rPr>
                <w:rFonts w:hint="eastAsia"/>
                <w:color w:val="000000" w:themeColor="text1"/>
                <w:sz w:val="24"/>
                <w:szCs w:val="32"/>
                <w:highlight w:val="none"/>
                <w14:textFill>
                  <w14:solidFill>
                    <w14:schemeClr w14:val="tx1"/>
                  </w14:solidFill>
                </w14:textFill>
              </w:rPr>
              <w:t>600t/a，则</w:t>
            </w:r>
            <w:r>
              <w:rPr>
                <w:rFonts w:hint="eastAsia"/>
                <w:color w:val="000000" w:themeColor="text1"/>
                <w:sz w:val="24"/>
                <w:szCs w:val="32"/>
                <w:highlight w:val="none"/>
                <w:lang w:val="en-US" w:eastAsia="zh-CN"/>
                <w14:textFill>
                  <w14:solidFill>
                    <w14:schemeClr w14:val="tx1"/>
                  </w14:solidFill>
                </w14:textFill>
              </w:rPr>
              <w:t>打磨</w:t>
            </w:r>
            <w:r>
              <w:rPr>
                <w:rFonts w:hint="eastAsia"/>
                <w:color w:val="000000" w:themeColor="text1"/>
                <w:sz w:val="24"/>
                <w:szCs w:val="32"/>
                <w:highlight w:val="none"/>
                <w14:textFill>
                  <w14:solidFill>
                    <w14:schemeClr w14:val="tx1"/>
                  </w14:solidFill>
                </w14:textFill>
              </w:rPr>
              <w:t>颗粒物产生量约为</w:t>
            </w:r>
            <w:r>
              <w:rPr>
                <w:rFonts w:hint="eastAsia"/>
                <w:color w:val="000000" w:themeColor="text1"/>
                <w:sz w:val="24"/>
                <w:szCs w:val="32"/>
                <w:highlight w:val="none"/>
                <w:lang w:val="en-US" w:eastAsia="zh-CN"/>
                <w14:textFill>
                  <w14:solidFill>
                    <w14:schemeClr w14:val="tx1"/>
                  </w14:solidFill>
                </w14:textFill>
              </w:rPr>
              <w:t>1.314</w:t>
            </w:r>
            <w:r>
              <w:rPr>
                <w:rFonts w:hint="eastAsia"/>
                <w:color w:val="000000" w:themeColor="text1"/>
                <w:sz w:val="24"/>
                <w:szCs w:val="32"/>
                <w:highlight w:val="none"/>
                <w14:textFill>
                  <w14:solidFill>
                    <w14:schemeClr w14:val="tx1"/>
                  </w14:solidFill>
                </w14:textFill>
              </w:rPr>
              <w:t>t/a</w:t>
            </w:r>
            <w:r>
              <w:rPr>
                <w:rFonts w:hint="eastAsia"/>
                <w:color w:val="000000" w:themeColor="text1"/>
                <w:sz w:val="24"/>
                <w:szCs w:val="32"/>
                <w:highlight w:val="none"/>
                <w:lang w:eastAsia="zh-CN"/>
                <w14:textFill>
                  <w14:solidFill>
                    <w14:schemeClr w14:val="tx1"/>
                  </w14:solidFill>
                </w14:textFill>
              </w:rPr>
              <w:t>；</w:t>
            </w:r>
          </w:p>
          <w:p>
            <w:pPr>
              <w:spacing w:line="360" w:lineRule="auto"/>
              <w:ind w:firstLine="480" w:firstLineChars="200"/>
              <w:rPr>
                <w:rFonts w:hint="eastAsia" w:eastAsia="宋体"/>
                <w:color w:val="000000" w:themeColor="text1"/>
                <w:sz w:val="24"/>
                <w:szCs w:val="32"/>
                <w:highlight w:val="yellow"/>
                <w:lang w:val="en-US" w:eastAsia="zh-CN"/>
                <w14:textFill>
                  <w14:solidFill>
                    <w14:schemeClr w14:val="tx1"/>
                  </w14:solidFill>
                </w14:textFill>
              </w:rPr>
            </w:pPr>
            <w:r>
              <w:rPr>
                <w:rFonts w:hint="eastAsia"/>
                <w:color w:val="000000" w:themeColor="text1"/>
                <w:sz w:val="24"/>
                <w:szCs w:val="32"/>
                <w:highlight w:val="none"/>
                <w:lang w:val="en-US" w:eastAsia="zh-CN"/>
                <w14:textFill>
                  <w14:solidFill>
                    <w14:schemeClr w14:val="tx1"/>
                  </w14:solidFill>
                </w14:textFill>
              </w:rPr>
              <w:t>综上，本项目切割、焊接、打磨工序颗粒物的产生量合计2.0108</w:t>
            </w:r>
            <w:r>
              <w:rPr>
                <w:rFonts w:hint="eastAsia"/>
                <w:color w:val="000000" w:themeColor="text1"/>
                <w:sz w:val="24"/>
                <w:szCs w:val="32"/>
                <w:highlight w:val="none"/>
                <w14:textFill>
                  <w14:solidFill>
                    <w14:schemeClr w14:val="tx1"/>
                  </w14:solidFill>
                </w14:textFill>
              </w:rPr>
              <w:t>t/a</w:t>
            </w:r>
            <w:r>
              <w:rPr>
                <w:rFonts w:hint="eastAsia"/>
                <w:color w:val="000000" w:themeColor="text1"/>
                <w:sz w:val="24"/>
                <w:szCs w:val="32"/>
                <w:highlight w:val="none"/>
                <w:lang w:eastAsia="zh-CN"/>
                <w14:textFill>
                  <w14:solidFill>
                    <w14:schemeClr w14:val="tx1"/>
                  </w14:solidFill>
                </w14:textFill>
              </w:rPr>
              <w:t>。</w:t>
            </w:r>
          </w:p>
          <w:p>
            <w:pPr>
              <w:spacing w:line="360" w:lineRule="auto"/>
              <w:ind w:firstLine="480" w:firstLineChars="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（2）</w:t>
            </w:r>
            <w:r>
              <w:rPr>
                <w:rFonts w:hint="eastAsia"/>
                <w:color w:val="000000" w:themeColor="text1"/>
                <w:sz w:val="24"/>
                <w:szCs w:val="32"/>
                <w:lang w:val="en-US" w:eastAsia="zh-CN"/>
                <w14:textFill>
                  <w14:solidFill>
                    <w14:schemeClr w14:val="tx1"/>
                  </w14:solidFill>
                </w14:textFill>
              </w:rPr>
              <w:t>喷塑</w:t>
            </w:r>
            <w:r>
              <w:rPr>
                <w:rFonts w:hint="eastAsia"/>
                <w:color w:val="000000" w:themeColor="text1"/>
                <w:sz w:val="24"/>
                <w:szCs w:val="32"/>
                <w14:textFill>
                  <w14:solidFill>
                    <w14:schemeClr w14:val="tx1"/>
                  </w14:solidFill>
                </w14:textFill>
              </w:rPr>
              <w:t>废气</w:t>
            </w:r>
          </w:p>
          <w:p>
            <w:pPr>
              <w:numPr>
                <w:ilvl w:val="0"/>
                <w:numId w:val="0"/>
              </w:numPr>
              <w:spacing w:line="360" w:lineRule="auto"/>
              <w:ind w:firstLine="480" w:firstLineChars="200"/>
              <w:rPr>
                <w:rFonts w:hint="eastAsia"/>
                <w:sz w:val="24"/>
                <w:szCs w:val="24"/>
              </w:rPr>
            </w:pPr>
            <w:r>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参照《排放源统计调查产排污核算方法和系数手册》（生态环境部公告2021年第24号）中《工业行业排污系数手册》</w:t>
            </w:r>
            <w:r>
              <w:rPr>
                <w:rFonts w:hint="eastAsia"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，喷塑工序颗粒物的产污系数为</w:t>
            </w:r>
            <w:r>
              <w:rPr>
                <w:rFonts w:hint="default" w:ascii="Times New Roman" w:hAnsi="Times New Roman" w:cs="Times New Roman"/>
                <w:b w:val="0"/>
                <w:bCs w:val="0"/>
                <w:sz w:val="24"/>
                <w:szCs w:val="24"/>
                <w:highlight w:val="none"/>
                <w:u w:val="none"/>
                <w:lang w:val="en-US" w:eastAsia="zh-CN"/>
              </w:rPr>
              <w:t>300千克/吨-原料</w:t>
            </w:r>
            <w:r>
              <w:rPr>
                <w:rFonts w:hint="eastAsia" w:ascii="Times New Roman" w:hAnsi="Times New Roman" w:cs="Times New Roman"/>
                <w:b w:val="0"/>
                <w:bCs w:val="0"/>
                <w:sz w:val="24"/>
                <w:szCs w:val="24"/>
                <w:highlight w:val="none"/>
                <w:u w:val="none"/>
                <w:lang w:val="en-US" w:eastAsia="zh-CN"/>
              </w:rPr>
              <w:t>，本项目塑粉的使用量为</w:t>
            </w:r>
            <w:r>
              <w:rPr>
                <w:rFonts w:hint="eastAsia"/>
                <w:color w:val="000000" w:themeColor="text1"/>
                <w:sz w:val="24"/>
                <w:szCs w:val="32"/>
                <w:highlight w:val="none"/>
                <w:lang w:val="en-US" w:eastAsia="zh-CN"/>
                <w14:textFill>
                  <w14:solidFill>
                    <w14:schemeClr w14:val="tx1"/>
                  </w14:solidFill>
                </w14:textFill>
              </w:rPr>
              <w:t>12</w:t>
            </w:r>
            <w:r>
              <w:rPr>
                <w:rFonts w:hint="eastAsia"/>
                <w:color w:val="000000" w:themeColor="text1"/>
                <w:sz w:val="24"/>
                <w:szCs w:val="32"/>
                <w:highlight w:val="none"/>
                <w14:textFill>
                  <w14:solidFill>
                    <w14:schemeClr w14:val="tx1"/>
                  </w14:solidFill>
                </w14:textFill>
              </w:rPr>
              <w:t>t/a，</w:t>
            </w:r>
            <w:r>
              <w:rPr>
                <w:rFonts w:hint="eastAsia"/>
                <w:sz w:val="24"/>
                <w:szCs w:val="24"/>
                <w:highlight w:val="none"/>
              </w:rPr>
              <w:t>则喷塑过程粉尘产生量为</w:t>
            </w:r>
            <w:r>
              <w:rPr>
                <w:rFonts w:hint="eastAsia"/>
                <w:sz w:val="24"/>
                <w:szCs w:val="24"/>
                <w:highlight w:val="none"/>
                <w:lang w:val="en-US" w:eastAsia="zh-CN"/>
              </w:rPr>
              <w:t>3.6</w:t>
            </w:r>
            <w:r>
              <w:rPr>
                <w:rFonts w:hint="eastAsia"/>
                <w:sz w:val="24"/>
                <w:szCs w:val="24"/>
                <w:highlight w:val="none"/>
              </w:rPr>
              <w:t>t/a。</w:t>
            </w:r>
          </w:p>
          <w:p>
            <w:pPr>
              <w:numPr>
                <w:ilvl w:val="0"/>
                <w:numId w:val="0"/>
              </w:numPr>
              <w:spacing w:line="360" w:lineRule="auto"/>
              <w:ind w:firstLine="480" w:firstLineChars="200"/>
              <w:rPr>
                <w:rFonts w:hint="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（3）固化有机</w:t>
            </w:r>
            <w:r>
              <w:rPr>
                <w:rFonts w:hint="eastAsia"/>
                <w:color w:val="000000" w:themeColor="text1"/>
                <w:sz w:val="24"/>
                <w:szCs w:val="32"/>
                <w14:textFill>
                  <w14:solidFill>
                    <w14:schemeClr w14:val="tx1"/>
                  </w14:solidFill>
                </w14:textFill>
              </w:rPr>
              <w:t>废气</w:t>
            </w:r>
            <w:r>
              <w:rPr>
                <w:rFonts w:hint="eastAsia"/>
                <w:color w:val="000000" w:themeColor="text1"/>
                <w:sz w:val="24"/>
                <w:szCs w:val="32"/>
                <w:lang w:val="en-US" w:eastAsia="zh-CN"/>
                <w14:textFill>
                  <w14:solidFill>
                    <w14:schemeClr w14:val="tx1"/>
                  </w14:solidFill>
                </w14:textFill>
              </w:rPr>
              <w:t>非甲烷总烃</w:t>
            </w:r>
          </w:p>
          <w:p>
            <w:pPr>
              <w:numPr>
                <w:ilvl w:val="0"/>
                <w:numId w:val="0"/>
              </w:numPr>
              <w:spacing w:line="360" w:lineRule="auto"/>
              <w:ind w:firstLine="480" w:firstLineChars="200"/>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参照《排放源统计调查产排污核算方法和系数手册》（生态环境部公告2021年第24号）中《工业行业排污系数手册》</w:t>
            </w:r>
            <w:r>
              <w:rPr>
                <w:rFonts w:hint="eastAsia"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，喷塑后烘干工序挥发性有机物产污系数为</w:t>
            </w:r>
            <w:r>
              <w:rPr>
                <w:rFonts w:hint="eastAsia" w:ascii="Times New Roman" w:hAnsi="Times New Roman" w:cs="Times New Roman"/>
                <w:b w:val="0"/>
                <w:bCs w:val="0"/>
                <w:sz w:val="24"/>
                <w:szCs w:val="24"/>
                <w:highlight w:val="none"/>
                <w:u w:val="none"/>
                <w:lang w:val="en-US" w:eastAsia="zh-CN"/>
              </w:rPr>
              <w:t>1.2</w:t>
            </w:r>
            <w:r>
              <w:rPr>
                <w:rFonts w:hint="default" w:ascii="Times New Roman" w:hAnsi="Times New Roman" w:cs="Times New Roman"/>
                <w:b w:val="0"/>
                <w:bCs w:val="0"/>
                <w:sz w:val="24"/>
                <w:szCs w:val="24"/>
                <w:highlight w:val="none"/>
                <w:u w:val="none"/>
                <w:lang w:val="en-US" w:eastAsia="zh-CN"/>
              </w:rPr>
              <w:t>千克/吨-原料</w:t>
            </w:r>
            <w:r>
              <w:rPr>
                <w:rFonts w:hint="eastAsia" w:ascii="Times New Roman" w:hAnsi="Times New Roman" w:cs="Times New Roman"/>
                <w:b w:val="0"/>
                <w:bCs w:val="0"/>
                <w:sz w:val="24"/>
                <w:szCs w:val="24"/>
                <w:highlight w:val="none"/>
                <w:u w:val="none"/>
                <w:lang w:val="en-US" w:eastAsia="zh-CN"/>
              </w:rPr>
              <w:t>，本项目塑粉的使用量为</w:t>
            </w:r>
            <w:r>
              <w:rPr>
                <w:rFonts w:hint="eastAsia" w:cs="Times New Roman"/>
                <w:b w:val="0"/>
                <w:bCs w:val="0"/>
                <w:sz w:val="24"/>
                <w:szCs w:val="24"/>
                <w:highlight w:val="none"/>
                <w:u w:val="none"/>
                <w:lang w:val="en-US" w:eastAsia="zh-CN"/>
              </w:rPr>
              <w:t>1</w:t>
            </w:r>
            <w:r>
              <w:rPr>
                <w:rFonts w:hint="eastAsia"/>
                <w:color w:val="000000" w:themeColor="text1"/>
                <w:sz w:val="24"/>
                <w:szCs w:val="32"/>
                <w:highlight w:val="none"/>
                <w:lang w:val="en-US" w:eastAsia="zh-CN"/>
                <w14:textFill>
                  <w14:solidFill>
                    <w14:schemeClr w14:val="tx1"/>
                  </w14:solidFill>
                </w14:textFill>
              </w:rPr>
              <w:t>2</w:t>
            </w:r>
            <w:r>
              <w:rPr>
                <w:rFonts w:hint="eastAsia"/>
                <w:color w:val="000000" w:themeColor="text1"/>
                <w:sz w:val="24"/>
                <w:szCs w:val="32"/>
                <w:highlight w:val="none"/>
                <w14:textFill>
                  <w14:solidFill>
                    <w14:schemeClr w14:val="tx1"/>
                  </w14:solidFill>
                </w14:textFill>
              </w:rPr>
              <w:t>t/a，</w:t>
            </w:r>
            <w:r>
              <w:rPr>
                <w:rFonts w:hint="eastAsia"/>
                <w:sz w:val="24"/>
                <w:szCs w:val="24"/>
                <w:highlight w:val="none"/>
              </w:rPr>
              <w:t>则喷塑</w:t>
            </w:r>
            <w:r>
              <w:rPr>
                <w:rFonts w:hint="eastAsia"/>
                <w:sz w:val="24"/>
                <w:szCs w:val="24"/>
                <w:highlight w:val="none"/>
                <w:lang w:val="en-US" w:eastAsia="zh-CN"/>
              </w:rPr>
              <w:t>烘干工序挥发性有机物非甲烷总烃</w:t>
            </w:r>
            <w:r>
              <w:rPr>
                <w:rFonts w:hint="eastAsia"/>
                <w:sz w:val="24"/>
                <w:szCs w:val="24"/>
                <w:highlight w:val="none"/>
              </w:rPr>
              <w:t>产生量为</w:t>
            </w:r>
            <w:r>
              <w:rPr>
                <w:rFonts w:hint="eastAsia"/>
                <w:sz w:val="24"/>
                <w:szCs w:val="24"/>
                <w:highlight w:val="none"/>
                <w:lang w:val="en-US" w:eastAsia="zh-CN"/>
              </w:rPr>
              <w:t>0.0144</w:t>
            </w:r>
            <w:r>
              <w:rPr>
                <w:rFonts w:hint="eastAsia"/>
                <w:sz w:val="24"/>
                <w:szCs w:val="24"/>
                <w:highlight w:val="none"/>
              </w:rPr>
              <w:t>t/a。</w:t>
            </w:r>
          </w:p>
          <w:p>
            <w:pPr>
              <w:numPr>
                <w:ilvl w:val="0"/>
                <w:numId w:val="0"/>
              </w:numPr>
              <w:spacing w:line="360" w:lineRule="auto"/>
              <w:ind w:firstLine="480" w:firstLineChars="200"/>
              <w:rPr>
                <w:color w:val="000000" w:themeColor="text1"/>
                <w:sz w:val="24"/>
                <w:szCs w:val="32"/>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（4）固化</w:t>
            </w:r>
            <w:r>
              <w:rPr>
                <w:rFonts w:hint="eastAsia"/>
                <w:color w:val="000000" w:themeColor="text1"/>
                <w:sz w:val="24"/>
                <w:szCs w:val="32"/>
                <w14:textFill>
                  <w14:solidFill>
                    <w14:schemeClr w14:val="tx1"/>
                  </w14:solidFill>
                </w14:textFill>
              </w:rPr>
              <w:t>工序使用的</w:t>
            </w:r>
            <w:r>
              <w:rPr>
                <w:rFonts w:hint="eastAsia"/>
                <w:color w:val="000000" w:themeColor="text1"/>
                <w:sz w:val="24"/>
                <w:szCs w:val="32"/>
                <w:lang w:val="en-US" w:eastAsia="zh-CN"/>
                <w14:textFill>
                  <w14:solidFill>
                    <w14:schemeClr w14:val="tx1"/>
                  </w14:solidFill>
                </w14:textFill>
              </w:rPr>
              <w:t>液化石油</w:t>
            </w:r>
            <w:r>
              <w:rPr>
                <w:rFonts w:hint="eastAsia"/>
                <w:color w:val="000000" w:themeColor="text1"/>
                <w:sz w:val="24"/>
                <w:szCs w:val="32"/>
                <w14:textFill>
                  <w14:solidFill>
                    <w14:schemeClr w14:val="tx1"/>
                  </w14:solidFill>
                </w14:textFill>
              </w:rPr>
              <w:t>气燃烧废气</w:t>
            </w:r>
          </w:p>
          <w:p>
            <w:pPr>
              <w:spacing w:line="360" w:lineRule="auto"/>
              <w:ind w:firstLine="480" w:firstLineChars="200"/>
              <w:rPr>
                <w:rFonts w:hint="eastAsia"/>
                <w:color w:val="000000" w:themeColor="text1"/>
                <w:sz w:val="24"/>
                <w:szCs w:val="32"/>
                <w:highlight w:val="none"/>
                <w:lang w:eastAsia="zh-CN"/>
                <w14:textFill>
                  <w14:solidFill>
                    <w14:schemeClr w14:val="tx1"/>
                  </w14:solidFill>
                </w14:textFill>
              </w:rPr>
            </w:pPr>
            <w:r>
              <w:rPr>
                <w:rFonts w:hint="eastAsia"/>
                <w:color w:val="000000" w:themeColor="text1"/>
                <w:sz w:val="24"/>
                <w:szCs w:val="32"/>
                <w:highlight w:val="none"/>
                <w14:textFill>
                  <w14:solidFill>
                    <w14:schemeClr w14:val="tx1"/>
                  </w14:solidFill>
                </w14:textFill>
              </w:rPr>
              <w:t>参考《第一次全国污染源普查—城镇生活源》中，城镇生活源燃气设施产排污系数，SO</w:t>
            </w:r>
            <w:r>
              <w:rPr>
                <w:rFonts w:hint="eastAsia"/>
                <w:color w:val="000000" w:themeColor="text1"/>
                <w:sz w:val="24"/>
                <w:szCs w:val="32"/>
                <w:highlight w:val="none"/>
                <w:vertAlign w:val="subscript"/>
                <w14:textFill>
                  <w14:solidFill>
                    <w14:schemeClr w14:val="tx1"/>
                  </w14:solidFill>
                </w14:textFill>
              </w:rPr>
              <w:t>2</w:t>
            </w:r>
            <w:r>
              <w:rPr>
                <w:rFonts w:hint="eastAsia"/>
                <w:color w:val="000000" w:themeColor="text1"/>
                <w:sz w:val="24"/>
                <w:szCs w:val="32"/>
                <w:highlight w:val="none"/>
                <w14:textFill>
                  <w14:solidFill>
                    <w14:schemeClr w14:val="tx1"/>
                  </w14:solidFill>
                </w14:textFill>
              </w:rPr>
              <w:t>产生量为20Skg/吨-气（S为含硫量，根据GB11174-1997《液化石油气》，规定的总硫含量不大于343毫克/立方米，液化石油气气态密度为2.35kg/m</w:t>
            </w:r>
            <w:r>
              <w:rPr>
                <w:rFonts w:hint="eastAsia"/>
                <w:color w:val="000000" w:themeColor="text1"/>
                <w:sz w:val="24"/>
                <w:szCs w:val="32"/>
                <w:highlight w:val="none"/>
                <w:vertAlign w:val="superscript"/>
                <w14:textFill>
                  <w14:solidFill>
                    <w14:schemeClr w14:val="tx1"/>
                  </w14:solidFill>
                </w14:textFill>
              </w:rPr>
              <w:t>3</w:t>
            </w:r>
            <w:r>
              <w:rPr>
                <w:rFonts w:hint="eastAsia"/>
                <w:color w:val="000000" w:themeColor="text1"/>
                <w:sz w:val="24"/>
                <w:szCs w:val="32"/>
                <w:highlight w:val="none"/>
                <w14:textFill>
                  <w14:solidFill>
                    <w14:schemeClr w14:val="tx1"/>
                  </w14:solidFill>
                </w14:textFill>
              </w:rPr>
              <w:t>，核算液化石油气含硫为0.015%，即S=0.015），NOx产生量为4.51kg/吨-气，经核算，本项目烘干过程SO</w:t>
            </w:r>
            <w:r>
              <w:rPr>
                <w:rFonts w:hint="eastAsia"/>
                <w:color w:val="000000" w:themeColor="text1"/>
                <w:sz w:val="24"/>
                <w:szCs w:val="32"/>
                <w:highlight w:val="none"/>
                <w:vertAlign w:val="subscript"/>
                <w14:textFill>
                  <w14:solidFill>
                    <w14:schemeClr w14:val="tx1"/>
                  </w14:solidFill>
                </w14:textFill>
              </w:rPr>
              <w:t>2</w:t>
            </w:r>
            <w:r>
              <w:rPr>
                <w:rFonts w:hint="eastAsia"/>
                <w:color w:val="000000" w:themeColor="text1"/>
                <w:sz w:val="24"/>
                <w:szCs w:val="32"/>
                <w:highlight w:val="none"/>
                <w14:textFill>
                  <w14:solidFill>
                    <w14:schemeClr w14:val="tx1"/>
                  </w14:solidFill>
                </w14:textFill>
              </w:rPr>
              <w:t>产生量为</w:t>
            </w:r>
            <w:r>
              <w:rPr>
                <w:rFonts w:hint="eastAsia"/>
                <w:color w:val="000000" w:themeColor="text1"/>
                <w:sz w:val="24"/>
                <w:szCs w:val="32"/>
                <w:highlight w:val="none"/>
                <w:lang w:val="en-US" w:eastAsia="zh-CN"/>
                <w14:textFill>
                  <w14:solidFill>
                    <w14:schemeClr w14:val="tx1"/>
                  </w14:solidFill>
                </w14:textFill>
              </w:rPr>
              <w:t>0.0105</w:t>
            </w:r>
            <w:r>
              <w:rPr>
                <w:rFonts w:hint="eastAsia"/>
                <w:color w:val="000000" w:themeColor="text1"/>
                <w:sz w:val="24"/>
                <w:szCs w:val="32"/>
                <w:highlight w:val="none"/>
                <w14:textFill>
                  <w14:solidFill>
                    <w14:schemeClr w14:val="tx1"/>
                  </w14:solidFill>
                </w14:textFill>
              </w:rPr>
              <w:t>t/a，NOx产生量为</w:t>
            </w:r>
            <w:r>
              <w:rPr>
                <w:rFonts w:hint="eastAsia"/>
                <w:color w:val="000000" w:themeColor="text1"/>
                <w:sz w:val="24"/>
                <w:szCs w:val="32"/>
                <w:highlight w:val="none"/>
                <w:lang w:val="en-US" w:eastAsia="zh-CN"/>
                <w14:textFill>
                  <w14:solidFill>
                    <w14:schemeClr w14:val="tx1"/>
                  </w14:solidFill>
                </w14:textFill>
              </w:rPr>
              <w:t>0.1579</w:t>
            </w:r>
            <w:r>
              <w:rPr>
                <w:rFonts w:hint="eastAsia"/>
                <w:color w:val="000000" w:themeColor="text1"/>
                <w:sz w:val="24"/>
                <w:szCs w:val="32"/>
                <w:highlight w:val="none"/>
                <w14:textFill>
                  <w14:solidFill>
                    <w14:schemeClr w14:val="tx1"/>
                  </w14:solidFill>
                </w14:textFill>
              </w:rPr>
              <w:t>t/a</w:t>
            </w:r>
            <w:r>
              <w:rPr>
                <w:rFonts w:hint="eastAsia"/>
                <w:color w:val="000000" w:themeColor="text1"/>
                <w:sz w:val="24"/>
                <w:szCs w:val="32"/>
                <w:highlight w:val="none"/>
                <w:lang w:eastAsia="zh-CN"/>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textAlignment w:val="auto"/>
              <w:rPr>
                <w:rFonts w:hint="default" w:ascii="Times New Roman" w:hAnsi="Times New Roman" w:eastAsia="宋体" w:cs="Times New Roman"/>
                <w:b/>
                <w:bCs/>
                <w:i w:val="0"/>
                <w:iCs w:val="0"/>
                <w:color w:val="auto"/>
                <w:kern w:val="2"/>
                <w:sz w:val="24"/>
                <w:szCs w:val="24"/>
                <w:u w:val="single"/>
              </w:rPr>
            </w:pPr>
            <w:r>
              <w:rPr>
                <w:rFonts w:hint="default" w:ascii="Times New Roman" w:hAnsi="Times New Roman" w:eastAsia="宋体" w:cs="Times New Roman"/>
                <w:b/>
                <w:bCs/>
                <w:i w:val="0"/>
                <w:iCs w:val="0"/>
                <w:color w:val="auto"/>
                <w:kern w:val="2"/>
                <w:sz w:val="24"/>
                <w:szCs w:val="24"/>
                <w:u w:val="single"/>
              </w:rPr>
              <w:t>表4-</w:t>
            </w:r>
            <w:r>
              <w:rPr>
                <w:rFonts w:hint="eastAsia" w:ascii="Times New Roman" w:hAnsi="Times New Roman" w:eastAsia="宋体" w:cs="Times New Roman"/>
                <w:b/>
                <w:bCs/>
                <w:i w:val="0"/>
                <w:iCs w:val="0"/>
                <w:color w:val="auto"/>
                <w:kern w:val="2"/>
                <w:sz w:val="24"/>
                <w:szCs w:val="24"/>
                <w:u w:val="single"/>
                <w:lang w:val="en-US" w:eastAsia="zh-CN"/>
              </w:rPr>
              <w:t xml:space="preserve">2   </w:t>
            </w:r>
            <w:r>
              <w:rPr>
                <w:rFonts w:hint="default" w:ascii="Times New Roman" w:hAnsi="Times New Roman" w:eastAsia="宋体" w:cs="Times New Roman"/>
                <w:b/>
                <w:bCs/>
                <w:i w:val="0"/>
                <w:iCs w:val="0"/>
                <w:color w:val="auto"/>
                <w:kern w:val="2"/>
                <w:sz w:val="24"/>
                <w:szCs w:val="24"/>
                <w:u w:val="single"/>
              </w:rPr>
              <w:t>本项目与</w:t>
            </w:r>
            <w:r>
              <w:rPr>
                <w:rFonts w:hint="default" w:ascii="Times New Roman" w:hAnsi="Times New Roman" w:eastAsia="宋体" w:cs="Times New Roman"/>
                <w:b/>
                <w:bCs/>
                <w:i w:val="0"/>
                <w:iCs w:val="0"/>
                <w:color w:val="auto"/>
                <w:sz w:val="24"/>
                <w:szCs w:val="24"/>
                <w:u w:val="single"/>
                <w:lang w:eastAsia="zh-CN"/>
              </w:rPr>
              <w:t>类比</w:t>
            </w:r>
            <w:r>
              <w:rPr>
                <w:rFonts w:hint="default" w:ascii="Times New Roman" w:hAnsi="Times New Roman" w:eastAsia="宋体" w:cs="Times New Roman"/>
                <w:b/>
                <w:bCs/>
                <w:i w:val="0"/>
                <w:iCs w:val="0"/>
                <w:color w:val="auto"/>
                <w:sz w:val="24"/>
                <w:szCs w:val="24"/>
                <w:u w:val="single"/>
              </w:rPr>
              <w:t>项目</w:t>
            </w:r>
            <w:r>
              <w:rPr>
                <w:rFonts w:hint="default" w:ascii="Times New Roman" w:hAnsi="Times New Roman" w:eastAsia="宋体" w:cs="Times New Roman"/>
                <w:b/>
                <w:bCs/>
                <w:i w:val="0"/>
                <w:iCs w:val="0"/>
                <w:color w:val="auto"/>
                <w:kern w:val="2"/>
                <w:sz w:val="24"/>
                <w:szCs w:val="24"/>
                <w:u w:val="single"/>
                <w:lang w:eastAsia="zh-CN"/>
              </w:rPr>
              <w:t>对比一览</w:t>
            </w:r>
            <w:r>
              <w:rPr>
                <w:rFonts w:hint="default" w:ascii="Times New Roman" w:hAnsi="Times New Roman" w:eastAsia="宋体" w:cs="Times New Roman"/>
                <w:b/>
                <w:bCs/>
                <w:i w:val="0"/>
                <w:iCs w:val="0"/>
                <w:color w:val="auto"/>
                <w:kern w:val="2"/>
                <w:sz w:val="24"/>
                <w:szCs w:val="24"/>
                <w:u w:val="single"/>
              </w:rPr>
              <w:t>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3654"/>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项目名称</w:t>
                  </w:r>
                </w:p>
              </w:tc>
              <w:tc>
                <w:tcPr>
                  <w:tcW w:w="216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000000"/>
                      <w:kern w:val="0"/>
                      <w:sz w:val="21"/>
                      <w:szCs w:val="21"/>
                      <w:u w:val="single"/>
                      <w:lang w:val="en-US" w:eastAsia="zh-CN" w:bidi="ar"/>
                    </w:rPr>
                    <w:t>新宝塔（河南）保险箱制造有限公司年产15000台保险箱扩建项目</w:t>
                  </w:r>
                </w:p>
              </w:tc>
              <w:tc>
                <w:tcPr>
                  <w:tcW w:w="19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rPr>
                    <w:t>生产规模</w:t>
                  </w:r>
                </w:p>
              </w:tc>
              <w:tc>
                <w:tcPr>
                  <w:tcW w:w="21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000000"/>
                      <w:kern w:val="0"/>
                      <w:sz w:val="21"/>
                      <w:szCs w:val="21"/>
                      <w:u w:val="single"/>
                      <w:lang w:val="en-US" w:eastAsia="zh-CN" w:bidi="ar"/>
                    </w:rPr>
                    <w:t>年产15000台保险箱</w:t>
                  </w:r>
                </w:p>
              </w:tc>
              <w:tc>
                <w:tcPr>
                  <w:tcW w:w="19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rPr>
                    <w:t>年产</w:t>
                  </w:r>
                  <w:r>
                    <w:rPr>
                      <w:rFonts w:hint="eastAsia" w:ascii="Times New Roman" w:hAnsi="Times New Roman" w:eastAsia="宋体" w:cs="Times New Roman"/>
                      <w:b/>
                      <w:bCs/>
                      <w:color w:val="auto"/>
                      <w:sz w:val="21"/>
                      <w:szCs w:val="21"/>
                      <w:u w:val="single"/>
                      <w:lang w:val="en-US" w:eastAsia="zh-CN"/>
                    </w:rPr>
                    <w:t>1.5</w:t>
                  </w:r>
                  <w:r>
                    <w:rPr>
                      <w:rFonts w:hint="default" w:ascii="Times New Roman" w:hAnsi="Times New Roman" w:eastAsia="宋体" w:cs="Times New Roman"/>
                      <w:b/>
                      <w:bCs/>
                      <w:color w:val="auto"/>
                      <w:sz w:val="21"/>
                      <w:szCs w:val="21"/>
                      <w:u w:val="single"/>
                    </w:rPr>
                    <w:t>万</w:t>
                  </w:r>
                  <w:r>
                    <w:rPr>
                      <w:rFonts w:hint="eastAsia" w:ascii="Times New Roman" w:hAnsi="Times New Roman" w:eastAsia="宋体" w:cs="Times New Roman"/>
                      <w:b/>
                      <w:bCs/>
                      <w:color w:val="auto"/>
                      <w:sz w:val="21"/>
                      <w:szCs w:val="21"/>
                      <w:u w:val="single"/>
                      <w:lang w:val="en-US" w:eastAsia="zh-CN"/>
                    </w:rPr>
                    <w:t>套医疗器械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kern w:val="2"/>
                      <w:sz w:val="21"/>
                      <w:szCs w:val="21"/>
                      <w:u w:val="single"/>
                      <w:lang w:val="en-US" w:eastAsia="zh-CN" w:bidi="ar-SA"/>
                    </w:rPr>
                    <w:t>生产工艺</w:t>
                  </w:r>
                </w:p>
              </w:tc>
              <w:tc>
                <w:tcPr>
                  <w:tcW w:w="21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kern w:val="2"/>
                      <w:sz w:val="21"/>
                      <w:szCs w:val="21"/>
                      <w:u w:val="single"/>
                      <w:lang w:val="en-US" w:eastAsia="zh-CN" w:bidi="ar-SA"/>
                    </w:rPr>
                    <w:t>剪板-冲压、折弯-焊接-喷塑-固化-组装-入库</w:t>
                  </w:r>
                </w:p>
              </w:tc>
              <w:tc>
                <w:tcPr>
                  <w:tcW w:w="19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kern w:val="2"/>
                      <w:sz w:val="21"/>
                      <w:szCs w:val="21"/>
                      <w:u w:val="single"/>
                      <w:lang w:val="en-US" w:eastAsia="zh-CN" w:bidi="ar-SA"/>
                    </w:rPr>
                    <w:t>剪板-冲压、折弯-焊接-</w:t>
                  </w:r>
                  <w:r>
                    <w:rPr>
                      <w:rFonts w:hint="eastAsia" w:ascii="Times New Roman" w:hAnsi="Times New Roman" w:eastAsia="宋体" w:cs="Times New Roman"/>
                      <w:b/>
                      <w:bCs/>
                      <w:color w:val="auto"/>
                      <w:kern w:val="2"/>
                      <w:sz w:val="21"/>
                      <w:szCs w:val="21"/>
                      <w:u w:val="single"/>
                      <w:lang w:val="en-US" w:eastAsia="zh-CN" w:bidi="ar-SA"/>
                    </w:rPr>
                    <w:t>-打磨-</w:t>
                  </w:r>
                  <w:r>
                    <w:rPr>
                      <w:rFonts w:hint="default" w:ascii="Times New Roman" w:hAnsi="Times New Roman" w:eastAsia="宋体" w:cs="Times New Roman"/>
                      <w:b/>
                      <w:bCs/>
                      <w:color w:val="auto"/>
                      <w:kern w:val="2"/>
                      <w:sz w:val="21"/>
                      <w:szCs w:val="21"/>
                      <w:u w:val="single"/>
                      <w:lang w:val="en-US" w:eastAsia="zh-CN" w:bidi="ar-SA"/>
                    </w:rPr>
                    <w:t>喷塑-固化-组装-入库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u w:val="single"/>
                      <w:lang w:eastAsia="zh-CN"/>
                    </w:rPr>
                  </w:pPr>
                  <w:r>
                    <w:rPr>
                      <w:rFonts w:hint="eastAsia" w:ascii="Times New Roman" w:hAnsi="Times New Roman" w:eastAsia="宋体" w:cs="Times New Roman"/>
                      <w:b/>
                      <w:bCs/>
                      <w:color w:val="auto"/>
                      <w:sz w:val="21"/>
                      <w:szCs w:val="21"/>
                      <w:u w:val="single"/>
                      <w:lang w:val="en-US" w:eastAsia="zh-CN"/>
                    </w:rPr>
                    <w:t>塑粉</w:t>
                  </w:r>
                  <w:r>
                    <w:rPr>
                      <w:rFonts w:hint="default" w:ascii="Times New Roman" w:hAnsi="Times New Roman" w:eastAsia="宋体" w:cs="Times New Roman"/>
                      <w:b/>
                      <w:bCs/>
                      <w:color w:val="auto"/>
                      <w:sz w:val="21"/>
                      <w:szCs w:val="21"/>
                      <w:u w:val="single"/>
                      <w:lang w:eastAsia="zh-CN"/>
                    </w:rPr>
                    <w:t>用量</w:t>
                  </w:r>
                </w:p>
              </w:tc>
              <w:tc>
                <w:tcPr>
                  <w:tcW w:w="21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8.7</w:t>
                  </w:r>
                  <w:r>
                    <w:rPr>
                      <w:rFonts w:hint="default" w:ascii="Times New Roman" w:hAnsi="Times New Roman" w:eastAsia="宋体" w:cs="Times New Roman"/>
                      <w:b/>
                      <w:bCs/>
                      <w:color w:val="auto"/>
                      <w:sz w:val="21"/>
                      <w:szCs w:val="21"/>
                      <w:u w:val="single"/>
                      <w:lang w:val="en-US" w:eastAsia="zh-CN"/>
                    </w:rPr>
                    <w:t>5t</w:t>
                  </w:r>
                </w:p>
              </w:tc>
              <w:tc>
                <w:tcPr>
                  <w:tcW w:w="19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1</w:t>
                  </w:r>
                  <w:r>
                    <w:rPr>
                      <w:rFonts w:hint="eastAsia" w:ascii="Times New Roman" w:hAnsi="Times New Roman" w:eastAsia="宋体" w:cs="Times New Roman"/>
                      <w:b/>
                      <w:bCs/>
                      <w:color w:val="auto"/>
                      <w:sz w:val="21"/>
                      <w:szCs w:val="21"/>
                      <w:u w:val="single"/>
                      <w:lang w:val="en-US" w:eastAsia="zh-CN"/>
                    </w:rPr>
                    <w:t>2</w:t>
                  </w:r>
                  <w:r>
                    <w:rPr>
                      <w:rFonts w:hint="default" w:ascii="Times New Roman" w:hAnsi="Times New Roman" w:eastAsia="宋体" w:cs="Times New Roman"/>
                      <w:b/>
                      <w:bCs/>
                      <w:color w:val="auto"/>
                      <w:sz w:val="21"/>
                      <w:szCs w:val="21"/>
                      <w:u w:val="single"/>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废气</w:t>
                  </w:r>
                  <w:r>
                    <w:rPr>
                      <w:rFonts w:hint="default" w:ascii="Times New Roman" w:hAnsi="Times New Roman" w:eastAsia="宋体" w:cs="Times New Roman"/>
                      <w:b/>
                      <w:bCs/>
                      <w:color w:val="auto"/>
                      <w:sz w:val="21"/>
                      <w:szCs w:val="21"/>
                      <w:u w:val="single"/>
                    </w:rPr>
                    <w:t>处理工艺</w:t>
                  </w:r>
                </w:p>
              </w:tc>
              <w:tc>
                <w:tcPr>
                  <w:tcW w:w="21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UV光氧催化+活性炭吸附+15m高排气筒</w:t>
                  </w:r>
                </w:p>
              </w:tc>
              <w:tc>
                <w:tcPr>
                  <w:tcW w:w="19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UV光氧催化+活性炭吸附+15m高排气筒</w:t>
                  </w:r>
                </w:p>
              </w:tc>
            </w:tr>
          </w:tbl>
          <w:p>
            <w:pPr>
              <w:spacing w:line="360" w:lineRule="auto"/>
              <w:ind w:firstLine="482" w:firstLineChars="200"/>
              <w:rPr>
                <w:rFonts w:hint="eastAsia"/>
                <w:b/>
                <w:bCs/>
                <w:color w:val="000000" w:themeColor="text1"/>
                <w:sz w:val="24"/>
                <w:szCs w:val="32"/>
                <w:highlight w:val="none"/>
                <w:u w:val="single"/>
                <w14:textFill>
                  <w14:solidFill>
                    <w14:schemeClr w14:val="tx1"/>
                  </w14:solidFill>
                </w14:textFill>
              </w:rPr>
            </w:pPr>
            <w:r>
              <w:rPr>
                <w:rFonts w:hint="eastAsia"/>
                <w:b/>
                <w:bCs/>
                <w:color w:val="000000" w:themeColor="text1"/>
                <w:sz w:val="24"/>
                <w:szCs w:val="32"/>
                <w:highlight w:val="none"/>
                <w:u w:val="single"/>
                <w14:textFill>
                  <w14:solidFill>
                    <w14:schemeClr w14:val="tx1"/>
                  </w14:solidFill>
                </w14:textFill>
              </w:rPr>
              <w:t>类比</w:t>
            </w:r>
            <w:r>
              <w:rPr>
                <w:rFonts w:hint="eastAsia"/>
                <w:b/>
                <w:bCs/>
                <w:color w:val="000000" w:themeColor="text1"/>
                <w:sz w:val="24"/>
                <w:szCs w:val="32"/>
                <w:highlight w:val="none"/>
                <w:u w:val="single"/>
                <w:lang w:val="en-US" w:eastAsia="zh-CN"/>
                <w14:textFill>
                  <w14:solidFill>
                    <w14:schemeClr w14:val="tx1"/>
                  </w14:solidFill>
                </w14:textFill>
              </w:rPr>
              <w:t>新宝塔（河南）保险箱制造有限公司年产15000台保险箱扩建项目</w:t>
            </w:r>
            <w:r>
              <w:rPr>
                <w:rFonts w:hint="eastAsia"/>
                <w:b/>
                <w:bCs/>
                <w:color w:val="000000" w:themeColor="text1"/>
                <w:sz w:val="24"/>
                <w:szCs w:val="32"/>
                <w:highlight w:val="none"/>
                <w:u w:val="single"/>
                <w14:textFill>
                  <w14:solidFill>
                    <w14:schemeClr w14:val="tx1"/>
                  </w14:solidFill>
                </w14:textFill>
              </w:rPr>
              <w:t>烘干固化道出口验收实测数据，项目烘干道出口颗粒物排放速率为0.00</w:t>
            </w:r>
            <w:r>
              <w:rPr>
                <w:rFonts w:hint="eastAsia"/>
                <w:b/>
                <w:bCs/>
                <w:color w:val="000000" w:themeColor="text1"/>
                <w:sz w:val="24"/>
                <w:szCs w:val="32"/>
                <w:highlight w:val="none"/>
                <w:u w:val="single"/>
                <w:lang w:val="en-US" w:eastAsia="zh-CN"/>
                <w14:textFill>
                  <w14:solidFill>
                    <w14:schemeClr w14:val="tx1"/>
                  </w14:solidFill>
                </w14:textFill>
              </w:rPr>
              <w:t>32</w:t>
            </w:r>
            <w:r>
              <w:rPr>
                <w:rFonts w:hint="eastAsia"/>
                <w:b/>
                <w:bCs/>
                <w:color w:val="000000" w:themeColor="text1"/>
                <w:sz w:val="24"/>
                <w:szCs w:val="32"/>
                <w:highlight w:val="none"/>
                <w:u w:val="single"/>
                <w14:textFill>
                  <w14:solidFill>
                    <w14:schemeClr w14:val="tx1"/>
                  </w14:solidFill>
                </w14:textFill>
              </w:rPr>
              <w:t>kg/h，排放浓度为</w:t>
            </w:r>
            <w:r>
              <w:rPr>
                <w:rFonts w:hint="eastAsia"/>
                <w:b/>
                <w:bCs/>
                <w:color w:val="000000" w:themeColor="text1"/>
                <w:sz w:val="24"/>
                <w:szCs w:val="32"/>
                <w:highlight w:val="none"/>
                <w:u w:val="single"/>
                <w:lang w:val="en-US" w:eastAsia="zh-CN"/>
                <w14:textFill>
                  <w14:solidFill>
                    <w14:schemeClr w14:val="tx1"/>
                  </w14:solidFill>
                </w14:textFill>
              </w:rPr>
              <w:t>3.3</w:t>
            </w:r>
            <w:r>
              <w:rPr>
                <w:rFonts w:hint="eastAsia"/>
                <w:b/>
                <w:bCs/>
                <w:color w:val="000000" w:themeColor="text1"/>
                <w:sz w:val="24"/>
                <w:szCs w:val="32"/>
                <w:highlight w:val="none"/>
                <w:u w:val="single"/>
                <w14:textFill>
                  <w14:solidFill>
                    <w14:schemeClr w14:val="tx1"/>
                  </w14:solidFill>
                </w14:textFill>
              </w:rPr>
              <w:t>mg/m</w:t>
            </w:r>
            <w:r>
              <w:rPr>
                <w:rFonts w:hint="eastAsia"/>
                <w:b/>
                <w:bCs/>
                <w:color w:val="000000" w:themeColor="text1"/>
                <w:sz w:val="24"/>
                <w:szCs w:val="32"/>
                <w:highlight w:val="none"/>
                <w:u w:val="single"/>
                <w:vertAlign w:val="superscript"/>
                <w14:textFill>
                  <w14:solidFill>
                    <w14:schemeClr w14:val="tx1"/>
                  </w14:solidFill>
                </w14:textFill>
              </w:rPr>
              <w:t>3</w:t>
            </w:r>
            <w:r>
              <w:rPr>
                <w:rFonts w:hint="eastAsia"/>
                <w:b/>
                <w:bCs/>
                <w:color w:val="000000" w:themeColor="text1"/>
                <w:sz w:val="24"/>
                <w:szCs w:val="32"/>
                <w:highlight w:val="none"/>
                <w:u w:val="single"/>
                <w14:textFill>
                  <w14:solidFill>
                    <w14:schemeClr w14:val="tx1"/>
                  </w14:solidFill>
                </w14:textFill>
              </w:rPr>
              <w:t>，排放量为0.00</w:t>
            </w:r>
            <w:r>
              <w:rPr>
                <w:rFonts w:hint="eastAsia"/>
                <w:b/>
                <w:bCs/>
                <w:color w:val="000000" w:themeColor="text1"/>
                <w:sz w:val="24"/>
                <w:szCs w:val="32"/>
                <w:highlight w:val="none"/>
                <w:u w:val="single"/>
                <w:lang w:val="en-US" w:eastAsia="zh-CN"/>
                <w14:textFill>
                  <w14:solidFill>
                    <w14:schemeClr w14:val="tx1"/>
                  </w14:solidFill>
                </w14:textFill>
              </w:rPr>
              <w:t>38</w:t>
            </w:r>
            <w:r>
              <w:rPr>
                <w:rFonts w:hint="eastAsia"/>
                <w:b/>
                <w:bCs/>
                <w:color w:val="000000" w:themeColor="text1"/>
                <w:sz w:val="24"/>
                <w:szCs w:val="32"/>
                <w:highlight w:val="none"/>
                <w:u w:val="single"/>
                <w14:textFill>
                  <w14:solidFill>
                    <w14:schemeClr w14:val="tx1"/>
                  </w14:solidFill>
                </w14:textFill>
              </w:rPr>
              <w:t>t/a。</w:t>
            </w:r>
          </w:p>
          <w:p>
            <w:pPr>
              <w:spacing w:line="360" w:lineRule="auto"/>
              <w:ind w:firstLine="480" w:firstLineChars="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1.1.2 废气处理及排放情况</w:t>
            </w:r>
          </w:p>
          <w:p>
            <w:pPr>
              <w:spacing w:line="360" w:lineRule="auto"/>
              <w:ind w:firstLine="480" w:firstLineChars="200"/>
              <w:rPr>
                <w:rFonts w:hint="default" w:eastAsia="宋体"/>
                <w:color w:val="000000" w:themeColor="text1"/>
                <w:sz w:val="24"/>
                <w:szCs w:val="32"/>
                <w:lang w:val="en-US" w:eastAsia="zh-CN"/>
                <w14:textFill>
                  <w14:solidFill>
                    <w14:schemeClr w14:val="tx1"/>
                  </w14:solidFill>
                </w14:textFill>
              </w:rPr>
            </w:pPr>
            <w:r>
              <w:rPr>
                <w:rFonts w:hint="eastAsia"/>
                <w:color w:val="000000" w:themeColor="text1"/>
                <w:sz w:val="24"/>
                <w:szCs w:val="32"/>
                <w14:textFill>
                  <w14:solidFill>
                    <w14:schemeClr w14:val="tx1"/>
                  </w14:solidFill>
                </w14:textFill>
              </w:rPr>
              <w:t>（1）</w:t>
            </w:r>
            <w:r>
              <w:rPr>
                <w:rFonts w:hint="eastAsia"/>
                <w:color w:val="000000" w:themeColor="text1"/>
                <w:sz w:val="24"/>
                <w:szCs w:val="32"/>
                <w:lang w:val="en-US" w:eastAsia="zh-CN"/>
                <w14:textFill>
                  <w14:solidFill>
                    <w14:schemeClr w14:val="tx1"/>
                  </w14:solidFill>
                </w14:textFill>
              </w:rPr>
              <w:t>切割、焊接、打磨</w:t>
            </w:r>
            <w:r>
              <w:rPr>
                <w:rFonts w:hint="eastAsia"/>
                <w:color w:val="000000" w:themeColor="text1"/>
                <w:sz w:val="24"/>
                <w:szCs w:val="32"/>
                <w14:textFill>
                  <w14:solidFill>
                    <w14:schemeClr w14:val="tx1"/>
                  </w14:solidFill>
                </w14:textFill>
              </w:rPr>
              <w:t>废气</w:t>
            </w:r>
            <w:r>
              <w:rPr>
                <w:rFonts w:hint="eastAsia"/>
                <w:color w:val="000000" w:themeColor="text1"/>
                <w:sz w:val="24"/>
                <w:szCs w:val="32"/>
                <w:lang w:val="en-US" w:eastAsia="zh-CN"/>
                <w14:textFill>
                  <w14:solidFill>
                    <w14:schemeClr w14:val="tx1"/>
                  </w14:solidFill>
                </w14:textFill>
              </w:rPr>
              <w:t>处理及排放情况</w:t>
            </w:r>
          </w:p>
          <w:p>
            <w:pPr>
              <w:spacing w:line="360" w:lineRule="auto"/>
              <w:ind w:firstLine="480" w:firstLineChars="200"/>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pPr>
            <w:r>
              <w:rPr>
                <w:rFonts w:hint="eastAsia" w:cs="Times New Roman"/>
                <w:b w:val="0"/>
                <w:bCs w:val="0"/>
                <w:color w:val="000000" w:themeColor="text1"/>
                <w:sz w:val="24"/>
                <w:szCs w:val="32"/>
                <w:highlight w:val="none"/>
                <w:u w:val="none"/>
                <w:lang w:val="en-US" w:eastAsia="zh-CN"/>
                <w14:textFill>
                  <w14:solidFill>
                    <w14:schemeClr w14:val="tx1"/>
                  </w14:solidFill>
                </w14:textFill>
              </w:rPr>
              <w:t>本</w:t>
            </w:r>
            <w:r>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项目</w:t>
            </w:r>
            <w:r>
              <w:rPr>
                <w:rFonts w:hint="eastAsia" w:cs="Times New Roman"/>
                <w:b w:val="0"/>
                <w:bCs w:val="0"/>
                <w:color w:val="000000" w:themeColor="text1"/>
                <w:sz w:val="24"/>
                <w:szCs w:val="32"/>
                <w:highlight w:val="none"/>
                <w:u w:val="none"/>
                <w:lang w:val="en-US" w:eastAsia="zh-CN"/>
                <w14:textFill>
                  <w14:solidFill>
                    <w14:schemeClr w14:val="tx1"/>
                  </w14:solidFill>
                </w14:textFill>
              </w:rPr>
              <w:t>要求设置焊接打磨间，内部设置集气罩对焊接打磨废气进行收集。</w:t>
            </w:r>
            <w:r>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二保焊机、</w:t>
            </w:r>
            <w:r>
              <w:rPr>
                <w:rFonts w:hint="eastAsia" w:cs="Times New Roman"/>
                <w:b w:val="0"/>
                <w:bCs w:val="0"/>
                <w:color w:val="000000" w:themeColor="text1"/>
                <w:sz w:val="24"/>
                <w:szCs w:val="32"/>
                <w:highlight w:val="none"/>
                <w:u w:val="none"/>
                <w:lang w:val="en-US" w:eastAsia="zh-CN"/>
                <w14:textFill>
                  <w14:solidFill>
                    <w14:schemeClr w14:val="tx1"/>
                  </w14:solidFill>
                </w14:textFill>
              </w:rPr>
              <w:t>氩弧焊、打磨机</w:t>
            </w:r>
            <w:r>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均为小型设备，评价要求工位固定，</w:t>
            </w:r>
            <w:r>
              <w:rPr>
                <w:rFonts w:hint="eastAsia" w:cs="Times New Roman"/>
                <w:b w:val="0"/>
                <w:bCs w:val="0"/>
                <w:color w:val="000000" w:themeColor="text1"/>
                <w:sz w:val="24"/>
                <w:szCs w:val="32"/>
                <w:highlight w:val="none"/>
                <w:u w:val="none"/>
                <w:lang w:val="en-US" w:eastAsia="zh-CN"/>
                <w14:textFill>
                  <w14:solidFill>
                    <w14:schemeClr w14:val="tx1"/>
                  </w14:solidFill>
                </w14:textFill>
              </w:rPr>
              <w:t>建设密闭的区域并</w:t>
            </w:r>
            <w:r>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设集气罩收集废气。本项目</w:t>
            </w:r>
            <w:r>
              <w:rPr>
                <w:rFonts w:hint="eastAsia" w:cs="Times New Roman"/>
                <w:b w:val="0"/>
                <w:bCs w:val="0"/>
                <w:color w:val="000000" w:themeColor="text1"/>
                <w:sz w:val="24"/>
                <w:szCs w:val="32"/>
                <w:highlight w:val="none"/>
                <w:u w:val="none"/>
                <w:lang w:val="en-US" w:eastAsia="zh-CN"/>
                <w14:textFill>
                  <w14:solidFill>
                    <w14:schemeClr w14:val="tx1"/>
                  </w14:solidFill>
                </w14:textFill>
              </w:rPr>
              <w:t>二保焊、氩弧焊</w:t>
            </w:r>
            <w:r>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设</w:t>
            </w:r>
            <w:r>
              <w:rPr>
                <w:rFonts w:hint="eastAsia" w:cs="Times New Roman"/>
                <w:b w:val="0"/>
                <w:bCs w:val="0"/>
                <w:color w:val="000000" w:themeColor="text1"/>
                <w:sz w:val="24"/>
                <w:szCs w:val="32"/>
                <w:highlight w:val="none"/>
                <w:u w:val="none"/>
                <w:lang w:val="en-US" w:eastAsia="zh-CN"/>
                <w14:textFill>
                  <w14:solidFill>
                    <w14:schemeClr w14:val="tx1"/>
                  </w14:solidFill>
                </w14:textFill>
              </w:rPr>
              <w:t>8</w:t>
            </w:r>
            <w:r>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个0.2</w:t>
            </w:r>
            <w:r>
              <w:rPr>
                <w:rFonts w:hint="eastAsia" w:cs="Times New Roman"/>
                <w:b w:val="0"/>
                <w:bCs w:val="0"/>
                <w:color w:val="000000" w:themeColor="text1"/>
                <w:sz w:val="24"/>
                <w:szCs w:val="32"/>
                <w:highlight w:val="none"/>
                <w:u w:val="none"/>
                <w:lang w:val="en-US" w:eastAsia="zh-CN"/>
                <w14:textFill>
                  <w14:solidFill>
                    <w14:schemeClr w14:val="tx1"/>
                  </w14:solidFill>
                </w14:textFill>
              </w:rPr>
              <w:t>5</w:t>
            </w:r>
            <w:r>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m*0.2</w:t>
            </w:r>
            <w:r>
              <w:rPr>
                <w:rFonts w:hint="eastAsia" w:cs="Times New Roman"/>
                <w:b w:val="0"/>
                <w:bCs w:val="0"/>
                <w:color w:val="000000" w:themeColor="text1"/>
                <w:sz w:val="24"/>
                <w:szCs w:val="32"/>
                <w:highlight w:val="none"/>
                <w:u w:val="none"/>
                <w:lang w:val="en-US" w:eastAsia="zh-CN"/>
                <w14:textFill>
                  <w14:solidFill>
                    <w14:schemeClr w14:val="tx1"/>
                  </w14:solidFill>
                </w14:textFill>
              </w:rPr>
              <w:t>5</w:t>
            </w:r>
            <w:r>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m的集气罩，</w:t>
            </w:r>
            <w:r>
              <w:rPr>
                <w:rFonts w:hint="eastAsia" w:cs="Times New Roman"/>
                <w:b w:val="0"/>
                <w:bCs w:val="0"/>
                <w:color w:val="000000" w:themeColor="text1"/>
                <w:sz w:val="24"/>
                <w:szCs w:val="32"/>
                <w:highlight w:val="none"/>
                <w:u w:val="none"/>
                <w:lang w:val="en-US" w:eastAsia="zh-CN"/>
                <w14:textFill>
                  <w14:solidFill>
                    <w14:schemeClr w14:val="tx1"/>
                  </w14:solidFill>
                </w14:textFill>
              </w:rPr>
              <w:t>打磨</w:t>
            </w:r>
            <w:r>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机</w:t>
            </w:r>
            <w:r>
              <w:rPr>
                <w:rFonts w:hint="eastAsia" w:cs="Times New Roman"/>
                <w:b w:val="0"/>
                <w:bCs w:val="0"/>
                <w:color w:val="000000" w:themeColor="text1"/>
                <w:sz w:val="24"/>
                <w:szCs w:val="32"/>
                <w:highlight w:val="none"/>
                <w:u w:val="none"/>
                <w:lang w:val="en-US" w:eastAsia="zh-CN"/>
                <w14:textFill>
                  <w14:solidFill>
                    <w14:schemeClr w14:val="tx1"/>
                  </w14:solidFill>
                </w14:textFill>
              </w:rPr>
              <w:t>设1个</w:t>
            </w:r>
            <w:r>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0</w:t>
            </w:r>
            <w:r>
              <w:rPr>
                <w:rFonts w:hint="eastAsia" w:cs="Times New Roman"/>
                <w:b w:val="0"/>
                <w:bCs w:val="0"/>
                <w:color w:val="000000" w:themeColor="text1"/>
                <w:sz w:val="24"/>
                <w:szCs w:val="32"/>
                <w:highlight w:val="none"/>
                <w:u w:val="none"/>
                <w:lang w:val="en-US" w:eastAsia="zh-CN"/>
                <w14:textFill>
                  <w14:solidFill>
                    <w14:schemeClr w14:val="tx1"/>
                  </w14:solidFill>
                </w14:textFill>
              </w:rPr>
              <w:t>.5</w:t>
            </w:r>
            <w:r>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m*0.</w:t>
            </w:r>
            <w:r>
              <w:rPr>
                <w:rFonts w:hint="eastAsia" w:cs="Times New Roman"/>
                <w:b w:val="0"/>
                <w:bCs w:val="0"/>
                <w:color w:val="000000" w:themeColor="text1"/>
                <w:sz w:val="24"/>
                <w:szCs w:val="32"/>
                <w:highlight w:val="none"/>
                <w:u w:val="none"/>
                <w:lang w:val="en-US" w:eastAsia="zh-CN"/>
                <w14:textFill>
                  <w14:solidFill>
                    <w14:schemeClr w14:val="tx1"/>
                  </w14:solidFill>
                </w14:textFill>
              </w:rPr>
              <w:t>5</w:t>
            </w:r>
            <w:r>
              <w:rPr>
                <w:rFonts w:hint="default" w:ascii="Times New Roman" w:hAnsi="Times New Roman" w:cs="Times New Roman"/>
                <w:b w:val="0"/>
                <w:bCs w:val="0"/>
                <w:color w:val="000000" w:themeColor="text1"/>
                <w:sz w:val="24"/>
                <w:szCs w:val="32"/>
                <w:highlight w:val="none"/>
                <w:u w:val="none"/>
                <w:lang w:val="en-US" w:eastAsia="zh-CN"/>
                <w14:textFill>
                  <w14:solidFill>
                    <w14:schemeClr w14:val="tx1"/>
                  </w14:solidFill>
                </w14:textFill>
              </w:rPr>
              <w:t>m的集气罩。</w:t>
            </w:r>
          </w:p>
          <w:p>
            <w:pPr>
              <w:spacing w:line="360" w:lineRule="auto"/>
              <w:ind w:firstLine="482" w:firstLineChars="200"/>
              <w:rPr>
                <w:rFonts w:hint="default" w:ascii="Times New Roman" w:hAnsi="Times New Roman" w:cs="Times New Roman"/>
                <w:b/>
                <w:bCs/>
                <w:color w:val="auto"/>
                <w:sz w:val="24"/>
                <w:highlight w:val="none"/>
                <w:u w:val="single" w:color="auto"/>
              </w:rPr>
            </w:pPr>
            <w:r>
              <w:rPr>
                <w:rFonts w:hint="default" w:ascii="Times New Roman" w:hAnsi="Times New Roman" w:cs="Times New Roman"/>
                <w:b/>
                <w:bCs/>
                <w:color w:val="auto"/>
                <w:sz w:val="24"/>
                <w:highlight w:val="none"/>
                <w:u w:val="single" w:color="auto"/>
              </w:rPr>
              <w:t>根据《大气污染控制工程》（第三版）中集气罩风量计算公式：</w:t>
            </w:r>
          </w:p>
          <w:p>
            <w:pPr>
              <w:spacing w:line="360" w:lineRule="auto"/>
              <w:ind w:firstLine="843" w:firstLineChars="350"/>
              <w:rPr>
                <w:rFonts w:hint="default" w:ascii="Times New Roman" w:hAnsi="Times New Roman" w:cs="Times New Roman"/>
                <w:b/>
                <w:bCs/>
                <w:color w:val="auto"/>
                <w:sz w:val="24"/>
                <w:highlight w:val="none"/>
                <w:u w:val="single" w:color="auto"/>
              </w:rPr>
            </w:pPr>
            <w:r>
              <w:rPr>
                <w:rFonts w:hint="default" w:ascii="Times New Roman" w:hAnsi="Times New Roman" w:cs="Times New Roman"/>
                <w:b/>
                <w:bCs/>
                <w:color w:val="auto"/>
                <w:sz w:val="24"/>
                <w:highlight w:val="none"/>
                <w:u w:val="single" w:color="auto"/>
              </w:rPr>
              <w:t>Q=0.75（10X</w:t>
            </w:r>
            <w:r>
              <w:rPr>
                <w:rFonts w:hint="default" w:ascii="Times New Roman" w:hAnsi="Times New Roman" w:cs="Times New Roman"/>
                <w:b/>
                <w:bCs/>
                <w:color w:val="auto"/>
                <w:sz w:val="24"/>
                <w:highlight w:val="none"/>
                <w:u w:val="single" w:color="auto"/>
                <w:vertAlign w:val="superscript"/>
              </w:rPr>
              <w:t>2</w:t>
            </w:r>
            <w:r>
              <w:rPr>
                <w:rFonts w:hint="default" w:ascii="Times New Roman" w:hAnsi="Times New Roman" w:cs="Times New Roman"/>
                <w:b/>
                <w:bCs/>
                <w:color w:val="auto"/>
                <w:sz w:val="24"/>
                <w:highlight w:val="none"/>
                <w:u w:val="single" w:color="auto"/>
              </w:rPr>
              <w:t>+A）×V</w:t>
            </w:r>
            <w:r>
              <w:rPr>
                <w:rFonts w:hint="default" w:ascii="Times New Roman" w:hAnsi="Times New Roman" w:cs="Times New Roman"/>
                <w:b/>
                <w:bCs/>
                <w:color w:val="auto"/>
                <w:sz w:val="24"/>
                <w:highlight w:val="none"/>
                <w:u w:val="single" w:color="auto"/>
                <w:vertAlign w:val="subscript"/>
              </w:rPr>
              <w:t>X</w:t>
            </w:r>
          </w:p>
          <w:p>
            <w:pPr>
              <w:spacing w:line="360" w:lineRule="auto"/>
              <w:ind w:firstLine="723" w:firstLineChars="300"/>
              <w:rPr>
                <w:rFonts w:hint="default" w:ascii="Times New Roman" w:hAnsi="Times New Roman" w:cs="Times New Roman"/>
                <w:b/>
                <w:bCs/>
                <w:color w:val="auto"/>
                <w:sz w:val="24"/>
                <w:highlight w:val="none"/>
                <w:u w:val="single" w:color="auto"/>
              </w:rPr>
            </w:pPr>
            <w:r>
              <w:rPr>
                <w:rFonts w:hint="default" w:ascii="Times New Roman" w:hAnsi="Times New Roman" w:cs="Times New Roman"/>
                <w:b/>
                <w:bCs/>
                <w:color w:val="auto"/>
                <w:sz w:val="24"/>
                <w:highlight w:val="none"/>
                <w:u w:val="single" w:color="auto"/>
              </w:rPr>
              <w:t>式中：Q---集气罩排风量，m</w:t>
            </w:r>
            <w:r>
              <w:rPr>
                <w:rFonts w:hint="default" w:ascii="Times New Roman" w:hAnsi="Times New Roman" w:cs="Times New Roman"/>
                <w:b/>
                <w:bCs/>
                <w:color w:val="auto"/>
                <w:sz w:val="24"/>
                <w:highlight w:val="none"/>
                <w:u w:val="single" w:color="auto"/>
                <w:vertAlign w:val="superscript"/>
              </w:rPr>
              <w:t>3</w:t>
            </w:r>
            <w:r>
              <w:rPr>
                <w:rFonts w:hint="default" w:ascii="Times New Roman" w:hAnsi="Times New Roman" w:cs="Times New Roman"/>
                <w:b/>
                <w:bCs/>
                <w:color w:val="auto"/>
                <w:sz w:val="24"/>
                <w:highlight w:val="none"/>
                <w:u w:val="single" w:color="auto"/>
              </w:rPr>
              <w:t>/s；</w:t>
            </w:r>
          </w:p>
          <w:p>
            <w:pPr>
              <w:spacing w:line="360" w:lineRule="auto"/>
              <w:ind w:firstLine="1446" w:firstLineChars="600"/>
              <w:rPr>
                <w:rFonts w:hint="default" w:ascii="Times New Roman" w:hAnsi="Times New Roman" w:cs="Times New Roman"/>
                <w:b/>
                <w:bCs/>
                <w:color w:val="auto"/>
                <w:kern w:val="0"/>
                <w:sz w:val="24"/>
                <w:highlight w:val="none"/>
                <w:u w:val="single" w:color="auto"/>
              </w:rPr>
            </w:pPr>
            <w:r>
              <w:rPr>
                <w:rFonts w:hint="default" w:ascii="Times New Roman" w:hAnsi="Times New Roman" w:cs="Times New Roman"/>
                <w:b/>
                <w:bCs/>
                <w:color w:val="auto"/>
                <w:kern w:val="0"/>
                <w:sz w:val="24"/>
                <w:highlight w:val="none"/>
                <w:u w:val="single" w:color="auto"/>
              </w:rPr>
              <w:t>X---污染物产生点至集气罩口的距离，m；</w:t>
            </w:r>
          </w:p>
          <w:p>
            <w:pPr>
              <w:spacing w:line="360" w:lineRule="auto"/>
              <w:ind w:firstLine="1446" w:firstLineChars="600"/>
              <w:rPr>
                <w:rFonts w:hint="default" w:ascii="Times New Roman" w:hAnsi="Times New Roman" w:cs="Times New Roman"/>
                <w:b/>
                <w:bCs/>
                <w:color w:val="auto"/>
                <w:kern w:val="0"/>
                <w:sz w:val="24"/>
                <w:highlight w:val="none"/>
                <w:u w:val="single" w:color="auto"/>
              </w:rPr>
            </w:pPr>
            <w:r>
              <w:rPr>
                <w:rFonts w:hint="default" w:ascii="Times New Roman" w:hAnsi="Times New Roman" w:cs="Times New Roman"/>
                <w:b/>
                <w:bCs/>
                <w:color w:val="auto"/>
                <w:kern w:val="0"/>
                <w:sz w:val="24"/>
                <w:highlight w:val="none"/>
                <w:u w:val="single" w:color="auto"/>
              </w:rPr>
              <w:t>A---集气罩口面积，m</w:t>
            </w:r>
            <w:r>
              <w:rPr>
                <w:rFonts w:hint="default" w:ascii="Times New Roman" w:hAnsi="Times New Roman" w:cs="Times New Roman"/>
                <w:b/>
                <w:bCs/>
                <w:color w:val="auto"/>
                <w:kern w:val="0"/>
                <w:sz w:val="24"/>
                <w:highlight w:val="none"/>
                <w:u w:val="single" w:color="auto"/>
                <w:vertAlign w:val="superscript"/>
              </w:rPr>
              <w:t>2</w:t>
            </w:r>
            <w:r>
              <w:rPr>
                <w:rFonts w:hint="default" w:ascii="Times New Roman" w:hAnsi="Times New Roman" w:cs="Times New Roman"/>
                <w:b/>
                <w:bCs/>
                <w:color w:val="auto"/>
                <w:kern w:val="0"/>
                <w:sz w:val="24"/>
                <w:highlight w:val="none"/>
                <w:u w:val="single" w:color="auto"/>
              </w:rPr>
              <w:t>，集气罩口面积见下表；</w:t>
            </w:r>
          </w:p>
          <w:p>
            <w:pPr>
              <w:pStyle w:val="51"/>
              <w:keepNext w:val="0"/>
              <w:keepLines w:val="0"/>
              <w:pageBreakBefore w:val="0"/>
              <w:widowControl w:val="0"/>
              <w:kinsoku/>
              <w:wordWrap/>
              <w:overflowPunct/>
              <w:topLinePunct w:val="0"/>
              <w:autoSpaceDE/>
              <w:autoSpaceDN/>
              <w:bidi w:val="0"/>
              <w:adjustRightInd/>
              <w:snapToGrid/>
              <w:spacing w:line="360" w:lineRule="auto"/>
              <w:ind w:firstLine="1446" w:firstLineChars="600"/>
              <w:textAlignment w:val="auto"/>
              <w:rPr>
                <w:rFonts w:hint="eastAsia"/>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auto"/>
                <w:kern w:val="0"/>
                <w:sz w:val="24"/>
                <w:highlight w:val="none"/>
                <w:u w:val="single" w:color="auto"/>
              </w:rPr>
              <w:t>V</w:t>
            </w:r>
            <w:r>
              <w:rPr>
                <w:rFonts w:hint="default" w:ascii="Times New Roman" w:hAnsi="Times New Roman" w:cs="Times New Roman"/>
                <w:b/>
                <w:bCs/>
                <w:color w:val="auto"/>
                <w:kern w:val="0"/>
                <w:sz w:val="24"/>
                <w:highlight w:val="none"/>
                <w:u w:val="single" w:color="auto"/>
                <w:vertAlign w:val="subscript"/>
              </w:rPr>
              <w:t>X</w:t>
            </w:r>
            <w:r>
              <w:rPr>
                <w:rFonts w:hint="default" w:ascii="Times New Roman" w:hAnsi="Times New Roman" w:cs="Times New Roman"/>
                <w:b/>
                <w:bCs/>
                <w:color w:val="auto"/>
                <w:kern w:val="0"/>
                <w:sz w:val="24"/>
                <w:highlight w:val="none"/>
                <w:u w:val="single" w:color="auto"/>
              </w:rPr>
              <w:t>---最小控制风速，m/s</w:t>
            </w:r>
            <w:r>
              <w:rPr>
                <w:rFonts w:hint="eastAsia" w:cs="Times New Roman"/>
                <w:b/>
                <w:bCs/>
                <w:color w:val="auto"/>
                <w:kern w:val="0"/>
                <w:sz w:val="24"/>
                <w:highlight w:val="none"/>
                <w:u w:val="single" w:color="auto"/>
                <w:lang w:eastAsia="zh-CN"/>
              </w:rPr>
              <w:t>，</w:t>
            </w:r>
            <w:r>
              <w:rPr>
                <w:rFonts w:hint="eastAsia" w:cs="Times New Roman"/>
                <w:b/>
                <w:bCs/>
                <w:color w:val="auto"/>
                <w:kern w:val="0"/>
                <w:sz w:val="24"/>
                <w:highlight w:val="none"/>
                <w:u w:val="single" w:color="auto"/>
                <w:lang w:val="en-US" w:eastAsia="zh-CN"/>
              </w:rPr>
              <w:t>本项目污染物放散情况为以很缓慢的速度放散到相当平静的空气中，一般取0.25-0.5m/s</w:t>
            </w:r>
          </w:p>
          <w:p>
            <w:pPr>
              <w:pStyle w:val="9"/>
              <w:spacing w:before="24" w:after="24"/>
              <w:jc w:val="center"/>
              <w:rPr>
                <w:rFonts w:hint="eastAsia"/>
                <w:color w:val="000000" w:themeColor="text1"/>
                <w:sz w:val="24"/>
                <w:szCs w:val="24"/>
                <w:lang w:val="en-US" w:eastAsia="zh-CN"/>
                <w14:textFill>
                  <w14:solidFill>
                    <w14:schemeClr w14:val="tx1"/>
                  </w14:solidFill>
                </w14:textFill>
              </w:rPr>
            </w:pPr>
          </w:p>
          <w:p>
            <w:pPr>
              <w:pStyle w:val="9"/>
              <w:spacing w:before="24" w:after="24"/>
              <w:jc w:val="center"/>
              <w:rPr>
                <w:rFonts w:hint="default"/>
                <w:b/>
                <w:bCs/>
                <w:color w:val="000000" w:themeColor="text1"/>
                <w:sz w:val="24"/>
                <w:szCs w:val="24"/>
                <w:u w:val="single" w:color="auto"/>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r>
              <w:rPr>
                <w:rFonts w:hint="eastAsia"/>
                <w:b/>
                <w:bCs/>
                <w:color w:val="000000" w:themeColor="text1"/>
                <w:sz w:val="24"/>
                <w:szCs w:val="24"/>
                <w:u w:val="single" w:color="auto"/>
                <w:lang w:val="en-US" w:eastAsia="zh-CN"/>
                <w14:textFill>
                  <w14:solidFill>
                    <w14:schemeClr w14:val="tx1"/>
                  </w14:solidFill>
                </w14:textFill>
              </w:rPr>
              <w:t xml:space="preserve">表4-3    </w:t>
            </w:r>
            <w:r>
              <w:rPr>
                <w:rFonts w:hint="default"/>
                <w:b/>
                <w:bCs/>
                <w:color w:val="000000" w:themeColor="text1"/>
                <w:sz w:val="24"/>
                <w:szCs w:val="24"/>
                <w:u w:val="single" w:color="auto"/>
                <w:lang w:val="en-US" w:eastAsia="zh-CN"/>
                <w14:textFill>
                  <w14:solidFill>
                    <w14:schemeClr w14:val="tx1"/>
                  </w14:solidFill>
                </w14:textFill>
              </w:rPr>
              <w:t>集气罩风量核算一览表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1518"/>
              <w:gridCol w:w="1316"/>
              <w:gridCol w:w="856"/>
              <w:gridCol w:w="148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0" w:type="auto"/>
                  <w:noWrap w:val="0"/>
                  <w:tcMar>
                    <w:top w:w="0" w:type="dxa"/>
                    <w:left w:w="11" w:type="dxa"/>
                    <w:bottom w:w="0" w:type="dxa"/>
                    <w:right w:w="11" w:type="dxa"/>
                  </w:tcMar>
                  <w:vAlign w:val="center"/>
                </w:tcPr>
                <w:p>
                  <w:pPr>
                    <w:adjustRightInd w:val="0"/>
                    <w:snapToGrid w:val="0"/>
                    <w:jc w:val="center"/>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rPr>
                    <w:t>产污环节</w:t>
                  </w:r>
                </w:p>
              </w:tc>
              <w:tc>
                <w:tcPr>
                  <w:tcW w:w="1518" w:type="dxa"/>
                  <w:noWrap w:val="0"/>
                  <w:tcMar>
                    <w:top w:w="0" w:type="dxa"/>
                    <w:left w:w="11" w:type="dxa"/>
                    <w:bottom w:w="0" w:type="dxa"/>
                    <w:right w:w="11" w:type="dxa"/>
                  </w:tcMar>
                  <w:vAlign w:val="center"/>
                </w:tcPr>
                <w:p>
                  <w:pPr>
                    <w:adjustRightInd w:val="0"/>
                    <w:snapToGrid w:val="0"/>
                    <w:jc w:val="center"/>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rPr>
                    <w:t>污染物产生点至集气罩口的距离</w:t>
                  </w:r>
                </w:p>
              </w:tc>
              <w:tc>
                <w:tcPr>
                  <w:tcW w:w="1316" w:type="dxa"/>
                  <w:noWrap w:val="0"/>
                  <w:tcMar>
                    <w:top w:w="0" w:type="dxa"/>
                    <w:left w:w="11" w:type="dxa"/>
                    <w:bottom w:w="0" w:type="dxa"/>
                    <w:right w:w="11" w:type="dxa"/>
                  </w:tcMar>
                  <w:vAlign w:val="center"/>
                </w:tcPr>
                <w:p>
                  <w:pPr>
                    <w:adjustRightInd w:val="0"/>
                    <w:snapToGrid w:val="0"/>
                    <w:jc w:val="center"/>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rPr>
                    <w:t>集气罩口面积</w:t>
                  </w:r>
                </w:p>
              </w:tc>
              <w:tc>
                <w:tcPr>
                  <w:tcW w:w="0" w:type="auto"/>
                  <w:noWrap w:val="0"/>
                  <w:tcMar>
                    <w:top w:w="0" w:type="dxa"/>
                    <w:left w:w="11" w:type="dxa"/>
                    <w:bottom w:w="0" w:type="dxa"/>
                    <w:right w:w="11" w:type="dxa"/>
                  </w:tcMar>
                  <w:vAlign w:val="center"/>
                </w:tcPr>
                <w:p>
                  <w:pPr>
                    <w:adjustRightInd w:val="0"/>
                    <w:snapToGrid w:val="0"/>
                    <w:jc w:val="center"/>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rPr>
                    <w:t>配备风</w:t>
                  </w:r>
                </w:p>
                <w:p>
                  <w:pPr>
                    <w:adjustRightInd w:val="0"/>
                    <w:snapToGrid w:val="0"/>
                    <w:jc w:val="center"/>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rPr>
                    <w:t>机风量</w:t>
                  </w:r>
                </w:p>
              </w:tc>
              <w:tc>
                <w:tcPr>
                  <w:tcW w:w="1487" w:type="dxa"/>
                  <w:noWrap w:val="0"/>
                  <w:tcMar>
                    <w:top w:w="0" w:type="dxa"/>
                    <w:left w:w="11" w:type="dxa"/>
                    <w:bottom w:w="0" w:type="dxa"/>
                    <w:right w:w="11" w:type="dxa"/>
                  </w:tcMar>
                  <w:vAlign w:val="center"/>
                </w:tcPr>
                <w:p>
                  <w:pPr>
                    <w:adjustRightInd w:val="0"/>
                    <w:snapToGrid w:val="0"/>
                    <w:jc w:val="center"/>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rPr>
                    <w:t>核算集气罩内排风风速</w:t>
                  </w:r>
                </w:p>
              </w:tc>
              <w:tc>
                <w:tcPr>
                  <w:tcW w:w="2047" w:type="dxa"/>
                  <w:noWrap w:val="0"/>
                  <w:tcMar>
                    <w:top w:w="0" w:type="dxa"/>
                    <w:left w:w="11" w:type="dxa"/>
                    <w:bottom w:w="0" w:type="dxa"/>
                    <w:right w:w="11" w:type="dxa"/>
                  </w:tcMar>
                  <w:vAlign w:val="center"/>
                </w:tcPr>
                <w:p>
                  <w:pPr>
                    <w:adjustRightInd w:val="0"/>
                    <w:snapToGrid w:val="0"/>
                    <w:jc w:val="center"/>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rPr>
                    <w:t>是否满足最小控制风速0.3m/s要求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0" w:type="auto"/>
                  <w:noWrap w:val="0"/>
                  <w:tcMar>
                    <w:top w:w="0" w:type="dxa"/>
                    <w:left w:w="11" w:type="dxa"/>
                    <w:bottom w:w="0" w:type="dxa"/>
                    <w:right w:w="11" w:type="dxa"/>
                  </w:tcMar>
                  <w:vAlign w:val="center"/>
                </w:tcPr>
                <w:p>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二保焊、氩弧焊</w:t>
                  </w:r>
                  <w:r>
                    <w:rPr>
                      <w:rFonts w:hint="eastAsia" w:cs="Times New Roman"/>
                      <w:b/>
                      <w:bCs/>
                      <w:color w:val="auto"/>
                      <w:sz w:val="21"/>
                      <w:szCs w:val="21"/>
                      <w:highlight w:val="none"/>
                      <w:u w:val="single" w:color="auto"/>
                      <w:lang w:val="en-US" w:eastAsia="zh-CN"/>
                    </w:rPr>
                    <w:t>废气</w:t>
                  </w:r>
                </w:p>
              </w:tc>
              <w:tc>
                <w:tcPr>
                  <w:tcW w:w="1518" w:type="dxa"/>
                  <w:noWrap w:val="0"/>
                  <w:tcMar>
                    <w:top w:w="0" w:type="dxa"/>
                    <w:left w:w="11" w:type="dxa"/>
                    <w:bottom w:w="0" w:type="dxa"/>
                    <w:right w:w="11" w:type="dxa"/>
                  </w:tcMar>
                  <w:vAlign w:val="center"/>
                </w:tcPr>
                <w:p>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0.</w:t>
                  </w:r>
                  <w:r>
                    <w:rPr>
                      <w:rFonts w:hint="eastAsia" w:cs="Times New Roman"/>
                      <w:b/>
                      <w:bCs/>
                      <w:color w:val="auto"/>
                      <w:sz w:val="21"/>
                      <w:szCs w:val="21"/>
                      <w:highlight w:val="none"/>
                      <w:u w:val="single" w:color="auto"/>
                      <w:lang w:val="en-US" w:eastAsia="zh-CN"/>
                    </w:rPr>
                    <w:t>6</w:t>
                  </w:r>
                  <w:r>
                    <w:rPr>
                      <w:rFonts w:hint="default" w:ascii="Times New Roman" w:hAnsi="Times New Roman" w:cs="Times New Roman"/>
                      <w:b/>
                      <w:bCs/>
                      <w:color w:val="auto"/>
                      <w:sz w:val="21"/>
                      <w:szCs w:val="21"/>
                      <w:highlight w:val="none"/>
                      <w:u w:val="single" w:color="auto"/>
                      <w:lang w:val="en-US" w:eastAsia="zh-CN"/>
                    </w:rPr>
                    <w:t>m</w:t>
                  </w:r>
                </w:p>
              </w:tc>
              <w:tc>
                <w:tcPr>
                  <w:tcW w:w="1316" w:type="dxa"/>
                  <w:noWrap w:val="0"/>
                  <w:tcMar>
                    <w:top w:w="0" w:type="dxa"/>
                    <w:left w:w="11" w:type="dxa"/>
                    <w:bottom w:w="0" w:type="dxa"/>
                    <w:right w:w="11" w:type="dxa"/>
                  </w:tcMar>
                  <w:vAlign w:val="center"/>
                </w:tcPr>
                <w:p>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eastAsia" w:cs="Times New Roman"/>
                      <w:b/>
                      <w:bCs/>
                      <w:color w:val="auto"/>
                      <w:sz w:val="21"/>
                      <w:szCs w:val="21"/>
                      <w:highlight w:val="none"/>
                      <w:u w:val="single" w:color="auto"/>
                      <w:lang w:val="en-US" w:eastAsia="zh-CN"/>
                    </w:rPr>
                    <w:t>8</w:t>
                  </w:r>
                  <w:r>
                    <w:rPr>
                      <w:rFonts w:hint="default" w:ascii="Times New Roman" w:hAnsi="Times New Roman" w:eastAsia="宋体" w:cs="Times New Roman"/>
                      <w:b/>
                      <w:bCs/>
                      <w:color w:val="auto"/>
                      <w:sz w:val="21"/>
                      <w:szCs w:val="21"/>
                      <w:highlight w:val="none"/>
                      <w:u w:val="single" w:color="auto"/>
                      <w:lang w:eastAsia="zh-CN"/>
                    </w:rPr>
                    <w:t>个</w:t>
                  </w:r>
                  <w:r>
                    <w:rPr>
                      <w:rFonts w:hint="eastAsia" w:cs="Times New Roman"/>
                      <w:b/>
                      <w:bCs/>
                      <w:color w:val="auto"/>
                      <w:sz w:val="21"/>
                      <w:szCs w:val="21"/>
                      <w:highlight w:val="none"/>
                      <w:u w:val="single" w:color="auto"/>
                      <w:lang w:val="en-US" w:eastAsia="zh-CN"/>
                    </w:rPr>
                    <w:t>0.5</w:t>
                  </w:r>
                  <w:r>
                    <w:rPr>
                      <w:rFonts w:hint="default" w:ascii="Times New Roman" w:hAnsi="Times New Roman" w:eastAsia="宋体" w:cs="Times New Roman"/>
                      <w:b/>
                      <w:bCs/>
                      <w:color w:val="auto"/>
                      <w:sz w:val="21"/>
                      <w:szCs w:val="21"/>
                      <w:highlight w:val="none"/>
                      <w:u w:val="single" w:color="auto"/>
                      <w:lang w:eastAsia="zh-CN"/>
                    </w:rPr>
                    <w:t>m</w:t>
                  </w:r>
                  <w:r>
                    <w:rPr>
                      <w:rFonts w:hint="eastAsia" w:ascii="Times New Roman" w:hAnsi="Times New Roman" w:eastAsia="宋体" w:cs="Times New Roman"/>
                      <w:b/>
                      <w:bCs/>
                      <w:color w:val="auto"/>
                      <w:sz w:val="21"/>
                      <w:szCs w:val="21"/>
                      <w:highlight w:val="none"/>
                      <w:u w:val="single" w:color="auto"/>
                      <w:vertAlign w:val="superscript"/>
                      <w:lang w:val="en-US" w:eastAsia="zh-CN"/>
                    </w:rPr>
                    <w:t>2</w:t>
                  </w:r>
                </w:p>
              </w:tc>
              <w:tc>
                <w:tcPr>
                  <w:tcW w:w="0" w:type="auto"/>
                  <w:noWrap w:val="0"/>
                  <w:tcMar>
                    <w:top w:w="0" w:type="dxa"/>
                    <w:left w:w="11" w:type="dxa"/>
                    <w:bottom w:w="0" w:type="dxa"/>
                    <w:right w:w="11" w:type="dxa"/>
                  </w:tcMar>
                  <w:vAlign w:val="center"/>
                </w:tcPr>
                <w:p>
                  <w:pPr>
                    <w:jc w:val="center"/>
                    <w:rPr>
                      <w:rFonts w:hint="default" w:ascii="Times New Roman" w:hAnsi="Times New Roman" w:cs="Times New Roman"/>
                      <w:b/>
                      <w:bCs/>
                      <w:color w:val="auto"/>
                      <w:sz w:val="21"/>
                      <w:szCs w:val="21"/>
                      <w:highlight w:val="none"/>
                      <w:u w:val="single" w:color="auto"/>
                    </w:rPr>
                  </w:pPr>
                  <w:r>
                    <w:rPr>
                      <w:rFonts w:hint="eastAsia" w:cs="Times New Roman"/>
                      <w:b/>
                      <w:bCs/>
                      <w:color w:val="auto"/>
                      <w:sz w:val="21"/>
                      <w:szCs w:val="21"/>
                      <w:highlight w:val="none"/>
                      <w:u w:val="single" w:color="auto"/>
                      <w:lang w:val="en-US" w:eastAsia="zh-CN"/>
                    </w:rPr>
                    <w:t>3432</w:t>
                  </w:r>
                  <w:r>
                    <w:rPr>
                      <w:rFonts w:hint="default" w:ascii="Times New Roman" w:hAnsi="Times New Roman" w:cs="Times New Roman"/>
                      <w:b/>
                      <w:bCs/>
                      <w:color w:val="auto"/>
                      <w:sz w:val="21"/>
                      <w:szCs w:val="21"/>
                      <w:highlight w:val="none"/>
                      <w:u w:val="single" w:color="auto"/>
                    </w:rPr>
                    <w:t>m³/h</w:t>
                  </w:r>
                </w:p>
              </w:tc>
              <w:tc>
                <w:tcPr>
                  <w:tcW w:w="1487" w:type="dxa"/>
                  <w:noWrap w:val="0"/>
                  <w:tcMar>
                    <w:top w:w="0" w:type="dxa"/>
                    <w:left w:w="11" w:type="dxa"/>
                    <w:bottom w:w="0" w:type="dxa"/>
                    <w:right w:w="11" w:type="dxa"/>
                  </w:tcMar>
                  <w:vAlign w:val="center"/>
                </w:tcPr>
                <w:p>
                  <w:pPr>
                    <w:adjustRightInd w:val="0"/>
                    <w:snapToGrid w:val="0"/>
                    <w:jc w:val="center"/>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rPr>
                    <w:t>0.</w:t>
                  </w:r>
                  <w:r>
                    <w:rPr>
                      <w:rFonts w:hint="default" w:ascii="Times New Roman" w:hAnsi="Times New Roman" w:cs="Times New Roman"/>
                      <w:b/>
                      <w:bCs/>
                      <w:color w:val="auto"/>
                      <w:sz w:val="21"/>
                      <w:szCs w:val="21"/>
                      <w:highlight w:val="none"/>
                      <w:u w:val="single" w:color="auto"/>
                      <w:lang w:val="en-US" w:eastAsia="zh-CN"/>
                    </w:rPr>
                    <w:t>3</w:t>
                  </w:r>
                  <w:r>
                    <w:rPr>
                      <w:rFonts w:hint="eastAsia" w:ascii="Times New Roman" w:hAnsi="Times New Roman" w:cs="Times New Roman"/>
                      <w:b/>
                      <w:bCs/>
                      <w:color w:val="auto"/>
                      <w:sz w:val="21"/>
                      <w:szCs w:val="21"/>
                      <w:highlight w:val="none"/>
                      <w:u w:val="single" w:color="auto"/>
                      <w:lang w:val="en-US" w:eastAsia="zh-CN"/>
                    </w:rPr>
                    <w:t>1</w:t>
                  </w:r>
                  <w:r>
                    <w:rPr>
                      <w:rFonts w:hint="default" w:ascii="Times New Roman" w:hAnsi="Times New Roman" w:cs="Times New Roman"/>
                      <w:b/>
                      <w:bCs/>
                      <w:color w:val="auto"/>
                      <w:sz w:val="21"/>
                      <w:szCs w:val="21"/>
                      <w:highlight w:val="none"/>
                      <w:u w:val="single" w:color="auto"/>
                    </w:rPr>
                    <w:t>m/s</w:t>
                  </w:r>
                </w:p>
              </w:tc>
              <w:tc>
                <w:tcPr>
                  <w:tcW w:w="2047" w:type="dxa"/>
                  <w:noWrap w:val="0"/>
                  <w:tcMar>
                    <w:top w:w="0" w:type="dxa"/>
                    <w:left w:w="11" w:type="dxa"/>
                    <w:bottom w:w="0" w:type="dxa"/>
                    <w:right w:w="11" w:type="dxa"/>
                  </w:tcMar>
                  <w:vAlign w:val="center"/>
                </w:tcPr>
                <w:p>
                  <w:pPr>
                    <w:adjustRightInd w:val="0"/>
                    <w:snapToGrid w:val="0"/>
                    <w:jc w:val="center"/>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0" w:type="auto"/>
                  <w:noWrap w:val="0"/>
                  <w:tcMar>
                    <w:top w:w="0" w:type="dxa"/>
                    <w:left w:w="11" w:type="dxa"/>
                    <w:bottom w:w="0" w:type="dxa"/>
                    <w:right w:w="11" w:type="dxa"/>
                  </w:tcMar>
                  <w:vAlign w:val="center"/>
                </w:tcPr>
                <w:p>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eastAsia" w:cs="Times New Roman"/>
                      <w:b/>
                      <w:bCs/>
                      <w:color w:val="auto"/>
                      <w:sz w:val="21"/>
                      <w:szCs w:val="21"/>
                      <w:highlight w:val="none"/>
                      <w:u w:val="single" w:color="auto"/>
                      <w:lang w:val="en-US" w:eastAsia="zh-CN"/>
                    </w:rPr>
                    <w:t>打磨机废气</w:t>
                  </w:r>
                </w:p>
              </w:tc>
              <w:tc>
                <w:tcPr>
                  <w:tcW w:w="1518" w:type="dxa"/>
                  <w:noWrap w:val="0"/>
                  <w:tcMar>
                    <w:top w:w="0" w:type="dxa"/>
                    <w:left w:w="11" w:type="dxa"/>
                    <w:bottom w:w="0" w:type="dxa"/>
                    <w:right w:w="11" w:type="dxa"/>
                  </w:tcMar>
                  <w:vAlign w:val="center"/>
                </w:tcPr>
                <w:p>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0.</w:t>
                  </w:r>
                  <w:r>
                    <w:rPr>
                      <w:rFonts w:hint="eastAsia" w:cs="Times New Roman"/>
                      <w:b/>
                      <w:bCs/>
                      <w:color w:val="auto"/>
                      <w:sz w:val="21"/>
                      <w:szCs w:val="21"/>
                      <w:highlight w:val="none"/>
                      <w:u w:val="single" w:color="auto"/>
                      <w:lang w:val="en-US" w:eastAsia="zh-CN"/>
                    </w:rPr>
                    <w:t>3</w:t>
                  </w:r>
                  <w:r>
                    <w:rPr>
                      <w:rFonts w:hint="default" w:ascii="Times New Roman" w:hAnsi="Times New Roman" w:cs="Times New Roman"/>
                      <w:b/>
                      <w:bCs/>
                      <w:color w:val="auto"/>
                      <w:sz w:val="21"/>
                      <w:szCs w:val="21"/>
                      <w:highlight w:val="none"/>
                      <w:u w:val="single" w:color="auto"/>
                      <w:lang w:val="en-US" w:eastAsia="zh-CN"/>
                    </w:rPr>
                    <w:t>m</w:t>
                  </w:r>
                </w:p>
              </w:tc>
              <w:tc>
                <w:tcPr>
                  <w:tcW w:w="1316" w:type="dxa"/>
                  <w:noWrap w:val="0"/>
                  <w:tcMar>
                    <w:top w:w="0" w:type="dxa"/>
                    <w:left w:w="11" w:type="dxa"/>
                    <w:bottom w:w="0" w:type="dxa"/>
                    <w:right w:w="11" w:type="dxa"/>
                  </w:tcMar>
                  <w:vAlign w:val="center"/>
                </w:tcPr>
                <w:p>
                  <w:pPr>
                    <w:adjustRightInd w:val="0"/>
                    <w:snapToGrid w:val="0"/>
                    <w:jc w:val="center"/>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rPr>
                    <w:t>1个</w:t>
                  </w:r>
                  <w:r>
                    <w:rPr>
                      <w:rFonts w:hint="eastAsia" w:cs="Times New Roman"/>
                      <w:b/>
                      <w:bCs/>
                      <w:color w:val="auto"/>
                      <w:sz w:val="21"/>
                      <w:szCs w:val="21"/>
                      <w:highlight w:val="none"/>
                      <w:u w:val="single" w:color="auto"/>
                      <w:lang w:val="en-US" w:eastAsia="zh-CN"/>
                    </w:rPr>
                    <w:t>0.25</w:t>
                  </w:r>
                  <w:r>
                    <w:rPr>
                      <w:rFonts w:hint="default" w:ascii="Times New Roman" w:hAnsi="Times New Roman" w:eastAsia="宋体" w:cs="Times New Roman"/>
                      <w:b/>
                      <w:bCs/>
                      <w:color w:val="auto"/>
                      <w:sz w:val="21"/>
                      <w:szCs w:val="21"/>
                      <w:highlight w:val="none"/>
                      <w:u w:val="single" w:color="auto"/>
                      <w:lang w:eastAsia="zh-CN"/>
                    </w:rPr>
                    <w:t>m</w:t>
                  </w:r>
                  <w:r>
                    <w:rPr>
                      <w:rFonts w:hint="eastAsia" w:ascii="Times New Roman" w:hAnsi="Times New Roman" w:eastAsia="宋体" w:cs="Times New Roman"/>
                      <w:b/>
                      <w:bCs/>
                      <w:color w:val="auto"/>
                      <w:sz w:val="21"/>
                      <w:szCs w:val="21"/>
                      <w:highlight w:val="none"/>
                      <w:u w:val="single" w:color="auto"/>
                      <w:vertAlign w:val="superscript"/>
                      <w:lang w:val="en-US" w:eastAsia="zh-CN"/>
                    </w:rPr>
                    <w:t>2</w:t>
                  </w:r>
                </w:p>
              </w:tc>
              <w:tc>
                <w:tcPr>
                  <w:tcW w:w="0" w:type="auto"/>
                  <w:noWrap w:val="0"/>
                  <w:tcMar>
                    <w:top w:w="0" w:type="dxa"/>
                    <w:left w:w="11" w:type="dxa"/>
                    <w:bottom w:w="0" w:type="dxa"/>
                    <w:right w:w="11" w:type="dxa"/>
                  </w:tcMar>
                  <w:vAlign w:val="center"/>
                </w:tcPr>
                <w:p>
                  <w:pPr>
                    <w:jc w:val="center"/>
                    <w:rPr>
                      <w:rFonts w:hint="default" w:ascii="Times New Roman" w:hAnsi="Times New Roman" w:cs="Times New Roman"/>
                      <w:b/>
                      <w:bCs/>
                      <w:color w:val="auto"/>
                      <w:sz w:val="21"/>
                      <w:szCs w:val="21"/>
                      <w:highlight w:val="none"/>
                      <w:u w:val="single" w:color="auto"/>
                    </w:rPr>
                  </w:pPr>
                  <w:r>
                    <w:rPr>
                      <w:rFonts w:hint="eastAsia" w:cs="Times New Roman"/>
                      <w:b/>
                      <w:bCs/>
                      <w:color w:val="auto"/>
                      <w:sz w:val="21"/>
                      <w:szCs w:val="21"/>
                      <w:highlight w:val="none"/>
                      <w:u w:val="single" w:color="auto"/>
                      <w:lang w:val="en-US" w:eastAsia="zh-CN"/>
                    </w:rPr>
                    <w:t>963</w:t>
                  </w:r>
                  <w:r>
                    <w:rPr>
                      <w:rFonts w:hint="default" w:ascii="Times New Roman" w:hAnsi="Times New Roman" w:cs="Times New Roman"/>
                      <w:b/>
                      <w:bCs/>
                      <w:color w:val="auto"/>
                      <w:sz w:val="21"/>
                      <w:szCs w:val="21"/>
                      <w:highlight w:val="none"/>
                      <w:u w:val="single" w:color="auto"/>
                    </w:rPr>
                    <w:t>m³/h</w:t>
                  </w:r>
                </w:p>
              </w:tc>
              <w:tc>
                <w:tcPr>
                  <w:tcW w:w="1487" w:type="dxa"/>
                  <w:noWrap w:val="0"/>
                  <w:tcMar>
                    <w:top w:w="0" w:type="dxa"/>
                    <w:left w:w="11" w:type="dxa"/>
                    <w:bottom w:w="0" w:type="dxa"/>
                    <w:right w:w="11" w:type="dxa"/>
                  </w:tcMar>
                  <w:vAlign w:val="center"/>
                </w:tcPr>
                <w:p>
                  <w:pPr>
                    <w:adjustRightInd w:val="0"/>
                    <w:snapToGrid w:val="0"/>
                    <w:jc w:val="center"/>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rPr>
                    <w:t>0.</w:t>
                  </w:r>
                  <w:r>
                    <w:rPr>
                      <w:rFonts w:hint="eastAsia" w:cs="Times New Roman"/>
                      <w:b/>
                      <w:bCs/>
                      <w:color w:val="auto"/>
                      <w:sz w:val="21"/>
                      <w:szCs w:val="21"/>
                      <w:highlight w:val="none"/>
                      <w:u w:val="single" w:color="auto"/>
                      <w:lang w:val="en-US" w:eastAsia="zh-CN"/>
                    </w:rPr>
                    <w:t>31</w:t>
                  </w:r>
                  <w:r>
                    <w:rPr>
                      <w:rFonts w:hint="default" w:ascii="Times New Roman" w:hAnsi="Times New Roman" w:cs="Times New Roman"/>
                      <w:b/>
                      <w:bCs/>
                      <w:color w:val="auto"/>
                      <w:sz w:val="21"/>
                      <w:szCs w:val="21"/>
                      <w:highlight w:val="none"/>
                      <w:u w:val="single" w:color="auto"/>
                    </w:rPr>
                    <w:t>m/s</w:t>
                  </w:r>
                </w:p>
              </w:tc>
              <w:tc>
                <w:tcPr>
                  <w:tcW w:w="2047" w:type="dxa"/>
                  <w:noWrap w:val="0"/>
                  <w:tcMar>
                    <w:top w:w="0" w:type="dxa"/>
                    <w:left w:w="11" w:type="dxa"/>
                    <w:bottom w:w="0" w:type="dxa"/>
                    <w:right w:w="11" w:type="dxa"/>
                  </w:tcMar>
                  <w:vAlign w:val="center"/>
                </w:tcPr>
                <w:p>
                  <w:pPr>
                    <w:adjustRightInd w:val="0"/>
                    <w:snapToGrid w:val="0"/>
                    <w:jc w:val="center"/>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rPr>
                    <w:t>满足</w:t>
                  </w:r>
                </w:p>
              </w:tc>
            </w:tr>
          </w:tbl>
          <w:p>
            <w:pPr>
              <w:pStyle w:val="51"/>
              <w:spacing w:line="360" w:lineRule="auto"/>
              <w:rPr>
                <w:rFonts w:hint="default" w:ascii="Times New Roman" w:hAnsi="Times New Roman" w:cs="Times New Roman"/>
                <w:b/>
                <w:bCs/>
                <w:strike w:val="0"/>
                <w:dstrike w:val="0"/>
                <w:sz w:val="24"/>
                <w:szCs w:val="24"/>
                <w:highlight w:val="none"/>
                <w:u w:val="single" w:color="auto"/>
                <w:lang w:val="en-US" w:eastAsia="zh-CN"/>
              </w:rPr>
            </w:pPr>
            <w:r>
              <w:rPr>
                <w:rFonts w:hint="eastAsia" w:cs="Times New Roman"/>
                <w:b/>
                <w:bCs/>
                <w:color w:val="000000" w:themeColor="text1"/>
                <w:sz w:val="24"/>
                <w:szCs w:val="32"/>
                <w:highlight w:val="none"/>
                <w:u w:val="single" w:color="auto"/>
                <w:lang w:val="en-US" w:eastAsia="zh-CN"/>
                <w14:textFill>
                  <w14:solidFill>
                    <w14:schemeClr w14:val="tx1"/>
                  </w14:solidFill>
                </w14:textFill>
              </w:rPr>
              <w:t>激光切割机设备自带收集管道，引入环保设备处理，管道口直径为0.25</w:t>
            </w:r>
            <w:r>
              <w:rPr>
                <w:rFonts w:hint="default" w:ascii="Times New Roman" w:hAnsi="Times New Roman" w:cs="Times New Roman"/>
                <w:b/>
                <w:bCs/>
                <w:color w:val="000000" w:themeColor="text1"/>
                <w:sz w:val="24"/>
                <w:szCs w:val="32"/>
                <w:highlight w:val="none"/>
                <w:u w:val="single" w:color="auto"/>
                <w:lang w:val="en-US" w:eastAsia="zh-CN"/>
                <w14:textFill>
                  <w14:solidFill>
                    <w14:schemeClr w14:val="tx1"/>
                  </w14:solidFill>
                </w14:textFill>
              </w:rPr>
              <w:t>m</w:t>
            </w:r>
            <w:r>
              <w:rPr>
                <w:rFonts w:hint="eastAsia" w:cs="Times New Roman"/>
                <w:b/>
                <w:bCs/>
                <w:color w:val="000000" w:themeColor="text1"/>
                <w:sz w:val="24"/>
                <w:szCs w:val="32"/>
                <w:highlight w:val="none"/>
                <w:u w:val="single" w:color="auto"/>
                <w:lang w:val="en-US" w:eastAsia="zh-CN"/>
                <w14:textFill>
                  <w14:solidFill>
                    <w14:schemeClr w14:val="tx1"/>
                  </w14:solidFill>
                </w14:textFill>
              </w:rPr>
              <w:t>，风速取0.31m/s，</w:t>
            </w:r>
            <w:r>
              <w:rPr>
                <w:rFonts w:hint="default" w:ascii="Times New Roman" w:hAnsi="Times New Roman" w:cs="Times New Roman"/>
                <w:b/>
                <w:bCs/>
                <w:color w:val="000000"/>
                <w:sz w:val="24"/>
                <w:szCs w:val="24"/>
                <w:highlight w:val="none"/>
                <w:u w:val="single" w:color="auto"/>
                <w:lang w:val="en-US" w:eastAsia="zh-CN"/>
              </w:rPr>
              <w:t>根据公式：风量=面积</w:t>
            </w:r>
            <w:r>
              <w:rPr>
                <w:rFonts w:hint="default" w:ascii="Times New Roman" w:hAnsi="Times New Roman" w:cs="Times New Roman"/>
                <w:b/>
                <w:bCs/>
                <w:color w:val="auto"/>
                <w:sz w:val="24"/>
                <w:highlight w:val="none"/>
                <w:u w:val="single" w:color="auto"/>
              </w:rPr>
              <w:t>×</w:t>
            </w:r>
            <w:r>
              <w:rPr>
                <w:rFonts w:hint="default" w:ascii="Times New Roman" w:hAnsi="Times New Roman" w:cs="Times New Roman"/>
                <w:b/>
                <w:bCs/>
                <w:color w:val="000000"/>
                <w:sz w:val="24"/>
                <w:szCs w:val="24"/>
                <w:highlight w:val="none"/>
                <w:u w:val="single" w:color="auto"/>
                <w:lang w:val="en-US" w:eastAsia="zh-CN"/>
              </w:rPr>
              <w:t>风速</w:t>
            </w:r>
            <w:r>
              <w:rPr>
                <w:rFonts w:hint="default" w:ascii="Times New Roman" w:hAnsi="Times New Roman" w:cs="Times New Roman"/>
                <w:b/>
                <w:bCs/>
                <w:color w:val="auto"/>
                <w:sz w:val="24"/>
                <w:highlight w:val="none"/>
                <w:u w:val="single" w:color="auto"/>
              </w:rPr>
              <w:t>×</w:t>
            </w:r>
            <w:r>
              <w:rPr>
                <w:rFonts w:hint="default" w:ascii="Times New Roman" w:hAnsi="Times New Roman" w:cs="Times New Roman"/>
                <w:b/>
                <w:bCs/>
                <w:color w:val="000000"/>
                <w:sz w:val="24"/>
                <w:szCs w:val="24"/>
                <w:highlight w:val="none"/>
                <w:u w:val="single" w:color="auto"/>
                <w:lang w:val="en-US" w:eastAsia="zh-CN"/>
              </w:rPr>
              <w:t>3600s，</w:t>
            </w:r>
            <w:r>
              <w:rPr>
                <w:rFonts w:hint="eastAsia" w:cs="Times New Roman"/>
                <w:b/>
                <w:bCs/>
                <w:color w:val="000000"/>
                <w:sz w:val="24"/>
                <w:szCs w:val="24"/>
                <w:highlight w:val="none"/>
                <w:u w:val="single" w:color="auto"/>
                <w:lang w:val="en-US" w:eastAsia="zh-CN"/>
              </w:rPr>
              <w:t>引风管风量为55</w:t>
            </w:r>
            <w:r>
              <w:rPr>
                <w:rFonts w:hint="default" w:ascii="Times New Roman" w:hAnsi="Times New Roman" w:cs="Times New Roman"/>
                <w:b/>
                <w:bCs/>
                <w:strike w:val="0"/>
                <w:dstrike w:val="0"/>
                <w:sz w:val="24"/>
                <w:szCs w:val="24"/>
                <w:highlight w:val="none"/>
                <w:u w:val="single" w:color="auto"/>
                <w:lang w:eastAsia="zh-CN"/>
              </w:rPr>
              <w:t>m</w:t>
            </w:r>
            <w:r>
              <w:rPr>
                <w:rFonts w:hint="default" w:ascii="Times New Roman" w:hAnsi="Times New Roman" w:cs="Times New Roman"/>
                <w:b/>
                <w:bCs/>
                <w:strike w:val="0"/>
                <w:dstrike w:val="0"/>
                <w:sz w:val="24"/>
                <w:szCs w:val="24"/>
                <w:highlight w:val="none"/>
                <w:u w:val="single" w:color="auto"/>
                <w:vertAlign w:val="superscript"/>
                <w:lang w:eastAsia="zh-CN"/>
              </w:rPr>
              <w:t>3</w:t>
            </w:r>
            <w:r>
              <w:rPr>
                <w:rFonts w:hint="default" w:ascii="Times New Roman" w:hAnsi="Times New Roman" w:cs="Times New Roman"/>
                <w:b/>
                <w:bCs/>
                <w:strike w:val="0"/>
                <w:dstrike w:val="0"/>
                <w:sz w:val="24"/>
                <w:szCs w:val="24"/>
                <w:highlight w:val="none"/>
                <w:u w:val="single" w:color="auto"/>
                <w:lang w:eastAsia="zh-CN"/>
              </w:rPr>
              <w:t>/h</w:t>
            </w:r>
            <w:r>
              <w:rPr>
                <w:rFonts w:hint="eastAsia" w:cs="Times New Roman"/>
                <w:b/>
                <w:bCs/>
                <w:strike w:val="0"/>
                <w:dstrike w:val="0"/>
                <w:sz w:val="24"/>
                <w:szCs w:val="24"/>
                <w:highlight w:val="none"/>
                <w:u w:val="single" w:color="auto"/>
                <w:lang w:eastAsia="zh-CN"/>
              </w:rPr>
              <w:t>。</w:t>
            </w:r>
          </w:p>
          <w:p>
            <w:pPr>
              <w:pStyle w:val="51"/>
              <w:spacing w:line="360" w:lineRule="auto"/>
              <w:rPr>
                <w:rFonts w:hint="default" w:ascii="Times New Roman" w:hAnsi="Times New Roman" w:cs="Times New Roman"/>
                <w:b/>
                <w:bCs/>
                <w:strike w:val="0"/>
                <w:dstrike w:val="0"/>
                <w:sz w:val="24"/>
                <w:szCs w:val="24"/>
                <w:highlight w:val="none"/>
                <w:u w:val="single" w:color="auto"/>
                <w:lang w:val="en-US" w:eastAsia="zh-CN"/>
              </w:rPr>
            </w:pPr>
            <w:r>
              <w:rPr>
                <w:rFonts w:hint="default" w:ascii="Times New Roman" w:hAnsi="Times New Roman" w:cs="Times New Roman"/>
                <w:b/>
                <w:bCs/>
                <w:strike w:val="0"/>
                <w:dstrike w:val="0"/>
                <w:sz w:val="24"/>
                <w:szCs w:val="24"/>
                <w:highlight w:val="none"/>
                <w:u w:val="single" w:color="auto"/>
                <w:lang w:eastAsia="zh-CN"/>
              </w:rPr>
              <w:t>综上，本项目</w:t>
            </w:r>
            <w:r>
              <w:rPr>
                <w:rFonts w:hint="eastAsia" w:cs="Times New Roman"/>
                <w:b/>
                <w:bCs/>
                <w:strike w:val="0"/>
                <w:dstrike w:val="0"/>
                <w:sz w:val="24"/>
                <w:szCs w:val="24"/>
                <w:highlight w:val="none"/>
                <w:u w:val="single" w:color="auto"/>
                <w:lang w:val="en-US" w:eastAsia="zh-CN"/>
              </w:rPr>
              <w:t>切割、</w:t>
            </w:r>
            <w:r>
              <w:rPr>
                <w:rFonts w:hint="default" w:ascii="Times New Roman" w:hAnsi="Times New Roman" w:cs="Times New Roman"/>
                <w:b/>
                <w:bCs/>
                <w:strike w:val="0"/>
                <w:dstrike w:val="0"/>
                <w:sz w:val="24"/>
                <w:szCs w:val="24"/>
                <w:highlight w:val="none"/>
                <w:u w:val="single" w:color="auto"/>
                <w:lang w:val="en-US" w:eastAsia="zh-CN"/>
              </w:rPr>
              <w:t>焊机、打磨工序</w:t>
            </w:r>
            <w:r>
              <w:rPr>
                <w:rFonts w:hint="default" w:ascii="Times New Roman" w:hAnsi="Times New Roman" w:eastAsia="宋体" w:cs="Times New Roman"/>
                <w:b/>
                <w:bCs/>
                <w:strike w:val="0"/>
                <w:dstrike w:val="0"/>
                <w:color w:val="000000"/>
                <w:sz w:val="24"/>
                <w:szCs w:val="24"/>
                <w:highlight w:val="none"/>
                <w:u w:val="single" w:color="auto"/>
                <w:shd w:val="clear" w:color="auto" w:fill="auto"/>
                <w:lang w:val="en-US" w:eastAsia="zh-CN"/>
              </w:rPr>
              <w:t>集气罩的风量</w:t>
            </w:r>
            <w:r>
              <w:rPr>
                <w:rFonts w:hint="eastAsia" w:cs="Times New Roman"/>
                <w:b/>
                <w:bCs/>
                <w:strike w:val="0"/>
                <w:dstrike w:val="0"/>
                <w:color w:val="000000"/>
                <w:sz w:val="24"/>
                <w:szCs w:val="24"/>
                <w:highlight w:val="none"/>
                <w:u w:val="single" w:color="auto"/>
                <w:shd w:val="clear" w:color="auto" w:fill="auto"/>
                <w:lang w:val="en-US" w:eastAsia="zh-CN"/>
              </w:rPr>
              <w:t>为4450</w:t>
            </w:r>
            <w:r>
              <w:rPr>
                <w:rFonts w:hint="default" w:ascii="Times New Roman" w:hAnsi="Times New Roman" w:cs="Times New Roman"/>
                <w:b/>
                <w:bCs/>
                <w:strike w:val="0"/>
                <w:dstrike w:val="0"/>
                <w:sz w:val="24"/>
                <w:szCs w:val="24"/>
                <w:highlight w:val="none"/>
                <w:u w:val="single" w:color="auto"/>
                <w:lang w:eastAsia="zh-CN"/>
              </w:rPr>
              <w:t>m</w:t>
            </w:r>
            <w:r>
              <w:rPr>
                <w:rFonts w:hint="default" w:ascii="Times New Roman" w:hAnsi="Times New Roman" w:cs="Times New Roman"/>
                <w:b/>
                <w:bCs/>
                <w:strike w:val="0"/>
                <w:dstrike w:val="0"/>
                <w:sz w:val="24"/>
                <w:szCs w:val="24"/>
                <w:highlight w:val="none"/>
                <w:u w:val="single" w:color="auto"/>
                <w:vertAlign w:val="superscript"/>
                <w:lang w:eastAsia="zh-CN"/>
              </w:rPr>
              <w:t>3</w:t>
            </w:r>
            <w:r>
              <w:rPr>
                <w:rFonts w:hint="default" w:ascii="Times New Roman" w:hAnsi="Times New Roman" w:cs="Times New Roman"/>
                <w:b/>
                <w:bCs/>
                <w:strike w:val="0"/>
                <w:dstrike w:val="0"/>
                <w:sz w:val="24"/>
                <w:szCs w:val="24"/>
                <w:highlight w:val="none"/>
                <w:u w:val="single" w:color="auto"/>
                <w:lang w:eastAsia="zh-CN"/>
              </w:rPr>
              <w:t>/h</w:t>
            </w:r>
            <w:r>
              <w:rPr>
                <w:rFonts w:hint="eastAsia" w:cs="Times New Roman"/>
                <w:b/>
                <w:bCs/>
                <w:strike w:val="0"/>
                <w:dstrike w:val="0"/>
                <w:sz w:val="24"/>
                <w:szCs w:val="24"/>
                <w:highlight w:val="none"/>
                <w:u w:val="single" w:color="auto"/>
                <w:lang w:eastAsia="zh-CN"/>
              </w:rPr>
              <w:t>，</w:t>
            </w:r>
            <w:r>
              <w:rPr>
                <w:rFonts w:hint="default" w:ascii="Times New Roman" w:hAnsi="Times New Roman" w:cs="Times New Roman"/>
                <w:b/>
                <w:bCs/>
                <w:strike w:val="0"/>
                <w:dstrike w:val="0"/>
                <w:sz w:val="24"/>
                <w:szCs w:val="24"/>
                <w:highlight w:val="none"/>
                <w:u w:val="single" w:color="auto"/>
                <w:lang w:eastAsia="zh-CN"/>
              </w:rPr>
              <w:t>由于管道等风阻原因，故本项目设计风机风量为</w:t>
            </w:r>
            <w:r>
              <w:rPr>
                <w:rFonts w:hint="default" w:ascii="Times New Roman" w:hAnsi="Times New Roman" w:cs="Times New Roman"/>
                <w:b/>
                <w:bCs/>
                <w:strike w:val="0"/>
                <w:dstrike w:val="0"/>
                <w:sz w:val="24"/>
                <w:szCs w:val="24"/>
                <w:highlight w:val="none"/>
                <w:u w:val="single" w:color="auto"/>
                <w:lang w:val="en-US" w:eastAsia="zh-CN"/>
              </w:rPr>
              <w:t>5000</w:t>
            </w:r>
            <w:r>
              <w:rPr>
                <w:rFonts w:hint="default" w:ascii="Times New Roman" w:hAnsi="Times New Roman" w:cs="Times New Roman"/>
                <w:b/>
                <w:bCs/>
                <w:strike w:val="0"/>
                <w:dstrike w:val="0"/>
                <w:sz w:val="24"/>
                <w:szCs w:val="24"/>
                <w:highlight w:val="none"/>
                <w:u w:val="single" w:color="auto"/>
                <w:lang w:eastAsia="zh-CN"/>
              </w:rPr>
              <w:t>m</w:t>
            </w:r>
            <w:r>
              <w:rPr>
                <w:rFonts w:hint="default" w:ascii="Times New Roman" w:hAnsi="Times New Roman" w:cs="Times New Roman"/>
                <w:b/>
                <w:bCs/>
                <w:strike w:val="0"/>
                <w:dstrike w:val="0"/>
                <w:sz w:val="24"/>
                <w:szCs w:val="24"/>
                <w:highlight w:val="none"/>
                <w:u w:val="single" w:color="auto"/>
                <w:vertAlign w:val="superscript"/>
                <w:lang w:eastAsia="zh-CN"/>
              </w:rPr>
              <w:t>3</w:t>
            </w:r>
            <w:r>
              <w:rPr>
                <w:rFonts w:hint="default" w:ascii="Times New Roman" w:hAnsi="Times New Roman" w:cs="Times New Roman"/>
                <w:b/>
                <w:bCs/>
                <w:strike w:val="0"/>
                <w:dstrike w:val="0"/>
                <w:sz w:val="24"/>
                <w:szCs w:val="24"/>
                <w:highlight w:val="none"/>
                <w:u w:val="single" w:color="auto"/>
                <w:lang w:eastAsia="zh-CN"/>
              </w:rPr>
              <w:t>/h，可满足废气收集要求。</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outlineLvl w:val="0"/>
              <w:rPr>
                <w:rFonts w:hint="default" w:ascii="Times New Roman" w:hAnsi="Times New Roman" w:eastAsia="宋体" w:cs="Times New Roman"/>
                <w:b/>
                <w:bCs/>
                <w:strike w:val="0"/>
                <w:dstrike w:val="0"/>
                <w:color w:val="000000"/>
                <w:sz w:val="24"/>
                <w:szCs w:val="24"/>
                <w:highlight w:val="none"/>
                <w:u w:val="single"/>
                <w:lang w:val="en-US" w:eastAsia="zh-CN"/>
              </w:rPr>
            </w:pPr>
            <w:r>
              <w:rPr>
                <w:rFonts w:hint="default" w:ascii="Times New Roman" w:hAnsi="Times New Roman" w:cs="Times New Roman"/>
                <w:b/>
                <w:bCs/>
                <w:strike w:val="0"/>
                <w:dstrike w:val="0"/>
                <w:color w:val="000000"/>
                <w:sz w:val="24"/>
                <w:szCs w:val="24"/>
                <w:highlight w:val="none"/>
                <w:u w:val="single"/>
                <w:lang w:val="en-US" w:eastAsia="zh-CN"/>
              </w:rPr>
              <w:t>项目</w:t>
            </w:r>
            <w:r>
              <w:rPr>
                <w:rFonts w:hint="eastAsia" w:ascii="Times New Roman" w:hAnsi="Times New Roman" w:cs="Times New Roman"/>
                <w:b/>
                <w:bCs/>
                <w:strike w:val="0"/>
                <w:dstrike w:val="0"/>
                <w:color w:val="000000"/>
                <w:sz w:val="24"/>
                <w:szCs w:val="24"/>
                <w:highlight w:val="none"/>
                <w:u w:val="single"/>
                <w:lang w:val="en-US" w:eastAsia="zh-CN"/>
              </w:rPr>
              <w:t>切割、</w:t>
            </w:r>
            <w:r>
              <w:rPr>
                <w:rFonts w:hint="default" w:ascii="Times New Roman" w:hAnsi="Times New Roman" w:cs="Times New Roman"/>
                <w:b/>
                <w:bCs/>
                <w:strike w:val="0"/>
                <w:dstrike w:val="0"/>
                <w:color w:val="000000"/>
                <w:sz w:val="24"/>
                <w:szCs w:val="24"/>
                <w:highlight w:val="none"/>
                <w:u w:val="single"/>
                <w:lang w:val="en-US" w:eastAsia="zh-CN"/>
              </w:rPr>
              <w:t>焊接、打磨工序产生的颗粒物经集气罩收集，引入袋式除尘器处理后由1#15米高的排气筒（编号DA001）排放。</w:t>
            </w:r>
            <w:r>
              <w:rPr>
                <w:rFonts w:hint="eastAsia" w:ascii="Times New Roman" w:hAnsi="Times New Roman" w:cs="Times New Roman"/>
                <w:b/>
                <w:bCs/>
                <w:strike w:val="0"/>
                <w:dstrike w:val="0"/>
                <w:color w:val="000000"/>
                <w:sz w:val="24"/>
                <w:szCs w:val="24"/>
                <w:highlight w:val="none"/>
                <w:u w:val="single"/>
                <w:lang w:val="en-US" w:eastAsia="zh-CN"/>
              </w:rPr>
              <w:t>切割、</w:t>
            </w:r>
            <w:r>
              <w:rPr>
                <w:rFonts w:hint="default" w:ascii="Times New Roman" w:hAnsi="Times New Roman" w:cs="Times New Roman"/>
                <w:b/>
                <w:bCs/>
                <w:strike w:val="0"/>
                <w:dstrike w:val="0"/>
                <w:color w:val="000000"/>
                <w:sz w:val="24"/>
                <w:szCs w:val="24"/>
                <w:highlight w:val="none"/>
                <w:u w:val="single"/>
                <w:lang w:val="en-US" w:eastAsia="zh-CN"/>
              </w:rPr>
              <w:t>焊接、打磨工序的颗粒物产生量为</w:t>
            </w:r>
            <w:r>
              <w:rPr>
                <w:rFonts w:hint="eastAsia" w:ascii="Times New Roman" w:hAnsi="Times New Roman" w:cs="Times New Roman"/>
                <w:b/>
                <w:bCs/>
                <w:strike w:val="0"/>
                <w:dstrike w:val="0"/>
                <w:color w:val="000000"/>
                <w:sz w:val="24"/>
                <w:szCs w:val="24"/>
                <w:highlight w:val="none"/>
                <w:u w:val="single"/>
                <w:lang w:val="en-US" w:eastAsia="zh-CN"/>
              </w:rPr>
              <w:t>2.0108</w:t>
            </w:r>
            <w:r>
              <w:rPr>
                <w:rFonts w:hint="default" w:ascii="Times New Roman" w:hAnsi="Times New Roman" w:cs="Times New Roman"/>
                <w:b/>
                <w:bCs/>
                <w:strike w:val="0"/>
                <w:dstrike w:val="0"/>
                <w:color w:val="000000"/>
                <w:sz w:val="24"/>
                <w:szCs w:val="24"/>
                <w:highlight w:val="none"/>
                <w:u w:val="single"/>
                <w:lang w:val="en-US" w:eastAsia="zh-CN"/>
              </w:rPr>
              <w:t>t/a，</w:t>
            </w:r>
            <w:r>
              <w:rPr>
                <w:rFonts w:hint="default" w:ascii="Times New Roman" w:hAnsi="Times New Roman" w:eastAsia="宋体" w:cs="Times New Roman"/>
                <w:b/>
                <w:bCs/>
                <w:strike w:val="0"/>
                <w:dstrike w:val="0"/>
                <w:color w:val="000000"/>
                <w:sz w:val="24"/>
                <w:szCs w:val="24"/>
                <w:highlight w:val="none"/>
                <w:u w:val="single"/>
                <w:lang w:val="en-US" w:eastAsia="zh-CN"/>
              </w:rPr>
              <w:t>风机</w:t>
            </w:r>
            <w:r>
              <w:rPr>
                <w:rFonts w:hint="default" w:ascii="Times New Roman" w:hAnsi="Times New Roman" w:eastAsia="宋体" w:cs="Times New Roman"/>
                <w:b/>
                <w:bCs/>
                <w:strike w:val="0"/>
                <w:dstrike w:val="0"/>
                <w:color w:val="000000"/>
                <w:sz w:val="24"/>
                <w:szCs w:val="24"/>
                <w:highlight w:val="none"/>
                <w:u w:val="single"/>
                <w:shd w:val="clear" w:color="auto" w:fill="auto"/>
                <w:lang w:val="en-US" w:eastAsia="zh-CN"/>
              </w:rPr>
              <w:t>风量为</w:t>
            </w:r>
            <w:r>
              <w:rPr>
                <w:rFonts w:hint="default" w:ascii="Times New Roman" w:hAnsi="Times New Roman" w:cs="Times New Roman"/>
                <w:b/>
                <w:bCs/>
                <w:strike w:val="0"/>
                <w:dstrike w:val="0"/>
                <w:color w:val="000000"/>
                <w:sz w:val="24"/>
                <w:szCs w:val="24"/>
                <w:highlight w:val="none"/>
                <w:u w:val="single"/>
                <w:shd w:val="clear" w:color="auto" w:fill="auto"/>
                <w:lang w:val="en-US" w:eastAsia="zh-CN"/>
              </w:rPr>
              <w:t>5000</w:t>
            </w:r>
            <w:r>
              <w:rPr>
                <w:rFonts w:hint="default" w:ascii="Times New Roman" w:hAnsi="Times New Roman" w:eastAsia="宋体" w:cs="Times New Roman"/>
                <w:b/>
                <w:bCs/>
                <w:strike w:val="0"/>
                <w:dstrike w:val="0"/>
                <w:color w:val="000000"/>
                <w:sz w:val="24"/>
                <w:szCs w:val="24"/>
                <w:highlight w:val="none"/>
                <w:u w:val="single"/>
                <w:shd w:val="clear" w:color="auto" w:fill="auto"/>
                <w:lang w:val="en-US" w:eastAsia="zh-CN"/>
              </w:rPr>
              <w:t>m</w:t>
            </w:r>
            <w:r>
              <w:rPr>
                <w:rFonts w:hint="default" w:ascii="Times New Roman" w:hAnsi="Times New Roman" w:eastAsia="宋体" w:cs="Times New Roman"/>
                <w:b/>
                <w:bCs/>
                <w:strike w:val="0"/>
                <w:dstrike w:val="0"/>
                <w:color w:val="000000"/>
                <w:sz w:val="24"/>
                <w:szCs w:val="24"/>
                <w:highlight w:val="none"/>
                <w:u w:val="single"/>
                <w:shd w:val="clear" w:color="auto" w:fill="auto"/>
                <w:vertAlign w:val="superscript"/>
                <w:lang w:val="en-US" w:eastAsia="zh-CN"/>
              </w:rPr>
              <w:t>3</w:t>
            </w:r>
            <w:r>
              <w:rPr>
                <w:rFonts w:hint="default" w:ascii="Times New Roman" w:hAnsi="Times New Roman" w:eastAsia="宋体" w:cs="Times New Roman"/>
                <w:b/>
                <w:bCs/>
                <w:strike w:val="0"/>
                <w:dstrike w:val="0"/>
                <w:color w:val="000000"/>
                <w:sz w:val="24"/>
                <w:szCs w:val="24"/>
                <w:highlight w:val="none"/>
                <w:u w:val="single"/>
                <w:shd w:val="clear" w:color="auto" w:fill="auto"/>
                <w:lang w:val="en-US" w:eastAsia="zh-CN"/>
              </w:rPr>
              <w:t>/h</w:t>
            </w:r>
            <w:r>
              <w:rPr>
                <w:rFonts w:hint="default" w:ascii="Times New Roman" w:hAnsi="Times New Roman" w:eastAsia="宋体" w:cs="Times New Roman"/>
                <w:b/>
                <w:bCs/>
                <w:strike w:val="0"/>
                <w:dstrike w:val="0"/>
                <w:color w:val="000000"/>
                <w:sz w:val="24"/>
                <w:szCs w:val="24"/>
                <w:highlight w:val="none"/>
                <w:u w:val="single"/>
                <w:lang w:val="en-US" w:eastAsia="zh-CN"/>
              </w:rPr>
              <w:t>，年工作时间为</w:t>
            </w:r>
            <w:r>
              <w:rPr>
                <w:rFonts w:hint="eastAsia" w:ascii="Times New Roman" w:hAnsi="Times New Roman" w:cs="Times New Roman"/>
                <w:b/>
                <w:bCs/>
                <w:strike w:val="0"/>
                <w:dstrike w:val="0"/>
                <w:color w:val="000000"/>
                <w:sz w:val="24"/>
                <w:szCs w:val="24"/>
                <w:highlight w:val="none"/>
                <w:u w:val="single"/>
                <w:lang w:val="en-US" w:eastAsia="zh-CN"/>
              </w:rPr>
              <w:t>1200</w:t>
            </w:r>
            <w:r>
              <w:rPr>
                <w:rFonts w:hint="default" w:ascii="Times New Roman" w:hAnsi="Times New Roman" w:eastAsia="宋体" w:cs="Times New Roman"/>
                <w:b/>
                <w:bCs/>
                <w:strike w:val="0"/>
                <w:dstrike w:val="0"/>
                <w:color w:val="000000"/>
                <w:sz w:val="24"/>
                <w:szCs w:val="24"/>
                <w:highlight w:val="none"/>
                <w:u w:val="single"/>
                <w:lang w:val="en-US" w:eastAsia="zh-CN"/>
              </w:rPr>
              <w:t>h，集气罩收集效率按</w:t>
            </w:r>
            <w:r>
              <w:rPr>
                <w:rFonts w:hint="default" w:ascii="Times New Roman" w:hAnsi="Times New Roman" w:cs="Times New Roman"/>
                <w:b/>
                <w:bCs/>
                <w:strike w:val="0"/>
                <w:dstrike w:val="0"/>
                <w:color w:val="000000"/>
                <w:sz w:val="24"/>
                <w:szCs w:val="24"/>
                <w:highlight w:val="none"/>
                <w:u w:val="single"/>
                <w:lang w:val="en-US" w:eastAsia="zh-CN"/>
              </w:rPr>
              <w:t>9</w:t>
            </w:r>
            <w:r>
              <w:rPr>
                <w:rFonts w:hint="default" w:ascii="Times New Roman" w:hAnsi="Times New Roman" w:eastAsia="宋体" w:cs="Times New Roman"/>
                <w:b/>
                <w:bCs/>
                <w:strike w:val="0"/>
                <w:dstrike w:val="0"/>
                <w:color w:val="000000"/>
                <w:sz w:val="24"/>
                <w:szCs w:val="24"/>
                <w:highlight w:val="none"/>
                <w:u w:val="single"/>
                <w:lang w:val="en-US" w:eastAsia="zh-CN"/>
              </w:rPr>
              <w:t>0%计，</w:t>
            </w:r>
            <w:r>
              <w:rPr>
                <w:rFonts w:hint="default" w:ascii="Times New Roman" w:hAnsi="Times New Roman" w:cs="Times New Roman"/>
                <w:b/>
                <w:bCs/>
                <w:strike w:val="0"/>
                <w:dstrike w:val="0"/>
                <w:color w:val="000000"/>
                <w:sz w:val="24"/>
                <w:szCs w:val="24"/>
                <w:highlight w:val="none"/>
                <w:u w:val="single"/>
                <w:lang w:val="en-US" w:eastAsia="zh-CN"/>
              </w:rPr>
              <w:t>则项目颗粒物有组织产生量为</w:t>
            </w:r>
            <w:r>
              <w:rPr>
                <w:rFonts w:hint="eastAsia" w:ascii="Times New Roman" w:hAnsi="Times New Roman" w:cs="Times New Roman"/>
                <w:b/>
                <w:bCs/>
                <w:strike w:val="0"/>
                <w:dstrike w:val="0"/>
                <w:color w:val="000000"/>
                <w:sz w:val="24"/>
                <w:szCs w:val="24"/>
                <w:highlight w:val="none"/>
                <w:u w:val="single"/>
                <w:lang w:val="en-US" w:eastAsia="zh-CN"/>
              </w:rPr>
              <w:t xml:space="preserve">1.8097 </w:t>
            </w:r>
            <w:r>
              <w:rPr>
                <w:rFonts w:hint="default" w:ascii="Times New Roman" w:hAnsi="Times New Roman" w:cs="Times New Roman"/>
                <w:b/>
                <w:bCs/>
                <w:strike w:val="0"/>
                <w:dstrike w:val="0"/>
                <w:color w:val="000000"/>
                <w:sz w:val="24"/>
                <w:szCs w:val="24"/>
                <w:highlight w:val="none"/>
                <w:u w:val="single"/>
                <w:lang w:val="en-US" w:eastAsia="zh-CN"/>
              </w:rPr>
              <w:t>t/a，产生速率为</w:t>
            </w:r>
            <w:r>
              <w:rPr>
                <w:rFonts w:hint="eastAsia" w:ascii="Times New Roman" w:hAnsi="Times New Roman" w:cs="Times New Roman"/>
                <w:b/>
                <w:bCs/>
                <w:strike w:val="0"/>
                <w:dstrike w:val="0"/>
                <w:color w:val="000000"/>
                <w:sz w:val="24"/>
                <w:szCs w:val="24"/>
                <w:highlight w:val="none"/>
                <w:u w:val="single"/>
                <w:lang w:val="en-US" w:eastAsia="zh-CN"/>
              </w:rPr>
              <w:t xml:space="preserve">1.5081 </w:t>
            </w:r>
            <w:r>
              <w:rPr>
                <w:rFonts w:hint="default" w:ascii="Times New Roman" w:hAnsi="Times New Roman" w:eastAsia="宋体" w:cs="Times New Roman"/>
                <w:b/>
                <w:bCs/>
                <w:strike w:val="0"/>
                <w:dstrike w:val="0"/>
                <w:color w:val="000000"/>
                <w:sz w:val="24"/>
                <w:szCs w:val="24"/>
                <w:highlight w:val="none"/>
                <w:u w:val="single"/>
                <w:lang w:val="en-US" w:eastAsia="zh-CN"/>
              </w:rPr>
              <w:t>kg/h</w:t>
            </w:r>
            <w:r>
              <w:rPr>
                <w:rFonts w:hint="default" w:ascii="Times New Roman" w:hAnsi="Times New Roman" w:cs="Times New Roman"/>
                <w:b/>
                <w:bCs/>
                <w:strike w:val="0"/>
                <w:dstrike w:val="0"/>
                <w:color w:val="000000"/>
                <w:sz w:val="24"/>
                <w:szCs w:val="24"/>
                <w:highlight w:val="none"/>
                <w:u w:val="single"/>
                <w:lang w:val="en-US" w:eastAsia="zh-CN"/>
              </w:rPr>
              <w:t>，产生浓度为</w:t>
            </w:r>
            <w:r>
              <w:rPr>
                <w:rFonts w:hint="eastAsia" w:ascii="Times New Roman" w:hAnsi="Times New Roman" w:cs="Times New Roman"/>
                <w:b/>
                <w:bCs/>
                <w:strike w:val="0"/>
                <w:dstrike w:val="0"/>
                <w:color w:val="000000"/>
                <w:sz w:val="24"/>
                <w:szCs w:val="24"/>
                <w:highlight w:val="none"/>
                <w:u w:val="single"/>
                <w:lang w:val="en-US" w:eastAsia="zh-CN"/>
              </w:rPr>
              <w:t>301.62</w:t>
            </w:r>
            <w:r>
              <w:rPr>
                <w:rFonts w:hint="default" w:ascii="Times New Roman" w:hAnsi="Times New Roman" w:eastAsia="宋体" w:cs="Times New Roman"/>
                <w:b/>
                <w:bCs/>
                <w:strike w:val="0"/>
                <w:dstrike w:val="0"/>
                <w:color w:val="000000"/>
                <w:sz w:val="24"/>
                <w:szCs w:val="24"/>
                <w:highlight w:val="none"/>
                <w:u w:val="single"/>
                <w:lang w:val="en-US" w:eastAsia="zh-CN"/>
              </w:rPr>
              <w:t>mg/m</w:t>
            </w:r>
            <w:r>
              <w:rPr>
                <w:rFonts w:hint="default" w:ascii="Times New Roman" w:hAnsi="Times New Roman" w:cs="Times New Roman"/>
                <w:b/>
                <w:bCs/>
                <w:strike w:val="0"/>
                <w:dstrike w:val="0"/>
                <w:color w:val="000000"/>
                <w:sz w:val="24"/>
                <w:szCs w:val="24"/>
                <w:highlight w:val="none"/>
                <w:u w:val="single"/>
                <w:vertAlign w:val="superscript"/>
                <w:lang w:val="en-US" w:eastAsia="zh-CN"/>
              </w:rPr>
              <w:t>3</w:t>
            </w:r>
            <w:r>
              <w:rPr>
                <w:rFonts w:hint="default" w:ascii="Times New Roman" w:hAnsi="Times New Roman" w:cs="Times New Roman"/>
                <w:b/>
                <w:bCs/>
                <w:strike w:val="0"/>
                <w:dstrike w:val="0"/>
                <w:color w:val="000000"/>
                <w:sz w:val="24"/>
                <w:szCs w:val="24"/>
                <w:highlight w:val="none"/>
                <w:u w:val="single"/>
                <w:lang w:val="en-US" w:eastAsia="zh-CN"/>
              </w:rPr>
              <w:t>，除尘器的除尘效率按9</w:t>
            </w:r>
            <w:r>
              <w:rPr>
                <w:rFonts w:hint="eastAsia" w:ascii="Times New Roman" w:hAnsi="Times New Roman" w:cs="Times New Roman"/>
                <w:b/>
                <w:bCs/>
                <w:strike w:val="0"/>
                <w:dstrike w:val="0"/>
                <w:color w:val="000000"/>
                <w:sz w:val="24"/>
                <w:szCs w:val="24"/>
                <w:highlight w:val="none"/>
                <w:u w:val="single"/>
                <w:lang w:val="en-US" w:eastAsia="zh-CN"/>
              </w:rPr>
              <w:t>8</w:t>
            </w:r>
            <w:r>
              <w:rPr>
                <w:rFonts w:hint="default" w:ascii="Times New Roman" w:hAnsi="Times New Roman" w:cs="Times New Roman"/>
                <w:b/>
                <w:bCs/>
                <w:strike w:val="0"/>
                <w:dstrike w:val="0"/>
                <w:color w:val="000000"/>
                <w:sz w:val="24"/>
                <w:szCs w:val="24"/>
                <w:highlight w:val="none"/>
                <w:u w:val="single"/>
                <w:lang w:val="en-US" w:eastAsia="zh-CN"/>
              </w:rPr>
              <w:t>%计，</w:t>
            </w:r>
            <w:r>
              <w:rPr>
                <w:rFonts w:hint="default" w:ascii="Times New Roman" w:hAnsi="Times New Roman" w:eastAsia="宋体" w:cs="Times New Roman"/>
                <w:b/>
                <w:bCs/>
                <w:strike w:val="0"/>
                <w:dstrike w:val="0"/>
                <w:color w:val="000000"/>
                <w:sz w:val="24"/>
                <w:szCs w:val="24"/>
                <w:highlight w:val="none"/>
                <w:u w:val="single"/>
                <w:lang w:val="en-US" w:eastAsia="zh-CN"/>
              </w:rPr>
              <w:t>则项目</w:t>
            </w:r>
            <w:r>
              <w:rPr>
                <w:rFonts w:hint="default" w:ascii="Times New Roman" w:hAnsi="Times New Roman" w:cs="Times New Roman"/>
                <w:b/>
                <w:bCs/>
                <w:strike w:val="0"/>
                <w:dstrike w:val="0"/>
                <w:color w:val="000000"/>
                <w:sz w:val="24"/>
                <w:szCs w:val="24"/>
                <w:highlight w:val="none"/>
                <w:u w:val="single"/>
                <w:lang w:val="en-US" w:eastAsia="zh-CN"/>
              </w:rPr>
              <w:t>颗粒物</w:t>
            </w:r>
            <w:r>
              <w:rPr>
                <w:rFonts w:hint="default" w:ascii="Times New Roman" w:hAnsi="Times New Roman" w:eastAsia="宋体" w:cs="Times New Roman"/>
                <w:b/>
                <w:bCs/>
                <w:strike w:val="0"/>
                <w:dstrike w:val="0"/>
                <w:color w:val="000000"/>
                <w:sz w:val="24"/>
                <w:szCs w:val="24"/>
                <w:highlight w:val="none"/>
                <w:u w:val="single"/>
                <w:lang w:val="en-US" w:eastAsia="zh-CN"/>
              </w:rPr>
              <w:t>有组织排放量为</w:t>
            </w:r>
            <w:r>
              <w:rPr>
                <w:rFonts w:hint="eastAsia" w:ascii="Times New Roman" w:hAnsi="Times New Roman" w:cs="Times New Roman"/>
                <w:b/>
                <w:bCs/>
                <w:strike w:val="0"/>
                <w:dstrike w:val="0"/>
                <w:color w:val="000000"/>
                <w:sz w:val="24"/>
                <w:szCs w:val="24"/>
                <w:highlight w:val="none"/>
                <w:u w:val="single"/>
                <w:lang w:val="en-US" w:eastAsia="zh-CN"/>
              </w:rPr>
              <w:t xml:space="preserve">0.0362 </w:t>
            </w:r>
            <w:r>
              <w:rPr>
                <w:rFonts w:hint="default" w:ascii="Times New Roman" w:hAnsi="Times New Roman" w:eastAsia="宋体" w:cs="Times New Roman"/>
                <w:b/>
                <w:bCs/>
                <w:strike w:val="0"/>
                <w:dstrike w:val="0"/>
                <w:color w:val="000000"/>
                <w:sz w:val="24"/>
                <w:szCs w:val="24"/>
                <w:highlight w:val="none"/>
                <w:u w:val="single"/>
                <w:lang w:val="en-US" w:eastAsia="zh-CN"/>
              </w:rPr>
              <w:t>t/a，排放速率为</w:t>
            </w:r>
            <w:r>
              <w:rPr>
                <w:rFonts w:hint="default" w:ascii="Times New Roman" w:hAnsi="Times New Roman" w:cs="Times New Roman"/>
                <w:b/>
                <w:bCs/>
                <w:strike w:val="0"/>
                <w:dstrike w:val="0"/>
                <w:color w:val="000000"/>
                <w:sz w:val="24"/>
                <w:szCs w:val="24"/>
                <w:highlight w:val="none"/>
                <w:u w:val="single"/>
                <w:lang w:val="en-US" w:eastAsia="zh-CN"/>
              </w:rPr>
              <w:t xml:space="preserve">0.0302 </w:t>
            </w:r>
            <w:r>
              <w:rPr>
                <w:rFonts w:hint="default" w:ascii="Times New Roman" w:hAnsi="Times New Roman" w:eastAsia="宋体" w:cs="Times New Roman"/>
                <w:b/>
                <w:bCs/>
                <w:strike w:val="0"/>
                <w:dstrike w:val="0"/>
                <w:color w:val="000000"/>
                <w:sz w:val="24"/>
                <w:szCs w:val="24"/>
                <w:highlight w:val="none"/>
                <w:u w:val="single"/>
                <w:lang w:val="en-US" w:eastAsia="zh-CN"/>
              </w:rPr>
              <w:t>kg/h，排放浓度为</w:t>
            </w:r>
            <w:r>
              <w:rPr>
                <w:rFonts w:hint="eastAsia" w:ascii="Times New Roman" w:hAnsi="Times New Roman" w:cs="Times New Roman"/>
                <w:b/>
                <w:bCs/>
                <w:strike w:val="0"/>
                <w:dstrike w:val="0"/>
                <w:color w:val="000000"/>
                <w:sz w:val="24"/>
                <w:szCs w:val="24"/>
                <w:highlight w:val="none"/>
                <w:u w:val="single"/>
                <w:lang w:val="en-US" w:eastAsia="zh-CN"/>
              </w:rPr>
              <w:t xml:space="preserve">6.03 </w:t>
            </w:r>
            <w:r>
              <w:rPr>
                <w:rFonts w:hint="default" w:ascii="Times New Roman" w:hAnsi="Times New Roman" w:eastAsia="宋体" w:cs="Times New Roman"/>
                <w:b/>
                <w:bCs/>
                <w:strike w:val="0"/>
                <w:dstrike w:val="0"/>
                <w:color w:val="000000"/>
                <w:sz w:val="24"/>
                <w:szCs w:val="24"/>
                <w:highlight w:val="none"/>
                <w:u w:val="single"/>
                <w:lang w:val="en-US" w:eastAsia="zh-CN"/>
              </w:rPr>
              <w:t>mg/m</w:t>
            </w:r>
            <w:r>
              <w:rPr>
                <w:rFonts w:hint="default" w:ascii="Times New Roman" w:hAnsi="Times New Roman" w:eastAsia="宋体" w:cs="Times New Roman"/>
                <w:b/>
                <w:bCs/>
                <w:strike w:val="0"/>
                <w:dstrike w:val="0"/>
                <w:color w:val="000000"/>
                <w:sz w:val="24"/>
                <w:szCs w:val="24"/>
                <w:highlight w:val="none"/>
                <w:u w:val="single"/>
                <w:vertAlign w:val="superscript"/>
                <w:lang w:val="en-US" w:eastAsia="zh-CN"/>
              </w:rPr>
              <w:t>3</w:t>
            </w:r>
            <w:r>
              <w:rPr>
                <w:rFonts w:hint="default" w:ascii="Times New Roman" w:hAnsi="Times New Roman" w:eastAsia="宋体" w:cs="Times New Roman"/>
                <w:b/>
                <w:bCs/>
                <w:strike w:val="0"/>
                <w:dstrike w:val="0"/>
                <w:color w:val="000000"/>
                <w:sz w:val="24"/>
                <w:szCs w:val="24"/>
                <w:highlight w:val="none"/>
                <w:u w:val="single"/>
                <w:lang w:val="en-US" w:eastAsia="zh-CN"/>
              </w:rPr>
              <w:t>；</w:t>
            </w:r>
            <w:r>
              <w:rPr>
                <w:rFonts w:hint="default" w:ascii="Times New Roman" w:hAnsi="Times New Roman" w:cs="Times New Roman"/>
                <w:b/>
                <w:bCs/>
                <w:strike w:val="0"/>
                <w:dstrike w:val="0"/>
                <w:color w:val="000000"/>
                <w:sz w:val="24"/>
                <w:szCs w:val="24"/>
                <w:highlight w:val="none"/>
                <w:u w:val="single"/>
                <w:lang w:val="en-US" w:eastAsia="zh-CN"/>
              </w:rPr>
              <w:t>粉尘无组织排放量为0.</w:t>
            </w:r>
            <w:r>
              <w:rPr>
                <w:rFonts w:hint="eastAsia" w:ascii="Times New Roman" w:hAnsi="Times New Roman" w:cs="Times New Roman"/>
                <w:b/>
                <w:bCs/>
                <w:strike w:val="0"/>
                <w:dstrike w:val="0"/>
                <w:color w:val="000000"/>
                <w:sz w:val="24"/>
                <w:szCs w:val="24"/>
                <w:highlight w:val="none"/>
                <w:u w:val="single"/>
                <w:lang w:val="en-US" w:eastAsia="zh-CN"/>
              </w:rPr>
              <w:t>0201</w:t>
            </w:r>
            <w:r>
              <w:rPr>
                <w:rFonts w:hint="default" w:ascii="Times New Roman" w:hAnsi="Times New Roman" w:cs="Times New Roman"/>
                <w:b/>
                <w:bCs/>
                <w:strike w:val="0"/>
                <w:dstrike w:val="0"/>
                <w:color w:val="000000"/>
                <w:sz w:val="24"/>
                <w:szCs w:val="24"/>
                <w:highlight w:val="none"/>
                <w:u w:val="single"/>
                <w:lang w:val="en-US" w:eastAsia="zh-CN"/>
              </w:rPr>
              <w:t>t/a。</w:t>
            </w:r>
            <w:r>
              <w:rPr>
                <w:rFonts w:hint="default" w:ascii="Times New Roman" w:hAnsi="Times New Roman" w:cs="Times New Roman"/>
                <w:b/>
                <w:bCs/>
                <w:color w:val="auto"/>
                <w:sz w:val="24"/>
                <w:szCs w:val="24"/>
                <w:highlight w:val="none"/>
                <w:u w:val="single"/>
                <w:vertAlign w:val="baseline"/>
                <w:lang w:val="en-US" w:eastAsia="zh-CN"/>
              </w:rPr>
              <w:t>满足</w:t>
            </w:r>
            <w:r>
              <w:rPr>
                <w:rFonts w:hint="default" w:ascii="Times New Roman" w:hAnsi="Times New Roman" w:cs="Times New Roman"/>
                <w:b/>
                <w:bCs/>
                <w:sz w:val="24"/>
                <w:szCs w:val="24"/>
                <w:highlight w:val="none"/>
                <w:u w:val="single"/>
              </w:rPr>
              <w:t>《大气污染物综合排放标准》（GB16297-1996）表2 二级</w:t>
            </w:r>
            <w:r>
              <w:rPr>
                <w:rFonts w:hint="default" w:ascii="Times New Roman" w:hAnsi="Times New Roman" w:cs="Times New Roman"/>
                <w:b/>
                <w:bCs/>
                <w:sz w:val="24"/>
                <w:szCs w:val="24"/>
                <w:highlight w:val="none"/>
                <w:u w:val="single"/>
                <w:lang w:val="en-US" w:eastAsia="zh-CN"/>
              </w:rPr>
              <w:t>标准，以及《洛阳市2021年重污染天气通用行业差异化应急减排措施制定技术指南的通知》洛市环〔2021〕47号要求：颗粒物排放浓度不高于10</w:t>
            </w:r>
            <w:r>
              <w:rPr>
                <w:rFonts w:hint="default" w:ascii="Times New Roman" w:hAnsi="Times New Roman" w:eastAsia="宋体" w:cs="Times New Roman"/>
                <w:b/>
                <w:bCs/>
                <w:color w:val="auto"/>
                <w:sz w:val="24"/>
                <w:szCs w:val="24"/>
                <w:highlight w:val="none"/>
                <w:u w:val="single"/>
                <w:lang w:val="en-US" w:eastAsia="en-US"/>
              </w:rPr>
              <w:t>mg/m</w:t>
            </w:r>
            <w:r>
              <w:rPr>
                <w:rFonts w:hint="default" w:ascii="Times New Roman" w:hAnsi="Times New Roman" w:eastAsia="宋体" w:cs="Times New Roman"/>
                <w:b/>
                <w:bCs/>
                <w:color w:val="auto"/>
                <w:sz w:val="24"/>
                <w:szCs w:val="24"/>
                <w:highlight w:val="none"/>
                <w:u w:val="single"/>
                <w:vertAlign w:val="superscript"/>
                <w:lang w:val="en-US" w:eastAsia="en-US"/>
              </w:rPr>
              <w:t>3</w:t>
            </w:r>
            <w:r>
              <w:rPr>
                <w:rFonts w:hint="default" w:ascii="Times New Roman" w:hAnsi="Times New Roman" w:cs="Times New Roman"/>
                <w:b/>
                <w:bCs/>
                <w:color w:val="auto"/>
                <w:sz w:val="24"/>
                <w:szCs w:val="24"/>
                <w:highlight w:val="none"/>
                <w:u w:val="single"/>
                <w:vertAlign w:val="baseline"/>
                <w:lang w:val="en-US" w:eastAsia="zh-CN"/>
              </w:rPr>
              <w:t>。</w:t>
            </w:r>
          </w:p>
          <w:p>
            <w:pPr>
              <w:spacing w:line="360" w:lineRule="auto"/>
              <w:ind w:firstLine="480" w:firstLineChars="200"/>
              <w:rPr>
                <w:rFonts w:hint="default"/>
                <w:color w:val="000000" w:themeColor="text1"/>
                <w:sz w:val="24"/>
                <w:szCs w:val="32"/>
                <w:lang w:val="en-US"/>
                <w14:textFill>
                  <w14:solidFill>
                    <w14:schemeClr w14:val="tx1"/>
                  </w14:solidFill>
                </w14:textFill>
              </w:rPr>
            </w:pPr>
            <w:r>
              <w:rPr>
                <w:rFonts w:hint="eastAsia"/>
                <w:color w:val="000000" w:themeColor="text1"/>
                <w:sz w:val="24"/>
                <w:szCs w:val="32"/>
                <w14:textFill>
                  <w14:solidFill>
                    <w14:schemeClr w14:val="tx1"/>
                  </w14:solidFill>
                </w14:textFill>
              </w:rPr>
              <w:t>（2）</w:t>
            </w:r>
            <w:r>
              <w:rPr>
                <w:rFonts w:hint="eastAsia"/>
                <w:color w:val="000000" w:themeColor="text1"/>
                <w:sz w:val="24"/>
                <w:szCs w:val="32"/>
                <w:lang w:val="en-US" w:eastAsia="zh-CN"/>
                <w14:textFill>
                  <w14:solidFill>
                    <w14:schemeClr w14:val="tx1"/>
                  </w14:solidFill>
                </w14:textFill>
              </w:rPr>
              <w:t>喷塑</w:t>
            </w:r>
            <w:r>
              <w:rPr>
                <w:rFonts w:hint="eastAsia"/>
                <w:color w:val="000000" w:themeColor="text1"/>
                <w:sz w:val="24"/>
                <w:szCs w:val="32"/>
                <w14:textFill>
                  <w14:solidFill>
                    <w14:schemeClr w14:val="tx1"/>
                  </w14:solidFill>
                </w14:textFill>
              </w:rPr>
              <w:t>废气</w:t>
            </w:r>
            <w:r>
              <w:rPr>
                <w:rFonts w:hint="eastAsia"/>
                <w:color w:val="000000" w:themeColor="text1"/>
                <w:sz w:val="24"/>
                <w:szCs w:val="32"/>
                <w:lang w:val="en-US" w:eastAsia="zh-CN"/>
                <w14:textFill>
                  <w14:solidFill>
                    <w14:schemeClr w14:val="tx1"/>
                  </w14:solidFill>
                </w14:textFill>
              </w:rPr>
              <w:t>处理及排放情况</w:t>
            </w:r>
          </w:p>
          <w:p>
            <w:pPr>
              <w:pStyle w:val="51"/>
              <w:spacing w:line="360" w:lineRule="auto"/>
              <w:ind w:firstLine="422"/>
              <w:rPr>
                <w:rFonts w:hint="default" w:ascii="Times New Roman" w:hAnsi="Times New Roman" w:cs="Times New Roman"/>
                <w:b w:val="0"/>
                <w:bCs w:val="0"/>
                <w:color w:val="000000"/>
                <w:sz w:val="24"/>
                <w:szCs w:val="24"/>
                <w:highlight w:val="none"/>
                <w:u w:val="none"/>
                <w:lang w:val="en-US" w:eastAsia="zh-CN"/>
              </w:rPr>
            </w:pPr>
            <w:r>
              <w:rPr>
                <w:rFonts w:hint="default" w:ascii="Times New Roman" w:hAnsi="Times New Roman" w:cs="Times New Roman"/>
                <w:b w:val="0"/>
                <w:bCs w:val="0"/>
                <w:snapToGrid w:val="0"/>
                <w:sz w:val="24"/>
                <w:szCs w:val="24"/>
                <w:highlight w:val="none"/>
                <w:u w:val="none"/>
                <w:vertAlign w:val="baseline"/>
                <w:lang w:val="en-US" w:eastAsia="zh-CN"/>
              </w:rPr>
              <w:t>项目</w:t>
            </w:r>
            <w:r>
              <w:rPr>
                <w:rFonts w:hint="eastAsia" w:cs="Times New Roman"/>
                <w:b w:val="0"/>
                <w:bCs w:val="0"/>
                <w:snapToGrid w:val="0"/>
                <w:sz w:val="24"/>
                <w:szCs w:val="24"/>
                <w:highlight w:val="none"/>
                <w:u w:val="none"/>
                <w:vertAlign w:val="baseline"/>
                <w:lang w:val="en-US" w:eastAsia="zh-CN"/>
              </w:rPr>
              <w:t>设密闭的喷粉室</w:t>
            </w:r>
            <w:r>
              <w:rPr>
                <w:rFonts w:hint="eastAsia" w:cs="Times New Roman"/>
                <w:b w:val="0"/>
                <w:bCs w:val="0"/>
                <w:snapToGrid w:val="0"/>
                <w:sz w:val="24"/>
                <w:szCs w:val="24"/>
                <w:highlight w:val="none"/>
                <w:u w:val="none" w:color="auto"/>
                <w:vertAlign w:val="baseline"/>
                <w:lang w:val="en-US" w:eastAsia="zh-CN"/>
              </w:rPr>
              <w:t>（8m</w:t>
            </w:r>
            <w:r>
              <w:rPr>
                <w:rFonts w:hint="default" w:ascii="Times New Roman" w:hAnsi="Times New Roman" w:cs="Times New Roman"/>
                <w:b/>
                <w:bCs/>
                <w:color w:val="auto"/>
                <w:sz w:val="24"/>
                <w:highlight w:val="none"/>
                <w:u w:val="none" w:color="auto"/>
              </w:rPr>
              <w:t>×</w:t>
            </w:r>
            <w:r>
              <w:rPr>
                <w:rFonts w:hint="eastAsia" w:cs="Times New Roman"/>
                <w:b w:val="0"/>
                <w:bCs w:val="0"/>
                <w:snapToGrid w:val="0"/>
                <w:sz w:val="24"/>
                <w:szCs w:val="24"/>
                <w:highlight w:val="none"/>
                <w:u w:val="none" w:color="auto"/>
                <w:vertAlign w:val="baseline"/>
                <w:lang w:val="en-US" w:eastAsia="zh-CN"/>
              </w:rPr>
              <w:t>5m</w:t>
            </w:r>
            <w:r>
              <w:rPr>
                <w:rFonts w:hint="default" w:ascii="Times New Roman" w:hAnsi="Times New Roman" w:cs="Times New Roman"/>
                <w:b/>
                <w:bCs/>
                <w:color w:val="auto"/>
                <w:sz w:val="24"/>
                <w:highlight w:val="none"/>
                <w:u w:val="none" w:color="auto"/>
              </w:rPr>
              <w:t>×</w:t>
            </w:r>
            <w:r>
              <w:rPr>
                <w:rFonts w:hint="eastAsia" w:cs="Times New Roman"/>
                <w:b w:val="0"/>
                <w:bCs w:val="0"/>
                <w:snapToGrid w:val="0"/>
                <w:sz w:val="24"/>
                <w:szCs w:val="24"/>
                <w:highlight w:val="none"/>
                <w:u w:val="none" w:color="auto"/>
                <w:vertAlign w:val="baseline"/>
                <w:lang w:val="en-US" w:eastAsia="zh-CN"/>
              </w:rPr>
              <w:t>3m、6m</w:t>
            </w:r>
            <w:r>
              <w:rPr>
                <w:rFonts w:hint="default" w:ascii="Times New Roman" w:hAnsi="Times New Roman" w:cs="Times New Roman"/>
                <w:b/>
                <w:bCs/>
                <w:color w:val="auto"/>
                <w:sz w:val="24"/>
                <w:highlight w:val="none"/>
                <w:u w:val="none" w:color="auto"/>
              </w:rPr>
              <w:t>×</w:t>
            </w:r>
            <w:r>
              <w:rPr>
                <w:rFonts w:hint="eastAsia" w:cs="Times New Roman"/>
                <w:b w:val="0"/>
                <w:bCs w:val="0"/>
                <w:snapToGrid w:val="0"/>
                <w:sz w:val="24"/>
                <w:szCs w:val="24"/>
                <w:highlight w:val="none"/>
                <w:u w:val="none" w:color="auto"/>
                <w:vertAlign w:val="baseline"/>
                <w:lang w:val="en-US" w:eastAsia="zh-CN"/>
              </w:rPr>
              <w:t>5m</w:t>
            </w:r>
            <w:r>
              <w:rPr>
                <w:rFonts w:hint="default" w:ascii="Times New Roman" w:hAnsi="Times New Roman" w:cs="Times New Roman"/>
                <w:b/>
                <w:bCs/>
                <w:color w:val="auto"/>
                <w:sz w:val="24"/>
                <w:highlight w:val="none"/>
                <w:u w:val="none" w:color="auto"/>
              </w:rPr>
              <w:t>×</w:t>
            </w:r>
            <w:r>
              <w:rPr>
                <w:rFonts w:hint="eastAsia" w:cs="Times New Roman"/>
                <w:b w:val="0"/>
                <w:bCs w:val="0"/>
                <w:snapToGrid w:val="0"/>
                <w:sz w:val="24"/>
                <w:szCs w:val="24"/>
                <w:highlight w:val="none"/>
                <w:u w:val="none" w:color="auto"/>
                <w:vertAlign w:val="baseline"/>
                <w:lang w:val="en-US" w:eastAsia="zh-CN"/>
              </w:rPr>
              <w:t>3m）</w:t>
            </w:r>
            <w:r>
              <w:rPr>
                <w:rFonts w:hint="eastAsia" w:cs="Times New Roman"/>
                <w:b w:val="0"/>
                <w:bCs w:val="0"/>
                <w:snapToGrid w:val="0"/>
                <w:sz w:val="24"/>
                <w:szCs w:val="24"/>
                <w:highlight w:val="none"/>
                <w:u w:val="none"/>
                <w:vertAlign w:val="baseline"/>
                <w:lang w:val="en-US" w:eastAsia="zh-CN"/>
              </w:rPr>
              <w:t>，喷粉室设引风管将</w:t>
            </w:r>
            <w:r>
              <w:rPr>
                <w:rFonts w:hint="default" w:ascii="Times New Roman" w:hAnsi="Times New Roman" w:cs="Times New Roman"/>
                <w:b w:val="0"/>
                <w:bCs w:val="0"/>
                <w:snapToGrid w:val="0"/>
                <w:sz w:val="24"/>
                <w:szCs w:val="24"/>
                <w:highlight w:val="none"/>
                <w:u w:val="none"/>
                <w:vertAlign w:val="baseline"/>
                <w:lang w:val="en-US" w:eastAsia="zh-CN"/>
              </w:rPr>
              <w:t>喷塑粉尘引入</w:t>
            </w:r>
            <w:r>
              <w:rPr>
                <w:rFonts w:hint="eastAsia" w:cs="Times New Roman"/>
                <w:b w:val="0"/>
                <w:bCs w:val="0"/>
                <w:snapToGrid w:val="0"/>
                <w:sz w:val="24"/>
                <w:szCs w:val="24"/>
                <w:highlight w:val="none"/>
                <w:u w:val="none"/>
                <w:vertAlign w:val="baseline"/>
                <w:lang w:val="en-US" w:eastAsia="zh-CN"/>
              </w:rPr>
              <w:t>旋风+</w:t>
            </w:r>
            <w:r>
              <w:rPr>
                <w:rFonts w:hint="default" w:ascii="Times New Roman" w:hAnsi="Times New Roman" w:cs="Times New Roman"/>
                <w:b w:val="0"/>
                <w:bCs w:val="0"/>
                <w:snapToGrid w:val="0"/>
                <w:sz w:val="24"/>
                <w:szCs w:val="24"/>
                <w:highlight w:val="none"/>
                <w:u w:val="none"/>
                <w:vertAlign w:val="baseline"/>
                <w:lang w:val="en-US" w:eastAsia="zh-CN"/>
              </w:rPr>
              <w:t>滤筒除尘器处理后由</w:t>
            </w:r>
            <w:r>
              <w:rPr>
                <w:rFonts w:hint="eastAsia" w:cs="Times New Roman"/>
                <w:b w:val="0"/>
                <w:bCs w:val="0"/>
                <w:snapToGrid w:val="0"/>
                <w:sz w:val="24"/>
                <w:szCs w:val="24"/>
                <w:highlight w:val="none"/>
                <w:u w:val="none"/>
                <w:vertAlign w:val="baseline"/>
                <w:lang w:val="en-US" w:eastAsia="zh-CN"/>
              </w:rPr>
              <w:t>2</w:t>
            </w:r>
            <w:r>
              <w:rPr>
                <w:rFonts w:hint="default" w:ascii="Times New Roman" w:hAnsi="Times New Roman" w:cs="Times New Roman"/>
                <w:b w:val="0"/>
                <w:bCs w:val="0"/>
                <w:snapToGrid w:val="0"/>
                <w:sz w:val="24"/>
                <w:szCs w:val="24"/>
                <w:highlight w:val="none"/>
                <w:u w:val="none"/>
                <w:vertAlign w:val="baseline"/>
                <w:lang w:val="en-US" w:eastAsia="zh-CN"/>
              </w:rPr>
              <w:t>#</w:t>
            </w:r>
            <w:r>
              <w:rPr>
                <w:rFonts w:hint="default" w:ascii="Times New Roman" w:hAnsi="Times New Roman" w:cs="Times New Roman"/>
                <w:b w:val="0"/>
                <w:bCs w:val="0"/>
                <w:sz w:val="24"/>
                <w:szCs w:val="24"/>
                <w:highlight w:val="none"/>
                <w:u w:val="none"/>
                <w:lang w:val="en-US" w:eastAsia="zh-CN"/>
              </w:rPr>
              <w:t>15米高的排气筒（</w:t>
            </w:r>
            <w:r>
              <w:rPr>
                <w:rFonts w:hint="default" w:ascii="Times New Roman" w:hAnsi="Times New Roman" w:eastAsia="宋体" w:cs="Times New Roman"/>
                <w:b w:val="0"/>
                <w:bCs w:val="0"/>
                <w:color w:val="auto"/>
                <w:sz w:val="24"/>
                <w:szCs w:val="24"/>
                <w:highlight w:val="none"/>
                <w:u w:val="none"/>
                <w:lang w:val="en-US" w:eastAsia="zh-CN"/>
              </w:rPr>
              <w:t>排气筒编号为DA00</w:t>
            </w:r>
            <w:r>
              <w:rPr>
                <w:rFonts w:hint="eastAsia" w:cs="Times New Roman"/>
                <w:b w:val="0"/>
                <w:bCs w:val="0"/>
                <w:color w:val="auto"/>
                <w:sz w:val="24"/>
                <w:szCs w:val="24"/>
                <w:highlight w:val="none"/>
                <w:u w:val="none"/>
                <w:lang w:val="en-US" w:eastAsia="zh-CN"/>
              </w:rPr>
              <w:t>2</w:t>
            </w:r>
            <w:r>
              <w:rPr>
                <w:rFonts w:hint="default" w:ascii="Times New Roman" w:hAnsi="Times New Roman" w:cs="Times New Roman"/>
                <w:b w:val="0"/>
                <w:bCs w:val="0"/>
                <w:sz w:val="24"/>
                <w:szCs w:val="24"/>
                <w:highlight w:val="none"/>
                <w:u w:val="none"/>
                <w:lang w:val="en-US" w:eastAsia="zh-CN"/>
              </w:rPr>
              <w:t>）排放</w:t>
            </w:r>
            <w:r>
              <w:rPr>
                <w:rFonts w:hint="eastAsia" w:cs="Times New Roman"/>
                <w:b w:val="0"/>
                <w:bCs w:val="0"/>
                <w:snapToGrid w:val="0"/>
                <w:sz w:val="24"/>
                <w:szCs w:val="24"/>
                <w:highlight w:val="none"/>
                <w:u w:val="none"/>
                <w:vertAlign w:val="baseline"/>
                <w:lang w:val="en-US" w:eastAsia="zh-CN"/>
              </w:rPr>
              <w:t>。</w:t>
            </w:r>
            <w:r>
              <w:rPr>
                <w:rFonts w:hint="default" w:ascii="Times New Roman" w:hAnsi="Times New Roman" w:cs="Times New Roman"/>
                <w:b w:val="0"/>
                <w:bCs w:val="0"/>
                <w:color w:val="000000"/>
                <w:sz w:val="24"/>
                <w:szCs w:val="24"/>
                <w:highlight w:val="none"/>
                <w:u w:val="none"/>
                <w:lang w:val="en-US" w:eastAsia="zh-CN"/>
              </w:rPr>
              <w:t>参照《大气污染控制工程》废气处理设备风量计算方法：</w:t>
            </w:r>
          </w:p>
          <w:p>
            <w:pPr>
              <w:pStyle w:val="51"/>
              <w:spacing w:line="360" w:lineRule="auto"/>
              <w:ind w:firstLine="422"/>
              <w:rPr>
                <w:rFonts w:hint="default" w:ascii="Times New Roman" w:hAnsi="Times New Roman" w:cs="Times New Roman"/>
                <w:b w:val="0"/>
                <w:bCs w:val="0"/>
                <w:color w:val="000000"/>
                <w:sz w:val="24"/>
                <w:szCs w:val="24"/>
                <w:highlight w:val="none"/>
                <w:u w:val="none"/>
                <w:lang w:val="en-US" w:eastAsia="zh-CN"/>
              </w:rPr>
            </w:pPr>
            <w:r>
              <w:rPr>
                <w:rFonts w:hint="default" w:ascii="Times New Roman" w:hAnsi="Times New Roman" w:cs="Times New Roman"/>
                <w:b w:val="0"/>
                <w:bCs w:val="0"/>
                <w:color w:val="000000"/>
                <w:sz w:val="24"/>
                <w:szCs w:val="24"/>
                <w:highlight w:val="none"/>
                <w:u w:val="none"/>
                <w:lang w:val="en-US" w:eastAsia="zh-CN"/>
              </w:rPr>
              <w:t>设备风量=密闭室体积（长*宽*高）m</w:t>
            </w:r>
            <w:r>
              <w:rPr>
                <w:rFonts w:hint="default" w:ascii="Times New Roman" w:hAnsi="Times New Roman" w:cs="Times New Roman"/>
                <w:b w:val="0"/>
                <w:bCs w:val="0"/>
                <w:color w:val="000000"/>
                <w:sz w:val="24"/>
                <w:szCs w:val="24"/>
                <w:highlight w:val="none"/>
                <w:u w:val="none"/>
                <w:vertAlign w:val="superscript"/>
                <w:lang w:val="en-US" w:eastAsia="zh-CN"/>
              </w:rPr>
              <w:t>3</w:t>
            </w:r>
            <w:r>
              <w:rPr>
                <w:rFonts w:hint="default" w:ascii="Times New Roman" w:hAnsi="Times New Roman" w:cs="Times New Roman"/>
                <w:b w:val="0"/>
                <w:bCs w:val="0"/>
                <w:color w:val="auto"/>
                <w:sz w:val="24"/>
                <w:highlight w:val="none"/>
                <w:u w:val="none" w:color="auto"/>
              </w:rPr>
              <w:t>×</w:t>
            </w:r>
            <w:r>
              <w:rPr>
                <w:rFonts w:hint="default" w:ascii="Times New Roman" w:hAnsi="Times New Roman" w:cs="Times New Roman"/>
                <w:b w:val="0"/>
                <w:bCs w:val="0"/>
                <w:color w:val="000000"/>
                <w:sz w:val="24"/>
                <w:szCs w:val="24"/>
                <w:highlight w:val="none"/>
                <w:u w:val="none"/>
                <w:lang w:val="en-US" w:eastAsia="zh-CN"/>
              </w:rPr>
              <w:t>常数（60~100）</w:t>
            </w:r>
          </w:p>
          <w:p>
            <w:pPr>
              <w:pStyle w:val="51"/>
              <w:spacing w:line="360" w:lineRule="auto"/>
              <w:ind w:firstLine="422"/>
              <w:rPr>
                <w:rFonts w:hint="default" w:ascii="Times New Roman" w:hAnsi="Times New Roman" w:cs="Times New Roman"/>
                <w:b w:val="0"/>
                <w:bCs w:val="0"/>
                <w:color w:val="000000"/>
                <w:sz w:val="24"/>
                <w:szCs w:val="24"/>
                <w:highlight w:val="none"/>
                <w:u w:val="none"/>
                <w:lang w:val="en-US" w:eastAsia="zh-CN"/>
              </w:rPr>
            </w:pPr>
            <w:r>
              <w:rPr>
                <w:rFonts w:hint="default" w:ascii="Times New Roman" w:hAnsi="Times New Roman" w:cs="Times New Roman"/>
                <w:b w:val="0"/>
                <w:bCs w:val="0"/>
                <w:color w:val="000000"/>
                <w:sz w:val="24"/>
                <w:szCs w:val="24"/>
                <w:highlight w:val="none"/>
                <w:u w:val="none"/>
                <w:lang w:val="en-US" w:eastAsia="zh-CN"/>
              </w:rPr>
              <w:t>式中的常数60~100为小时换气次数，是经验值，如果作业时间很短、喷塑量很小，则常数可以选择60；如果作业时间较短、喷塑量较小，则常数可以选择70-80；如果作业时间长、喷塑量大，则常数可以选择90-100。</w:t>
            </w:r>
          </w:p>
          <w:p>
            <w:pPr>
              <w:pStyle w:val="51"/>
              <w:spacing w:line="360" w:lineRule="auto"/>
              <w:ind w:firstLine="422"/>
              <w:rPr>
                <w:rFonts w:hint="default" w:ascii="Times New Roman" w:hAnsi="Times New Roman" w:cs="Times New Roman"/>
                <w:b w:val="0"/>
                <w:bCs w:val="0"/>
                <w:color w:val="000000"/>
                <w:sz w:val="24"/>
                <w:szCs w:val="24"/>
                <w:highlight w:val="none"/>
                <w:u w:val="none"/>
                <w:lang w:val="en-US" w:eastAsia="zh-CN"/>
              </w:rPr>
            </w:pPr>
            <w:r>
              <w:rPr>
                <w:rFonts w:hint="default" w:ascii="Times New Roman" w:hAnsi="Times New Roman" w:cs="Times New Roman"/>
                <w:b w:val="0"/>
                <w:bCs w:val="0"/>
                <w:color w:val="000000"/>
                <w:sz w:val="24"/>
                <w:szCs w:val="24"/>
                <w:highlight w:val="none"/>
                <w:u w:val="none"/>
                <w:lang w:val="en-US" w:eastAsia="zh-CN"/>
              </w:rPr>
              <w:t>本项目取最不利的情况，常数取100。</w:t>
            </w:r>
          </w:p>
          <w:p>
            <w:pPr>
              <w:pStyle w:val="51"/>
              <w:spacing w:line="360" w:lineRule="auto"/>
              <w:ind w:firstLine="422"/>
              <w:rPr>
                <w:rFonts w:hint="default" w:ascii="Times New Roman" w:hAnsi="Times New Roman" w:cs="Times New Roman"/>
                <w:b w:val="0"/>
                <w:bCs w:val="0"/>
                <w:color w:val="000000"/>
                <w:sz w:val="24"/>
                <w:szCs w:val="24"/>
                <w:highlight w:val="none"/>
                <w:u w:val="none" w:color="auto"/>
                <w:lang w:val="en-US" w:eastAsia="zh-CN"/>
              </w:rPr>
            </w:pPr>
            <w:r>
              <w:rPr>
                <w:rFonts w:hint="default" w:ascii="Times New Roman" w:hAnsi="Times New Roman" w:cs="Times New Roman"/>
                <w:b w:val="0"/>
                <w:bCs w:val="0"/>
                <w:color w:val="000000"/>
                <w:sz w:val="24"/>
                <w:szCs w:val="24"/>
                <w:highlight w:val="none"/>
                <w:u w:val="none"/>
                <w:lang w:val="en-US" w:eastAsia="zh-CN"/>
              </w:rPr>
              <w:t>则废气处理设备风量</w:t>
            </w:r>
            <w:r>
              <w:rPr>
                <w:rFonts w:hint="default" w:ascii="Times New Roman" w:hAnsi="Times New Roman" w:cs="Times New Roman"/>
                <w:b w:val="0"/>
                <w:bCs w:val="0"/>
                <w:color w:val="000000"/>
                <w:sz w:val="24"/>
                <w:szCs w:val="24"/>
                <w:highlight w:val="none"/>
                <w:u w:val="none" w:color="auto"/>
                <w:lang w:val="en-US" w:eastAsia="zh-CN"/>
              </w:rPr>
              <w:t>=</w:t>
            </w:r>
            <w:r>
              <w:rPr>
                <w:rFonts w:hint="eastAsia" w:cs="Times New Roman"/>
                <w:b w:val="0"/>
                <w:bCs w:val="0"/>
                <w:color w:val="000000"/>
                <w:sz w:val="24"/>
                <w:szCs w:val="24"/>
                <w:highlight w:val="none"/>
                <w:u w:val="none" w:color="auto"/>
                <w:lang w:val="en-US" w:eastAsia="zh-CN"/>
              </w:rPr>
              <w:t>6</w:t>
            </w:r>
            <w:r>
              <w:rPr>
                <w:rFonts w:hint="default" w:ascii="Times New Roman" w:hAnsi="Times New Roman" w:cs="Times New Roman"/>
                <w:b w:val="0"/>
                <w:bCs w:val="0"/>
                <w:color w:val="auto"/>
                <w:sz w:val="24"/>
                <w:highlight w:val="none"/>
                <w:u w:val="none" w:color="auto"/>
              </w:rPr>
              <w:t>×</w:t>
            </w:r>
            <w:r>
              <w:rPr>
                <w:rFonts w:hint="eastAsia" w:cs="Times New Roman"/>
                <w:b w:val="0"/>
                <w:bCs w:val="0"/>
                <w:color w:val="000000"/>
                <w:sz w:val="24"/>
                <w:szCs w:val="24"/>
                <w:highlight w:val="none"/>
                <w:u w:val="none" w:color="auto"/>
                <w:lang w:val="en-US" w:eastAsia="zh-CN"/>
              </w:rPr>
              <w:t>3</w:t>
            </w:r>
            <w:r>
              <w:rPr>
                <w:rFonts w:hint="default" w:ascii="Times New Roman" w:hAnsi="Times New Roman" w:cs="Times New Roman"/>
                <w:b w:val="0"/>
                <w:bCs w:val="0"/>
                <w:color w:val="auto"/>
                <w:sz w:val="24"/>
                <w:highlight w:val="none"/>
                <w:u w:val="none" w:color="auto"/>
              </w:rPr>
              <w:t>×</w:t>
            </w:r>
            <w:r>
              <w:rPr>
                <w:rFonts w:hint="default" w:ascii="Times New Roman" w:hAnsi="Times New Roman" w:cs="Times New Roman"/>
                <w:b w:val="0"/>
                <w:bCs w:val="0"/>
                <w:color w:val="000000"/>
                <w:sz w:val="24"/>
                <w:szCs w:val="24"/>
                <w:highlight w:val="none"/>
                <w:u w:val="none" w:color="auto"/>
                <w:lang w:val="en-US" w:eastAsia="zh-CN"/>
              </w:rPr>
              <w:t>3</w:t>
            </w:r>
            <w:r>
              <w:rPr>
                <w:rFonts w:hint="default" w:ascii="Times New Roman" w:hAnsi="Times New Roman" w:cs="Times New Roman"/>
                <w:b w:val="0"/>
                <w:bCs w:val="0"/>
                <w:color w:val="auto"/>
                <w:sz w:val="24"/>
                <w:highlight w:val="none"/>
                <w:u w:val="none" w:color="auto"/>
              </w:rPr>
              <w:t>×</w:t>
            </w:r>
            <w:r>
              <w:rPr>
                <w:rFonts w:hint="default" w:ascii="Times New Roman" w:hAnsi="Times New Roman" w:cs="Times New Roman"/>
                <w:b w:val="0"/>
                <w:bCs w:val="0"/>
                <w:color w:val="000000"/>
                <w:sz w:val="24"/>
                <w:szCs w:val="24"/>
                <w:highlight w:val="none"/>
                <w:u w:val="none" w:color="auto"/>
                <w:lang w:val="en-US" w:eastAsia="zh-CN"/>
              </w:rPr>
              <w:t>100</w:t>
            </w:r>
            <w:r>
              <w:rPr>
                <w:rFonts w:hint="eastAsia" w:cs="Times New Roman"/>
                <w:b w:val="0"/>
                <w:bCs w:val="0"/>
                <w:color w:val="000000"/>
                <w:sz w:val="24"/>
                <w:szCs w:val="24"/>
                <w:highlight w:val="none"/>
                <w:u w:val="none" w:color="auto"/>
                <w:lang w:val="en-US" w:eastAsia="zh-CN"/>
              </w:rPr>
              <w:t>+4</w:t>
            </w:r>
            <w:r>
              <w:rPr>
                <w:rFonts w:hint="default" w:ascii="Times New Roman" w:hAnsi="Times New Roman" w:cs="Times New Roman"/>
                <w:b w:val="0"/>
                <w:bCs w:val="0"/>
                <w:color w:val="auto"/>
                <w:sz w:val="24"/>
                <w:highlight w:val="none"/>
                <w:u w:val="none" w:color="auto"/>
              </w:rPr>
              <w:t>×</w:t>
            </w:r>
            <w:r>
              <w:rPr>
                <w:rFonts w:hint="eastAsia" w:cs="Times New Roman"/>
                <w:b w:val="0"/>
                <w:bCs w:val="0"/>
                <w:color w:val="000000"/>
                <w:sz w:val="24"/>
                <w:szCs w:val="24"/>
                <w:highlight w:val="none"/>
                <w:u w:val="none" w:color="auto"/>
                <w:lang w:val="en-US" w:eastAsia="zh-CN"/>
              </w:rPr>
              <w:t>3</w:t>
            </w:r>
            <w:r>
              <w:rPr>
                <w:rFonts w:hint="default" w:ascii="Times New Roman" w:hAnsi="Times New Roman" w:cs="Times New Roman"/>
                <w:b w:val="0"/>
                <w:bCs w:val="0"/>
                <w:color w:val="auto"/>
                <w:sz w:val="24"/>
                <w:highlight w:val="none"/>
                <w:u w:val="none" w:color="auto"/>
              </w:rPr>
              <w:t>×</w:t>
            </w:r>
            <w:r>
              <w:rPr>
                <w:rFonts w:hint="default" w:ascii="Times New Roman" w:hAnsi="Times New Roman" w:cs="Times New Roman"/>
                <w:b w:val="0"/>
                <w:bCs w:val="0"/>
                <w:color w:val="000000"/>
                <w:sz w:val="24"/>
                <w:szCs w:val="24"/>
                <w:highlight w:val="none"/>
                <w:u w:val="none" w:color="auto"/>
                <w:lang w:val="en-US" w:eastAsia="zh-CN"/>
              </w:rPr>
              <w:t>3</w:t>
            </w:r>
            <w:r>
              <w:rPr>
                <w:rFonts w:hint="default" w:ascii="Times New Roman" w:hAnsi="Times New Roman" w:cs="Times New Roman"/>
                <w:b w:val="0"/>
                <w:bCs w:val="0"/>
                <w:color w:val="auto"/>
                <w:sz w:val="24"/>
                <w:highlight w:val="none"/>
                <w:u w:val="none" w:color="auto"/>
              </w:rPr>
              <w:t>×</w:t>
            </w:r>
            <w:r>
              <w:rPr>
                <w:rFonts w:hint="default" w:ascii="Times New Roman" w:hAnsi="Times New Roman" w:cs="Times New Roman"/>
                <w:b w:val="0"/>
                <w:bCs w:val="0"/>
                <w:color w:val="000000"/>
                <w:sz w:val="24"/>
                <w:szCs w:val="24"/>
                <w:highlight w:val="none"/>
                <w:u w:val="none" w:color="auto"/>
                <w:lang w:val="en-US" w:eastAsia="zh-CN"/>
              </w:rPr>
              <w:t>100=</w:t>
            </w:r>
            <w:r>
              <w:rPr>
                <w:rFonts w:hint="eastAsia" w:cs="Times New Roman"/>
                <w:b w:val="0"/>
                <w:bCs w:val="0"/>
                <w:color w:val="000000"/>
                <w:sz w:val="24"/>
                <w:szCs w:val="24"/>
                <w:highlight w:val="none"/>
                <w:u w:val="none" w:color="auto"/>
                <w:lang w:val="en-US" w:eastAsia="zh-CN"/>
              </w:rPr>
              <w:t>9000</w:t>
            </w:r>
            <w:r>
              <w:rPr>
                <w:rFonts w:hint="default" w:ascii="Times New Roman" w:hAnsi="Times New Roman" w:cs="Times New Roman"/>
                <w:b w:val="0"/>
                <w:bCs w:val="0"/>
                <w:color w:val="000000"/>
                <w:sz w:val="24"/>
                <w:szCs w:val="24"/>
                <w:highlight w:val="none"/>
                <w:u w:val="none" w:color="auto"/>
                <w:lang w:val="en-US" w:eastAsia="zh-CN"/>
              </w:rPr>
              <w:t>m</w:t>
            </w:r>
            <w:r>
              <w:rPr>
                <w:rFonts w:hint="default" w:ascii="Times New Roman" w:hAnsi="Times New Roman" w:cs="Times New Roman"/>
                <w:b w:val="0"/>
                <w:bCs w:val="0"/>
                <w:color w:val="000000"/>
                <w:sz w:val="24"/>
                <w:szCs w:val="24"/>
                <w:highlight w:val="none"/>
                <w:u w:val="none" w:color="auto"/>
                <w:vertAlign w:val="superscript"/>
                <w:lang w:val="en-US" w:eastAsia="zh-CN"/>
              </w:rPr>
              <w:t>3</w:t>
            </w:r>
            <w:r>
              <w:rPr>
                <w:rFonts w:hint="default" w:ascii="Times New Roman" w:hAnsi="Times New Roman" w:cs="Times New Roman"/>
                <w:b w:val="0"/>
                <w:bCs w:val="0"/>
                <w:color w:val="000000"/>
                <w:sz w:val="24"/>
                <w:szCs w:val="24"/>
                <w:highlight w:val="none"/>
                <w:u w:val="none" w:color="auto"/>
                <w:lang w:val="en-US" w:eastAsia="zh-CN"/>
              </w:rPr>
              <w:t>/h。</w:t>
            </w:r>
          </w:p>
          <w:p>
            <w:pPr>
              <w:pStyle w:val="51"/>
              <w:spacing w:line="360" w:lineRule="auto"/>
              <w:ind w:firstLine="422"/>
              <w:rPr>
                <w:rFonts w:hint="default" w:ascii="Times New Roman" w:hAnsi="Times New Roman" w:cs="Times New Roman"/>
                <w:b w:val="0"/>
                <w:bCs w:val="0"/>
                <w:color w:val="000000"/>
                <w:sz w:val="24"/>
                <w:szCs w:val="24"/>
                <w:highlight w:val="none"/>
                <w:u w:val="none"/>
                <w:lang w:val="en-US" w:eastAsia="zh-CN"/>
              </w:rPr>
            </w:pPr>
            <w:r>
              <w:rPr>
                <w:rFonts w:hint="default" w:ascii="Times New Roman" w:hAnsi="Times New Roman" w:cs="Times New Roman"/>
                <w:b w:val="0"/>
                <w:bCs w:val="0"/>
                <w:color w:val="000000"/>
                <w:sz w:val="24"/>
                <w:szCs w:val="24"/>
                <w:highlight w:val="none"/>
                <w:u w:val="none"/>
                <w:lang w:val="en-US" w:eastAsia="zh-CN"/>
              </w:rPr>
              <w:t>考虑到存在风阻，废气处理设备风量适当增加，取</w:t>
            </w:r>
            <w:r>
              <w:rPr>
                <w:rFonts w:hint="eastAsia" w:cs="Times New Roman"/>
                <w:b w:val="0"/>
                <w:bCs w:val="0"/>
                <w:color w:val="000000"/>
                <w:sz w:val="24"/>
                <w:szCs w:val="24"/>
                <w:highlight w:val="none"/>
                <w:u w:val="none"/>
                <w:lang w:val="en-US" w:eastAsia="zh-CN"/>
              </w:rPr>
              <w:t>10000</w:t>
            </w:r>
            <w:r>
              <w:rPr>
                <w:rFonts w:hint="default" w:ascii="Times New Roman" w:hAnsi="Times New Roman" w:cs="Times New Roman"/>
                <w:b w:val="0"/>
                <w:bCs w:val="0"/>
                <w:color w:val="000000"/>
                <w:sz w:val="24"/>
                <w:szCs w:val="24"/>
                <w:highlight w:val="none"/>
                <w:u w:val="none"/>
                <w:lang w:val="en-US" w:eastAsia="zh-CN"/>
              </w:rPr>
              <w:t>m</w:t>
            </w:r>
            <w:r>
              <w:rPr>
                <w:rFonts w:hint="default" w:ascii="Times New Roman" w:hAnsi="Times New Roman" w:cs="Times New Roman"/>
                <w:b w:val="0"/>
                <w:bCs w:val="0"/>
                <w:color w:val="000000"/>
                <w:sz w:val="24"/>
                <w:szCs w:val="24"/>
                <w:highlight w:val="none"/>
                <w:u w:val="none"/>
                <w:vertAlign w:val="superscript"/>
                <w:lang w:val="en-US" w:eastAsia="zh-CN"/>
              </w:rPr>
              <w:t>3</w:t>
            </w:r>
            <w:r>
              <w:rPr>
                <w:rFonts w:hint="default" w:ascii="Times New Roman" w:hAnsi="Times New Roman" w:cs="Times New Roman"/>
                <w:b w:val="0"/>
                <w:bCs w:val="0"/>
                <w:color w:val="000000"/>
                <w:sz w:val="24"/>
                <w:szCs w:val="24"/>
                <w:highlight w:val="none"/>
                <w:u w:val="none"/>
                <w:lang w:val="en-US" w:eastAsia="zh-CN"/>
              </w:rPr>
              <w:t>/h，满足废气收集需求。</w:t>
            </w:r>
          </w:p>
          <w:p>
            <w:pPr>
              <w:pStyle w:val="51"/>
              <w:spacing w:line="360" w:lineRule="auto"/>
              <w:ind w:firstLine="422"/>
              <w:rPr>
                <w:rFonts w:hint="default" w:ascii="Times New Roman" w:hAnsi="Times New Roman" w:cs="Times New Roman"/>
                <w:b w:val="0"/>
                <w:bCs w:val="0"/>
                <w:color w:val="000000"/>
                <w:sz w:val="24"/>
                <w:szCs w:val="24"/>
                <w:highlight w:val="none"/>
                <w:u w:val="none"/>
                <w:lang w:val="en-US" w:eastAsia="zh-CN"/>
              </w:rPr>
            </w:pPr>
            <w:r>
              <w:rPr>
                <w:rFonts w:hint="default" w:ascii="Times New Roman" w:hAnsi="Times New Roman" w:cs="Times New Roman"/>
                <w:b w:val="0"/>
                <w:bCs w:val="0"/>
                <w:color w:val="000000"/>
                <w:sz w:val="24"/>
                <w:szCs w:val="24"/>
                <w:highlight w:val="none"/>
                <w:u w:val="none"/>
                <w:lang w:val="en-US" w:eastAsia="zh-CN"/>
              </w:rPr>
              <w:t>引风管的风速经验值为15-20m/s，本项目取18m/s。</w:t>
            </w:r>
          </w:p>
          <w:p>
            <w:pPr>
              <w:pStyle w:val="51"/>
              <w:spacing w:line="360" w:lineRule="auto"/>
              <w:ind w:firstLine="422"/>
              <w:rPr>
                <w:rFonts w:hint="default" w:ascii="Times New Roman" w:hAnsi="Times New Roman" w:cs="Times New Roman"/>
                <w:b w:val="0"/>
                <w:bCs w:val="0"/>
                <w:color w:val="000000"/>
                <w:sz w:val="24"/>
                <w:szCs w:val="24"/>
                <w:highlight w:val="none"/>
                <w:u w:val="none"/>
                <w:lang w:val="en-US" w:eastAsia="zh-CN"/>
              </w:rPr>
            </w:pPr>
            <w:r>
              <w:rPr>
                <w:rFonts w:hint="default" w:ascii="Times New Roman" w:hAnsi="Times New Roman" w:cs="Times New Roman"/>
                <w:b w:val="0"/>
                <w:bCs w:val="0"/>
                <w:color w:val="000000"/>
                <w:sz w:val="24"/>
                <w:szCs w:val="24"/>
                <w:highlight w:val="none"/>
                <w:u w:val="none"/>
                <w:lang w:val="en-US" w:eastAsia="zh-CN"/>
              </w:rPr>
              <w:t>根据公式：风量=面积</w:t>
            </w:r>
            <w:r>
              <w:rPr>
                <w:rFonts w:hint="default" w:ascii="Times New Roman" w:hAnsi="Times New Roman" w:cs="Times New Roman"/>
                <w:b w:val="0"/>
                <w:bCs w:val="0"/>
                <w:color w:val="auto"/>
                <w:sz w:val="24"/>
                <w:highlight w:val="none"/>
                <w:u w:val="none" w:color="auto"/>
              </w:rPr>
              <w:t>×</w:t>
            </w:r>
            <w:r>
              <w:rPr>
                <w:rFonts w:hint="default" w:ascii="Times New Roman" w:hAnsi="Times New Roman" w:cs="Times New Roman"/>
                <w:b w:val="0"/>
                <w:bCs w:val="0"/>
                <w:color w:val="000000"/>
                <w:sz w:val="24"/>
                <w:szCs w:val="24"/>
                <w:highlight w:val="none"/>
                <w:u w:val="none"/>
                <w:lang w:val="en-US" w:eastAsia="zh-CN"/>
              </w:rPr>
              <w:t>风速</w:t>
            </w:r>
            <w:r>
              <w:rPr>
                <w:rFonts w:hint="default" w:ascii="Times New Roman" w:hAnsi="Times New Roman" w:cs="Times New Roman"/>
                <w:b w:val="0"/>
                <w:bCs w:val="0"/>
                <w:color w:val="auto"/>
                <w:sz w:val="24"/>
                <w:highlight w:val="none"/>
                <w:u w:val="none" w:color="auto"/>
              </w:rPr>
              <w:t>×</w:t>
            </w:r>
            <w:r>
              <w:rPr>
                <w:rFonts w:hint="default" w:ascii="Times New Roman" w:hAnsi="Times New Roman" w:cs="Times New Roman"/>
                <w:b w:val="0"/>
                <w:bCs w:val="0"/>
                <w:color w:val="000000"/>
                <w:sz w:val="24"/>
                <w:szCs w:val="24"/>
                <w:highlight w:val="none"/>
                <w:u w:val="none"/>
                <w:lang w:val="en-US" w:eastAsia="zh-CN"/>
              </w:rPr>
              <w:t>3600s，计算得引风管的面积为0.</w:t>
            </w:r>
            <w:r>
              <w:rPr>
                <w:rFonts w:hint="eastAsia" w:cs="Times New Roman"/>
                <w:b w:val="0"/>
                <w:bCs w:val="0"/>
                <w:color w:val="000000"/>
                <w:sz w:val="24"/>
                <w:szCs w:val="24"/>
                <w:highlight w:val="none"/>
                <w:u w:val="none"/>
                <w:lang w:val="en-US" w:eastAsia="zh-CN"/>
              </w:rPr>
              <w:t>1543</w:t>
            </w:r>
            <w:r>
              <w:rPr>
                <w:rFonts w:hint="default" w:ascii="Times New Roman" w:hAnsi="Times New Roman" w:cs="Times New Roman"/>
                <w:b w:val="0"/>
                <w:bCs w:val="0"/>
                <w:color w:val="000000"/>
                <w:sz w:val="24"/>
                <w:szCs w:val="24"/>
                <w:highlight w:val="none"/>
                <w:u w:val="none"/>
                <w:lang w:val="en-US" w:eastAsia="zh-CN"/>
              </w:rPr>
              <w:t>m</w:t>
            </w:r>
            <w:r>
              <w:rPr>
                <w:rFonts w:hint="default" w:ascii="Times New Roman" w:hAnsi="Times New Roman" w:cs="Times New Roman"/>
                <w:b w:val="0"/>
                <w:bCs w:val="0"/>
                <w:color w:val="000000"/>
                <w:sz w:val="24"/>
                <w:szCs w:val="24"/>
                <w:highlight w:val="none"/>
                <w:u w:val="none"/>
                <w:vertAlign w:val="superscript"/>
                <w:lang w:val="en-US" w:eastAsia="zh-CN"/>
              </w:rPr>
              <w:t>2</w:t>
            </w:r>
            <w:r>
              <w:rPr>
                <w:rFonts w:hint="default" w:ascii="Times New Roman" w:hAnsi="Times New Roman" w:cs="Times New Roman"/>
                <w:b w:val="0"/>
                <w:bCs w:val="0"/>
                <w:color w:val="000000"/>
                <w:sz w:val="24"/>
                <w:szCs w:val="24"/>
                <w:highlight w:val="none"/>
                <w:u w:val="none"/>
                <w:lang w:val="en-US" w:eastAsia="zh-CN"/>
              </w:rPr>
              <w:t>，引风管的半径为</w:t>
            </w:r>
            <w:r>
              <w:rPr>
                <w:rFonts w:hint="eastAsia" w:cs="Times New Roman"/>
                <w:b w:val="0"/>
                <w:bCs w:val="0"/>
                <w:color w:val="000000"/>
                <w:sz w:val="24"/>
                <w:szCs w:val="24"/>
                <w:highlight w:val="none"/>
                <w:u w:val="none"/>
                <w:lang w:val="en-US" w:eastAsia="zh-CN"/>
              </w:rPr>
              <w:t>221</w:t>
            </w:r>
            <w:r>
              <w:rPr>
                <w:rFonts w:hint="default" w:ascii="Times New Roman" w:hAnsi="Times New Roman" w:cs="Times New Roman"/>
                <w:b w:val="0"/>
                <w:bCs w:val="0"/>
                <w:color w:val="000000"/>
                <w:sz w:val="24"/>
                <w:szCs w:val="24"/>
                <w:highlight w:val="none"/>
                <w:u w:val="none"/>
                <w:lang w:val="en-US" w:eastAsia="zh-CN"/>
              </w:rPr>
              <w:t>mm（直径</w:t>
            </w:r>
            <w:r>
              <w:rPr>
                <w:rFonts w:hint="eastAsia" w:cs="Times New Roman"/>
                <w:b w:val="0"/>
                <w:bCs w:val="0"/>
                <w:color w:val="000000"/>
                <w:sz w:val="24"/>
                <w:szCs w:val="24"/>
                <w:highlight w:val="none"/>
                <w:u w:val="none"/>
                <w:lang w:val="en-US" w:eastAsia="zh-CN"/>
              </w:rPr>
              <w:t>442</w:t>
            </w:r>
            <w:r>
              <w:rPr>
                <w:rFonts w:hint="default" w:ascii="Times New Roman" w:hAnsi="Times New Roman" w:cs="Times New Roman"/>
                <w:b w:val="0"/>
                <w:bCs w:val="0"/>
                <w:color w:val="000000"/>
                <w:sz w:val="24"/>
                <w:szCs w:val="24"/>
                <w:highlight w:val="none"/>
                <w:u w:val="none"/>
                <w:lang w:val="en-US" w:eastAsia="zh-CN"/>
              </w:rPr>
              <w:t>mm）。</w:t>
            </w:r>
          </w:p>
          <w:p>
            <w:pPr>
              <w:pStyle w:val="51"/>
              <w:spacing w:line="360" w:lineRule="auto"/>
              <w:ind w:firstLine="422"/>
              <w:rPr>
                <w:rFonts w:hint="default" w:ascii="Times New Roman" w:hAnsi="Times New Roman" w:cs="Times New Roman"/>
                <w:b w:val="0"/>
                <w:bCs w:val="0"/>
                <w:strike w:val="0"/>
                <w:dstrike w:val="0"/>
                <w:sz w:val="24"/>
                <w:szCs w:val="24"/>
                <w:highlight w:val="none"/>
                <w:u w:val="none"/>
                <w:lang w:eastAsia="zh-CN"/>
              </w:rPr>
            </w:pPr>
            <w:r>
              <w:rPr>
                <w:rFonts w:hint="default" w:ascii="Times New Roman" w:hAnsi="Times New Roman" w:cs="Times New Roman"/>
                <w:b w:val="0"/>
                <w:bCs w:val="0"/>
                <w:color w:val="000000"/>
                <w:sz w:val="24"/>
                <w:szCs w:val="24"/>
                <w:highlight w:val="none"/>
                <w:u w:val="none"/>
                <w:lang w:val="en-US" w:eastAsia="zh-CN"/>
              </w:rPr>
              <w:t>综上，本项目封闭的喷粉室废气处理设备的风量取</w:t>
            </w:r>
            <w:r>
              <w:rPr>
                <w:rFonts w:hint="eastAsia" w:cs="Times New Roman"/>
                <w:b w:val="0"/>
                <w:bCs w:val="0"/>
                <w:color w:val="000000"/>
                <w:sz w:val="24"/>
                <w:szCs w:val="24"/>
                <w:highlight w:val="none"/>
                <w:u w:val="none"/>
                <w:lang w:val="en-US" w:eastAsia="zh-CN"/>
              </w:rPr>
              <w:t>10000</w:t>
            </w:r>
            <w:r>
              <w:rPr>
                <w:rFonts w:hint="default" w:ascii="Times New Roman" w:hAnsi="Times New Roman" w:cs="Times New Roman"/>
                <w:b w:val="0"/>
                <w:bCs w:val="0"/>
                <w:color w:val="000000"/>
                <w:sz w:val="24"/>
                <w:szCs w:val="24"/>
                <w:highlight w:val="none"/>
                <w:u w:val="none"/>
                <w:lang w:val="en-US" w:eastAsia="zh-CN"/>
              </w:rPr>
              <w:t>m</w:t>
            </w:r>
            <w:r>
              <w:rPr>
                <w:rFonts w:hint="default" w:ascii="Times New Roman" w:hAnsi="Times New Roman" w:cs="Times New Roman"/>
                <w:b w:val="0"/>
                <w:bCs w:val="0"/>
                <w:color w:val="000000"/>
                <w:sz w:val="24"/>
                <w:szCs w:val="24"/>
                <w:highlight w:val="none"/>
                <w:u w:val="none"/>
                <w:vertAlign w:val="superscript"/>
                <w:lang w:val="en-US" w:eastAsia="zh-CN"/>
              </w:rPr>
              <w:t>3</w:t>
            </w:r>
            <w:r>
              <w:rPr>
                <w:rFonts w:hint="default" w:ascii="Times New Roman" w:hAnsi="Times New Roman" w:cs="Times New Roman"/>
                <w:b w:val="0"/>
                <w:bCs w:val="0"/>
                <w:color w:val="000000"/>
                <w:sz w:val="24"/>
                <w:szCs w:val="24"/>
                <w:highlight w:val="none"/>
                <w:u w:val="none"/>
                <w:lang w:val="en-US" w:eastAsia="zh-CN"/>
              </w:rPr>
              <w:t>/h，引风管的管径应取</w:t>
            </w:r>
            <w:r>
              <w:rPr>
                <w:rFonts w:hint="eastAsia" w:cs="Times New Roman"/>
                <w:b w:val="0"/>
                <w:bCs w:val="0"/>
                <w:color w:val="000000"/>
                <w:sz w:val="24"/>
                <w:szCs w:val="24"/>
                <w:highlight w:val="none"/>
                <w:u w:val="none"/>
                <w:lang w:val="en-US" w:eastAsia="zh-CN"/>
              </w:rPr>
              <w:t>0.5m</w:t>
            </w:r>
            <w:r>
              <w:rPr>
                <w:rFonts w:hint="default" w:ascii="Times New Roman" w:hAnsi="Times New Roman" w:cs="Times New Roman"/>
                <w:b w:val="0"/>
                <w:bCs w:val="0"/>
                <w:color w:val="000000"/>
                <w:sz w:val="24"/>
                <w:szCs w:val="24"/>
                <w:highlight w:val="none"/>
                <w:u w:val="none"/>
                <w:lang w:val="en-US" w:eastAsia="zh-CN"/>
              </w:rPr>
              <w:t>。</w:t>
            </w:r>
          </w:p>
          <w:p>
            <w:pPr>
              <w:spacing w:line="360" w:lineRule="auto"/>
              <w:ind w:firstLine="482" w:firstLineChars="200"/>
              <w:rPr>
                <w:b/>
                <w:bCs/>
                <w:color w:val="000000" w:themeColor="text1"/>
                <w:sz w:val="24"/>
                <w:szCs w:val="32"/>
                <w:highlight w:val="none"/>
                <w:u w:val="single"/>
                <w14:textFill>
                  <w14:solidFill>
                    <w14:schemeClr w14:val="tx1"/>
                  </w14:solidFill>
                </w14:textFill>
              </w:rPr>
            </w:pPr>
            <w:r>
              <w:rPr>
                <w:rFonts w:hint="default" w:ascii="Times New Roman" w:hAnsi="Times New Roman" w:cs="Times New Roman"/>
                <w:b/>
                <w:bCs/>
                <w:strike w:val="0"/>
                <w:dstrike w:val="0"/>
                <w:color w:val="000000"/>
                <w:sz w:val="24"/>
                <w:szCs w:val="24"/>
                <w:highlight w:val="none"/>
                <w:u w:val="single"/>
                <w:lang w:val="en-US" w:eastAsia="zh-CN"/>
              </w:rPr>
              <w:t>喷粉工序颗粒物产生量为</w:t>
            </w:r>
            <w:r>
              <w:rPr>
                <w:rFonts w:hint="eastAsia" w:cs="Times New Roman"/>
                <w:b/>
                <w:bCs/>
                <w:strike w:val="0"/>
                <w:dstrike w:val="0"/>
                <w:color w:val="000000"/>
                <w:sz w:val="24"/>
                <w:szCs w:val="24"/>
                <w:highlight w:val="none"/>
                <w:u w:val="single"/>
                <w:lang w:val="en-US" w:eastAsia="zh-CN"/>
              </w:rPr>
              <w:t>3.6</w:t>
            </w:r>
            <w:r>
              <w:rPr>
                <w:rFonts w:hint="default" w:ascii="Times New Roman" w:hAnsi="Times New Roman" w:cs="Times New Roman"/>
                <w:b/>
                <w:bCs/>
                <w:strike w:val="0"/>
                <w:dstrike w:val="0"/>
                <w:color w:val="000000"/>
                <w:sz w:val="24"/>
                <w:szCs w:val="24"/>
                <w:highlight w:val="none"/>
                <w:u w:val="single"/>
                <w:lang w:val="en-US" w:eastAsia="zh-CN"/>
              </w:rPr>
              <w:t>t/a，</w:t>
            </w:r>
            <w:r>
              <w:rPr>
                <w:rFonts w:hint="default" w:ascii="Times New Roman" w:hAnsi="Times New Roman" w:eastAsia="宋体" w:cs="Times New Roman"/>
                <w:b/>
                <w:bCs/>
                <w:color w:val="000000"/>
                <w:sz w:val="24"/>
                <w:szCs w:val="24"/>
                <w:highlight w:val="none"/>
                <w:u w:val="single"/>
                <w:lang w:val="en-US" w:eastAsia="zh-CN"/>
              </w:rPr>
              <w:t>项目风机</w:t>
            </w:r>
            <w:r>
              <w:rPr>
                <w:rFonts w:hint="default" w:ascii="Times New Roman" w:hAnsi="Times New Roman" w:eastAsia="宋体" w:cs="Times New Roman"/>
                <w:b/>
                <w:bCs/>
                <w:color w:val="000000"/>
                <w:sz w:val="24"/>
                <w:szCs w:val="24"/>
                <w:highlight w:val="none"/>
                <w:u w:val="single"/>
                <w:shd w:val="clear" w:color="auto" w:fill="auto"/>
                <w:lang w:val="en-US" w:eastAsia="zh-CN"/>
              </w:rPr>
              <w:t>风量为</w:t>
            </w:r>
            <w:r>
              <w:rPr>
                <w:rFonts w:hint="eastAsia" w:cs="Times New Roman"/>
                <w:b/>
                <w:bCs/>
                <w:color w:val="000000"/>
                <w:sz w:val="24"/>
                <w:szCs w:val="24"/>
                <w:highlight w:val="none"/>
                <w:u w:val="single"/>
                <w:shd w:val="clear" w:color="auto" w:fill="auto"/>
                <w:lang w:val="en-US" w:eastAsia="zh-CN"/>
              </w:rPr>
              <w:t>10000</w:t>
            </w:r>
            <w:r>
              <w:rPr>
                <w:rFonts w:hint="default" w:ascii="Times New Roman" w:hAnsi="Times New Roman" w:eastAsia="宋体" w:cs="Times New Roman"/>
                <w:b/>
                <w:bCs/>
                <w:color w:val="000000"/>
                <w:sz w:val="24"/>
                <w:szCs w:val="24"/>
                <w:highlight w:val="none"/>
                <w:u w:val="single"/>
                <w:shd w:val="clear" w:color="auto" w:fill="auto"/>
                <w:lang w:val="en-US" w:eastAsia="zh-CN"/>
              </w:rPr>
              <w:t>m</w:t>
            </w:r>
            <w:r>
              <w:rPr>
                <w:rFonts w:hint="default" w:ascii="Times New Roman" w:hAnsi="Times New Roman" w:eastAsia="宋体" w:cs="Times New Roman"/>
                <w:b/>
                <w:bCs/>
                <w:color w:val="000000"/>
                <w:sz w:val="24"/>
                <w:szCs w:val="24"/>
                <w:highlight w:val="none"/>
                <w:u w:val="single"/>
                <w:shd w:val="clear" w:color="auto" w:fill="auto"/>
                <w:vertAlign w:val="superscript"/>
                <w:lang w:val="en-US" w:eastAsia="zh-CN"/>
              </w:rPr>
              <w:t>3</w:t>
            </w:r>
            <w:r>
              <w:rPr>
                <w:rFonts w:hint="default" w:ascii="Times New Roman" w:hAnsi="Times New Roman" w:eastAsia="宋体" w:cs="Times New Roman"/>
                <w:b/>
                <w:bCs/>
                <w:color w:val="000000"/>
                <w:sz w:val="24"/>
                <w:szCs w:val="24"/>
                <w:highlight w:val="none"/>
                <w:u w:val="single"/>
                <w:shd w:val="clear" w:color="auto" w:fill="auto"/>
                <w:lang w:val="en-US" w:eastAsia="zh-CN"/>
              </w:rPr>
              <w:t>/h</w:t>
            </w:r>
            <w:r>
              <w:rPr>
                <w:rFonts w:hint="default" w:ascii="Times New Roman" w:hAnsi="Times New Roman" w:eastAsia="宋体" w:cs="Times New Roman"/>
                <w:b/>
                <w:bCs/>
                <w:color w:val="000000"/>
                <w:sz w:val="24"/>
                <w:szCs w:val="24"/>
                <w:highlight w:val="none"/>
                <w:u w:val="single"/>
                <w:lang w:val="en-US" w:eastAsia="zh-CN"/>
              </w:rPr>
              <w:t>，年工作时间</w:t>
            </w:r>
            <w:r>
              <w:rPr>
                <w:rFonts w:hint="eastAsia" w:cs="Times New Roman"/>
                <w:b/>
                <w:bCs/>
                <w:color w:val="000000"/>
                <w:sz w:val="24"/>
                <w:szCs w:val="24"/>
                <w:highlight w:val="none"/>
                <w:u w:val="single"/>
                <w:lang w:val="en-US" w:eastAsia="zh-CN"/>
              </w:rPr>
              <w:t>1200</w:t>
            </w:r>
            <w:r>
              <w:rPr>
                <w:rFonts w:hint="default" w:ascii="Times New Roman" w:hAnsi="Times New Roman" w:eastAsia="宋体" w:cs="Times New Roman"/>
                <w:b/>
                <w:bCs/>
                <w:color w:val="000000"/>
                <w:sz w:val="24"/>
                <w:szCs w:val="24"/>
                <w:highlight w:val="none"/>
                <w:u w:val="single"/>
                <w:lang w:val="en-US" w:eastAsia="zh-CN"/>
              </w:rPr>
              <w:t>h，</w:t>
            </w:r>
            <w:r>
              <w:rPr>
                <w:rFonts w:hint="default" w:ascii="Times New Roman" w:hAnsi="Times New Roman" w:cs="Times New Roman"/>
                <w:b/>
                <w:bCs/>
                <w:color w:val="000000"/>
                <w:sz w:val="24"/>
                <w:szCs w:val="24"/>
                <w:highlight w:val="none"/>
                <w:u w:val="single"/>
                <w:lang w:val="en-US" w:eastAsia="zh-CN"/>
              </w:rPr>
              <w:t>喷粉</w:t>
            </w:r>
            <w:r>
              <w:rPr>
                <w:rFonts w:hint="default" w:ascii="Times New Roman" w:hAnsi="Times New Roman" w:eastAsia="宋体" w:cs="Times New Roman"/>
                <w:b/>
                <w:bCs/>
                <w:color w:val="000000"/>
                <w:sz w:val="24"/>
                <w:szCs w:val="24"/>
                <w:highlight w:val="none"/>
                <w:u w:val="single"/>
                <w:lang w:val="en-US" w:eastAsia="zh-CN"/>
              </w:rPr>
              <w:t>颗粒物有组织产生量为</w:t>
            </w:r>
            <w:r>
              <w:rPr>
                <w:rFonts w:hint="eastAsia" w:cs="Times New Roman"/>
                <w:b/>
                <w:bCs/>
                <w:color w:val="000000"/>
                <w:sz w:val="24"/>
                <w:szCs w:val="24"/>
                <w:highlight w:val="none"/>
                <w:u w:val="single"/>
                <w:lang w:val="en-US" w:eastAsia="zh-CN"/>
              </w:rPr>
              <w:t>3.6</w:t>
            </w:r>
            <w:r>
              <w:rPr>
                <w:rFonts w:hint="default" w:ascii="Times New Roman" w:hAnsi="Times New Roman" w:eastAsia="宋体" w:cs="Times New Roman"/>
                <w:b/>
                <w:bCs/>
                <w:color w:val="000000"/>
                <w:sz w:val="24"/>
                <w:szCs w:val="24"/>
                <w:highlight w:val="none"/>
                <w:u w:val="single"/>
                <w:lang w:val="en-US" w:eastAsia="zh-CN"/>
              </w:rPr>
              <w:t>t/a，</w:t>
            </w:r>
            <w:r>
              <w:rPr>
                <w:rFonts w:hint="default" w:ascii="Times New Roman" w:hAnsi="Times New Roman" w:cs="Times New Roman"/>
                <w:b/>
                <w:bCs/>
                <w:strike w:val="0"/>
                <w:dstrike w:val="0"/>
                <w:color w:val="000000"/>
                <w:sz w:val="24"/>
                <w:szCs w:val="24"/>
                <w:highlight w:val="none"/>
                <w:u w:val="single"/>
                <w:lang w:val="en-US" w:eastAsia="zh-CN"/>
              </w:rPr>
              <w:t>产生速率为</w:t>
            </w:r>
            <w:r>
              <w:rPr>
                <w:rFonts w:hint="eastAsia" w:cs="Times New Roman"/>
                <w:b/>
                <w:bCs/>
                <w:strike w:val="0"/>
                <w:dstrike w:val="0"/>
                <w:color w:val="000000"/>
                <w:sz w:val="24"/>
                <w:szCs w:val="24"/>
                <w:highlight w:val="none"/>
                <w:u w:val="single"/>
                <w:lang w:val="en-US" w:eastAsia="zh-CN"/>
              </w:rPr>
              <w:t>3.0</w:t>
            </w:r>
            <w:r>
              <w:rPr>
                <w:rFonts w:hint="default" w:ascii="Times New Roman" w:hAnsi="Times New Roman" w:eastAsia="宋体" w:cs="Times New Roman"/>
                <w:b/>
                <w:bCs/>
                <w:strike w:val="0"/>
                <w:dstrike w:val="0"/>
                <w:color w:val="000000"/>
                <w:sz w:val="24"/>
                <w:szCs w:val="24"/>
                <w:highlight w:val="none"/>
                <w:u w:val="single"/>
                <w:lang w:val="en-US" w:eastAsia="zh-CN"/>
              </w:rPr>
              <w:t>kg/h</w:t>
            </w:r>
            <w:r>
              <w:rPr>
                <w:rFonts w:hint="default" w:ascii="Times New Roman" w:hAnsi="Times New Roman" w:cs="Times New Roman"/>
                <w:b/>
                <w:bCs/>
                <w:strike w:val="0"/>
                <w:dstrike w:val="0"/>
                <w:color w:val="000000"/>
                <w:sz w:val="24"/>
                <w:szCs w:val="24"/>
                <w:highlight w:val="none"/>
                <w:u w:val="single"/>
                <w:lang w:val="en-US" w:eastAsia="zh-CN"/>
              </w:rPr>
              <w:t>，产生浓度为</w:t>
            </w:r>
            <w:r>
              <w:rPr>
                <w:rFonts w:hint="eastAsia" w:cs="Times New Roman"/>
                <w:b/>
                <w:bCs/>
                <w:strike w:val="0"/>
                <w:dstrike w:val="0"/>
                <w:color w:val="000000"/>
                <w:sz w:val="24"/>
                <w:szCs w:val="24"/>
                <w:highlight w:val="none"/>
                <w:u w:val="single"/>
                <w:lang w:val="en-US" w:eastAsia="zh-CN"/>
              </w:rPr>
              <w:t>300</w:t>
            </w:r>
            <w:r>
              <w:rPr>
                <w:rFonts w:hint="default" w:ascii="Times New Roman" w:hAnsi="Times New Roman" w:eastAsia="宋体" w:cs="Times New Roman"/>
                <w:b/>
                <w:bCs/>
                <w:strike w:val="0"/>
                <w:dstrike w:val="0"/>
                <w:color w:val="000000"/>
                <w:sz w:val="24"/>
                <w:szCs w:val="24"/>
                <w:highlight w:val="none"/>
                <w:u w:val="single"/>
                <w:lang w:val="en-US" w:eastAsia="zh-CN"/>
              </w:rPr>
              <w:t>mg/m</w:t>
            </w:r>
            <w:r>
              <w:rPr>
                <w:rFonts w:hint="default" w:ascii="Times New Roman" w:hAnsi="Times New Roman" w:cs="Times New Roman"/>
                <w:b/>
                <w:bCs/>
                <w:strike w:val="0"/>
                <w:dstrike w:val="0"/>
                <w:color w:val="000000"/>
                <w:sz w:val="24"/>
                <w:szCs w:val="24"/>
                <w:highlight w:val="none"/>
                <w:u w:val="single"/>
                <w:vertAlign w:val="superscript"/>
                <w:lang w:val="en-US" w:eastAsia="zh-CN"/>
              </w:rPr>
              <w:t>3</w:t>
            </w:r>
            <w:r>
              <w:rPr>
                <w:rFonts w:hint="default" w:ascii="Times New Roman" w:hAnsi="Times New Roman" w:cs="Times New Roman"/>
                <w:b/>
                <w:bCs/>
                <w:strike w:val="0"/>
                <w:dstrike w:val="0"/>
                <w:color w:val="000000"/>
                <w:sz w:val="24"/>
                <w:szCs w:val="24"/>
                <w:highlight w:val="none"/>
                <w:u w:val="single"/>
                <w:lang w:val="en-US" w:eastAsia="zh-CN"/>
              </w:rPr>
              <w:t>，除尘器的除尘效率按99%计，</w:t>
            </w:r>
            <w:r>
              <w:rPr>
                <w:rFonts w:hint="default" w:ascii="Times New Roman" w:hAnsi="Times New Roman" w:eastAsia="宋体" w:cs="Times New Roman"/>
                <w:b/>
                <w:bCs/>
                <w:strike w:val="0"/>
                <w:dstrike w:val="0"/>
                <w:color w:val="000000"/>
                <w:sz w:val="24"/>
                <w:szCs w:val="24"/>
                <w:highlight w:val="none"/>
                <w:u w:val="single"/>
                <w:lang w:val="en-US" w:eastAsia="zh-CN"/>
              </w:rPr>
              <w:t>则项目</w:t>
            </w:r>
            <w:r>
              <w:rPr>
                <w:rFonts w:hint="default" w:ascii="Times New Roman" w:hAnsi="Times New Roman" w:cs="Times New Roman"/>
                <w:b/>
                <w:bCs/>
                <w:strike w:val="0"/>
                <w:dstrike w:val="0"/>
                <w:color w:val="000000"/>
                <w:sz w:val="24"/>
                <w:szCs w:val="24"/>
                <w:highlight w:val="none"/>
                <w:u w:val="single"/>
                <w:lang w:val="en-US" w:eastAsia="zh-CN"/>
              </w:rPr>
              <w:t>颗粒物</w:t>
            </w:r>
            <w:r>
              <w:rPr>
                <w:rFonts w:hint="default" w:ascii="Times New Roman" w:hAnsi="Times New Roman" w:eastAsia="宋体" w:cs="Times New Roman"/>
                <w:b/>
                <w:bCs/>
                <w:strike w:val="0"/>
                <w:dstrike w:val="0"/>
                <w:color w:val="000000"/>
                <w:sz w:val="24"/>
                <w:szCs w:val="24"/>
                <w:highlight w:val="none"/>
                <w:u w:val="single"/>
                <w:lang w:val="en-US" w:eastAsia="zh-CN"/>
              </w:rPr>
              <w:t>有组织排放量为</w:t>
            </w:r>
            <w:r>
              <w:rPr>
                <w:rFonts w:hint="eastAsia" w:cs="Times New Roman"/>
                <w:b/>
                <w:bCs/>
                <w:strike w:val="0"/>
                <w:dstrike w:val="0"/>
                <w:color w:val="000000"/>
                <w:sz w:val="24"/>
                <w:szCs w:val="24"/>
                <w:highlight w:val="none"/>
                <w:u w:val="single"/>
                <w:lang w:val="en-US" w:eastAsia="zh-CN"/>
              </w:rPr>
              <w:t>0.036</w:t>
            </w:r>
            <w:r>
              <w:rPr>
                <w:rFonts w:hint="default" w:ascii="Times New Roman" w:hAnsi="Times New Roman" w:eastAsia="宋体" w:cs="Times New Roman"/>
                <w:b/>
                <w:bCs/>
                <w:strike w:val="0"/>
                <w:dstrike w:val="0"/>
                <w:color w:val="000000"/>
                <w:sz w:val="24"/>
                <w:szCs w:val="24"/>
                <w:highlight w:val="none"/>
                <w:u w:val="single"/>
                <w:lang w:val="en-US" w:eastAsia="zh-CN"/>
              </w:rPr>
              <w:t>t/a，排放速率为</w:t>
            </w:r>
            <w:r>
              <w:rPr>
                <w:rFonts w:hint="default" w:ascii="Times New Roman" w:hAnsi="Times New Roman" w:cs="Times New Roman"/>
                <w:b/>
                <w:bCs/>
                <w:strike w:val="0"/>
                <w:dstrike w:val="0"/>
                <w:color w:val="000000"/>
                <w:sz w:val="24"/>
                <w:szCs w:val="24"/>
                <w:highlight w:val="none"/>
                <w:u w:val="single"/>
                <w:lang w:val="en-US" w:eastAsia="zh-CN"/>
              </w:rPr>
              <w:t>0.</w:t>
            </w:r>
            <w:r>
              <w:rPr>
                <w:rFonts w:hint="eastAsia" w:cs="Times New Roman"/>
                <w:b/>
                <w:bCs/>
                <w:strike w:val="0"/>
                <w:dstrike w:val="0"/>
                <w:color w:val="000000"/>
                <w:sz w:val="24"/>
                <w:szCs w:val="24"/>
                <w:highlight w:val="none"/>
                <w:u w:val="single"/>
                <w:lang w:val="en-US" w:eastAsia="zh-CN"/>
              </w:rPr>
              <w:t>03</w:t>
            </w:r>
            <w:r>
              <w:rPr>
                <w:rFonts w:hint="default" w:ascii="Times New Roman" w:hAnsi="Times New Roman" w:eastAsia="宋体" w:cs="Times New Roman"/>
                <w:b/>
                <w:bCs/>
                <w:strike w:val="0"/>
                <w:dstrike w:val="0"/>
                <w:color w:val="000000"/>
                <w:sz w:val="24"/>
                <w:szCs w:val="24"/>
                <w:highlight w:val="none"/>
                <w:u w:val="single"/>
                <w:lang w:val="en-US" w:eastAsia="zh-CN"/>
              </w:rPr>
              <w:t>kg/h，排放浓度为</w:t>
            </w:r>
            <w:r>
              <w:rPr>
                <w:rFonts w:hint="eastAsia" w:cs="Times New Roman"/>
                <w:b/>
                <w:bCs/>
                <w:strike w:val="0"/>
                <w:dstrike w:val="0"/>
                <w:color w:val="000000"/>
                <w:sz w:val="24"/>
                <w:szCs w:val="24"/>
                <w:highlight w:val="none"/>
                <w:u w:val="single"/>
                <w:lang w:val="en-US" w:eastAsia="zh-CN"/>
              </w:rPr>
              <w:t>3.0</w:t>
            </w:r>
            <w:r>
              <w:rPr>
                <w:rFonts w:hint="default" w:ascii="Times New Roman" w:hAnsi="Times New Roman" w:eastAsia="宋体" w:cs="Times New Roman"/>
                <w:b/>
                <w:bCs/>
                <w:strike w:val="0"/>
                <w:dstrike w:val="0"/>
                <w:color w:val="000000"/>
                <w:sz w:val="24"/>
                <w:szCs w:val="24"/>
                <w:highlight w:val="none"/>
                <w:u w:val="single"/>
                <w:lang w:val="en-US" w:eastAsia="zh-CN"/>
              </w:rPr>
              <w:t>mg/m</w:t>
            </w:r>
            <w:r>
              <w:rPr>
                <w:rFonts w:hint="default" w:ascii="Times New Roman" w:hAnsi="Times New Roman" w:eastAsia="宋体" w:cs="Times New Roman"/>
                <w:b/>
                <w:bCs/>
                <w:strike w:val="0"/>
                <w:dstrike w:val="0"/>
                <w:color w:val="000000"/>
                <w:sz w:val="24"/>
                <w:szCs w:val="24"/>
                <w:highlight w:val="none"/>
                <w:u w:val="single"/>
                <w:vertAlign w:val="superscript"/>
                <w:lang w:val="en-US" w:eastAsia="zh-CN"/>
              </w:rPr>
              <w:t>3</w:t>
            </w:r>
            <w:r>
              <w:rPr>
                <w:rFonts w:hint="default" w:ascii="Times New Roman" w:hAnsi="Times New Roman" w:cs="Times New Roman"/>
                <w:b/>
                <w:bCs/>
                <w:strike w:val="0"/>
                <w:dstrike w:val="0"/>
                <w:color w:val="000000"/>
                <w:sz w:val="24"/>
                <w:szCs w:val="24"/>
                <w:highlight w:val="none"/>
                <w:u w:val="single"/>
                <w:lang w:val="en-US" w:eastAsia="zh-CN"/>
              </w:rPr>
              <w:t>。</w:t>
            </w:r>
          </w:p>
          <w:p>
            <w:pPr>
              <w:numPr>
                <w:ilvl w:val="0"/>
                <w:numId w:val="6"/>
              </w:numPr>
              <w:spacing w:line="360" w:lineRule="auto"/>
              <w:ind w:firstLine="480" w:firstLineChars="200"/>
              <w:rPr>
                <w:color w:val="000000" w:themeColor="text1"/>
                <w:sz w:val="24"/>
                <w:szCs w:val="32"/>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固化工序有机废气、液化气燃烧废气处理及排放情况</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b w:val="0"/>
                <w:bCs w:val="0"/>
                <w:strike w:val="0"/>
                <w:dstrike w:val="0"/>
                <w:color w:val="auto"/>
                <w:sz w:val="24"/>
                <w:szCs w:val="24"/>
                <w:highlight w:val="none"/>
                <w:u w:val="none"/>
                <w:lang w:val="en-US" w:eastAsia="zh-CN"/>
              </w:rPr>
            </w:pPr>
            <w:r>
              <w:rPr>
                <w:rFonts w:hint="default" w:ascii="Times New Roman" w:hAnsi="Times New Roman" w:cs="Times New Roman"/>
                <w:b w:val="0"/>
                <w:bCs w:val="0"/>
                <w:strike w:val="0"/>
                <w:dstrike w:val="0"/>
                <w:color w:val="000000"/>
                <w:sz w:val="24"/>
                <w:szCs w:val="24"/>
                <w:highlight w:val="none"/>
                <w:u w:val="none"/>
                <w:lang w:val="en-US" w:eastAsia="zh-CN"/>
              </w:rPr>
              <w:t>本项目</w:t>
            </w:r>
            <w:r>
              <w:rPr>
                <w:rFonts w:hint="eastAsia" w:ascii="Times New Roman" w:hAnsi="Times New Roman" w:cs="Times New Roman"/>
                <w:b w:val="0"/>
                <w:bCs w:val="0"/>
                <w:strike w:val="0"/>
                <w:dstrike w:val="0"/>
                <w:color w:val="000000"/>
                <w:sz w:val="24"/>
                <w:szCs w:val="24"/>
                <w:highlight w:val="none"/>
                <w:u w:val="none"/>
                <w:lang w:val="en-US" w:eastAsia="zh-CN"/>
              </w:rPr>
              <w:t>有1台烘干设备，烘干设备进出口共用同一个口，用于工件进出，故企业拟在烘干设备进出口侧上方设1个集气罩收集废气，</w:t>
            </w:r>
            <w:r>
              <w:rPr>
                <w:rFonts w:hint="default" w:ascii="Times New Roman" w:hAnsi="Times New Roman" w:eastAsia="宋体" w:cs="Times New Roman"/>
                <w:b w:val="0"/>
                <w:bCs w:val="0"/>
                <w:strike w:val="0"/>
                <w:dstrike w:val="0"/>
                <w:color w:val="000000"/>
                <w:sz w:val="24"/>
                <w:szCs w:val="24"/>
                <w:highlight w:val="none"/>
                <w:u w:val="none"/>
                <w:lang w:val="en-US" w:eastAsia="zh-CN"/>
              </w:rPr>
              <w:t>收集的有机废气</w:t>
            </w:r>
            <w:r>
              <w:rPr>
                <w:rFonts w:hint="default" w:ascii="Times New Roman" w:hAnsi="Times New Roman" w:eastAsia="宋体" w:cs="Times New Roman"/>
                <w:b w:val="0"/>
                <w:bCs w:val="0"/>
                <w:strike w:val="0"/>
                <w:dstrike w:val="0"/>
                <w:color w:val="000000"/>
                <w:sz w:val="24"/>
                <w:szCs w:val="24"/>
                <w:highlight w:val="none"/>
                <w:u w:val="none"/>
                <w:shd w:val="clear" w:color="auto" w:fill="auto"/>
                <w:lang w:val="en-US" w:eastAsia="zh-CN"/>
              </w:rPr>
              <w:t>非甲烷总烃经管道引</w:t>
            </w:r>
            <w:r>
              <w:rPr>
                <w:rFonts w:hint="eastAsia" w:ascii="Times New Roman" w:hAnsi="Times New Roman" w:cs="Times New Roman"/>
                <w:b w:val="0"/>
                <w:bCs w:val="0"/>
                <w:strike w:val="0"/>
                <w:dstrike w:val="0"/>
                <w:color w:val="000000"/>
                <w:sz w:val="24"/>
                <w:szCs w:val="24"/>
                <w:highlight w:val="none"/>
                <w:u w:val="none"/>
                <w:shd w:val="clear" w:color="auto" w:fill="auto"/>
                <w:lang w:val="en-US" w:eastAsia="zh-CN"/>
              </w:rPr>
              <w:t>至</w:t>
            </w:r>
            <w:r>
              <w:rPr>
                <w:rFonts w:hint="default" w:ascii="Times New Roman" w:hAnsi="Times New Roman" w:cs="Times New Roman"/>
                <w:b w:val="0"/>
                <w:bCs w:val="0"/>
                <w:strike w:val="0"/>
                <w:dstrike w:val="0"/>
                <w:color w:val="auto"/>
                <w:sz w:val="24"/>
                <w:szCs w:val="24"/>
                <w:highlight w:val="none"/>
                <w:u w:val="none"/>
                <w:lang w:val="en-US" w:eastAsia="zh-CN"/>
              </w:rPr>
              <w:t>UV光</w:t>
            </w:r>
            <w:r>
              <w:rPr>
                <w:rFonts w:hint="eastAsia" w:cs="Times New Roman"/>
                <w:b w:val="0"/>
                <w:bCs w:val="0"/>
                <w:strike w:val="0"/>
                <w:dstrike w:val="0"/>
                <w:color w:val="auto"/>
                <w:sz w:val="24"/>
                <w:szCs w:val="24"/>
                <w:highlight w:val="none"/>
                <w:u w:val="none"/>
                <w:lang w:val="en-US" w:eastAsia="zh-CN"/>
              </w:rPr>
              <w:t>氧+活性炭吸附装置</w:t>
            </w:r>
            <w:r>
              <w:rPr>
                <w:rFonts w:hint="default" w:ascii="Times New Roman" w:hAnsi="Times New Roman" w:eastAsia="宋体" w:cs="Times New Roman"/>
                <w:b w:val="0"/>
                <w:bCs w:val="0"/>
                <w:strike w:val="0"/>
                <w:dstrike w:val="0"/>
                <w:color w:val="000000"/>
                <w:sz w:val="24"/>
                <w:szCs w:val="24"/>
                <w:highlight w:val="none"/>
                <w:u w:val="none"/>
                <w:shd w:val="clear" w:color="auto" w:fill="auto"/>
                <w:lang w:val="en-US" w:eastAsia="zh-CN"/>
              </w:rPr>
              <w:t>处理后由</w:t>
            </w:r>
            <w:r>
              <w:rPr>
                <w:rFonts w:hint="eastAsia" w:ascii="Times New Roman" w:hAnsi="Times New Roman" w:cs="Times New Roman"/>
                <w:b w:val="0"/>
                <w:bCs w:val="0"/>
                <w:strike w:val="0"/>
                <w:dstrike w:val="0"/>
                <w:color w:val="000000"/>
                <w:sz w:val="24"/>
                <w:szCs w:val="24"/>
                <w:highlight w:val="none"/>
                <w:u w:val="none"/>
                <w:shd w:val="clear" w:color="auto" w:fill="auto"/>
                <w:lang w:val="en-US" w:eastAsia="zh-CN"/>
              </w:rPr>
              <w:t>3#15</w:t>
            </w:r>
            <w:r>
              <w:rPr>
                <w:rFonts w:hint="default" w:ascii="Times New Roman" w:hAnsi="Times New Roman" w:eastAsia="宋体" w:cs="Times New Roman"/>
                <w:b w:val="0"/>
                <w:bCs w:val="0"/>
                <w:strike w:val="0"/>
                <w:dstrike w:val="0"/>
                <w:color w:val="000000"/>
                <w:sz w:val="24"/>
                <w:szCs w:val="24"/>
                <w:highlight w:val="none"/>
                <w:u w:val="none"/>
                <w:shd w:val="clear" w:color="auto" w:fill="auto"/>
                <w:lang w:val="en-US" w:eastAsia="zh-CN"/>
              </w:rPr>
              <w:t>米高排气筒</w:t>
            </w:r>
            <w:r>
              <w:rPr>
                <w:rFonts w:hint="eastAsia" w:ascii="Times New Roman" w:hAnsi="Times New Roman" w:cs="Times New Roman"/>
                <w:b w:val="0"/>
                <w:bCs w:val="0"/>
                <w:strike w:val="0"/>
                <w:dstrike w:val="0"/>
                <w:color w:val="000000"/>
                <w:sz w:val="24"/>
                <w:szCs w:val="24"/>
                <w:highlight w:val="none"/>
                <w:u w:val="none"/>
                <w:shd w:val="clear" w:color="auto" w:fill="auto"/>
                <w:lang w:val="en-US" w:eastAsia="zh-CN"/>
              </w:rPr>
              <w:t>（</w:t>
            </w:r>
            <w:r>
              <w:rPr>
                <w:rFonts w:hint="default" w:ascii="Times New Roman" w:hAnsi="Times New Roman" w:eastAsia="宋体" w:cs="Times New Roman"/>
                <w:b w:val="0"/>
                <w:bCs w:val="0"/>
                <w:strike w:val="0"/>
                <w:dstrike w:val="0"/>
                <w:color w:val="auto"/>
                <w:sz w:val="24"/>
                <w:szCs w:val="24"/>
                <w:highlight w:val="none"/>
                <w:u w:val="none"/>
                <w:lang w:val="en-US" w:eastAsia="zh-CN"/>
              </w:rPr>
              <w:t>编号为DA00</w:t>
            </w:r>
            <w:r>
              <w:rPr>
                <w:rFonts w:hint="eastAsia" w:ascii="Times New Roman" w:hAnsi="Times New Roman" w:cs="Times New Roman"/>
                <w:b w:val="0"/>
                <w:bCs w:val="0"/>
                <w:strike w:val="0"/>
                <w:dstrike w:val="0"/>
                <w:color w:val="auto"/>
                <w:sz w:val="24"/>
                <w:szCs w:val="24"/>
                <w:highlight w:val="none"/>
                <w:u w:val="none"/>
                <w:lang w:val="en-US" w:eastAsia="zh-CN"/>
              </w:rPr>
              <w:t>3</w:t>
            </w:r>
            <w:r>
              <w:rPr>
                <w:rFonts w:hint="eastAsia" w:ascii="Times New Roman" w:hAnsi="Times New Roman" w:cs="Times New Roman"/>
                <w:b w:val="0"/>
                <w:bCs w:val="0"/>
                <w:strike w:val="0"/>
                <w:dstrike w:val="0"/>
                <w:color w:val="000000"/>
                <w:sz w:val="24"/>
                <w:szCs w:val="24"/>
                <w:highlight w:val="none"/>
                <w:u w:val="none"/>
                <w:shd w:val="clear" w:color="auto" w:fill="auto"/>
                <w:lang w:val="en-US" w:eastAsia="zh-CN"/>
              </w:rPr>
              <w:t>）</w:t>
            </w:r>
            <w:r>
              <w:rPr>
                <w:rFonts w:hint="default" w:ascii="Times New Roman" w:hAnsi="Times New Roman" w:eastAsia="宋体" w:cs="Times New Roman"/>
                <w:b w:val="0"/>
                <w:bCs w:val="0"/>
                <w:strike w:val="0"/>
                <w:dstrike w:val="0"/>
                <w:color w:val="000000"/>
                <w:sz w:val="24"/>
                <w:szCs w:val="24"/>
                <w:highlight w:val="none"/>
                <w:u w:val="none"/>
                <w:shd w:val="clear" w:color="auto" w:fill="auto"/>
                <w:lang w:val="en-US" w:eastAsia="zh-CN"/>
              </w:rPr>
              <w:t>排放</w:t>
            </w:r>
            <w:r>
              <w:rPr>
                <w:rFonts w:hint="eastAsia" w:ascii="Times New Roman" w:hAnsi="Times New Roman" w:cs="Times New Roman"/>
                <w:b w:val="0"/>
                <w:bCs w:val="0"/>
                <w:strike w:val="0"/>
                <w:dstrike w:val="0"/>
                <w:color w:val="000000"/>
                <w:sz w:val="24"/>
                <w:szCs w:val="24"/>
                <w:highlight w:val="none"/>
                <w:u w:val="none"/>
                <w:shd w:val="clear" w:color="auto" w:fill="auto"/>
                <w:lang w:val="en-US" w:eastAsia="zh-CN"/>
              </w:rPr>
              <w:t>。</w:t>
            </w:r>
          </w:p>
          <w:p>
            <w:pPr>
              <w:spacing w:line="360" w:lineRule="auto"/>
              <w:ind w:firstLine="480" w:firstLineChars="200"/>
              <w:rPr>
                <w:rFonts w:hint="default" w:ascii="Times New Roman" w:hAnsi="Times New Roman" w:cs="Times New Roman"/>
                <w:b/>
                <w:bCs/>
                <w:color w:val="auto"/>
                <w:sz w:val="24"/>
                <w:highlight w:val="none"/>
                <w:u w:val="single" w:color="auto"/>
              </w:rPr>
            </w:pPr>
            <w:r>
              <w:rPr>
                <w:rFonts w:hint="default" w:ascii="Times New Roman" w:hAnsi="Times New Roman" w:eastAsia="宋体" w:cs="Times New Roman"/>
                <w:b w:val="0"/>
                <w:bCs w:val="0"/>
                <w:strike w:val="0"/>
                <w:dstrike w:val="0"/>
                <w:color w:val="000000"/>
                <w:sz w:val="24"/>
                <w:szCs w:val="24"/>
                <w:highlight w:val="none"/>
                <w:u w:val="none"/>
                <w:lang w:val="en-US" w:eastAsia="zh-CN"/>
              </w:rPr>
              <w:t>本项目设置</w:t>
            </w:r>
            <w:r>
              <w:rPr>
                <w:rFonts w:hint="eastAsia" w:ascii="Times New Roman" w:hAnsi="Times New Roman" w:cs="Times New Roman"/>
                <w:b w:val="0"/>
                <w:bCs w:val="0"/>
                <w:strike w:val="0"/>
                <w:dstrike w:val="0"/>
                <w:color w:val="000000"/>
                <w:sz w:val="24"/>
                <w:szCs w:val="24"/>
                <w:highlight w:val="none"/>
                <w:u w:val="none"/>
                <w:lang w:val="en-US" w:eastAsia="zh-CN"/>
              </w:rPr>
              <w:t>1</w:t>
            </w:r>
            <w:r>
              <w:rPr>
                <w:rFonts w:hint="default" w:ascii="Times New Roman" w:hAnsi="Times New Roman" w:eastAsia="宋体" w:cs="Times New Roman"/>
                <w:b w:val="0"/>
                <w:bCs w:val="0"/>
                <w:strike w:val="0"/>
                <w:dstrike w:val="0"/>
                <w:color w:val="000000"/>
                <w:sz w:val="24"/>
                <w:szCs w:val="24"/>
                <w:highlight w:val="none"/>
                <w:u w:val="none"/>
                <w:lang w:val="en-US" w:eastAsia="zh-CN"/>
              </w:rPr>
              <w:t>个集气罩，单个集气罩的规格为</w:t>
            </w:r>
            <w:r>
              <w:rPr>
                <w:rFonts w:hint="eastAsia" w:cs="Times New Roman"/>
                <w:b w:val="0"/>
                <w:bCs w:val="0"/>
                <w:strike w:val="0"/>
                <w:dstrike w:val="0"/>
                <w:color w:val="000000"/>
                <w:sz w:val="24"/>
                <w:szCs w:val="24"/>
                <w:highlight w:val="none"/>
                <w:u w:val="none"/>
                <w:lang w:val="en-US" w:eastAsia="zh-CN"/>
              </w:rPr>
              <w:t>2</w:t>
            </w:r>
            <w:r>
              <w:rPr>
                <w:rFonts w:hint="default" w:ascii="Times New Roman" w:hAnsi="Times New Roman" w:eastAsia="宋体" w:cs="Times New Roman"/>
                <w:b w:val="0"/>
                <w:bCs w:val="0"/>
                <w:strike w:val="0"/>
                <w:dstrike w:val="0"/>
                <w:color w:val="000000"/>
                <w:sz w:val="24"/>
                <w:szCs w:val="24"/>
                <w:highlight w:val="none"/>
                <w:u w:val="none"/>
                <w:lang w:val="en-US" w:eastAsia="zh-CN"/>
              </w:rPr>
              <w:t>m×</w:t>
            </w:r>
            <w:r>
              <w:rPr>
                <w:rFonts w:hint="eastAsia" w:ascii="Times New Roman" w:hAnsi="Times New Roman" w:cs="Times New Roman"/>
                <w:b w:val="0"/>
                <w:bCs w:val="0"/>
                <w:strike w:val="0"/>
                <w:dstrike w:val="0"/>
                <w:color w:val="000000"/>
                <w:sz w:val="24"/>
                <w:szCs w:val="24"/>
                <w:highlight w:val="none"/>
                <w:u w:val="none"/>
                <w:lang w:val="en-US" w:eastAsia="zh-CN"/>
              </w:rPr>
              <w:t>0.</w:t>
            </w:r>
            <w:r>
              <w:rPr>
                <w:rFonts w:hint="eastAsia" w:cs="Times New Roman"/>
                <w:b w:val="0"/>
                <w:bCs w:val="0"/>
                <w:strike w:val="0"/>
                <w:dstrike w:val="0"/>
                <w:color w:val="000000"/>
                <w:sz w:val="24"/>
                <w:szCs w:val="24"/>
                <w:highlight w:val="none"/>
                <w:u w:val="none"/>
                <w:lang w:val="en-US" w:eastAsia="zh-CN"/>
              </w:rPr>
              <w:t>8</w:t>
            </w:r>
            <w:r>
              <w:rPr>
                <w:rFonts w:hint="default" w:ascii="Times New Roman" w:hAnsi="Times New Roman" w:eastAsia="宋体" w:cs="Times New Roman"/>
                <w:b w:val="0"/>
                <w:bCs w:val="0"/>
                <w:strike w:val="0"/>
                <w:dstrike w:val="0"/>
                <w:color w:val="000000"/>
                <w:sz w:val="24"/>
                <w:szCs w:val="24"/>
                <w:highlight w:val="none"/>
                <w:u w:val="none"/>
                <w:lang w:val="en-US" w:eastAsia="zh-CN"/>
              </w:rPr>
              <w:t>m。</w:t>
            </w:r>
            <w:r>
              <w:rPr>
                <w:rFonts w:hint="default" w:ascii="Times New Roman" w:hAnsi="Times New Roman" w:cs="Times New Roman"/>
                <w:b/>
                <w:bCs/>
                <w:color w:val="auto"/>
                <w:sz w:val="24"/>
                <w:highlight w:val="none"/>
                <w:u w:val="single" w:color="auto"/>
              </w:rPr>
              <w:t>根据《大气污染控制工程》（第三版）中集气罩风量计算公式：</w:t>
            </w:r>
          </w:p>
          <w:p>
            <w:pPr>
              <w:spacing w:line="360" w:lineRule="auto"/>
              <w:ind w:firstLine="843" w:firstLineChars="350"/>
              <w:rPr>
                <w:rFonts w:hint="default" w:ascii="Times New Roman" w:hAnsi="Times New Roman" w:cs="Times New Roman"/>
                <w:b/>
                <w:bCs/>
                <w:color w:val="auto"/>
                <w:sz w:val="24"/>
                <w:highlight w:val="none"/>
                <w:u w:val="single" w:color="auto"/>
              </w:rPr>
            </w:pPr>
            <w:r>
              <w:rPr>
                <w:rFonts w:hint="default" w:ascii="Times New Roman" w:hAnsi="Times New Roman" w:cs="Times New Roman"/>
                <w:b/>
                <w:bCs/>
                <w:color w:val="auto"/>
                <w:sz w:val="24"/>
                <w:highlight w:val="none"/>
                <w:u w:val="single" w:color="auto"/>
              </w:rPr>
              <w:t>Q=0.75（10X</w:t>
            </w:r>
            <w:r>
              <w:rPr>
                <w:rFonts w:hint="default" w:ascii="Times New Roman" w:hAnsi="Times New Roman" w:cs="Times New Roman"/>
                <w:b/>
                <w:bCs/>
                <w:color w:val="auto"/>
                <w:sz w:val="24"/>
                <w:highlight w:val="none"/>
                <w:u w:val="single" w:color="auto"/>
                <w:vertAlign w:val="superscript"/>
              </w:rPr>
              <w:t>2</w:t>
            </w:r>
            <w:r>
              <w:rPr>
                <w:rFonts w:hint="default" w:ascii="Times New Roman" w:hAnsi="Times New Roman" w:cs="Times New Roman"/>
                <w:b/>
                <w:bCs/>
                <w:color w:val="auto"/>
                <w:sz w:val="24"/>
                <w:highlight w:val="none"/>
                <w:u w:val="single" w:color="auto"/>
              </w:rPr>
              <w:t>+A）×V</w:t>
            </w:r>
            <w:r>
              <w:rPr>
                <w:rFonts w:hint="default" w:ascii="Times New Roman" w:hAnsi="Times New Roman" w:cs="Times New Roman"/>
                <w:b/>
                <w:bCs/>
                <w:color w:val="auto"/>
                <w:sz w:val="24"/>
                <w:highlight w:val="none"/>
                <w:u w:val="single" w:color="auto"/>
                <w:vertAlign w:val="subscript"/>
              </w:rPr>
              <w:t>X</w:t>
            </w:r>
          </w:p>
          <w:p>
            <w:pPr>
              <w:spacing w:line="360" w:lineRule="auto"/>
              <w:ind w:firstLine="723" w:firstLineChars="300"/>
              <w:rPr>
                <w:rFonts w:hint="default" w:ascii="Times New Roman" w:hAnsi="Times New Roman" w:cs="Times New Roman"/>
                <w:b/>
                <w:bCs/>
                <w:color w:val="auto"/>
                <w:sz w:val="24"/>
                <w:highlight w:val="none"/>
                <w:u w:val="single" w:color="auto"/>
              </w:rPr>
            </w:pPr>
            <w:r>
              <w:rPr>
                <w:rFonts w:hint="default" w:ascii="Times New Roman" w:hAnsi="Times New Roman" w:cs="Times New Roman"/>
                <w:b/>
                <w:bCs/>
                <w:color w:val="auto"/>
                <w:sz w:val="24"/>
                <w:highlight w:val="none"/>
                <w:u w:val="single" w:color="auto"/>
              </w:rPr>
              <w:t>式中：Q---集气罩排风量，m</w:t>
            </w:r>
            <w:r>
              <w:rPr>
                <w:rFonts w:hint="default" w:ascii="Times New Roman" w:hAnsi="Times New Roman" w:cs="Times New Roman"/>
                <w:b/>
                <w:bCs/>
                <w:color w:val="auto"/>
                <w:sz w:val="24"/>
                <w:highlight w:val="none"/>
                <w:u w:val="single" w:color="auto"/>
                <w:vertAlign w:val="superscript"/>
              </w:rPr>
              <w:t>3</w:t>
            </w:r>
            <w:r>
              <w:rPr>
                <w:rFonts w:hint="default" w:ascii="Times New Roman" w:hAnsi="Times New Roman" w:cs="Times New Roman"/>
                <w:b/>
                <w:bCs/>
                <w:color w:val="auto"/>
                <w:sz w:val="24"/>
                <w:highlight w:val="none"/>
                <w:u w:val="single" w:color="auto"/>
              </w:rPr>
              <w:t>/s；</w:t>
            </w:r>
          </w:p>
          <w:p>
            <w:pPr>
              <w:spacing w:line="360" w:lineRule="auto"/>
              <w:ind w:firstLine="1446" w:firstLineChars="600"/>
              <w:rPr>
                <w:rFonts w:hint="default" w:ascii="Times New Roman" w:hAnsi="Times New Roman" w:eastAsia="宋体" w:cs="Times New Roman"/>
                <w:b/>
                <w:bCs/>
                <w:color w:val="auto"/>
                <w:kern w:val="0"/>
                <w:sz w:val="24"/>
                <w:highlight w:val="none"/>
                <w:u w:val="single" w:color="auto"/>
                <w:lang w:val="en-US" w:eastAsia="zh-CN"/>
              </w:rPr>
            </w:pPr>
            <w:r>
              <w:rPr>
                <w:rFonts w:hint="default" w:ascii="Times New Roman" w:hAnsi="Times New Roman" w:cs="Times New Roman"/>
                <w:b/>
                <w:bCs/>
                <w:color w:val="auto"/>
                <w:kern w:val="0"/>
                <w:sz w:val="24"/>
                <w:highlight w:val="none"/>
                <w:u w:val="single" w:color="auto"/>
              </w:rPr>
              <w:t>X---污染物产生点至集气罩口的距离，m；</w:t>
            </w:r>
            <w:r>
              <w:rPr>
                <w:rFonts w:hint="eastAsia" w:cs="Times New Roman"/>
                <w:b/>
                <w:bCs/>
                <w:color w:val="auto"/>
                <w:kern w:val="0"/>
                <w:sz w:val="24"/>
                <w:highlight w:val="none"/>
                <w:u w:val="single" w:color="auto"/>
                <w:lang w:val="en-US" w:eastAsia="zh-CN"/>
              </w:rPr>
              <w:t>取0.25；</w:t>
            </w:r>
          </w:p>
          <w:p>
            <w:pPr>
              <w:spacing w:line="360" w:lineRule="auto"/>
              <w:ind w:firstLine="1446" w:firstLineChars="600"/>
              <w:rPr>
                <w:rFonts w:hint="default" w:ascii="Times New Roman" w:hAnsi="Times New Roman" w:cs="Times New Roman"/>
                <w:b/>
                <w:bCs/>
                <w:color w:val="auto"/>
                <w:kern w:val="0"/>
                <w:sz w:val="24"/>
                <w:highlight w:val="none"/>
                <w:u w:val="single" w:color="auto"/>
              </w:rPr>
            </w:pPr>
            <w:r>
              <w:rPr>
                <w:rFonts w:hint="default" w:ascii="Times New Roman" w:hAnsi="Times New Roman" w:cs="Times New Roman"/>
                <w:b/>
                <w:bCs/>
                <w:color w:val="auto"/>
                <w:kern w:val="0"/>
                <w:sz w:val="24"/>
                <w:highlight w:val="none"/>
                <w:u w:val="single" w:color="auto"/>
              </w:rPr>
              <w:t>A---集气罩口面积，m</w:t>
            </w:r>
            <w:r>
              <w:rPr>
                <w:rFonts w:hint="default" w:ascii="Times New Roman" w:hAnsi="Times New Roman" w:cs="Times New Roman"/>
                <w:b/>
                <w:bCs/>
                <w:color w:val="auto"/>
                <w:kern w:val="0"/>
                <w:sz w:val="24"/>
                <w:highlight w:val="none"/>
                <w:u w:val="single" w:color="auto"/>
                <w:vertAlign w:val="superscript"/>
              </w:rPr>
              <w:t>2</w:t>
            </w:r>
            <w:r>
              <w:rPr>
                <w:rFonts w:hint="default" w:ascii="Times New Roman" w:hAnsi="Times New Roman" w:cs="Times New Roman"/>
                <w:b/>
                <w:bCs/>
                <w:color w:val="auto"/>
                <w:kern w:val="0"/>
                <w:sz w:val="24"/>
                <w:highlight w:val="none"/>
                <w:u w:val="single" w:color="auto"/>
              </w:rPr>
              <w:t>，集气罩口面积见下表；</w:t>
            </w:r>
          </w:p>
          <w:p>
            <w:pPr>
              <w:pStyle w:val="51"/>
              <w:keepNext w:val="0"/>
              <w:keepLines w:val="0"/>
              <w:pageBreakBefore w:val="0"/>
              <w:widowControl w:val="0"/>
              <w:kinsoku/>
              <w:wordWrap/>
              <w:overflowPunct/>
              <w:topLinePunct w:val="0"/>
              <w:autoSpaceDE/>
              <w:autoSpaceDN/>
              <w:bidi w:val="0"/>
              <w:adjustRightInd/>
              <w:snapToGrid/>
              <w:spacing w:line="360" w:lineRule="auto"/>
              <w:ind w:firstLine="1446" w:firstLineChars="600"/>
              <w:textAlignment w:val="auto"/>
              <w:rPr>
                <w:rFonts w:hint="default" w:eastAsia="宋体"/>
                <w:b w:val="0"/>
                <w:bCs w:val="0"/>
                <w:strike w:val="0"/>
                <w:dstrike w:val="0"/>
                <w:sz w:val="24"/>
                <w:szCs w:val="24"/>
                <w:highlight w:val="cyan"/>
                <w:u w:val="none"/>
                <w:lang w:val="en-US" w:eastAsia="zh-CN"/>
              </w:rPr>
            </w:pPr>
            <w:r>
              <w:rPr>
                <w:rFonts w:hint="default" w:ascii="Times New Roman" w:hAnsi="Times New Roman" w:cs="Times New Roman"/>
                <w:b/>
                <w:bCs/>
                <w:color w:val="auto"/>
                <w:kern w:val="0"/>
                <w:sz w:val="24"/>
                <w:highlight w:val="none"/>
                <w:u w:val="single" w:color="auto"/>
              </w:rPr>
              <w:t>V</w:t>
            </w:r>
            <w:r>
              <w:rPr>
                <w:rFonts w:hint="default" w:ascii="Times New Roman" w:hAnsi="Times New Roman" w:cs="Times New Roman"/>
                <w:b/>
                <w:bCs/>
                <w:color w:val="auto"/>
                <w:kern w:val="0"/>
                <w:sz w:val="24"/>
                <w:highlight w:val="none"/>
                <w:u w:val="single" w:color="auto"/>
                <w:vertAlign w:val="subscript"/>
              </w:rPr>
              <w:t>X</w:t>
            </w:r>
            <w:r>
              <w:rPr>
                <w:rFonts w:hint="default" w:ascii="Times New Roman" w:hAnsi="Times New Roman" w:cs="Times New Roman"/>
                <w:b/>
                <w:bCs/>
                <w:color w:val="auto"/>
                <w:kern w:val="0"/>
                <w:sz w:val="24"/>
                <w:highlight w:val="none"/>
                <w:u w:val="single" w:color="auto"/>
              </w:rPr>
              <w:t>---最小控制风速，m/s</w:t>
            </w:r>
            <w:r>
              <w:rPr>
                <w:rFonts w:hint="eastAsia" w:cs="Times New Roman"/>
                <w:b/>
                <w:bCs/>
                <w:color w:val="auto"/>
                <w:kern w:val="0"/>
                <w:sz w:val="24"/>
                <w:highlight w:val="none"/>
                <w:u w:val="single" w:color="auto"/>
                <w:lang w:eastAsia="zh-CN"/>
              </w:rPr>
              <w:t>，</w:t>
            </w:r>
            <w:r>
              <w:rPr>
                <w:rFonts w:hint="eastAsia" w:cs="Times New Roman"/>
                <w:b/>
                <w:bCs/>
                <w:color w:val="auto"/>
                <w:kern w:val="0"/>
                <w:sz w:val="24"/>
                <w:highlight w:val="none"/>
                <w:u w:val="single" w:color="auto"/>
                <w:lang w:val="en-US" w:eastAsia="zh-CN"/>
              </w:rPr>
              <w:t>本项目污染物放散情况为以很缓慢的速度放散到相当平静的空气中，一般取0.25-0.5m/s，本项目取0.45</w:t>
            </w:r>
          </w:p>
          <w:p>
            <w:pPr>
              <w:pStyle w:val="51"/>
              <w:spacing w:line="360" w:lineRule="auto"/>
              <w:ind w:left="1202" w:leftChars="228" w:hanging="723" w:hangingChars="300"/>
              <w:rPr>
                <w:rFonts w:hint="default" w:ascii="Times New Roman" w:hAnsi="Times New Roman" w:cs="Times New Roman"/>
                <w:b/>
                <w:bCs/>
                <w:strike w:val="0"/>
                <w:dstrike w:val="0"/>
                <w:sz w:val="24"/>
                <w:szCs w:val="24"/>
                <w:highlight w:val="none"/>
                <w:u w:val="single" w:color="auto"/>
                <w:lang w:eastAsia="zh-CN"/>
              </w:rPr>
            </w:pPr>
            <w:r>
              <w:rPr>
                <w:rFonts w:hint="eastAsia"/>
                <w:b/>
                <w:bCs/>
                <w:strike w:val="0"/>
                <w:dstrike w:val="0"/>
                <w:sz w:val="24"/>
                <w:szCs w:val="24"/>
                <w:highlight w:val="none"/>
                <w:u w:val="single" w:color="auto"/>
                <w:lang w:eastAsia="zh-CN"/>
              </w:rPr>
              <w:t>综上，本项目</w:t>
            </w:r>
            <w:r>
              <w:rPr>
                <w:rFonts w:hint="eastAsia" w:ascii="Times New Roman" w:hAnsi="Times New Roman" w:cs="Times New Roman"/>
                <w:b/>
                <w:bCs/>
                <w:strike w:val="0"/>
                <w:dstrike w:val="0"/>
                <w:color w:val="000000"/>
                <w:sz w:val="24"/>
                <w:szCs w:val="24"/>
                <w:highlight w:val="none"/>
                <w:u w:val="single" w:color="auto"/>
                <w:lang w:val="en-US" w:eastAsia="zh-CN"/>
              </w:rPr>
              <w:t>烘干</w:t>
            </w:r>
            <w:r>
              <w:rPr>
                <w:rFonts w:hint="eastAsia" w:cs="Times New Roman"/>
                <w:b/>
                <w:bCs/>
                <w:strike w:val="0"/>
                <w:dstrike w:val="0"/>
                <w:color w:val="000000"/>
                <w:sz w:val="24"/>
                <w:szCs w:val="24"/>
                <w:highlight w:val="none"/>
                <w:u w:val="single" w:color="auto"/>
                <w:lang w:val="en-US" w:eastAsia="zh-CN"/>
              </w:rPr>
              <w:t>固化</w:t>
            </w:r>
            <w:r>
              <w:rPr>
                <w:rFonts w:hint="eastAsia" w:ascii="Times New Roman" w:hAnsi="Times New Roman" w:cs="Times New Roman"/>
                <w:b/>
                <w:bCs/>
                <w:strike w:val="0"/>
                <w:dstrike w:val="0"/>
                <w:color w:val="000000"/>
                <w:sz w:val="24"/>
                <w:szCs w:val="24"/>
                <w:highlight w:val="none"/>
                <w:u w:val="single" w:color="auto"/>
                <w:lang w:val="en-US" w:eastAsia="zh-CN"/>
              </w:rPr>
              <w:t>工序</w:t>
            </w:r>
            <w:r>
              <w:rPr>
                <w:rFonts w:hint="default" w:ascii="Times New Roman" w:hAnsi="Times New Roman" w:eastAsia="宋体" w:cs="Times New Roman"/>
                <w:b/>
                <w:bCs/>
                <w:strike w:val="0"/>
                <w:dstrike w:val="0"/>
                <w:color w:val="000000"/>
                <w:sz w:val="24"/>
                <w:szCs w:val="24"/>
                <w:highlight w:val="none"/>
                <w:u w:val="single" w:color="auto"/>
                <w:shd w:val="clear" w:color="auto" w:fill="auto"/>
                <w:lang w:val="en-US" w:eastAsia="zh-CN"/>
              </w:rPr>
              <w:t>集气罩的风量为</w:t>
            </w:r>
            <w:r>
              <w:rPr>
                <w:rFonts w:hint="default" w:ascii="Times New Roman" w:hAnsi="Times New Roman" w:eastAsia="宋体" w:cs="Times New Roman"/>
                <w:b/>
                <w:bCs/>
                <w:strike w:val="0"/>
                <w:dstrike w:val="0"/>
                <w:color w:val="000000"/>
                <w:sz w:val="24"/>
                <w:szCs w:val="24"/>
                <w:highlight w:val="cyan"/>
                <w:u w:val="single" w:color="auto"/>
                <w:shd w:val="clear" w:color="auto" w:fill="auto"/>
                <w:lang w:val="en-US" w:eastAsia="zh-CN"/>
              </w:rPr>
              <w:br w:type="textWrapping"/>
            </w:r>
            <w:r>
              <w:rPr>
                <w:rFonts w:hint="eastAsia" w:cs="Times New Roman"/>
                <w:b/>
                <w:bCs/>
                <w:strike w:val="0"/>
                <w:dstrike w:val="0"/>
                <w:color w:val="000000"/>
                <w:sz w:val="24"/>
                <w:szCs w:val="24"/>
                <w:highlight w:val="none"/>
                <w:u w:val="single" w:color="auto"/>
                <w:shd w:val="clear" w:color="auto" w:fill="auto"/>
                <w:lang w:val="en-US" w:eastAsia="zh-CN"/>
              </w:rPr>
              <w:t>Q=0.75</w:t>
            </w:r>
            <w:r>
              <w:rPr>
                <w:rFonts w:hint="default" w:ascii="Times New Roman" w:hAnsi="Times New Roman" w:cs="Times New Roman"/>
                <w:b/>
                <w:bCs/>
                <w:color w:val="auto"/>
                <w:sz w:val="24"/>
                <w:highlight w:val="none"/>
                <w:u w:val="single" w:color="auto"/>
              </w:rPr>
              <w:t>×</w:t>
            </w:r>
            <w:r>
              <w:rPr>
                <w:rFonts w:hint="eastAsia" w:cs="Times New Roman"/>
                <w:b/>
                <w:bCs/>
                <w:color w:val="auto"/>
                <w:sz w:val="24"/>
                <w:highlight w:val="none"/>
                <w:u w:val="single" w:color="auto"/>
                <w:lang w:eastAsia="zh-CN"/>
              </w:rPr>
              <w:t>（</w:t>
            </w:r>
            <w:r>
              <w:rPr>
                <w:rFonts w:hint="eastAsia" w:cs="Times New Roman"/>
                <w:b/>
                <w:bCs/>
                <w:color w:val="auto"/>
                <w:sz w:val="24"/>
                <w:highlight w:val="none"/>
                <w:u w:val="single" w:color="auto"/>
                <w:lang w:val="en-US" w:eastAsia="zh-CN"/>
              </w:rPr>
              <w:t>10</w:t>
            </w:r>
            <w:r>
              <w:rPr>
                <w:rFonts w:hint="default" w:ascii="Times New Roman" w:hAnsi="Times New Roman" w:cs="Times New Roman"/>
                <w:b/>
                <w:bCs/>
                <w:color w:val="auto"/>
                <w:sz w:val="24"/>
                <w:highlight w:val="none"/>
                <w:u w:val="single" w:color="auto"/>
              </w:rPr>
              <w:t>×</w:t>
            </w:r>
            <w:r>
              <w:rPr>
                <w:rFonts w:hint="eastAsia" w:cs="Times New Roman"/>
                <w:b/>
                <w:bCs/>
                <w:color w:val="auto"/>
                <w:sz w:val="24"/>
                <w:highlight w:val="none"/>
                <w:u w:val="single" w:color="auto"/>
                <w:lang w:val="en-US" w:eastAsia="zh-CN"/>
              </w:rPr>
              <w:t>0.25</w:t>
            </w:r>
            <w:r>
              <w:rPr>
                <w:rFonts w:hint="eastAsia" w:cs="Times New Roman"/>
                <w:b/>
                <w:bCs/>
                <w:color w:val="auto"/>
                <w:sz w:val="24"/>
                <w:highlight w:val="none"/>
                <w:u w:val="single" w:color="auto"/>
                <w:vertAlign w:val="superscript"/>
                <w:lang w:val="en-US" w:eastAsia="zh-CN"/>
              </w:rPr>
              <w:t>2</w:t>
            </w:r>
            <w:r>
              <w:rPr>
                <w:rFonts w:hint="eastAsia" w:cs="Times New Roman"/>
                <w:b/>
                <w:bCs/>
                <w:color w:val="auto"/>
                <w:sz w:val="24"/>
                <w:highlight w:val="none"/>
                <w:u w:val="single" w:color="auto"/>
                <w:vertAlign w:val="baseline"/>
                <w:lang w:val="en-US" w:eastAsia="zh-CN"/>
              </w:rPr>
              <w:t>+1.6</w:t>
            </w:r>
            <w:r>
              <w:rPr>
                <w:rFonts w:hint="eastAsia" w:cs="Times New Roman"/>
                <w:b/>
                <w:bCs/>
                <w:color w:val="auto"/>
                <w:sz w:val="24"/>
                <w:highlight w:val="none"/>
                <w:u w:val="single" w:color="auto"/>
                <w:lang w:eastAsia="zh-CN"/>
              </w:rPr>
              <w:t>）</w:t>
            </w:r>
            <w:r>
              <w:rPr>
                <w:rFonts w:hint="default" w:ascii="Times New Roman" w:hAnsi="Times New Roman" w:cs="Times New Roman"/>
                <w:b/>
                <w:bCs/>
                <w:color w:val="auto"/>
                <w:sz w:val="24"/>
                <w:highlight w:val="none"/>
                <w:u w:val="single" w:color="auto"/>
              </w:rPr>
              <w:t>×</w:t>
            </w:r>
            <w:r>
              <w:rPr>
                <w:rFonts w:hint="eastAsia" w:cs="Times New Roman"/>
                <w:b/>
                <w:bCs/>
                <w:color w:val="auto"/>
                <w:sz w:val="24"/>
                <w:highlight w:val="none"/>
                <w:u w:val="single" w:color="auto"/>
                <w:lang w:val="en-US" w:eastAsia="zh-CN"/>
              </w:rPr>
              <w:t>0.45</w:t>
            </w:r>
            <w:r>
              <w:rPr>
                <w:rFonts w:hint="default" w:ascii="Times New Roman" w:hAnsi="Times New Roman" w:cs="Times New Roman"/>
                <w:b/>
                <w:bCs/>
                <w:color w:val="auto"/>
                <w:sz w:val="24"/>
                <w:highlight w:val="none"/>
                <w:u w:val="single" w:color="auto"/>
              </w:rPr>
              <w:t>×</w:t>
            </w:r>
            <w:r>
              <w:rPr>
                <w:rFonts w:hint="eastAsia" w:cs="Times New Roman"/>
                <w:b/>
                <w:bCs/>
                <w:color w:val="auto"/>
                <w:sz w:val="24"/>
                <w:highlight w:val="none"/>
                <w:u w:val="single" w:color="auto"/>
                <w:lang w:val="en-US" w:eastAsia="zh-CN"/>
              </w:rPr>
              <w:t>3600=</w:t>
            </w:r>
            <w:r>
              <w:rPr>
                <w:rFonts w:hint="eastAsia" w:cs="Times New Roman"/>
                <w:b/>
                <w:bCs/>
                <w:strike w:val="0"/>
                <w:dstrike w:val="0"/>
                <w:color w:val="000000"/>
                <w:sz w:val="24"/>
                <w:szCs w:val="24"/>
                <w:highlight w:val="none"/>
                <w:u w:val="single" w:color="auto"/>
                <w:shd w:val="clear" w:color="auto" w:fill="auto"/>
                <w:lang w:val="en-US" w:eastAsia="zh-CN"/>
              </w:rPr>
              <w:t>2703</w:t>
            </w:r>
            <w:r>
              <w:rPr>
                <w:rFonts w:hint="default" w:ascii="Times New Roman" w:hAnsi="Times New Roman" w:cs="Times New Roman"/>
                <w:b/>
                <w:bCs/>
                <w:strike w:val="0"/>
                <w:dstrike w:val="0"/>
                <w:sz w:val="24"/>
                <w:szCs w:val="24"/>
                <w:highlight w:val="none"/>
                <w:u w:val="single" w:color="auto"/>
              </w:rPr>
              <w:t>m</w:t>
            </w:r>
            <w:r>
              <w:rPr>
                <w:rFonts w:hint="default" w:ascii="Times New Roman" w:hAnsi="Times New Roman" w:cs="Times New Roman"/>
                <w:b/>
                <w:bCs/>
                <w:strike w:val="0"/>
                <w:dstrike w:val="0"/>
                <w:sz w:val="24"/>
                <w:szCs w:val="24"/>
                <w:highlight w:val="none"/>
                <w:u w:val="single" w:color="auto"/>
                <w:vertAlign w:val="superscript"/>
              </w:rPr>
              <w:t>3</w:t>
            </w:r>
            <w:r>
              <w:rPr>
                <w:rFonts w:hint="default" w:ascii="Times New Roman" w:hAnsi="Times New Roman" w:cs="Times New Roman"/>
                <w:b/>
                <w:bCs/>
                <w:strike w:val="0"/>
                <w:dstrike w:val="0"/>
                <w:sz w:val="24"/>
                <w:szCs w:val="24"/>
                <w:highlight w:val="none"/>
                <w:u w:val="single" w:color="auto"/>
              </w:rPr>
              <w:t>/h</w:t>
            </w:r>
            <w:r>
              <w:rPr>
                <w:rFonts w:hint="default" w:ascii="Times New Roman" w:hAnsi="Times New Roman" w:cs="Times New Roman"/>
                <w:b/>
                <w:bCs/>
                <w:strike w:val="0"/>
                <w:dstrike w:val="0"/>
                <w:sz w:val="24"/>
                <w:szCs w:val="24"/>
                <w:highlight w:val="none"/>
                <w:u w:val="single" w:color="auto"/>
                <w:lang w:eastAsia="zh-CN"/>
              </w:rPr>
              <w:t>，由于管道等风阻原因，故本项目设计风机风量为</w:t>
            </w:r>
            <w:r>
              <w:rPr>
                <w:rFonts w:hint="eastAsia" w:cs="Times New Roman"/>
                <w:b/>
                <w:bCs/>
                <w:strike w:val="0"/>
                <w:dstrike w:val="0"/>
                <w:sz w:val="24"/>
                <w:szCs w:val="24"/>
                <w:highlight w:val="none"/>
                <w:u w:val="single" w:color="auto"/>
                <w:lang w:val="en-US" w:eastAsia="zh-CN"/>
              </w:rPr>
              <w:t>3000</w:t>
            </w:r>
            <w:r>
              <w:rPr>
                <w:rFonts w:hint="default" w:ascii="Times New Roman" w:hAnsi="Times New Roman" w:cs="Times New Roman"/>
                <w:b/>
                <w:bCs/>
                <w:strike w:val="0"/>
                <w:dstrike w:val="0"/>
                <w:sz w:val="24"/>
                <w:szCs w:val="24"/>
                <w:highlight w:val="none"/>
                <w:u w:val="single" w:color="auto"/>
                <w:lang w:eastAsia="zh-CN"/>
              </w:rPr>
              <w:t>m</w:t>
            </w:r>
            <w:r>
              <w:rPr>
                <w:rFonts w:hint="default" w:ascii="Times New Roman" w:hAnsi="Times New Roman" w:cs="Times New Roman"/>
                <w:b/>
                <w:bCs/>
                <w:strike w:val="0"/>
                <w:dstrike w:val="0"/>
                <w:sz w:val="24"/>
                <w:szCs w:val="24"/>
                <w:highlight w:val="none"/>
                <w:u w:val="single" w:color="auto"/>
                <w:vertAlign w:val="superscript"/>
                <w:lang w:eastAsia="zh-CN"/>
              </w:rPr>
              <w:t>3</w:t>
            </w:r>
            <w:r>
              <w:rPr>
                <w:rFonts w:hint="default" w:ascii="Times New Roman" w:hAnsi="Times New Roman" w:cs="Times New Roman"/>
                <w:b/>
                <w:bCs/>
                <w:strike w:val="0"/>
                <w:dstrike w:val="0"/>
                <w:sz w:val="24"/>
                <w:szCs w:val="24"/>
                <w:highlight w:val="none"/>
                <w:u w:val="single" w:color="auto"/>
                <w:lang w:eastAsia="zh-CN"/>
              </w:rPr>
              <w:t>/h，可满足废气收集要求。</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outlineLvl w:val="0"/>
              <w:rPr>
                <w:rFonts w:hint="eastAsia" w:ascii="Times New Roman" w:hAnsi="Times New Roman" w:eastAsia="宋体" w:cs="Times New Roman"/>
                <w:b w:val="0"/>
                <w:bCs w:val="0"/>
                <w:strike w:val="0"/>
                <w:dstrike w:val="0"/>
                <w:color w:val="000000"/>
                <w:sz w:val="24"/>
                <w:szCs w:val="24"/>
                <w:highlight w:val="none"/>
                <w:u w:val="none"/>
                <w:lang w:val="en-US" w:eastAsia="zh-CN"/>
              </w:rPr>
            </w:pPr>
            <w:r>
              <w:rPr>
                <w:rFonts w:hint="default" w:ascii="Times New Roman" w:hAnsi="Times New Roman" w:eastAsia="宋体" w:cs="Times New Roman"/>
                <w:b/>
                <w:bCs/>
                <w:strike w:val="0"/>
                <w:dstrike w:val="0"/>
                <w:color w:val="000000"/>
                <w:sz w:val="24"/>
                <w:szCs w:val="24"/>
                <w:highlight w:val="none"/>
                <w:u w:val="single" w:color="auto"/>
                <w:lang w:val="en-US" w:eastAsia="zh-CN"/>
              </w:rPr>
              <w:t>项目风机</w:t>
            </w:r>
            <w:r>
              <w:rPr>
                <w:rFonts w:hint="default" w:ascii="Times New Roman" w:hAnsi="Times New Roman" w:eastAsia="宋体" w:cs="Times New Roman"/>
                <w:b/>
                <w:bCs/>
                <w:strike w:val="0"/>
                <w:dstrike w:val="0"/>
                <w:color w:val="000000"/>
                <w:sz w:val="24"/>
                <w:szCs w:val="24"/>
                <w:highlight w:val="none"/>
                <w:u w:val="single" w:color="auto"/>
                <w:shd w:val="clear" w:color="auto" w:fill="auto"/>
                <w:lang w:val="en-US" w:eastAsia="zh-CN"/>
              </w:rPr>
              <w:t>风量为</w:t>
            </w:r>
            <w:r>
              <w:rPr>
                <w:rFonts w:hint="eastAsia" w:ascii="Times New Roman" w:hAnsi="Times New Roman" w:cs="Times New Roman"/>
                <w:b/>
                <w:bCs/>
                <w:strike w:val="0"/>
                <w:dstrike w:val="0"/>
                <w:color w:val="000000"/>
                <w:sz w:val="24"/>
                <w:szCs w:val="24"/>
                <w:highlight w:val="none"/>
                <w:u w:val="single" w:color="auto"/>
                <w:shd w:val="clear" w:color="auto" w:fill="auto"/>
                <w:lang w:val="en-US" w:eastAsia="zh-CN"/>
              </w:rPr>
              <w:t>3000</w:t>
            </w:r>
            <w:r>
              <w:rPr>
                <w:rFonts w:hint="default" w:ascii="Times New Roman" w:hAnsi="Times New Roman" w:eastAsia="宋体" w:cs="Times New Roman"/>
                <w:b/>
                <w:bCs/>
                <w:strike w:val="0"/>
                <w:dstrike w:val="0"/>
                <w:color w:val="000000"/>
                <w:sz w:val="24"/>
                <w:szCs w:val="24"/>
                <w:highlight w:val="none"/>
                <w:u w:val="single" w:color="auto"/>
                <w:shd w:val="clear" w:color="auto" w:fill="auto"/>
                <w:lang w:val="en-US" w:eastAsia="zh-CN"/>
              </w:rPr>
              <w:t>m</w:t>
            </w:r>
            <w:r>
              <w:rPr>
                <w:rFonts w:hint="default" w:ascii="Times New Roman" w:hAnsi="Times New Roman" w:eastAsia="宋体" w:cs="Times New Roman"/>
                <w:b/>
                <w:bCs/>
                <w:strike w:val="0"/>
                <w:dstrike w:val="0"/>
                <w:color w:val="000000"/>
                <w:sz w:val="24"/>
                <w:szCs w:val="24"/>
                <w:highlight w:val="none"/>
                <w:u w:val="single" w:color="auto"/>
                <w:shd w:val="clear" w:color="auto" w:fill="auto"/>
                <w:vertAlign w:val="superscript"/>
                <w:lang w:val="en-US" w:eastAsia="zh-CN"/>
              </w:rPr>
              <w:t>3</w:t>
            </w:r>
            <w:r>
              <w:rPr>
                <w:rFonts w:hint="default" w:ascii="Times New Roman" w:hAnsi="Times New Roman" w:eastAsia="宋体" w:cs="Times New Roman"/>
                <w:b/>
                <w:bCs/>
                <w:strike w:val="0"/>
                <w:dstrike w:val="0"/>
                <w:color w:val="000000"/>
                <w:sz w:val="24"/>
                <w:szCs w:val="24"/>
                <w:highlight w:val="none"/>
                <w:u w:val="single" w:color="auto"/>
                <w:shd w:val="clear" w:color="auto" w:fill="auto"/>
                <w:lang w:val="en-US" w:eastAsia="zh-CN"/>
              </w:rPr>
              <w:t>/h</w:t>
            </w:r>
            <w:r>
              <w:rPr>
                <w:rFonts w:hint="default" w:ascii="Times New Roman" w:hAnsi="Times New Roman" w:eastAsia="宋体" w:cs="Times New Roman"/>
                <w:b/>
                <w:bCs/>
                <w:strike w:val="0"/>
                <w:dstrike w:val="0"/>
                <w:color w:val="000000"/>
                <w:sz w:val="24"/>
                <w:szCs w:val="24"/>
                <w:highlight w:val="none"/>
                <w:u w:val="single" w:color="auto"/>
                <w:lang w:val="en-US" w:eastAsia="zh-CN"/>
              </w:rPr>
              <w:t>，年工作时间为</w:t>
            </w:r>
            <w:r>
              <w:rPr>
                <w:rFonts w:hint="eastAsia" w:ascii="Times New Roman" w:hAnsi="Times New Roman" w:cs="Times New Roman"/>
                <w:b/>
                <w:bCs/>
                <w:strike w:val="0"/>
                <w:dstrike w:val="0"/>
                <w:color w:val="000000"/>
                <w:sz w:val="24"/>
                <w:szCs w:val="24"/>
                <w:highlight w:val="none"/>
                <w:u w:val="single" w:color="auto"/>
                <w:lang w:val="en-US" w:eastAsia="zh-CN"/>
              </w:rPr>
              <w:t>1200</w:t>
            </w:r>
            <w:r>
              <w:rPr>
                <w:rFonts w:hint="default" w:ascii="Times New Roman" w:hAnsi="Times New Roman" w:eastAsia="宋体" w:cs="Times New Roman"/>
                <w:b/>
                <w:bCs/>
                <w:strike w:val="0"/>
                <w:dstrike w:val="0"/>
                <w:color w:val="000000"/>
                <w:sz w:val="24"/>
                <w:szCs w:val="24"/>
                <w:highlight w:val="none"/>
                <w:u w:val="single" w:color="auto"/>
                <w:lang w:val="en-US" w:eastAsia="zh-CN"/>
              </w:rPr>
              <w:t>h，集气罩收集效率按90%计，</w:t>
            </w:r>
            <w:r>
              <w:rPr>
                <w:rFonts w:hint="default" w:ascii="Times New Roman" w:hAnsi="Times New Roman" w:eastAsia="宋体" w:cs="Times New Roman"/>
                <w:b w:val="0"/>
                <w:bCs w:val="0"/>
                <w:strike w:val="0"/>
                <w:dstrike w:val="0"/>
                <w:color w:val="000000"/>
                <w:sz w:val="24"/>
                <w:szCs w:val="24"/>
                <w:highlight w:val="none"/>
                <w:u w:val="none"/>
                <w:lang w:val="en-US" w:eastAsia="zh-CN"/>
              </w:rPr>
              <w:t>则</w:t>
            </w:r>
            <w:r>
              <w:rPr>
                <w:rFonts w:hint="eastAsia" w:ascii="Times New Roman" w:hAnsi="Times New Roman" w:cs="Times New Roman"/>
                <w:b w:val="0"/>
                <w:bCs w:val="0"/>
                <w:strike w:val="0"/>
                <w:dstrike w:val="0"/>
                <w:color w:val="000000"/>
                <w:sz w:val="24"/>
                <w:szCs w:val="24"/>
                <w:highlight w:val="none"/>
                <w:u w:val="none"/>
                <w:lang w:val="en-US" w:eastAsia="zh-CN"/>
              </w:rPr>
              <w:t>项目非甲烷总烃</w:t>
            </w:r>
            <w:r>
              <w:rPr>
                <w:rFonts w:hint="default" w:ascii="Times New Roman" w:hAnsi="Times New Roman" w:eastAsia="宋体" w:cs="Times New Roman"/>
                <w:b w:val="0"/>
                <w:bCs w:val="0"/>
                <w:color w:val="000000"/>
                <w:sz w:val="24"/>
                <w:szCs w:val="24"/>
                <w:highlight w:val="none"/>
                <w:u w:val="none"/>
                <w:lang w:val="en-US" w:eastAsia="zh-CN"/>
              </w:rPr>
              <w:t>有组织产生量为</w:t>
            </w:r>
            <w:r>
              <w:rPr>
                <w:rFonts w:hint="default" w:ascii="Times New Roman" w:hAnsi="Times New Roman" w:cs="Times New Roman"/>
                <w:b w:val="0"/>
                <w:bCs w:val="0"/>
                <w:color w:val="000000"/>
                <w:sz w:val="24"/>
                <w:szCs w:val="24"/>
                <w:highlight w:val="none"/>
                <w:u w:val="none"/>
                <w:lang w:val="en-US" w:eastAsia="zh-CN"/>
              </w:rPr>
              <w:t>0.</w:t>
            </w:r>
            <w:r>
              <w:rPr>
                <w:rFonts w:hint="eastAsia" w:ascii="Times New Roman" w:hAnsi="Times New Roman" w:cs="Times New Roman"/>
                <w:b w:val="0"/>
                <w:bCs w:val="0"/>
                <w:color w:val="000000"/>
                <w:sz w:val="24"/>
                <w:szCs w:val="24"/>
                <w:highlight w:val="none"/>
                <w:u w:val="none"/>
                <w:lang w:val="en-US" w:eastAsia="zh-CN"/>
              </w:rPr>
              <w:t>0259</w:t>
            </w:r>
            <w:r>
              <w:rPr>
                <w:rFonts w:hint="default" w:ascii="Times New Roman" w:hAnsi="Times New Roman" w:eastAsia="宋体" w:cs="Times New Roman"/>
                <w:b w:val="0"/>
                <w:bCs w:val="0"/>
                <w:color w:val="000000"/>
                <w:sz w:val="24"/>
                <w:szCs w:val="24"/>
                <w:highlight w:val="none"/>
                <w:u w:val="none"/>
                <w:lang w:val="en-US" w:eastAsia="zh-CN"/>
              </w:rPr>
              <w:t>t/a，</w:t>
            </w:r>
            <w:r>
              <w:rPr>
                <w:rFonts w:hint="default" w:ascii="Times New Roman" w:hAnsi="Times New Roman" w:cs="Times New Roman"/>
                <w:b w:val="0"/>
                <w:bCs w:val="0"/>
                <w:strike w:val="0"/>
                <w:dstrike w:val="0"/>
                <w:color w:val="000000"/>
                <w:sz w:val="24"/>
                <w:szCs w:val="24"/>
                <w:highlight w:val="none"/>
                <w:u w:val="none"/>
                <w:lang w:val="en-US" w:eastAsia="zh-CN"/>
              </w:rPr>
              <w:t>产生速率为</w:t>
            </w:r>
            <w:r>
              <w:rPr>
                <w:rFonts w:hint="eastAsia" w:ascii="Times New Roman" w:hAnsi="Times New Roman" w:cs="Times New Roman"/>
                <w:b w:val="0"/>
                <w:bCs w:val="0"/>
                <w:strike w:val="0"/>
                <w:dstrike w:val="0"/>
                <w:color w:val="000000"/>
                <w:sz w:val="24"/>
                <w:szCs w:val="24"/>
                <w:highlight w:val="none"/>
                <w:u w:val="none"/>
                <w:lang w:val="en-US" w:eastAsia="zh-CN"/>
              </w:rPr>
              <w:t>0.0216</w:t>
            </w:r>
            <w:r>
              <w:rPr>
                <w:rFonts w:hint="default" w:ascii="Times New Roman" w:hAnsi="Times New Roman" w:eastAsia="宋体" w:cs="Times New Roman"/>
                <w:b w:val="0"/>
                <w:bCs w:val="0"/>
                <w:strike w:val="0"/>
                <w:dstrike w:val="0"/>
                <w:color w:val="000000"/>
                <w:sz w:val="24"/>
                <w:szCs w:val="24"/>
                <w:highlight w:val="none"/>
                <w:u w:val="none"/>
                <w:lang w:val="en-US" w:eastAsia="zh-CN"/>
              </w:rPr>
              <w:t>kg/h</w:t>
            </w:r>
            <w:r>
              <w:rPr>
                <w:rFonts w:hint="default" w:ascii="Times New Roman" w:hAnsi="Times New Roman" w:cs="Times New Roman"/>
                <w:b w:val="0"/>
                <w:bCs w:val="0"/>
                <w:strike w:val="0"/>
                <w:dstrike w:val="0"/>
                <w:color w:val="000000"/>
                <w:sz w:val="24"/>
                <w:szCs w:val="24"/>
                <w:highlight w:val="none"/>
                <w:u w:val="none"/>
                <w:lang w:val="en-US" w:eastAsia="zh-CN"/>
              </w:rPr>
              <w:t>，产生浓度为</w:t>
            </w:r>
            <w:r>
              <w:rPr>
                <w:rFonts w:hint="eastAsia" w:ascii="Times New Roman" w:hAnsi="Times New Roman" w:cs="Times New Roman"/>
                <w:b w:val="0"/>
                <w:bCs w:val="0"/>
                <w:strike w:val="0"/>
                <w:dstrike w:val="0"/>
                <w:color w:val="000000"/>
                <w:sz w:val="24"/>
                <w:szCs w:val="24"/>
                <w:highlight w:val="none"/>
                <w:u w:val="none"/>
                <w:lang w:val="en-US" w:eastAsia="zh-CN"/>
              </w:rPr>
              <w:t>7.19</w:t>
            </w:r>
            <w:r>
              <w:rPr>
                <w:rFonts w:hint="default" w:ascii="Times New Roman" w:hAnsi="Times New Roman" w:eastAsia="宋体" w:cs="Times New Roman"/>
                <w:b w:val="0"/>
                <w:bCs w:val="0"/>
                <w:strike w:val="0"/>
                <w:dstrike w:val="0"/>
                <w:color w:val="000000"/>
                <w:sz w:val="24"/>
                <w:szCs w:val="24"/>
                <w:highlight w:val="none"/>
                <w:u w:val="none"/>
                <w:lang w:val="en-US" w:eastAsia="zh-CN"/>
              </w:rPr>
              <w:t>mg/m</w:t>
            </w:r>
            <w:r>
              <w:rPr>
                <w:rFonts w:hint="default" w:ascii="Times New Roman" w:hAnsi="Times New Roman" w:cs="Times New Roman"/>
                <w:b w:val="0"/>
                <w:bCs w:val="0"/>
                <w:strike w:val="0"/>
                <w:dstrike w:val="0"/>
                <w:color w:val="000000"/>
                <w:sz w:val="24"/>
                <w:szCs w:val="24"/>
                <w:highlight w:val="none"/>
                <w:u w:val="none"/>
                <w:vertAlign w:val="superscript"/>
                <w:lang w:val="en-US" w:eastAsia="zh-CN"/>
              </w:rPr>
              <w:t>3</w:t>
            </w:r>
            <w:r>
              <w:rPr>
                <w:rFonts w:hint="default" w:ascii="Times New Roman" w:hAnsi="Times New Roman" w:cs="Times New Roman"/>
                <w:b w:val="0"/>
                <w:bCs w:val="0"/>
                <w:strike w:val="0"/>
                <w:dstrike w:val="0"/>
                <w:color w:val="000000"/>
                <w:sz w:val="24"/>
                <w:szCs w:val="24"/>
                <w:highlight w:val="none"/>
                <w:u w:val="none"/>
                <w:lang w:val="en-US" w:eastAsia="zh-CN"/>
              </w:rPr>
              <w:t>，</w:t>
            </w:r>
            <w:r>
              <w:rPr>
                <w:rFonts w:hint="eastAsia" w:ascii="Times New Roman" w:hAnsi="Times New Roman" w:cs="Times New Roman"/>
                <w:b w:val="0"/>
                <w:bCs w:val="0"/>
                <w:color w:val="000000"/>
                <w:sz w:val="24"/>
                <w:szCs w:val="24"/>
                <w:highlight w:val="none"/>
                <w:u w:val="none"/>
                <w:lang w:val="en-US" w:eastAsia="zh-CN"/>
              </w:rPr>
              <w:t>UV光氧催化+活性炭吸附的去除效率</w:t>
            </w:r>
            <w:r>
              <w:rPr>
                <w:rFonts w:hint="default" w:ascii="Times New Roman" w:hAnsi="Times New Roman" w:cs="Times New Roman"/>
                <w:b w:val="0"/>
                <w:bCs w:val="0"/>
                <w:strike w:val="0"/>
                <w:dstrike w:val="0"/>
                <w:color w:val="000000"/>
                <w:sz w:val="24"/>
                <w:szCs w:val="24"/>
                <w:highlight w:val="none"/>
                <w:u w:val="none"/>
                <w:lang w:val="en-US" w:eastAsia="zh-CN"/>
              </w:rPr>
              <w:t>按</w:t>
            </w:r>
            <w:r>
              <w:rPr>
                <w:rFonts w:hint="eastAsia" w:ascii="Times New Roman" w:hAnsi="Times New Roman" w:cs="Times New Roman"/>
                <w:b w:val="0"/>
                <w:bCs w:val="0"/>
                <w:strike w:val="0"/>
                <w:dstrike w:val="0"/>
                <w:color w:val="000000"/>
                <w:sz w:val="24"/>
                <w:szCs w:val="24"/>
                <w:highlight w:val="none"/>
                <w:u w:val="none"/>
                <w:lang w:val="en-US" w:eastAsia="zh-CN"/>
              </w:rPr>
              <w:t>85</w:t>
            </w:r>
            <w:r>
              <w:rPr>
                <w:rFonts w:hint="default" w:ascii="Times New Roman" w:hAnsi="Times New Roman" w:cs="Times New Roman"/>
                <w:b w:val="0"/>
                <w:bCs w:val="0"/>
                <w:strike w:val="0"/>
                <w:dstrike w:val="0"/>
                <w:color w:val="000000"/>
                <w:sz w:val="24"/>
                <w:szCs w:val="24"/>
                <w:highlight w:val="none"/>
                <w:u w:val="none"/>
                <w:lang w:val="en-US" w:eastAsia="zh-CN"/>
              </w:rPr>
              <w:t>%计，</w:t>
            </w:r>
            <w:r>
              <w:rPr>
                <w:rFonts w:hint="default" w:ascii="Times New Roman" w:hAnsi="Times New Roman" w:eastAsia="宋体" w:cs="Times New Roman"/>
                <w:b w:val="0"/>
                <w:bCs w:val="0"/>
                <w:strike w:val="0"/>
                <w:dstrike w:val="0"/>
                <w:color w:val="000000"/>
                <w:sz w:val="24"/>
                <w:szCs w:val="24"/>
                <w:highlight w:val="none"/>
                <w:u w:val="none"/>
                <w:lang w:val="en-US" w:eastAsia="zh-CN"/>
              </w:rPr>
              <w:t>则项目</w:t>
            </w:r>
            <w:r>
              <w:rPr>
                <w:rFonts w:hint="eastAsia" w:ascii="Times New Roman" w:hAnsi="Times New Roman" w:cs="Times New Roman"/>
                <w:b w:val="0"/>
                <w:bCs w:val="0"/>
                <w:strike w:val="0"/>
                <w:dstrike w:val="0"/>
                <w:color w:val="000000"/>
                <w:sz w:val="24"/>
                <w:szCs w:val="24"/>
                <w:highlight w:val="none"/>
                <w:u w:val="none"/>
                <w:lang w:val="en-US" w:eastAsia="zh-CN"/>
              </w:rPr>
              <w:t>非甲烷总烃</w:t>
            </w:r>
            <w:r>
              <w:rPr>
                <w:rFonts w:hint="default" w:ascii="Times New Roman" w:hAnsi="Times New Roman" w:eastAsia="宋体" w:cs="Times New Roman"/>
                <w:b w:val="0"/>
                <w:bCs w:val="0"/>
                <w:strike w:val="0"/>
                <w:dstrike w:val="0"/>
                <w:color w:val="000000"/>
                <w:sz w:val="24"/>
                <w:szCs w:val="24"/>
                <w:highlight w:val="none"/>
                <w:u w:val="none"/>
                <w:lang w:val="en-US" w:eastAsia="zh-CN"/>
              </w:rPr>
              <w:t>有组织排放量为</w:t>
            </w:r>
            <w:r>
              <w:rPr>
                <w:rFonts w:hint="default" w:ascii="Times New Roman" w:hAnsi="Times New Roman" w:cs="Times New Roman"/>
                <w:b w:val="0"/>
                <w:bCs w:val="0"/>
                <w:strike w:val="0"/>
                <w:dstrike w:val="0"/>
                <w:color w:val="000000"/>
                <w:sz w:val="24"/>
                <w:szCs w:val="24"/>
                <w:highlight w:val="none"/>
                <w:u w:val="none"/>
                <w:lang w:val="en-US" w:eastAsia="zh-CN"/>
              </w:rPr>
              <w:t>0.0</w:t>
            </w:r>
            <w:r>
              <w:rPr>
                <w:rFonts w:hint="eastAsia" w:ascii="Times New Roman" w:hAnsi="Times New Roman" w:cs="Times New Roman"/>
                <w:b w:val="0"/>
                <w:bCs w:val="0"/>
                <w:strike w:val="0"/>
                <w:dstrike w:val="0"/>
                <w:color w:val="000000"/>
                <w:sz w:val="24"/>
                <w:szCs w:val="24"/>
                <w:highlight w:val="none"/>
                <w:u w:val="none"/>
                <w:lang w:val="en-US" w:eastAsia="zh-CN"/>
              </w:rPr>
              <w:t>039</w:t>
            </w:r>
            <w:r>
              <w:rPr>
                <w:rFonts w:hint="default" w:ascii="Times New Roman" w:hAnsi="Times New Roman" w:eastAsia="宋体" w:cs="Times New Roman"/>
                <w:b w:val="0"/>
                <w:bCs w:val="0"/>
                <w:strike w:val="0"/>
                <w:dstrike w:val="0"/>
                <w:color w:val="000000"/>
                <w:sz w:val="24"/>
                <w:szCs w:val="24"/>
                <w:highlight w:val="none"/>
                <w:u w:val="none"/>
                <w:lang w:val="en-US" w:eastAsia="zh-CN"/>
              </w:rPr>
              <w:t>t/a，排放速率为</w:t>
            </w:r>
            <w:r>
              <w:rPr>
                <w:rFonts w:hint="default" w:ascii="Times New Roman" w:hAnsi="Times New Roman" w:cs="Times New Roman"/>
                <w:b w:val="0"/>
                <w:bCs w:val="0"/>
                <w:strike w:val="0"/>
                <w:dstrike w:val="0"/>
                <w:color w:val="000000"/>
                <w:sz w:val="24"/>
                <w:szCs w:val="24"/>
                <w:highlight w:val="none"/>
                <w:u w:val="none"/>
                <w:lang w:val="en-US" w:eastAsia="zh-CN"/>
              </w:rPr>
              <w:t>0.0</w:t>
            </w:r>
            <w:r>
              <w:rPr>
                <w:rFonts w:hint="eastAsia" w:ascii="Times New Roman" w:hAnsi="Times New Roman" w:cs="Times New Roman"/>
                <w:b w:val="0"/>
                <w:bCs w:val="0"/>
                <w:strike w:val="0"/>
                <w:dstrike w:val="0"/>
                <w:color w:val="000000"/>
                <w:sz w:val="24"/>
                <w:szCs w:val="24"/>
                <w:highlight w:val="none"/>
                <w:u w:val="none"/>
                <w:lang w:val="en-US" w:eastAsia="zh-CN"/>
              </w:rPr>
              <w:t>033</w:t>
            </w:r>
            <w:r>
              <w:rPr>
                <w:rFonts w:hint="default" w:ascii="Times New Roman" w:hAnsi="Times New Roman" w:eastAsia="宋体" w:cs="Times New Roman"/>
                <w:b w:val="0"/>
                <w:bCs w:val="0"/>
                <w:strike w:val="0"/>
                <w:dstrike w:val="0"/>
                <w:color w:val="000000"/>
                <w:sz w:val="24"/>
                <w:szCs w:val="24"/>
                <w:highlight w:val="none"/>
                <w:u w:val="none"/>
                <w:lang w:val="en-US" w:eastAsia="zh-CN"/>
              </w:rPr>
              <w:t>kg/h，排放浓度为</w:t>
            </w:r>
            <w:r>
              <w:rPr>
                <w:rFonts w:hint="eastAsia" w:ascii="Times New Roman" w:hAnsi="Times New Roman" w:cs="Times New Roman"/>
                <w:b w:val="0"/>
                <w:bCs w:val="0"/>
                <w:strike w:val="0"/>
                <w:dstrike w:val="0"/>
                <w:color w:val="000000"/>
                <w:sz w:val="24"/>
                <w:szCs w:val="24"/>
                <w:highlight w:val="none"/>
                <w:u w:val="none"/>
                <w:lang w:val="en-US" w:eastAsia="zh-CN"/>
              </w:rPr>
              <w:t>1.1</w:t>
            </w:r>
            <w:r>
              <w:rPr>
                <w:rFonts w:hint="default" w:ascii="Times New Roman" w:hAnsi="Times New Roman" w:eastAsia="宋体" w:cs="Times New Roman"/>
                <w:b w:val="0"/>
                <w:bCs w:val="0"/>
                <w:strike w:val="0"/>
                <w:dstrike w:val="0"/>
                <w:color w:val="000000"/>
                <w:sz w:val="24"/>
                <w:szCs w:val="24"/>
                <w:highlight w:val="none"/>
                <w:u w:val="none"/>
                <w:lang w:val="en-US" w:eastAsia="zh-CN"/>
              </w:rPr>
              <w:t>mg/m</w:t>
            </w:r>
            <w:r>
              <w:rPr>
                <w:rFonts w:hint="default" w:ascii="Times New Roman" w:hAnsi="Times New Roman" w:eastAsia="宋体" w:cs="Times New Roman"/>
                <w:b w:val="0"/>
                <w:bCs w:val="0"/>
                <w:strike w:val="0"/>
                <w:dstrike w:val="0"/>
                <w:color w:val="000000"/>
                <w:sz w:val="24"/>
                <w:szCs w:val="24"/>
                <w:highlight w:val="none"/>
                <w:u w:val="none"/>
                <w:vertAlign w:val="superscript"/>
                <w:lang w:val="en-US" w:eastAsia="zh-CN"/>
              </w:rPr>
              <w:t>3</w:t>
            </w:r>
            <w:r>
              <w:rPr>
                <w:rFonts w:hint="default" w:ascii="Times New Roman" w:hAnsi="Times New Roman" w:eastAsia="宋体" w:cs="Times New Roman"/>
                <w:b w:val="0"/>
                <w:bCs w:val="0"/>
                <w:strike w:val="0"/>
                <w:dstrike w:val="0"/>
                <w:color w:val="000000"/>
                <w:sz w:val="24"/>
                <w:szCs w:val="24"/>
                <w:highlight w:val="none"/>
                <w:u w:val="none"/>
                <w:lang w:val="en-US" w:eastAsia="zh-CN"/>
              </w:rPr>
              <w:t>；</w:t>
            </w:r>
            <w:r>
              <w:rPr>
                <w:rFonts w:hint="eastAsia" w:ascii="Times New Roman" w:hAnsi="Times New Roman" w:cs="Times New Roman"/>
                <w:b w:val="0"/>
                <w:bCs w:val="0"/>
                <w:strike w:val="0"/>
                <w:dstrike w:val="0"/>
                <w:color w:val="000000"/>
                <w:sz w:val="24"/>
                <w:szCs w:val="24"/>
                <w:highlight w:val="none"/>
                <w:u w:val="none"/>
                <w:lang w:val="en-US" w:eastAsia="zh-CN"/>
              </w:rPr>
              <w:t>非甲烷总烃</w:t>
            </w:r>
            <w:r>
              <w:rPr>
                <w:rFonts w:hint="default" w:ascii="Times New Roman" w:hAnsi="Times New Roman" w:cs="Times New Roman"/>
                <w:b w:val="0"/>
                <w:bCs w:val="0"/>
                <w:strike w:val="0"/>
                <w:dstrike w:val="0"/>
                <w:color w:val="000000"/>
                <w:sz w:val="24"/>
                <w:szCs w:val="24"/>
                <w:highlight w:val="none"/>
                <w:u w:val="none"/>
                <w:lang w:val="en-US" w:eastAsia="zh-CN"/>
              </w:rPr>
              <w:t>无组织排放量为0.0</w:t>
            </w:r>
            <w:r>
              <w:rPr>
                <w:rFonts w:hint="eastAsia" w:ascii="Times New Roman" w:hAnsi="Times New Roman" w:cs="Times New Roman"/>
                <w:b w:val="0"/>
                <w:bCs w:val="0"/>
                <w:strike w:val="0"/>
                <w:dstrike w:val="0"/>
                <w:color w:val="000000"/>
                <w:sz w:val="24"/>
                <w:szCs w:val="24"/>
                <w:highlight w:val="none"/>
                <w:u w:val="none"/>
                <w:lang w:val="en-US" w:eastAsia="zh-CN"/>
              </w:rPr>
              <w:t>029</w:t>
            </w:r>
            <w:r>
              <w:rPr>
                <w:rFonts w:hint="default" w:ascii="Times New Roman" w:hAnsi="Times New Roman" w:cs="Times New Roman"/>
                <w:b w:val="0"/>
                <w:bCs w:val="0"/>
                <w:strike w:val="0"/>
                <w:dstrike w:val="0"/>
                <w:color w:val="000000"/>
                <w:sz w:val="24"/>
                <w:szCs w:val="24"/>
                <w:highlight w:val="none"/>
                <w:u w:val="none"/>
                <w:lang w:val="en-US" w:eastAsia="zh-CN"/>
              </w:rPr>
              <w:t>t/a。</w:t>
            </w:r>
            <w:r>
              <w:rPr>
                <w:rFonts w:hint="eastAsia" w:ascii="Times New Roman" w:hAnsi="Times New Roman" w:cs="Times New Roman"/>
                <w:b w:val="0"/>
                <w:bCs w:val="0"/>
                <w:strike w:val="0"/>
                <w:dstrike w:val="0"/>
                <w:color w:val="000000"/>
                <w:sz w:val="24"/>
                <w:szCs w:val="24"/>
                <w:highlight w:val="none"/>
                <w:u w:val="none"/>
                <w:lang w:val="en-US" w:eastAsia="zh-CN"/>
              </w:rPr>
              <w:t>满足</w:t>
            </w:r>
            <w:r>
              <w:rPr>
                <w:rFonts w:hint="default" w:ascii="Times New Roman" w:hAnsi="Times New Roman" w:cs="Times New Roman"/>
                <w:b w:val="0"/>
                <w:bCs w:val="0"/>
                <w:sz w:val="24"/>
                <w:szCs w:val="24"/>
                <w:highlight w:val="none"/>
                <w:u w:val="none"/>
              </w:rPr>
              <w:t>《工业涂装工序挥发性有机物排放标准》（DB41/1951-2020）</w:t>
            </w:r>
            <w:r>
              <w:rPr>
                <w:rFonts w:hint="eastAsia" w:ascii="Times New Roman" w:hAnsi="Times New Roman" w:cs="Times New Roman"/>
                <w:b w:val="0"/>
                <w:bCs w:val="0"/>
                <w:sz w:val="24"/>
                <w:szCs w:val="24"/>
                <w:highlight w:val="none"/>
                <w:u w:val="none"/>
                <w:lang w:eastAsia="zh-CN"/>
              </w:rPr>
              <w:t>。</w:t>
            </w:r>
          </w:p>
          <w:p>
            <w:pPr>
              <w:adjustRightInd w:val="0"/>
              <w:snapToGrid w:val="0"/>
              <w:spacing w:line="360" w:lineRule="auto"/>
              <w:rPr>
                <w:b/>
                <w:sz w:val="24"/>
                <w:szCs w:val="24"/>
              </w:rPr>
            </w:pPr>
            <w:r>
              <w:rPr>
                <w:b/>
                <w:sz w:val="24"/>
                <w:szCs w:val="24"/>
              </w:rPr>
              <w:t>1.2 排放口基本情况</w:t>
            </w:r>
          </w:p>
          <w:p>
            <w:pPr>
              <w:pStyle w:val="16"/>
              <w:numPr>
                <w:ilvl w:val="0"/>
                <w:numId w:val="0"/>
              </w:numPr>
              <w:spacing w:line="360" w:lineRule="auto"/>
              <w:ind w:firstLine="480" w:firstLineChars="200"/>
              <w:rPr>
                <w:kern w:val="0"/>
                <w:sz w:val="24"/>
                <w:szCs w:val="24"/>
                <w:lang w:bidi="ar"/>
              </w:rPr>
            </w:pPr>
            <w:r>
              <w:rPr>
                <w:rFonts w:hint="eastAsia"/>
                <w:kern w:val="0"/>
                <w:sz w:val="24"/>
                <w:szCs w:val="24"/>
                <w:lang w:val="en-US" w:eastAsia="zh-CN" w:bidi="ar"/>
              </w:rPr>
              <w:t>综上，项目废气排放共设置3根排气筒。</w:t>
            </w:r>
            <w:r>
              <w:rPr>
                <w:kern w:val="0"/>
                <w:sz w:val="24"/>
                <w:szCs w:val="24"/>
                <w:lang w:bidi="ar"/>
              </w:rPr>
              <w:t>排放口基本情况见下表。</w:t>
            </w:r>
          </w:p>
          <w:p>
            <w:pPr>
              <w:pStyle w:val="16"/>
              <w:numPr>
                <w:ilvl w:val="0"/>
                <w:numId w:val="0"/>
              </w:numPr>
              <w:jc w:val="center"/>
              <w:rPr>
                <w:kern w:val="0"/>
                <w:sz w:val="24"/>
                <w:szCs w:val="24"/>
                <w:highlight w:val="none"/>
                <w:lang w:bidi="ar"/>
              </w:rPr>
            </w:pPr>
            <w:r>
              <w:rPr>
                <w:sz w:val="24"/>
                <w:szCs w:val="24"/>
                <w:highlight w:val="none"/>
              </w:rPr>
              <w:t>表4-</w:t>
            </w:r>
            <w:r>
              <w:rPr>
                <w:rFonts w:hint="eastAsia"/>
                <w:sz w:val="24"/>
                <w:szCs w:val="24"/>
                <w:highlight w:val="none"/>
                <w:lang w:val="en-US" w:eastAsia="zh-CN"/>
              </w:rPr>
              <w:t>3</w:t>
            </w:r>
            <w:r>
              <w:rPr>
                <w:sz w:val="24"/>
                <w:szCs w:val="24"/>
                <w:highlight w:val="none"/>
              </w:rPr>
              <w:t xml:space="preserve">  项目排放口情况一览表</w:t>
            </w:r>
          </w:p>
          <w:tbl>
            <w:tblPr>
              <w:tblStyle w:val="27"/>
              <w:tblW w:w="499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2688"/>
              <w:gridCol w:w="737"/>
              <w:gridCol w:w="1079"/>
              <w:gridCol w:w="685"/>
              <w:gridCol w:w="766"/>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lang w:bidi="ar"/>
                    </w:rPr>
                    <w:t>排放口编号及名称</w:t>
                  </w:r>
                </w:p>
              </w:tc>
              <w:tc>
                <w:tcPr>
                  <w:tcW w:w="158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lang w:bidi="ar"/>
                    </w:rPr>
                    <w:t>地理坐标</w:t>
                  </w:r>
                </w:p>
              </w:tc>
              <w:tc>
                <w:tcPr>
                  <w:tcW w:w="43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lang w:bidi="ar"/>
                    </w:rPr>
                    <w:t>排气筒高度/m</w:t>
                  </w:r>
                </w:p>
              </w:tc>
              <w:tc>
                <w:tcPr>
                  <w:tcW w:w="63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lang w:bidi="ar"/>
                    </w:rPr>
                    <w:t>排气筒出口内径/m</w:t>
                  </w:r>
                </w:p>
              </w:tc>
              <w:tc>
                <w:tcPr>
                  <w:tcW w:w="40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lang w:bidi="ar"/>
                    </w:rPr>
                    <w:t>烟气温度/℃</w:t>
                  </w:r>
                </w:p>
              </w:tc>
              <w:tc>
                <w:tcPr>
                  <w:tcW w:w="45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lang w:bidi="ar"/>
                    </w:rPr>
                    <w:t>类型</w:t>
                  </w:r>
                </w:p>
              </w:tc>
              <w:tc>
                <w:tcPr>
                  <w:tcW w:w="59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pct"/>
                  <w:tcBorders>
                    <w:tl2br w:val="nil"/>
                    <w:tr2bl w:val="nil"/>
                  </w:tcBorders>
                  <w:vAlign w:val="center"/>
                </w:tcPr>
                <w:p>
                  <w:pPr>
                    <w:pStyle w:val="23"/>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宋体" w:cs="Times New Roman"/>
                      <w:b w:val="0"/>
                      <w:bCs w:val="0"/>
                      <w:color w:val="000000"/>
                      <w:sz w:val="21"/>
                      <w:szCs w:val="21"/>
                      <w:u w:val="none"/>
                      <w:lang w:val="en-US" w:eastAsia="zh-CN"/>
                    </w:rPr>
                  </w:pPr>
                  <w:r>
                    <w:rPr>
                      <w:rFonts w:hint="default" w:ascii="Times New Roman" w:hAnsi="Times New Roman" w:eastAsia="宋体" w:cs="Times New Roman"/>
                      <w:b w:val="0"/>
                      <w:bCs w:val="0"/>
                      <w:color w:val="000000"/>
                      <w:sz w:val="21"/>
                      <w:szCs w:val="21"/>
                      <w:u w:val="none"/>
                    </w:rPr>
                    <w:t>DA001</w:t>
                  </w:r>
                  <w:r>
                    <w:rPr>
                      <w:rFonts w:hint="default" w:ascii="Times New Roman" w:hAnsi="Times New Roman" w:eastAsia="宋体" w:cs="Times New Roman"/>
                      <w:b w:val="0"/>
                      <w:bCs w:val="0"/>
                      <w:color w:val="000000"/>
                      <w:sz w:val="21"/>
                      <w:szCs w:val="21"/>
                      <w:u w:val="none"/>
                      <w:lang w:val="en-US" w:eastAsia="zh-CN"/>
                    </w:rPr>
                    <w:t>切割、焊接、打磨废气排气筒</w:t>
                  </w:r>
                </w:p>
              </w:tc>
              <w:tc>
                <w:tcPr>
                  <w:tcW w:w="158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112.67338872,34.58217438</w:t>
                  </w:r>
                </w:p>
              </w:tc>
              <w:tc>
                <w:tcPr>
                  <w:tcW w:w="43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15</w:t>
                  </w:r>
                </w:p>
              </w:tc>
              <w:tc>
                <w:tcPr>
                  <w:tcW w:w="638" w:type="pct"/>
                  <w:tcBorders>
                    <w:tl2br w:val="nil"/>
                    <w:tr2bl w:val="nil"/>
                  </w:tcBorders>
                  <w:vAlign w:val="center"/>
                </w:tcPr>
                <w:p>
                  <w:pPr>
                    <w:pStyle w:val="23"/>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0.5</w:t>
                  </w:r>
                </w:p>
              </w:tc>
              <w:tc>
                <w:tcPr>
                  <w:tcW w:w="405" w:type="pct"/>
                  <w:tcBorders>
                    <w:tl2br w:val="nil"/>
                    <w:tr2bl w:val="nil"/>
                  </w:tcBorders>
                  <w:vAlign w:val="center"/>
                </w:tcPr>
                <w:p>
                  <w:pPr>
                    <w:pStyle w:val="23"/>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rPr>
                    <w:t>常温</w:t>
                  </w:r>
                </w:p>
              </w:tc>
              <w:tc>
                <w:tcPr>
                  <w:tcW w:w="453" w:type="pct"/>
                  <w:tcBorders>
                    <w:tl2br w:val="nil"/>
                    <w:tr2bl w:val="nil"/>
                  </w:tcBorders>
                  <w:vAlign w:val="center"/>
                </w:tcPr>
                <w:p>
                  <w:pPr>
                    <w:pStyle w:val="23"/>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宋体" w:cs="Times New Roman"/>
                      <w:b w:val="0"/>
                      <w:bCs w:val="0"/>
                      <w:color w:val="000000"/>
                      <w:sz w:val="21"/>
                      <w:szCs w:val="21"/>
                      <w:u w:val="none"/>
                    </w:rPr>
                  </w:pPr>
                  <w:r>
                    <w:rPr>
                      <w:rFonts w:hint="default" w:ascii="Times New Roman" w:hAnsi="Times New Roman" w:eastAsia="宋体" w:cs="Times New Roman"/>
                      <w:b w:val="0"/>
                      <w:bCs w:val="0"/>
                      <w:color w:val="000000"/>
                      <w:sz w:val="21"/>
                      <w:szCs w:val="21"/>
                      <w:u w:val="none"/>
                      <w:lang w:bidi="ar"/>
                    </w:rPr>
                    <w:t>一般排放口</w:t>
                  </w:r>
                </w:p>
              </w:tc>
              <w:tc>
                <w:tcPr>
                  <w:tcW w:w="596" w:type="pct"/>
                  <w:tcBorders>
                    <w:tl2br w:val="nil"/>
                    <w:tr2bl w:val="nil"/>
                  </w:tcBorders>
                  <w:vAlign w:val="center"/>
                </w:tcPr>
                <w:p>
                  <w:pPr>
                    <w:pStyle w:val="23"/>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eastAsia="宋体" w:cs="Times New Roman"/>
                      <w:b w:val="0"/>
                      <w:bCs w:val="0"/>
                      <w:color w:val="000000"/>
                      <w:sz w:val="21"/>
                      <w:szCs w:val="21"/>
                      <w:u w:val="none"/>
                      <w:lang w:val="en-US" w:eastAsia="zh-CN"/>
                    </w:rPr>
                  </w:pPr>
                  <w:r>
                    <w:rPr>
                      <w:rFonts w:hint="default" w:ascii="Times New Roman" w:hAnsi="Times New Roman" w:eastAsia="宋体" w:cs="Times New Roman"/>
                      <w:b w:val="0"/>
                      <w:bCs w:val="0"/>
                      <w:color w:val="000000"/>
                      <w:sz w:val="21"/>
                      <w:szCs w:val="21"/>
                      <w:u w:val="none"/>
                    </w:rPr>
                    <w:t>生产车间</w:t>
                  </w:r>
                  <w:r>
                    <w:rPr>
                      <w:rFonts w:hint="eastAsia" w:ascii="Times New Roman" w:hAnsi="Times New Roman" w:cs="Times New Roman"/>
                      <w:b w:val="0"/>
                      <w:bCs w:val="0"/>
                      <w:color w:val="000000"/>
                      <w:sz w:val="21"/>
                      <w:szCs w:val="21"/>
                      <w:u w:val="none"/>
                      <w:lang w:val="en-US" w:eastAsia="zh-CN"/>
                    </w:rPr>
                    <w:t>内部东侧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pct"/>
                  <w:tcBorders>
                    <w:tl2br w:val="nil"/>
                    <w:tr2bl w:val="nil"/>
                  </w:tcBorders>
                  <w:vAlign w:val="center"/>
                </w:tcPr>
                <w:p>
                  <w:pPr>
                    <w:pStyle w:val="23"/>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宋体" w:cs="Times New Roman"/>
                      <w:b w:val="0"/>
                      <w:bCs w:val="0"/>
                      <w:color w:val="000000"/>
                      <w:sz w:val="21"/>
                      <w:szCs w:val="21"/>
                      <w:highlight w:val="none"/>
                      <w:u w:val="none"/>
                      <w:lang w:val="en-US" w:eastAsia="zh-CN" w:bidi="ar"/>
                    </w:rPr>
                  </w:pPr>
                  <w:r>
                    <w:rPr>
                      <w:rFonts w:hint="eastAsia" w:ascii="Times New Roman" w:hAnsi="Times New Roman" w:eastAsia="宋体" w:cs="Times New Roman"/>
                      <w:b w:val="0"/>
                      <w:bCs w:val="0"/>
                      <w:color w:val="000000"/>
                      <w:sz w:val="21"/>
                      <w:szCs w:val="21"/>
                      <w:highlight w:val="none"/>
                      <w:u w:val="none"/>
                      <w:lang w:val="en-US" w:eastAsia="zh-CN" w:bidi="ar"/>
                    </w:rPr>
                    <w:t>DA002喷塑废气排气筒</w:t>
                  </w:r>
                </w:p>
              </w:tc>
              <w:tc>
                <w:tcPr>
                  <w:tcW w:w="158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color w:val="000000"/>
                      <w:sz w:val="21"/>
                      <w:szCs w:val="21"/>
                      <w:highlight w:val="none"/>
                      <w:u w:val="none"/>
                    </w:rPr>
                    <w:t>112.67312586,34.58242612</w:t>
                  </w:r>
                </w:p>
              </w:tc>
              <w:tc>
                <w:tcPr>
                  <w:tcW w:w="43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eastAsia" w:cs="Times New Roman"/>
                      <w:b w:val="0"/>
                      <w:bCs w:val="0"/>
                      <w:color w:val="000000"/>
                      <w:sz w:val="21"/>
                      <w:szCs w:val="21"/>
                      <w:highlight w:val="none"/>
                      <w:u w:val="none"/>
                      <w:lang w:val="en-US" w:eastAsia="zh-CN"/>
                    </w:rPr>
                    <w:t>15</w:t>
                  </w:r>
                </w:p>
              </w:tc>
              <w:tc>
                <w:tcPr>
                  <w:tcW w:w="638" w:type="pct"/>
                  <w:tcBorders>
                    <w:tl2br w:val="nil"/>
                    <w:tr2bl w:val="nil"/>
                  </w:tcBorders>
                  <w:vAlign w:val="center"/>
                </w:tcPr>
                <w:p>
                  <w:pPr>
                    <w:pStyle w:val="23"/>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宋体" w:cs="Times New Roman"/>
                      <w:b w:val="0"/>
                      <w:bCs w:val="0"/>
                      <w:color w:val="000000"/>
                      <w:sz w:val="21"/>
                      <w:szCs w:val="21"/>
                      <w:highlight w:val="none"/>
                      <w:u w:val="none"/>
                      <w:lang w:val="en-US" w:eastAsia="zh-CN"/>
                    </w:rPr>
                  </w:pPr>
                  <w:r>
                    <w:rPr>
                      <w:rFonts w:hint="eastAsia" w:ascii="Times New Roman" w:hAnsi="Times New Roman" w:cs="Times New Roman"/>
                      <w:b w:val="0"/>
                      <w:bCs w:val="0"/>
                      <w:color w:val="000000"/>
                      <w:sz w:val="21"/>
                      <w:szCs w:val="21"/>
                      <w:highlight w:val="none"/>
                      <w:u w:val="none"/>
                      <w:lang w:val="en-US" w:eastAsia="zh-CN"/>
                    </w:rPr>
                    <w:t>0.5</w:t>
                  </w:r>
                </w:p>
              </w:tc>
              <w:tc>
                <w:tcPr>
                  <w:tcW w:w="655" w:type="dxa"/>
                  <w:tcBorders>
                    <w:tl2br w:val="nil"/>
                    <w:tr2bl w:val="nil"/>
                  </w:tcBorders>
                  <w:vAlign w:val="center"/>
                </w:tcPr>
                <w:p>
                  <w:pPr>
                    <w:pStyle w:val="23"/>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color w:val="000000"/>
                      <w:sz w:val="21"/>
                      <w:szCs w:val="21"/>
                      <w:highlight w:val="none"/>
                      <w:u w:val="none"/>
                    </w:rPr>
                    <w:t>常温</w:t>
                  </w:r>
                </w:p>
              </w:tc>
              <w:tc>
                <w:tcPr>
                  <w:tcW w:w="733" w:type="dxa"/>
                  <w:tcBorders>
                    <w:tl2br w:val="nil"/>
                    <w:tr2bl w:val="nil"/>
                  </w:tcBorders>
                  <w:vAlign w:val="center"/>
                </w:tcPr>
                <w:p>
                  <w:pPr>
                    <w:pStyle w:val="23"/>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宋体" w:cs="Times New Roman"/>
                      <w:b w:val="0"/>
                      <w:bCs w:val="0"/>
                      <w:color w:val="000000"/>
                      <w:sz w:val="21"/>
                      <w:szCs w:val="21"/>
                      <w:highlight w:val="none"/>
                      <w:u w:val="none"/>
                      <w:lang w:bidi="ar"/>
                    </w:rPr>
                  </w:pPr>
                  <w:r>
                    <w:rPr>
                      <w:rFonts w:hint="default" w:ascii="Times New Roman" w:hAnsi="Times New Roman" w:eastAsia="宋体" w:cs="Times New Roman"/>
                      <w:b w:val="0"/>
                      <w:bCs w:val="0"/>
                      <w:color w:val="000000"/>
                      <w:sz w:val="21"/>
                      <w:szCs w:val="21"/>
                      <w:highlight w:val="none"/>
                      <w:u w:val="none"/>
                      <w:lang w:bidi="ar"/>
                    </w:rPr>
                    <w:t>一般排放口</w:t>
                  </w:r>
                </w:p>
              </w:tc>
              <w:tc>
                <w:tcPr>
                  <w:tcW w:w="596" w:type="pct"/>
                  <w:tcBorders>
                    <w:tl2br w:val="nil"/>
                    <w:tr2bl w:val="nil"/>
                  </w:tcBorders>
                  <w:vAlign w:val="center"/>
                </w:tcPr>
                <w:p>
                  <w:pPr>
                    <w:pStyle w:val="23"/>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宋体" w:cs="Times New Roman"/>
                      <w:b w:val="0"/>
                      <w:bCs w:val="0"/>
                      <w:color w:val="000000"/>
                      <w:sz w:val="21"/>
                      <w:szCs w:val="21"/>
                      <w:highlight w:val="none"/>
                      <w:u w:val="none"/>
                      <w:lang w:val="en-US" w:eastAsia="zh-CN"/>
                    </w:rPr>
                  </w:pPr>
                  <w:r>
                    <w:rPr>
                      <w:rFonts w:hint="eastAsia" w:ascii="Times New Roman" w:hAnsi="Times New Roman" w:cs="Times New Roman"/>
                      <w:b w:val="0"/>
                      <w:bCs w:val="0"/>
                      <w:color w:val="000000"/>
                      <w:sz w:val="21"/>
                      <w:szCs w:val="21"/>
                      <w:highlight w:val="none"/>
                      <w:u w:val="none"/>
                      <w:lang w:val="en-US" w:eastAsia="zh-CN"/>
                    </w:rPr>
                    <w:t>生产车间内部北侧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sz w:val="21"/>
                      <w:szCs w:val="21"/>
                      <w:highlight w:val="none"/>
                      <w:u w:val="none"/>
                      <w:lang w:eastAsia="zh-CN"/>
                    </w:rPr>
                  </w:pPr>
                  <w:r>
                    <w:rPr>
                      <w:rFonts w:hint="default" w:ascii="Times New Roman" w:hAnsi="Times New Roman" w:eastAsia="宋体" w:cs="Times New Roman"/>
                      <w:b w:val="0"/>
                      <w:bCs w:val="0"/>
                      <w:color w:val="000000"/>
                      <w:sz w:val="21"/>
                      <w:szCs w:val="21"/>
                      <w:highlight w:val="none"/>
                      <w:u w:val="none"/>
                    </w:rPr>
                    <w:t>DA00</w:t>
                  </w:r>
                  <w:r>
                    <w:rPr>
                      <w:rFonts w:hint="eastAsia" w:cs="Times New Roman"/>
                      <w:b w:val="0"/>
                      <w:bCs w:val="0"/>
                      <w:color w:val="000000"/>
                      <w:sz w:val="21"/>
                      <w:szCs w:val="21"/>
                      <w:highlight w:val="none"/>
                      <w:u w:val="none"/>
                      <w:lang w:val="en-US" w:eastAsia="zh-CN"/>
                    </w:rPr>
                    <w:t>3</w:t>
                  </w:r>
                </w:p>
                <w:p>
                  <w:pPr>
                    <w:pStyle w:val="23"/>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eastAsia="宋体" w:cs="Times New Roman"/>
                      <w:b w:val="0"/>
                      <w:bCs w:val="0"/>
                      <w:color w:val="000000"/>
                      <w:kern w:val="0"/>
                      <w:sz w:val="21"/>
                      <w:szCs w:val="21"/>
                      <w:highlight w:val="none"/>
                      <w:u w:val="none"/>
                      <w:lang w:val="en-US" w:eastAsia="zh-CN" w:bidi="ar"/>
                    </w:rPr>
                  </w:pPr>
                  <w:r>
                    <w:rPr>
                      <w:rFonts w:hint="eastAsia" w:ascii="Times New Roman" w:hAnsi="Times New Roman" w:eastAsia="宋体" w:cs="Times New Roman"/>
                      <w:b w:val="0"/>
                      <w:bCs w:val="0"/>
                      <w:color w:val="000000"/>
                      <w:sz w:val="21"/>
                      <w:szCs w:val="21"/>
                      <w:highlight w:val="none"/>
                      <w:u w:val="none"/>
                      <w:lang w:val="en-US" w:eastAsia="zh-CN" w:bidi="ar"/>
                    </w:rPr>
                    <w:t>固化废气排气筒</w:t>
                  </w:r>
                </w:p>
              </w:tc>
              <w:tc>
                <w:tcPr>
                  <w:tcW w:w="158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sz w:val="21"/>
                      <w:szCs w:val="21"/>
                      <w:highlight w:val="none"/>
                      <w:u w:val="none"/>
                    </w:rPr>
                    <w:t>112.67330021,34.5824570</w:t>
                  </w:r>
                </w:p>
              </w:tc>
              <w:tc>
                <w:tcPr>
                  <w:tcW w:w="43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sz w:val="21"/>
                      <w:szCs w:val="21"/>
                      <w:highlight w:val="none"/>
                      <w:u w:val="none"/>
                    </w:rPr>
                    <w:t>15</w:t>
                  </w:r>
                </w:p>
              </w:tc>
              <w:tc>
                <w:tcPr>
                  <w:tcW w:w="638" w:type="pct"/>
                  <w:tcBorders>
                    <w:tl2br w:val="nil"/>
                    <w:tr2bl w:val="nil"/>
                  </w:tcBorders>
                  <w:vAlign w:val="center"/>
                </w:tcPr>
                <w:p>
                  <w:pPr>
                    <w:pStyle w:val="23"/>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宋体" w:cs="Times New Roman"/>
                      <w:b w:val="0"/>
                      <w:bCs w:val="0"/>
                      <w:color w:val="000000"/>
                      <w:kern w:val="0"/>
                      <w:sz w:val="21"/>
                      <w:szCs w:val="21"/>
                      <w:highlight w:val="none"/>
                      <w:u w:val="none"/>
                      <w:lang w:val="en-US" w:eastAsia="zh-CN" w:bidi="ar-SA"/>
                    </w:rPr>
                  </w:pPr>
                  <w:r>
                    <w:rPr>
                      <w:rFonts w:hint="default" w:ascii="Times New Roman" w:hAnsi="Times New Roman" w:eastAsia="宋体" w:cs="Times New Roman"/>
                      <w:b w:val="0"/>
                      <w:bCs w:val="0"/>
                      <w:color w:val="000000"/>
                      <w:sz w:val="21"/>
                      <w:szCs w:val="21"/>
                      <w:highlight w:val="none"/>
                      <w:u w:val="none"/>
                    </w:rPr>
                    <w:t>0.5</w:t>
                  </w:r>
                </w:p>
              </w:tc>
              <w:tc>
                <w:tcPr>
                  <w:tcW w:w="405" w:type="pct"/>
                  <w:tcBorders>
                    <w:tl2br w:val="nil"/>
                    <w:tr2bl w:val="nil"/>
                  </w:tcBorders>
                  <w:vAlign w:val="center"/>
                </w:tcPr>
                <w:p>
                  <w:pPr>
                    <w:pStyle w:val="23"/>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宋体" w:cs="Times New Roman"/>
                      <w:b w:val="0"/>
                      <w:bCs w:val="0"/>
                      <w:color w:val="000000"/>
                      <w:kern w:val="0"/>
                      <w:sz w:val="21"/>
                      <w:szCs w:val="21"/>
                      <w:highlight w:val="none"/>
                      <w:u w:val="none"/>
                      <w:lang w:val="en-US" w:eastAsia="zh-CN" w:bidi="ar-SA"/>
                    </w:rPr>
                  </w:pPr>
                  <w:r>
                    <w:rPr>
                      <w:rFonts w:hint="eastAsia" w:ascii="Times New Roman" w:hAnsi="Times New Roman" w:cs="Times New Roman"/>
                      <w:b w:val="0"/>
                      <w:bCs w:val="0"/>
                      <w:color w:val="000000"/>
                      <w:kern w:val="0"/>
                      <w:sz w:val="21"/>
                      <w:szCs w:val="21"/>
                      <w:highlight w:val="none"/>
                      <w:u w:val="none"/>
                      <w:lang w:val="en-US" w:eastAsia="zh-CN" w:bidi="ar-SA"/>
                    </w:rPr>
                    <w:t>45</w:t>
                  </w:r>
                </w:p>
              </w:tc>
              <w:tc>
                <w:tcPr>
                  <w:tcW w:w="453" w:type="pct"/>
                  <w:tcBorders>
                    <w:tl2br w:val="nil"/>
                    <w:tr2bl w:val="nil"/>
                  </w:tcBorders>
                  <w:vAlign w:val="center"/>
                </w:tcPr>
                <w:p>
                  <w:pPr>
                    <w:pStyle w:val="23"/>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宋体" w:cs="Times New Roman"/>
                      <w:b w:val="0"/>
                      <w:bCs w:val="0"/>
                      <w:color w:val="000000"/>
                      <w:kern w:val="0"/>
                      <w:sz w:val="21"/>
                      <w:szCs w:val="21"/>
                      <w:highlight w:val="none"/>
                      <w:u w:val="none"/>
                      <w:lang w:val="en-US" w:eastAsia="zh-CN" w:bidi="ar"/>
                    </w:rPr>
                  </w:pPr>
                  <w:r>
                    <w:rPr>
                      <w:rFonts w:hint="default" w:ascii="Times New Roman" w:hAnsi="Times New Roman" w:eastAsia="宋体" w:cs="Times New Roman"/>
                      <w:b w:val="0"/>
                      <w:bCs w:val="0"/>
                      <w:color w:val="000000"/>
                      <w:sz w:val="21"/>
                      <w:szCs w:val="21"/>
                      <w:highlight w:val="none"/>
                      <w:u w:val="none"/>
                      <w:lang w:bidi="ar"/>
                    </w:rPr>
                    <w:t>一般排放口</w:t>
                  </w:r>
                </w:p>
              </w:tc>
              <w:tc>
                <w:tcPr>
                  <w:tcW w:w="596" w:type="pct"/>
                  <w:tcBorders>
                    <w:tl2br w:val="nil"/>
                    <w:tr2bl w:val="nil"/>
                  </w:tcBorders>
                  <w:vAlign w:val="center"/>
                </w:tcPr>
                <w:p>
                  <w:pPr>
                    <w:pStyle w:val="23"/>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eastAsia="宋体" w:cs="Times New Roman"/>
                      <w:b w:val="0"/>
                      <w:bCs w:val="0"/>
                      <w:color w:val="000000"/>
                      <w:kern w:val="0"/>
                      <w:sz w:val="21"/>
                      <w:szCs w:val="21"/>
                      <w:highlight w:val="none"/>
                      <w:u w:val="none"/>
                      <w:lang w:val="en-US" w:eastAsia="zh-CN" w:bidi="ar-SA"/>
                    </w:rPr>
                  </w:pPr>
                  <w:r>
                    <w:rPr>
                      <w:rFonts w:hint="default" w:ascii="Times New Roman" w:hAnsi="Times New Roman" w:eastAsia="宋体" w:cs="Times New Roman"/>
                      <w:b w:val="0"/>
                      <w:bCs w:val="0"/>
                      <w:color w:val="000000"/>
                      <w:sz w:val="21"/>
                      <w:szCs w:val="21"/>
                      <w:highlight w:val="none"/>
                      <w:u w:val="none"/>
                    </w:rPr>
                    <w:t>生产车间内部</w:t>
                  </w:r>
                  <w:r>
                    <w:rPr>
                      <w:rFonts w:hint="eastAsia" w:ascii="Times New Roman" w:hAnsi="Times New Roman" w:cs="Times New Roman"/>
                      <w:b w:val="0"/>
                      <w:bCs w:val="0"/>
                      <w:color w:val="000000"/>
                      <w:sz w:val="21"/>
                      <w:szCs w:val="21"/>
                      <w:highlight w:val="none"/>
                      <w:u w:val="none"/>
                      <w:lang w:val="en-US" w:eastAsia="zh-CN"/>
                    </w:rPr>
                    <w:t>北侧</w:t>
                  </w:r>
                </w:p>
              </w:tc>
            </w:tr>
          </w:tbl>
          <w:p>
            <w:pPr>
              <w:spacing w:line="360" w:lineRule="auto"/>
              <w:rPr>
                <w:b/>
                <w:bCs/>
                <w:color w:val="000000" w:themeColor="text1"/>
                <w:sz w:val="24"/>
                <w:szCs w:val="32"/>
                <w14:textFill>
                  <w14:solidFill>
                    <w14:schemeClr w14:val="tx1"/>
                  </w14:solidFill>
                </w14:textFill>
              </w:rPr>
            </w:pPr>
            <w:r>
              <w:rPr>
                <w:b/>
                <w:bCs/>
                <w:color w:val="000000" w:themeColor="text1"/>
                <w:sz w:val="24"/>
                <w:szCs w:val="32"/>
                <w14:textFill>
                  <w14:solidFill>
                    <w14:schemeClr w14:val="tx1"/>
                  </w14:solidFill>
                </w14:textFill>
              </w:rPr>
              <w:t>1.</w:t>
            </w:r>
            <w:r>
              <w:rPr>
                <w:rFonts w:hint="eastAsia"/>
                <w:b/>
                <w:bCs/>
                <w:color w:val="000000" w:themeColor="text1"/>
                <w:sz w:val="24"/>
                <w:szCs w:val="32"/>
                <w14:textFill>
                  <w14:solidFill>
                    <w14:schemeClr w14:val="tx1"/>
                  </w14:solidFill>
                </w14:textFill>
              </w:rPr>
              <w:t>3</w:t>
            </w:r>
            <w:r>
              <w:rPr>
                <w:b/>
                <w:bCs/>
                <w:color w:val="000000" w:themeColor="text1"/>
                <w:sz w:val="24"/>
                <w:szCs w:val="32"/>
                <w14:textFill>
                  <w14:solidFill>
                    <w14:schemeClr w14:val="tx1"/>
                  </w14:solidFill>
                </w14:textFill>
              </w:rPr>
              <w:t xml:space="preserve"> 废气污染监测要求</w:t>
            </w:r>
          </w:p>
          <w:p>
            <w:pPr>
              <w:spacing w:line="360" w:lineRule="auto"/>
              <w:ind w:firstLine="480" w:firstLineChars="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本项目行业类别为“</w:t>
            </w:r>
            <w:r>
              <w:rPr>
                <w:color w:val="000000" w:themeColor="text1"/>
                <w:sz w:val="24"/>
                <w:szCs w:val="24"/>
                <w14:textFill>
                  <w14:solidFill>
                    <w14:schemeClr w14:val="tx1"/>
                  </w14:solidFill>
                </w14:textFill>
              </w:rPr>
              <w:t>C</w:t>
            </w:r>
            <w:r>
              <w:rPr>
                <w:rFonts w:hint="eastAsia"/>
                <w:color w:val="000000" w:themeColor="text1"/>
                <w:sz w:val="24"/>
                <w:szCs w:val="24"/>
                <w:lang w:val="en-US" w:eastAsia="zh-CN"/>
                <w14:textFill>
                  <w14:solidFill>
                    <w14:schemeClr w14:val="tx1"/>
                  </w14:solidFill>
                </w14:textFill>
              </w:rPr>
              <w:t>3589其他医疗设备及器械制造</w:t>
            </w:r>
            <w:r>
              <w:rPr>
                <w:rFonts w:hint="eastAsia"/>
                <w:color w:val="000000" w:themeColor="text1"/>
                <w:sz w:val="24"/>
                <w:szCs w:val="32"/>
                <w14:textFill>
                  <w14:solidFill>
                    <w14:schemeClr w14:val="tx1"/>
                  </w14:solidFill>
                </w14:textFill>
              </w:rPr>
              <w:t>”，污染源监测计划</w:t>
            </w:r>
            <w:r>
              <w:rPr>
                <w:rFonts w:hint="eastAsia"/>
                <w:color w:val="000000" w:themeColor="text1"/>
                <w:sz w:val="24"/>
                <w:szCs w:val="24"/>
                <w14:textFill>
                  <w14:solidFill>
                    <w14:schemeClr w14:val="tx1"/>
                  </w14:solidFill>
                </w14:textFill>
              </w:rPr>
              <w:t>参考《排污许可证申请与核发技术规范 总则》（HJ 942-2018）</w:t>
            </w:r>
            <w:r>
              <w:rPr>
                <w:rFonts w:hint="eastAsia"/>
                <w:b w:val="0"/>
                <w:bCs w:val="0"/>
                <w:color w:val="000000" w:themeColor="text1"/>
                <w:sz w:val="24"/>
                <w:szCs w:val="24"/>
                <w:u w:val="none"/>
                <w14:textFill>
                  <w14:solidFill>
                    <w14:schemeClr w14:val="tx1"/>
                  </w14:solidFill>
                </w14:textFill>
              </w:rPr>
              <w:t>、《排污许可证申请与核发技术规范 工业炉窑》（HJ 1121-2020）</w:t>
            </w:r>
            <w:r>
              <w:rPr>
                <w:rFonts w:hint="eastAsia"/>
                <w:b w:val="0"/>
                <w:bCs w:val="0"/>
                <w:color w:val="000000" w:themeColor="text1"/>
                <w:sz w:val="24"/>
                <w:szCs w:val="32"/>
                <w:u w:val="none"/>
                <w14:textFill>
                  <w14:solidFill>
                    <w14:schemeClr w14:val="tx1"/>
                  </w14:solidFill>
                </w14:textFill>
              </w:rPr>
              <w:t>中</w:t>
            </w:r>
            <w:r>
              <w:rPr>
                <w:rFonts w:hint="eastAsia"/>
                <w:color w:val="000000" w:themeColor="text1"/>
                <w:sz w:val="24"/>
                <w:szCs w:val="32"/>
                <w14:textFill>
                  <w14:solidFill>
                    <w14:schemeClr w14:val="tx1"/>
                  </w14:solidFill>
                </w14:textFill>
              </w:rPr>
              <w:t>相关内容执行，</w:t>
            </w:r>
            <w:r>
              <w:rPr>
                <w:color w:val="000000" w:themeColor="text1"/>
                <w:sz w:val="24"/>
                <w:szCs w:val="32"/>
                <w14:textFill>
                  <w14:solidFill>
                    <w14:schemeClr w14:val="tx1"/>
                  </w14:solidFill>
                </w14:textFill>
              </w:rPr>
              <w:t>监测工作建议委托有资质的环境监测机构完成。监控内容及频率见表4-</w:t>
            </w:r>
            <w:r>
              <w:rPr>
                <w:rFonts w:hint="eastAsia"/>
                <w:color w:val="000000" w:themeColor="text1"/>
                <w:sz w:val="24"/>
                <w:szCs w:val="32"/>
                <w:lang w:val="en-US" w:eastAsia="zh-CN"/>
                <w14:textFill>
                  <w14:solidFill>
                    <w14:schemeClr w14:val="tx1"/>
                  </w14:solidFill>
                </w14:textFill>
              </w:rPr>
              <w:t>4</w:t>
            </w:r>
            <w:r>
              <w:rPr>
                <w:color w:val="000000" w:themeColor="text1"/>
                <w:sz w:val="24"/>
                <w:szCs w:val="32"/>
                <w14:textFill>
                  <w14:solidFill>
                    <w14:schemeClr w14:val="tx1"/>
                  </w14:solidFill>
                </w14:textFill>
              </w:rPr>
              <w:t>。</w:t>
            </w:r>
          </w:p>
          <w:p>
            <w:pPr>
              <w:jc w:val="center"/>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表4-</w:t>
            </w:r>
            <w:r>
              <w:rPr>
                <w:rFonts w:hint="eastAsia"/>
                <w:color w:val="000000" w:themeColor="text1"/>
                <w:sz w:val="24"/>
                <w:szCs w:val="32"/>
                <w:lang w:val="en-US" w:eastAsia="zh-CN"/>
                <w14:textFill>
                  <w14:solidFill>
                    <w14:schemeClr w14:val="tx1"/>
                  </w14:solidFill>
                </w14:textFill>
              </w:rPr>
              <w:t>4</w:t>
            </w:r>
            <w:r>
              <w:rPr>
                <w:color w:val="000000" w:themeColor="text1"/>
                <w:sz w:val="24"/>
                <w:szCs w:val="32"/>
                <w14:textFill>
                  <w14:solidFill>
                    <w14:schemeClr w14:val="tx1"/>
                  </w14:solidFill>
                </w14:textFill>
              </w:rPr>
              <w:t xml:space="preserve">  项目废气的监测方案</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7"/>
              <w:gridCol w:w="1260"/>
              <w:gridCol w:w="1181"/>
              <w:gridCol w:w="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22" w:type="pct"/>
                  <w:tcBorders>
                    <w:tl2br w:val="nil"/>
                    <w:tr2bl w:val="nil"/>
                  </w:tcBorders>
                  <w:vAlign w:val="center"/>
                </w:tcPr>
                <w:p>
                  <w:pPr>
                    <w:pStyle w:val="34"/>
                    <w:keepNext w:val="0"/>
                    <w:keepLines w:val="0"/>
                    <w:pageBreakBefore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监测点位</w:t>
                  </w:r>
                </w:p>
              </w:tc>
              <w:tc>
                <w:tcPr>
                  <w:tcW w:w="745" w:type="pct"/>
                  <w:tcBorders>
                    <w:tl2br w:val="nil"/>
                    <w:tr2bl w:val="nil"/>
                  </w:tcBorders>
                  <w:vAlign w:val="center"/>
                </w:tcPr>
                <w:p>
                  <w:pPr>
                    <w:pStyle w:val="34"/>
                    <w:keepNext w:val="0"/>
                    <w:keepLines w:val="0"/>
                    <w:pageBreakBefore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监测指标</w:t>
                  </w:r>
                </w:p>
              </w:tc>
              <w:tc>
                <w:tcPr>
                  <w:tcW w:w="698" w:type="pct"/>
                  <w:tcBorders>
                    <w:tl2br w:val="nil"/>
                    <w:tr2bl w:val="nil"/>
                  </w:tcBorders>
                  <w:vAlign w:val="center"/>
                </w:tcPr>
                <w:p>
                  <w:pPr>
                    <w:pStyle w:val="34"/>
                    <w:keepNext w:val="0"/>
                    <w:keepLines w:val="0"/>
                    <w:pageBreakBefore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监测频次</w:t>
                  </w:r>
                </w:p>
              </w:tc>
              <w:tc>
                <w:tcPr>
                  <w:tcW w:w="2334" w:type="pct"/>
                  <w:tcBorders>
                    <w:tl2br w:val="nil"/>
                    <w:tr2bl w:val="nil"/>
                  </w:tcBorders>
                  <w:vAlign w:val="center"/>
                </w:tcPr>
                <w:p>
                  <w:pPr>
                    <w:pStyle w:val="34"/>
                    <w:keepNext w:val="0"/>
                    <w:keepLines w:val="0"/>
                    <w:pageBreakBefore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22" w:type="pct"/>
                  <w:tcBorders>
                    <w:tl2br w:val="nil"/>
                    <w:tr2bl w:val="nil"/>
                  </w:tcBorders>
                  <w:vAlign w:val="center"/>
                </w:tcPr>
                <w:p>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DA001</w:t>
                  </w:r>
                  <w:r>
                    <w:rPr>
                      <w:rFonts w:hint="default" w:ascii="Times New Roman" w:hAnsi="Times New Roman" w:eastAsia="宋体" w:cs="Times New Roman"/>
                      <w:b w:val="0"/>
                      <w:bCs w:val="0"/>
                      <w:color w:val="000000"/>
                      <w:sz w:val="21"/>
                      <w:szCs w:val="21"/>
                      <w:lang w:val="en-US" w:eastAsia="zh-CN"/>
                    </w:rPr>
                    <w:t>切割、焊接、打磨废气排气筒</w:t>
                  </w:r>
                </w:p>
              </w:tc>
              <w:tc>
                <w:tcPr>
                  <w:tcW w:w="745"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val="en-US" w:eastAsia="zh-CN"/>
                    </w:rPr>
                    <w:t>颗粒物</w:t>
                  </w:r>
                </w:p>
              </w:tc>
              <w:tc>
                <w:tcPr>
                  <w:tcW w:w="698" w:type="pct"/>
                  <w:tcBorders>
                    <w:tl2br w:val="nil"/>
                    <w:tr2bl w:val="nil"/>
                  </w:tcBorders>
                  <w:vAlign w:val="center"/>
                </w:tcPr>
                <w:p>
                  <w:pPr>
                    <w:pStyle w:val="34"/>
                    <w:keepNext w:val="0"/>
                    <w:keepLines w:val="0"/>
                    <w:pageBreakBefore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1次/年</w:t>
                  </w:r>
                </w:p>
              </w:tc>
              <w:tc>
                <w:tcPr>
                  <w:tcW w:w="2334"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u w:val="none"/>
                    </w:rPr>
                    <w:t>《大气污染物综合排放标准》（GB16297-1996）表2二级标准。同时满足洛市环〔2021〕47号要求颗粒物10mg/m</w:t>
                  </w:r>
                  <w:r>
                    <w:rPr>
                      <w:rFonts w:hint="default" w:ascii="Times New Roman" w:hAnsi="Times New Roman" w:eastAsia="宋体" w:cs="Times New Roman"/>
                      <w:b w:val="0"/>
                      <w:bCs w:val="0"/>
                      <w:color w:val="000000"/>
                      <w:sz w:val="21"/>
                      <w:szCs w:val="21"/>
                      <w:u w:val="none"/>
                      <w:vertAlign w:val="superscript"/>
                    </w:rPr>
                    <w:t>3</w:t>
                  </w:r>
                  <w:r>
                    <w:rPr>
                      <w:rFonts w:hint="default" w:ascii="Times New Roman" w:hAnsi="Times New Roman" w:eastAsia="宋体" w:cs="Times New Roman"/>
                      <w:b w:val="0"/>
                      <w:bCs w:val="0"/>
                      <w:color w:val="000000"/>
                      <w:sz w:val="21"/>
                      <w:szCs w:val="21"/>
                      <w:u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22" w:type="pct"/>
                  <w:tcBorders>
                    <w:tl2br w:val="nil"/>
                    <w:tr2bl w:val="nil"/>
                  </w:tcBorders>
                  <w:vAlign w:val="center"/>
                </w:tcPr>
                <w:p>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highlight w:val="none"/>
                      <w:u w:val="none"/>
                      <w:lang w:val="en-US" w:eastAsia="zh-CN" w:bidi="ar"/>
                    </w:rPr>
                    <w:t>DA002喷塑废气排气筒</w:t>
                  </w:r>
                </w:p>
              </w:tc>
              <w:tc>
                <w:tcPr>
                  <w:tcW w:w="745"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颗粒物</w:t>
                  </w:r>
                </w:p>
              </w:tc>
              <w:tc>
                <w:tcPr>
                  <w:tcW w:w="698" w:type="pct"/>
                  <w:tcBorders>
                    <w:tl2br w:val="nil"/>
                    <w:tr2bl w:val="nil"/>
                  </w:tcBorders>
                  <w:vAlign w:val="center"/>
                </w:tcPr>
                <w:p>
                  <w:pPr>
                    <w:pStyle w:val="34"/>
                    <w:keepNext w:val="0"/>
                    <w:keepLines w:val="0"/>
                    <w:pageBreakBefore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1次/年</w:t>
                  </w:r>
                </w:p>
              </w:tc>
              <w:tc>
                <w:tcPr>
                  <w:tcW w:w="233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2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i w:val="0"/>
                      <w:iCs w:val="0"/>
                      <w:color w:val="000000"/>
                      <w:sz w:val="21"/>
                      <w:szCs w:val="21"/>
                      <w:u w:val="none"/>
                      <w:lang w:eastAsia="zh-CN"/>
                    </w:rPr>
                  </w:pPr>
                  <w:r>
                    <w:rPr>
                      <w:rFonts w:hint="default" w:ascii="Times New Roman" w:hAnsi="Times New Roman" w:eastAsia="宋体" w:cs="Times New Roman"/>
                      <w:b w:val="0"/>
                      <w:bCs w:val="0"/>
                      <w:i w:val="0"/>
                      <w:iCs w:val="0"/>
                      <w:color w:val="000000"/>
                      <w:sz w:val="21"/>
                      <w:szCs w:val="21"/>
                      <w:u w:val="none"/>
                    </w:rPr>
                    <w:t>DA00</w:t>
                  </w:r>
                  <w:r>
                    <w:rPr>
                      <w:rFonts w:hint="default" w:ascii="Times New Roman" w:hAnsi="Times New Roman" w:eastAsia="宋体" w:cs="Times New Roman"/>
                      <w:b w:val="0"/>
                      <w:bCs w:val="0"/>
                      <w:i w:val="0"/>
                      <w:iCs w:val="0"/>
                      <w:color w:val="000000"/>
                      <w:sz w:val="21"/>
                      <w:szCs w:val="21"/>
                      <w:u w:val="none"/>
                      <w:lang w:val="en-US" w:eastAsia="zh-CN"/>
                    </w:rPr>
                    <w:t>3</w:t>
                  </w:r>
                </w:p>
                <w:p>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exact"/>
                    <w:jc w:val="center"/>
                    <w:textAlignment w:val="auto"/>
                    <w:outlineLvl w:val="0"/>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sz w:val="21"/>
                      <w:szCs w:val="21"/>
                      <w:u w:val="none"/>
                      <w:lang w:val="en-US" w:eastAsia="zh-CN" w:bidi="ar"/>
                    </w:rPr>
                    <w:t>固化废气排气筒</w:t>
                  </w:r>
                </w:p>
              </w:tc>
              <w:tc>
                <w:tcPr>
                  <w:tcW w:w="745"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i w:val="0"/>
                      <w:iCs w:val="0"/>
                      <w:sz w:val="21"/>
                      <w:szCs w:val="21"/>
                      <w:u w:val="none"/>
                    </w:rPr>
                  </w:pPr>
                  <w:r>
                    <w:rPr>
                      <w:rFonts w:hint="default" w:ascii="Times New Roman" w:hAnsi="Times New Roman" w:eastAsia="宋体" w:cs="Times New Roman"/>
                      <w:b w:val="0"/>
                      <w:bCs w:val="0"/>
                      <w:i w:val="0"/>
                      <w:iCs w:val="0"/>
                      <w:sz w:val="21"/>
                      <w:szCs w:val="21"/>
                      <w:u w:val="none"/>
                    </w:rPr>
                    <w:t>非甲烷总烃</w:t>
                  </w:r>
                  <w:r>
                    <w:rPr>
                      <w:rFonts w:hint="default" w:ascii="Times New Roman" w:hAnsi="Times New Roman" w:eastAsia="宋体" w:cs="Times New Roman"/>
                      <w:b w:val="0"/>
                      <w:bCs w:val="0"/>
                      <w:i w:val="0"/>
                      <w:iCs w:val="0"/>
                      <w:sz w:val="21"/>
                      <w:szCs w:val="21"/>
                      <w:u w:val="none"/>
                      <w:lang w:eastAsia="zh-CN"/>
                    </w:rPr>
                    <w:t>、</w:t>
                  </w:r>
                  <w:r>
                    <w:rPr>
                      <w:rFonts w:hint="default" w:ascii="Times New Roman" w:hAnsi="Times New Roman" w:eastAsia="宋体" w:cs="Times New Roman"/>
                      <w:b w:val="0"/>
                      <w:bCs w:val="0"/>
                      <w:i w:val="0"/>
                      <w:iCs w:val="0"/>
                      <w:color w:val="000000"/>
                      <w:sz w:val="21"/>
                      <w:szCs w:val="21"/>
                      <w:u w:val="none"/>
                    </w:rPr>
                    <w:t>颗粒物、SO</w:t>
                  </w:r>
                  <w:r>
                    <w:rPr>
                      <w:rFonts w:hint="default" w:ascii="Times New Roman" w:hAnsi="Times New Roman" w:eastAsia="宋体" w:cs="Times New Roman"/>
                      <w:b w:val="0"/>
                      <w:bCs w:val="0"/>
                      <w:i w:val="0"/>
                      <w:iCs w:val="0"/>
                      <w:color w:val="000000"/>
                      <w:sz w:val="21"/>
                      <w:szCs w:val="21"/>
                      <w:u w:val="none"/>
                      <w:vertAlign w:val="subscript"/>
                    </w:rPr>
                    <w:t>2</w:t>
                  </w:r>
                  <w:r>
                    <w:rPr>
                      <w:rFonts w:hint="default" w:ascii="Times New Roman" w:hAnsi="Times New Roman" w:eastAsia="宋体" w:cs="Times New Roman"/>
                      <w:b w:val="0"/>
                      <w:bCs w:val="0"/>
                      <w:i w:val="0"/>
                      <w:iCs w:val="0"/>
                      <w:color w:val="000000"/>
                      <w:sz w:val="21"/>
                      <w:szCs w:val="21"/>
                      <w:u w:val="none"/>
                    </w:rPr>
                    <w:t>、NO</w:t>
                  </w:r>
                  <w:r>
                    <w:rPr>
                      <w:rFonts w:hint="default" w:ascii="Times New Roman" w:hAnsi="Times New Roman" w:eastAsia="宋体" w:cs="Times New Roman"/>
                      <w:b w:val="0"/>
                      <w:bCs w:val="0"/>
                      <w:i w:val="0"/>
                      <w:iCs w:val="0"/>
                      <w:color w:val="000000"/>
                      <w:sz w:val="21"/>
                      <w:szCs w:val="21"/>
                      <w:u w:val="none"/>
                      <w:vertAlign w:val="subscript"/>
                    </w:rPr>
                    <w:t>x</w:t>
                  </w:r>
                </w:p>
              </w:tc>
              <w:tc>
                <w:tcPr>
                  <w:tcW w:w="698" w:type="pct"/>
                  <w:tcBorders>
                    <w:tl2br w:val="nil"/>
                    <w:tr2bl w:val="nil"/>
                  </w:tcBorders>
                  <w:vAlign w:val="center"/>
                </w:tcPr>
                <w:p>
                  <w:pPr>
                    <w:pStyle w:val="34"/>
                    <w:keepNext w:val="0"/>
                    <w:keepLines w:val="0"/>
                    <w:pageBreakBefore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sz w:val="21"/>
                      <w:szCs w:val="21"/>
                      <w:u w:val="none"/>
                    </w:rPr>
                    <w:t>1次/年</w:t>
                  </w:r>
                </w:p>
              </w:tc>
              <w:tc>
                <w:tcPr>
                  <w:tcW w:w="2334"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sz w:val="21"/>
                      <w:szCs w:val="21"/>
                      <w:u w:val="single"/>
                    </w:rPr>
                  </w:pPr>
                  <w:r>
                    <w:rPr>
                      <w:rFonts w:hint="default" w:ascii="Times New Roman" w:hAnsi="Times New Roman" w:eastAsia="宋体" w:cs="Times New Roman"/>
                      <w:b w:val="0"/>
                      <w:bCs w:val="0"/>
                      <w:sz w:val="21"/>
                      <w:szCs w:val="21"/>
                    </w:rPr>
                    <w:t>《工业涂装工序挥发性有机物排放标准》</w:t>
                  </w:r>
                  <w:r>
                    <w:rPr>
                      <w:rFonts w:hint="default"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sz w:val="21"/>
                      <w:szCs w:val="21"/>
                    </w:rPr>
                    <w:t>DB41/ 1951-202</w:t>
                  </w:r>
                  <w:r>
                    <w:rPr>
                      <w:rFonts w:hint="default" w:ascii="Times New Roman" w:hAnsi="Times New Roman" w:eastAsia="宋体" w:cs="Times New Roman"/>
                      <w:b w:val="0"/>
                      <w:bCs w:val="0"/>
                      <w:sz w:val="21"/>
                      <w:szCs w:val="21"/>
                      <w:lang w:val="en-US" w:eastAsia="zh-CN"/>
                    </w:rPr>
                    <w:t>0)、</w:t>
                  </w:r>
                  <w:r>
                    <w:rPr>
                      <w:rFonts w:hint="default" w:ascii="Times New Roman" w:hAnsi="Times New Roman" w:eastAsia="宋体" w:cs="Times New Roman"/>
                      <w:b w:val="0"/>
                      <w:bCs w:val="0"/>
                      <w:sz w:val="21"/>
                      <w:szCs w:val="21"/>
                    </w:rPr>
                    <w:t>《河南省重污染天气通用行业应急减排措施制定技术指南》中绩效分级指标中“涉锅炉/炉窑企业绩效分级指标”A级标准要求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22" w:type="pct"/>
                  <w:tcBorders>
                    <w:tl2br w:val="nil"/>
                    <w:tr2bl w:val="nil"/>
                  </w:tcBorders>
                  <w:vAlign w:val="center"/>
                </w:tcPr>
                <w:p>
                  <w:pPr>
                    <w:pStyle w:val="34"/>
                    <w:keepNext w:val="0"/>
                    <w:keepLines w:val="0"/>
                    <w:pageBreakBefore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上风向1个监测点、下风向3个监测点、</w:t>
                  </w:r>
                </w:p>
              </w:tc>
              <w:tc>
                <w:tcPr>
                  <w:tcW w:w="745"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rPr>
                    <w:t>非甲烷总烃</w:t>
                  </w:r>
                  <w:r>
                    <w:rPr>
                      <w:rFonts w:hint="eastAsia" w:ascii="Times New Roman" w:hAnsi="Times New Roman" w:eastAsia="宋体" w:cs="Times New Roman"/>
                      <w:b w:val="0"/>
                      <w:bCs w:val="0"/>
                      <w:color w:val="000000"/>
                      <w:sz w:val="21"/>
                      <w:szCs w:val="21"/>
                      <w:lang w:eastAsia="zh-CN"/>
                    </w:rPr>
                    <w:t>、</w:t>
                  </w:r>
                  <w:r>
                    <w:rPr>
                      <w:rFonts w:hint="eastAsia" w:ascii="Times New Roman" w:hAnsi="Times New Roman" w:eastAsia="宋体" w:cs="Times New Roman"/>
                      <w:b w:val="0"/>
                      <w:bCs w:val="0"/>
                      <w:color w:val="000000"/>
                      <w:sz w:val="21"/>
                      <w:szCs w:val="21"/>
                      <w:lang w:val="en-US" w:eastAsia="zh-CN"/>
                    </w:rPr>
                    <w:t>颗粒物</w:t>
                  </w:r>
                </w:p>
              </w:tc>
              <w:tc>
                <w:tcPr>
                  <w:tcW w:w="698" w:type="pct"/>
                  <w:tcBorders>
                    <w:tl2br w:val="nil"/>
                    <w:tr2bl w:val="nil"/>
                  </w:tcBorders>
                  <w:vAlign w:val="center"/>
                </w:tcPr>
                <w:p>
                  <w:pPr>
                    <w:pStyle w:val="34"/>
                    <w:keepNext w:val="0"/>
                    <w:keepLines w:val="0"/>
                    <w:pageBreakBefore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1次/年</w:t>
                  </w:r>
                </w:p>
              </w:tc>
              <w:tc>
                <w:tcPr>
                  <w:tcW w:w="2334"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u w:val="none"/>
                    </w:rPr>
                    <w:t>《大气污染物综合排放标准》（GB16297-1996）</w:t>
                  </w:r>
                  <w:r>
                    <w:rPr>
                      <w:rFonts w:hint="eastAsia" w:ascii="Times New Roman" w:hAnsi="Times New Roman" w:eastAsia="宋体" w:cs="Times New Roman"/>
                      <w:b w:val="0"/>
                      <w:bCs w:val="0"/>
                      <w:color w:val="000000"/>
                      <w:sz w:val="21"/>
                      <w:szCs w:val="21"/>
                      <w:u w:val="none"/>
                      <w:lang w:eastAsia="zh-CN"/>
                    </w:rPr>
                    <w:t>、</w:t>
                  </w:r>
                  <w:r>
                    <w:rPr>
                      <w:rFonts w:hint="default" w:ascii="Times New Roman" w:hAnsi="Times New Roman" w:eastAsia="宋体" w:cs="Times New Roman"/>
                      <w:b w:val="0"/>
                      <w:bCs w:val="0"/>
                      <w:color w:val="000000"/>
                      <w:sz w:val="21"/>
                      <w:szCs w:val="21"/>
                    </w:rPr>
                    <w:t>《关于全省开展工业企业挥发性有机物专项治理工作中排放建议值的通知》（豫环攻坚办【2017】162号）：其他行业有机废气排放要求。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22" w:type="pct"/>
                  <w:tcBorders>
                    <w:tl2br w:val="nil"/>
                    <w:tr2bl w:val="nil"/>
                  </w:tcBorders>
                  <w:vAlign w:val="center"/>
                </w:tcPr>
                <w:p>
                  <w:pPr>
                    <w:pStyle w:val="34"/>
                    <w:keepNext w:val="0"/>
                    <w:keepLines w:val="0"/>
                    <w:pageBreakBefore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车间外1米</w:t>
                  </w:r>
                </w:p>
              </w:tc>
              <w:tc>
                <w:tcPr>
                  <w:tcW w:w="745"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非甲烷总烃</w:t>
                  </w:r>
                </w:p>
              </w:tc>
              <w:tc>
                <w:tcPr>
                  <w:tcW w:w="698" w:type="pct"/>
                  <w:tcBorders>
                    <w:tl2br w:val="nil"/>
                    <w:tr2bl w:val="nil"/>
                  </w:tcBorders>
                  <w:vAlign w:val="center"/>
                </w:tcPr>
                <w:p>
                  <w:pPr>
                    <w:pStyle w:val="34"/>
                    <w:keepNext w:val="0"/>
                    <w:keepLines w:val="0"/>
                    <w:pageBreakBefore w:val="0"/>
                    <w:kinsoku/>
                    <w:wordWrap/>
                    <w:overflowPunct/>
                    <w:topLinePunct w:val="0"/>
                    <w:autoSpaceDE/>
                    <w:autoSpaceDN/>
                    <w:bidi w:val="0"/>
                    <w:spacing w:beforeLines="0" w:afterLines="0" w:line="360" w:lineRule="exact"/>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1次/年</w:t>
                  </w:r>
                </w:p>
              </w:tc>
              <w:tc>
                <w:tcPr>
                  <w:tcW w:w="2334"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《挥发性有机物无组织排放控制标准》（GB37822-2019）附录A标准限值；</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1.</w:t>
            </w:r>
            <w:r>
              <w:rPr>
                <w:rFonts w:hint="default" w:ascii="Times New Roman" w:hAnsi="Times New Roman" w:cs="Times New Roman"/>
                <w:b/>
                <w:sz w:val="24"/>
                <w:szCs w:val="24"/>
                <w:lang w:val="en-US" w:eastAsia="zh-CN"/>
              </w:rPr>
              <w:t>4</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eastAsia="zh-CN"/>
              </w:rPr>
              <w:t>废气</w:t>
            </w:r>
            <w:r>
              <w:rPr>
                <w:rFonts w:hint="default" w:ascii="Times New Roman" w:hAnsi="Times New Roman" w:cs="Times New Roman"/>
                <w:b/>
                <w:sz w:val="24"/>
                <w:szCs w:val="24"/>
              </w:rPr>
              <w:t>环境影响分析</w:t>
            </w:r>
          </w:p>
          <w:p>
            <w:pPr>
              <w:pStyle w:val="2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kern w:val="2"/>
                <w:sz w:val="24"/>
                <w:szCs w:val="24"/>
                <w:u w:val="none"/>
                <w:lang w:val="en-US" w:eastAsia="zh-CN"/>
              </w:rPr>
            </w:pPr>
            <w:r>
              <w:rPr>
                <w:rFonts w:hint="default" w:ascii="Times New Roman" w:hAnsi="Times New Roman" w:eastAsia="宋体" w:cs="Times New Roman"/>
                <w:b w:val="0"/>
                <w:bCs w:val="0"/>
                <w:sz w:val="24"/>
                <w:szCs w:val="24"/>
                <w:u w:val="none"/>
                <w:lang w:val="en-US" w:eastAsia="zh-CN"/>
              </w:rPr>
              <w:t>建设项目位于洛阳市偃师区大口镇后周村府金路，该区域环境空气属于二类。</w:t>
            </w:r>
            <w:r>
              <w:rPr>
                <w:rFonts w:hint="default" w:ascii="Times New Roman" w:hAnsi="Times New Roman" w:eastAsia="宋体" w:cs="Times New Roman"/>
                <w:b w:val="0"/>
                <w:bCs w:val="0"/>
                <w:sz w:val="24"/>
                <w:szCs w:val="24"/>
                <w:u w:val="none"/>
                <w:lang w:eastAsia="zh-CN"/>
              </w:rPr>
              <w:t>依据</w:t>
            </w:r>
            <w:r>
              <w:rPr>
                <w:rFonts w:hint="default" w:ascii="Times New Roman" w:hAnsi="Times New Roman" w:eastAsia="宋体" w:cs="Times New Roman"/>
                <w:b w:val="0"/>
                <w:bCs w:val="0"/>
                <w:sz w:val="24"/>
                <w:szCs w:val="24"/>
                <w:u w:val="none"/>
                <w:lang w:val="en-US" w:eastAsia="zh-CN"/>
              </w:rPr>
              <w:t>洛阳</w:t>
            </w:r>
            <w:r>
              <w:rPr>
                <w:rFonts w:hint="default" w:ascii="Times New Roman" w:hAnsi="Times New Roman" w:eastAsia="宋体" w:cs="Times New Roman"/>
                <w:b w:val="0"/>
                <w:bCs w:val="0"/>
                <w:sz w:val="24"/>
                <w:szCs w:val="24"/>
                <w:u w:val="none"/>
              </w:rPr>
              <w:t>市环境监测站</w:t>
            </w:r>
            <w:r>
              <w:rPr>
                <w:rFonts w:hint="default" w:ascii="Times New Roman" w:hAnsi="Times New Roman" w:eastAsia="宋体" w:cs="Times New Roman"/>
                <w:b w:val="0"/>
                <w:bCs w:val="0"/>
                <w:sz w:val="24"/>
                <w:szCs w:val="24"/>
                <w:u w:val="none"/>
                <w:lang w:val="en-US" w:eastAsia="zh-CN"/>
              </w:rPr>
              <w:t>2021</w:t>
            </w:r>
            <w:r>
              <w:rPr>
                <w:rFonts w:hint="default" w:ascii="Times New Roman" w:hAnsi="Times New Roman" w:eastAsia="宋体" w:cs="Times New Roman"/>
                <w:b w:val="0"/>
                <w:bCs w:val="0"/>
                <w:sz w:val="24"/>
                <w:szCs w:val="24"/>
                <w:u w:val="none"/>
              </w:rPr>
              <w:t>年的常规监测数据</w:t>
            </w:r>
            <w:r>
              <w:rPr>
                <w:rFonts w:hint="default" w:ascii="Times New Roman" w:hAnsi="Times New Roman" w:eastAsia="宋体" w:cs="Times New Roman"/>
                <w:b w:val="0"/>
                <w:bCs w:val="0"/>
                <w:sz w:val="24"/>
                <w:szCs w:val="24"/>
                <w:u w:val="none"/>
                <w:lang w:eastAsia="zh-CN"/>
              </w:rPr>
              <w:t>可知，</w:t>
            </w:r>
            <w:r>
              <w:rPr>
                <w:rFonts w:hint="default" w:ascii="Times New Roman" w:hAnsi="Times New Roman" w:eastAsia="宋体" w:cs="Times New Roman"/>
                <w:b w:val="0"/>
                <w:bCs w:val="0"/>
                <w:sz w:val="24"/>
                <w:szCs w:val="24"/>
                <w:u w:val="none"/>
                <w:lang w:val="en-US" w:eastAsia="zh-CN"/>
              </w:rPr>
              <w:t>项目所在区域环境质量一般。本项目营运期针对废气采取的措施为</w:t>
            </w:r>
            <w:r>
              <w:rPr>
                <w:rFonts w:hint="default" w:ascii="Times New Roman" w:hAnsi="Times New Roman" w:eastAsia="宋体" w:cs="Times New Roman"/>
                <w:b w:val="0"/>
                <w:bCs w:val="0"/>
                <w:sz w:val="24"/>
                <w:szCs w:val="24"/>
                <w:highlight w:val="none"/>
                <w:u w:val="none"/>
                <w:lang w:val="en-US" w:eastAsia="zh-CN"/>
              </w:rPr>
              <w:t>：颗粒物经袋式除尘器处理，有机废气经UV光氧</w:t>
            </w:r>
            <w:r>
              <w:rPr>
                <w:rFonts w:hint="default" w:ascii="Times New Roman" w:hAnsi="Times New Roman" w:eastAsia="宋体" w:cs="Times New Roman"/>
                <w:b w:val="0"/>
                <w:bCs w:val="0"/>
                <w:color w:val="000000"/>
                <w:sz w:val="24"/>
                <w:szCs w:val="24"/>
                <w:highlight w:val="none"/>
                <w:u w:val="none"/>
                <w:shd w:val="clear" w:color="auto" w:fill="auto"/>
                <w:lang w:val="en-US" w:eastAsia="zh-CN"/>
              </w:rPr>
              <w:t>+活性炭吸附装置</w:t>
            </w:r>
            <w:r>
              <w:rPr>
                <w:rFonts w:hint="default" w:ascii="Times New Roman" w:hAnsi="Times New Roman" w:eastAsia="宋体" w:cs="Times New Roman"/>
                <w:b w:val="0"/>
                <w:bCs w:val="0"/>
                <w:sz w:val="24"/>
                <w:szCs w:val="24"/>
                <w:highlight w:val="none"/>
                <w:u w:val="none"/>
                <w:lang w:val="en-US" w:eastAsia="zh-CN"/>
              </w:rPr>
              <w:t>处理</w:t>
            </w:r>
            <w:r>
              <w:rPr>
                <w:rFonts w:hint="eastAsia" w:cs="Times New Roman"/>
                <w:b w:val="0"/>
                <w:bCs w:val="0"/>
                <w:sz w:val="24"/>
                <w:szCs w:val="24"/>
                <w:highlight w:val="none"/>
                <w:u w:val="none"/>
                <w:lang w:val="en-US" w:eastAsia="zh-CN"/>
              </w:rPr>
              <w:t>，液化石油气经节能直燃机燃烧</w:t>
            </w:r>
            <w:r>
              <w:rPr>
                <w:rFonts w:hint="default" w:ascii="Times New Roman" w:hAnsi="Times New Roman" w:eastAsia="宋体" w:cs="Times New Roman"/>
                <w:b w:val="0"/>
                <w:bCs w:val="0"/>
                <w:sz w:val="24"/>
                <w:szCs w:val="24"/>
                <w:highlight w:val="none"/>
                <w:u w:val="none"/>
                <w:lang w:val="en-US" w:eastAsia="zh-CN"/>
              </w:rPr>
              <w:t>处理后的大气</w:t>
            </w:r>
            <w:r>
              <w:rPr>
                <w:rFonts w:hint="default" w:ascii="Times New Roman" w:hAnsi="Times New Roman" w:eastAsia="宋体" w:cs="Times New Roman"/>
                <w:b w:val="0"/>
                <w:bCs w:val="0"/>
                <w:sz w:val="24"/>
                <w:szCs w:val="24"/>
                <w:u w:val="none"/>
                <w:lang w:val="en-US" w:eastAsia="zh-CN"/>
              </w:rPr>
              <w:t>污染物能达标排放。</w:t>
            </w:r>
            <w:r>
              <w:rPr>
                <w:rFonts w:hint="default" w:ascii="Times New Roman" w:hAnsi="Times New Roman" w:eastAsia="宋体" w:cs="Times New Roman"/>
                <w:b w:val="0"/>
                <w:bCs w:val="0"/>
                <w:kern w:val="2"/>
                <w:sz w:val="24"/>
                <w:szCs w:val="24"/>
                <w:u w:val="none"/>
                <w:lang w:val="en-US" w:eastAsia="zh-CN"/>
              </w:rPr>
              <w:t>故本项目废气排放对区域环境影响较小，在可接受范围内。</w:t>
            </w:r>
          </w:p>
          <w:p>
            <w:pPr>
              <w:spacing w:line="360"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w:t>
            </w:r>
            <w:r>
              <w:rPr>
                <w:rFonts w:hint="eastAsia"/>
                <w:b/>
                <w:color w:val="000000" w:themeColor="text1"/>
                <w:sz w:val="24"/>
                <w:szCs w:val="24"/>
                <w14:textFill>
                  <w14:solidFill>
                    <w14:schemeClr w14:val="tx1"/>
                  </w14:solidFill>
                </w14:textFill>
              </w:rPr>
              <w:t>废水</w:t>
            </w:r>
          </w:p>
          <w:p>
            <w:pPr>
              <w:spacing w:line="360" w:lineRule="auto"/>
              <w:rPr>
                <w:b/>
                <w:color w:val="000000"/>
                <w:sz w:val="24"/>
                <w:szCs w:val="24"/>
                <w:u w:val="single"/>
              </w:rPr>
            </w:pPr>
            <w:r>
              <w:rPr>
                <w:b/>
                <w:color w:val="000000"/>
                <w:sz w:val="24"/>
                <w:szCs w:val="24"/>
              </w:rPr>
              <w:t>2.1</w:t>
            </w:r>
            <w:r>
              <w:rPr>
                <w:rFonts w:hint="eastAsia"/>
                <w:b/>
                <w:color w:val="000000"/>
                <w:sz w:val="24"/>
                <w:szCs w:val="24"/>
              </w:rPr>
              <w:t>废水类别、污染物及污染治理设施信息表</w:t>
            </w:r>
          </w:p>
          <w:p>
            <w:pPr>
              <w:pStyle w:val="23"/>
              <w:spacing w:before="0" w:beforeAutospacing="0" w:after="0" w:afterAutospacing="0" w:line="360" w:lineRule="auto"/>
              <w:ind w:firstLine="480" w:firstLineChars="200"/>
              <w:jc w:val="both"/>
              <w:outlineLvl w:val="0"/>
              <w:rPr>
                <w:rFonts w:ascii="Times New Roman" w:hAnsi="Times New Roman"/>
                <w:bCs/>
                <w:color w:val="000000"/>
                <w:sz w:val="24"/>
                <w:szCs w:val="24"/>
              </w:rPr>
            </w:pPr>
            <w:r>
              <w:rPr>
                <w:rFonts w:ascii="Times New Roman" w:hAnsi="Times New Roman"/>
                <w:bCs/>
                <w:color w:val="000000"/>
                <w:sz w:val="24"/>
                <w:szCs w:val="24"/>
              </w:rPr>
              <w:t>本项目废水主要为生活污水。生活污水经化粪池处理后</w:t>
            </w:r>
            <w:r>
              <w:rPr>
                <w:rFonts w:hint="eastAsia" w:ascii="Times New Roman" w:hAnsi="Times New Roman"/>
                <w:bCs/>
                <w:color w:val="000000"/>
                <w:sz w:val="24"/>
                <w:szCs w:val="24"/>
                <w:lang w:val="en-US" w:eastAsia="zh-CN"/>
              </w:rPr>
              <w:t>定期清掏肥田</w:t>
            </w:r>
            <w:r>
              <w:rPr>
                <w:rFonts w:ascii="Times New Roman" w:hAnsi="Times New Roman"/>
                <w:bCs/>
                <w:color w:val="000000"/>
                <w:sz w:val="24"/>
                <w:szCs w:val="24"/>
              </w:rPr>
              <w:t>。</w:t>
            </w:r>
          </w:p>
          <w:p>
            <w:pPr>
              <w:pStyle w:val="23"/>
              <w:spacing w:before="0" w:beforeAutospacing="0" w:after="0" w:afterAutospacing="0"/>
              <w:jc w:val="center"/>
              <w:outlineLvl w:val="0"/>
              <w:rPr>
                <w:rFonts w:ascii="Times New Roman" w:hAnsi="Times New Roman"/>
                <w:bCs/>
                <w:color w:val="000000"/>
                <w:sz w:val="21"/>
                <w:szCs w:val="21"/>
              </w:rPr>
            </w:pPr>
            <w:r>
              <w:rPr>
                <w:rFonts w:hint="eastAsia" w:ascii="Times New Roman" w:hAnsi="Times New Roman"/>
                <w:bCs/>
                <w:color w:val="000000"/>
                <w:sz w:val="24"/>
                <w:szCs w:val="24"/>
              </w:rPr>
              <w:t>表4-</w:t>
            </w:r>
            <w:r>
              <w:rPr>
                <w:rFonts w:hint="eastAsia" w:ascii="Times New Roman" w:hAnsi="Times New Roman"/>
                <w:bCs/>
                <w:color w:val="000000"/>
                <w:sz w:val="24"/>
                <w:szCs w:val="24"/>
                <w:lang w:val="en-US" w:eastAsia="zh-CN"/>
              </w:rPr>
              <w:t>5</w:t>
            </w:r>
            <w:r>
              <w:rPr>
                <w:rFonts w:hint="eastAsia" w:ascii="Times New Roman" w:hAnsi="Times New Roman"/>
                <w:bCs/>
                <w:color w:val="000000"/>
                <w:sz w:val="24"/>
                <w:szCs w:val="24"/>
              </w:rPr>
              <w:t xml:space="preserve">  </w:t>
            </w:r>
            <w:r>
              <w:rPr>
                <w:rFonts w:ascii="Times New Roman" w:hAnsi="Times New Roman"/>
                <w:bCs/>
                <w:color w:val="000000"/>
                <w:sz w:val="24"/>
                <w:szCs w:val="24"/>
              </w:rPr>
              <w:t>废水类别、污染物及污染治理设施信息表</w:t>
            </w:r>
          </w:p>
          <w:tbl>
            <w:tblPr>
              <w:tblStyle w:val="27"/>
              <w:tblpPr w:leftFromText="181" w:rightFromText="181" w:vertAnchor="text" w:horzAnchor="page" w:tblpX="92" w:tblpY="1"/>
              <w:tblOverlap w:val="never"/>
              <w:tblW w:w="499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911"/>
              <w:gridCol w:w="658"/>
              <w:gridCol w:w="1192"/>
              <w:gridCol w:w="818"/>
              <w:gridCol w:w="425"/>
              <w:gridCol w:w="599"/>
              <w:gridCol w:w="425"/>
              <w:gridCol w:w="911"/>
              <w:gridCol w:w="1244"/>
              <w:gridCol w:w="42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Merge w:val="restar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r>
                    <w:rPr>
                      <w:rFonts w:ascii="Times New Roman" w:hAnsi="Times New Roman"/>
                      <w:b w:val="0"/>
                      <w:bCs/>
                      <w:snapToGrid w:val="0"/>
                      <w:color w:val="000000"/>
                      <w:sz w:val="21"/>
                      <w:szCs w:val="21"/>
                    </w:rPr>
                    <w:t>产排污环节</w:t>
                  </w:r>
                </w:p>
              </w:tc>
              <w:tc>
                <w:tcPr>
                  <w:tcW w:w="450" w:type="pct"/>
                  <w:vMerge w:val="restar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r>
                    <w:rPr>
                      <w:rFonts w:hint="eastAsia" w:ascii="Times New Roman" w:hAnsi="Times New Roman"/>
                      <w:b w:val="0"/>
                      <w:bCs/>
                      <w:snapToGrid w:val="0"/>
                      <w:color w:val="000000"/>
                      <w:sz w:val="21"/>
                      <w:szCs w:val="21"/>
                    </w:rPr>
                    <w:t>类别</w:t>
                  </w:r>
                </w:p>
              </w:tc>
              <w:tc>
                <w:tcPr>
                  <w:tcW w:w="331" w:type="pct"/>
                  <w:vMerge w:val="restar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r>
                    <w:rPr>
                      <w:rFonts w:hint="eastAsia" w:ascii="Times New Roman" w:hAnsi="Times New Roman"/>
                      <w:b w:val="0"/>
                      <w:bCs/>
                      <w:snapToGrid w:val="0"/>
                      <w:color w:val="000000"/>
                      <w:sz w:val="21"/>
                      <w:szCs w:val="21"/>
                    </w:rPr>
                    <w:t>污染物种类</w:t>
                  </w:r>
                </w:p>
              </w:tc>
              <w:tc>
                <w:tcPr>
                  <w:tcW w:w="784" w:type="pct"/>
                  <w:vMerge w:val="restar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r>
                    <w:rPr>
                      <w:rFonts w:hint="eastAsia" w:ascii="Times New Roman" w:hAnsi="Times New Roman"/>
                      <w:b w:val="0"/>
                      <w:bCs/>
                      <w:snapToGrid w:val="0"/>
                      <w:color w:val="000000"/>
                      <w:sz w:val="21"/>
                      <w:szCs w:val="21"/>
                    </w:rPr>
                    <w:t>污染物产生浓度和产生量</w:t>
                  </w:r>
                </w:p>
              </w:tc>
              <w:tc>
                <w:tcPr>
                  <w:tcW w:w="1426" w:type="pct"/>
                  <w:gridSpan w:val="4"/>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r>
                    <w:rPr>
                      <w:rFonts w:hint="eastAsia" w:ascii="Times New Roman" w:hAnsi="Times New Roman"/>
                      <w:b w:val="0"/>
                      <w:bCs/>
                      <w:snapToGrid w:val="0"/>
                      <w:color w:val="000000"/>
                      <w:sz w:val="21"/>
                      <w:szCs w:val="21"/>
                    </w:rPr>
                    <w:t>治理设施</w:t>
                  </w:r>
                </w:p>
              </w:tc>
              <w:tc>
                <w:tcPr>
                  <w:tcW w:w="377" w:type="pct"/>
                  <w:vMerge w:val="restar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r>
                    <w:rPr>
                      <w:rFonts w:hint="eastAsia" w:ascii="Times New Roman" w:hAnsi="Times New Roman"/>
                      <w:b w:val="0"/>
                      <w:bCs/>
                      <w:snapToGrid w:val="0"/>
                      <w:color w:val="000000"/>
                      <w:sz w:val="21"/>
                      <w:szCs w:val="21"/>
                    </w:rPr>
                    <w:t>废水排放量</w:t>
                  </w:r>
                </w:p>
              </w:tc>
              <w:tc>
                <w:tcPr>
                  <w:tcW w:w="801" w:type="pct"/>
                  <w:vMerge w:val="restar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r>
                    <w:rPr>
                      <w:rFonts w:hint="eastAsia" w:ascii="Times New Roman" w:hAnsi="Times New Roman"/>
                      <w:b w:val="0"/>
                      <w:bCs/>
                      <w:snapToGrid w:val="0"/>
                      <w:color w:val="000000"/>
                      <w:sz w:val="21"/>
                      <w:szCs w:val="21"/>
                    </w:rPr>
                    <w:t>污染物排放量和浓度</w:t>
                  </w:r>
                </w:p>
              </w:tc>
              <w:tc>
                <w:tcPr>
                  <w:tcW w:w="252" w:type="pct"/>
                  <w:vMerge w:val="restar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r>
                    <w:rPr>
                      <w:rFonts w:hint="eastAsia" w:ascii="Times New Roman" w:hAnsi="Times New Roman"/>
                      <w:b w:val="0"/>
                      <w:bCs/>
                      <w:snapToGrid w:val="0"/>
                      <w:color w:val="000000"/>
                      <w:sz w:val="21"/>
                      <w:szCs w:val="21"/>
                    </w:rPr>
                    <w:t>排放方式</w:t>
                  </w:r>
                </w:p>
              </w:tc>
              <w:tc>
                <w:tcPr>
                  <w:tcW w:w="265" w:type="pct"/>
                  <w:vMerge w:val="restar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r>
                    <w:rPr>
                      <w:rFonts w:hint="eastAsia" w:ascii="Times New Roman" w:hAnsi="Times New Roman"/>
                      <w:b w:val="0"/>
                      <w:bCs/>
                      <w:snapToGrid w:val="0"/>
                      <w:color w:val="000000"/>
                      <w:sz w:val="21"/>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12"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p>
              </w:tc>
              <w:tc>
                <w:tcPr>
                  <w:tcW w:w="450"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p>
              </w:tc>
              <w:tc>
                <w:tcPr>
                  <w:tcW w:w="331"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p>
              </w:tc>
              <w:tc>
                <w:tcPr>
                  <w:tcW w:w="784"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p>
              </w:tc>
              <w:tc>
                <w:tcPr>
                  <w:tcW w:w="433" w:type="pc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r>
                    <w:rPr>
                      <w:rFonts w:hint="eastAsia" w:ascii="Times New Roman" w:hAnsi="Times New Roman"/>
                      <w:b w:val="0"/>
                      <w:bCs/>
                      <w:snapToGrid w:val="0"/>
                      <w:color w:val="000000"/>
                      <w:sz w:val="21"/>
                      <w:szCs w:val="21"/>
                    </w:rPr>
                    <w:t>处理能力</w:t>
                  </w:r>
                </w:p>
              </w:tc>
              <w:tc>
                <w:tcPr>
                  <w:tcW w:w="278" w:type="pc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r>
                    <w:rPr>
                      <w:rFonts w:hint="eastAsia" w:ascii="Times New Roman" w:hAnsi="Times New Roman"/>
                      <w:b w:val="0"/>
                      <w:bCs/>
                      <w:snapToGrid w:val="0"/>
                      <w:color w:val="000000"/>
                      <w:sz w:val="21"/>
                      <w:szCs w:val="21"/>
                    </w:rPr>
                    <w:t>治理工艺</w:t>
                  </w:r>
                </w:p>
              </w:tc>
              <w:tc>
                <w:tcPr>
                  <w:tcW w:w="302" w:type="pc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r>
                    <w:rPr>
                      <w:rFonts w:hint="eastAsia" w:ascii="Times New Roman" w:hAnsi="Times New Roman"/>
                      <w:b w:val="0"/>
                      <w:bCs/>
                      <w:snapToGrid w:val="0"/>
                      <w:color w:val="000000"/>
                      <w:sz w:val="21"/>
                      <w:szCs w:val="21"/>
                    </w:rPr>
                    <w:t>治理效率</w:t>
                  </w:r>
                </w:p>
              </w:tc>
              <w:tc>
                <w:tcPr>
                  <w:tcW w:w="413" w:type="pc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r>
                    <w:rPr>
                      <w:rFonts w:hint="eastAsia" w:ascii="Times New Roman" w:hAnsi="Times New Roman"/>
                      <w:b w:val="0"/>
                      <w:bCs/>
                      <w:snapToGrid w:val="0"/>
                      <w:color w:val="000000"/>
                      <w:sz w:val="21"/>
                      <w:szCs w:val="21"/>
                    </w:rPr>
                    <w:t>是否为可行技术</w:t>
                  </w:r>
                </w:p>
              </w:tc>
              <w:tc>
                <w:tcPr>
                  <w:tcW w:w="377"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p>
              </w:tc>
              <w:tc>
                <w:tcPr>
                  <w:tcW w:w="801"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p>
              </w:tc>
              <w:tc>
                <w:tcPr>
                  <w:tcW w:w="252"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p>
              </w:tc>
              <w:tc>
                <w:tcPr>
                  <w:tcW w:w="265"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vMerge w:val="restar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r>
                    <w:rPr>
                      <w:rFonts w:hint="eastAsia" w:ascii="Times New Roman" w:hAnsi="Times New Roman"/>
                      <w:b w:val="0"/>
                      <w:bCs/>
                      <w:snapToGrid w:val="0"/>
                      <w:color w:val="000000"/>
                      <w:sz w:val="21"/>
                      <w:szCs w:val="21"/>
                    </w:rPr>
                    <w:t>员工生活用水</w:t>
                  </w:r>
                </w:p>
              </w:tc>
              <w:tc>
                <w:tcPr>
                  <w:tcW w:w="450" w:type="pct"/>
                  <w:vMerge w:val="restar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r>
                    <w:rPr>
                      <w:rFonts w:hint="eastAsia" w:ascii="Times New Roman" w:hAnsi="Times New Roman"/>
                      <w:b w:val="0"/>
                      <w:bCs/>
                      <w:snapToGrid w:val="0"/>
                      <w:color w:val="000000"/>
                      <w:sz w:val="21"/>
                      <w:szCs w:val="21"/>
                      <w:highlight w:val="none"/>
                    </w:rPr>
                    <w:t>生活污水192m</w:t>
                  </w:r>
                  <w:r>
                    <w:rPr>
                      <w:rFonts w:hint="eastAsia" w:ascii="Times New Roman" w:hAnsi="Times New Roman"/>
                      <w:b w:val="0"/>
                      <w:bCs/>
                      <w:snapToGrid w:val="0"/>
                      <w:color w:val="000000"/>
                      <w:sz w:val="21"/>
                      <w:szCs w:val="21"/>
                      <w:highlight w:val="none"/>
                      <w:vertAlign w:val="superscript"/>
                    </w:rPr>
                    <w:t>3</w:t>
                  </w:r>
                  <w:r>
                    <w:rPr>
                      <w:rFonts w:hint="eastAsia" w:ascii="Times New Roman" w:hAnsi="Times New Roman"/>
                      <w:b w:val="0"/>
                      <w:bCs/>
                      <w:snapToGrid w:val="0"/>
                      <w:color w:val="000000"/>
                      <w:sz w:val="21"/>
                      <w:szCs w:val="21"/>
                      <w:highlight w:val="none"/>
                    </w:rPr>
                    <w:t>/a</w:t>
                  </w:r>
                </w:p>
              </w:tc>
              <w:tc>
                <w:tcPr>
                  <w:tcW w:w="331" w:type="pc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r>
                    <w:rPr>
                      <w:rFonts w:hint="eastAsia" w:ascii="Times New Roman" w:hAnsi="Times New Roman"/>
                      <w:b w:val="0"/>
                      <w:bCs/>
                      <w:snapToGrid w:val="0"/>
                      <w:color w:val="000000"/>
                      <w:sz w:val="21"/>
                      <w:szCs w:val="21"/>
                      <w:highlight w:val="none"/>
                    </w:rPr>
                    <w:t>COD</w:t>
                  </w:r>
                </w:p>
              </w:tc>
              <w:tc>
                <w:tcPr>
                  <w:tcW w:w="784" w:type="pc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r>
                    <w:rPr>
                      <w:rFonts w:hint="eastAsia" w:ascii="Times New Roman" w:hAnsi="Times New Roman"/>
                      <w:b w:val="0"/>
                      <w:bCs/>
                      <w:snapToGrid w:val="0"/>
                      <w:color w:val="000000"/>
                      <w:sz w:val="21"/>
                      <w:szCs w:val="21"/>
                      <w:highlight w:val="none"/>
                    </w:rPr>
                    <w:t>350mg/L，</w:t>
                  </w:r>
                  <w:r>
                    <w:rPr>
                      <w:rFonts w:ascii="Times New Roman" w:hAnsi="Times New Roman"/>
                      <w:b w:val="0"/>
                      <w:bCs/>
                      <w:color w:val="000000" w:themeColor="text1"/>
                      <w:sz w:val="21"/>
                      <w:szCs w:val="21"/>
                      <w:highlight w:val="none"/>
                      <w14:textFill>
                        <w14:solidFill>
                          <w14:schemeClr w14:val="tx1"/>
                        </w14:solidFill>
                      </w14:textFill>
                    </w:rPr>
                    <w:t>0.</w:t>
                  </w:r>
                  <w:r>
                    <w:rPr>
                      <w:rFonts w:hint="eastAsia" w:ascii="Times New Roman" w:hAnsi="Times New Roman"/>
                      <w:b w:val="0"/>
                      <w:bCs/>
                      <w:color w:val="000000" w:themeColor="text1"/>
                      <w:sz w:val="21"/>
                      <w:szCs w:val="21"/>
                      <w:highlight w:val="none"/>
                      <w14:textFill>
                        <w14:solidFill>
                          <w14:schemeClr w14:val="tx1"/>
                        </w14:solidFill>
                      </w14:textFill>
                    </w:rPr>
                    <w:t>0672</w:t>
                  </w:r>
                  <w:r>
                    <w:rPr>
                      <w:rFonts w:hint="eastAsia" w:ascii="Times New Roman" w:hAnsi="Times New Roman"/>
                      <w:b w:val="0"/>
                      <w:bCs/>
                      <w:snapToGrid w:val="0"/>
                      <w:color w:val="000000"/>
                      <w:sz w:val="21"/>
                      <w:szCs w:val="21"/>
                      <w:highlight w:val="none"/>
                    </w:rPr>
                    <w:t>t/a</w:t>
                  </w:r>
                </w:p>
              </w:tc>
              <w:tc>
                <w:tcPr>
                  <w:tcW w:w="433" w:type="pct"/>
                  <w:vMerge w:val="restar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r>
                    <w:rPr>
                      <w:rFonts w:hint="eastAsia" w:ascii="Times New Roman" w:hAnsi="Times New Roman"/>
                      <w:b w:val="0"/>
                      <w:bCs/>
                      <w:snapToGrid w:val="0"/>
                      <w:color w:val="000000"/>
                      <w:sz w:val="21"/>
                      <w:szCs w:val="21"/>
                      <w:highlight w:val="none"/>
                    </w:rPr>
                    <w:t>10m</w:t>
                  </w:r>
                  <w:r>
                    <w:rPr>
                      <w:rFonts w:hint="eastAsia" w:ascii="Times New Roman" w:hAnsi="Times New Roman"/>
                      <w:b w:val="0"/>
                      <w:bCs/>
                      <w:snapToGrid w:val="0"/>
                      <w:color w:val="000000"/>
                      <w:sz w:val="21"/>
                      <w:szCs w:val="21"/>
                      <w:highlight w:val="none"/>
                      <w:vertAlign w:val="superscript"/>
                    </w:rPr>
                    <w:t>3</w:t>
                  </w:r>
                  <w:r>
                    <w:rPr>
                      <w:rFonts w:hint="eastAsia" w:ascii="Times New Roman" w:hAnsi="Times New Roman"/>
                      <w:b w:val="0"/>
                      <w:bCs/>
                      <w:snapToGrid w:val="0"/>
                      <w:color w:val="000000"/>
                      <w:sz w:val="21"/>
                      <w:szCs w:val="21"/>
                      <w:highlight w:val="none"/>
                    </w:rPr>
                    <w:t>/d</w:t>
                  </w:r>
                </w:p>
              </w:tc>
              <w:tc>
                <w:tcPr>
                  <w:tcW w:w="278" w:type="pct"/>
                  <w:vMerge w:val="restar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r>
                    <w:rPr>
                      <w:rFonts w:hint="eastAsia" w:ascii="Times New Roman" w:hAnsi="Times New Roman"/>
                      <w:b w:val="0"/>
                      <w:bCs/>
                      <w:snapToGrid w:val="0"/>
                      <w:color w:val="000000"/>
                      <w:sz w:val="21"/>
                      <w:szCs w:val="21"/>
                      <w:highlight w:val="none"/>
                    </w:rPr>
                    <w:t>化粪池</w:t>
                  </w:r>
                </w:p>
              </w:tc>
              <w:tc>
                <w:tcPr>
                  <w:tcW w:w="302" w:type="pc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r>
                    <w:rPr>
                      <w:rFonts w:hint="eastAsia" w:ascii="Times New Roman" w:hAnsi="Times New Roman"/>
                      <w:b w:val="0"/>
                      <w:bCs/>
                      <w:snapToGrid w:val="0"/>
                      <w:color w:val="000000"/>
                      <w:sz w:val="21"/>
                      <w:szCs w:val="21"/>
                      <w:highlight w:val="none"/>
                    </w:rPr>
                    <w:t>20%</w:t>
                  </w:r>
                </w:p>
              </w:tc>
              <w:tc>
                <w:tcPr>
                  <w:tcW w:w="413" w:type="pct"/>
                  <w:vMerge w:val="restar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r>
                    <w:rPr>
                      <w:rFonts w:hint="eastAsia" w:ascii="Times New Roman" w:hAnsi="Times New Roman"/>
                      <w:b w:val="0"/>
                      <w:bCs/>
                      <w:snapToGrid w:val="0"/>
                      <w:color w:val="000000"/>
                      <w:sz w:val="21"/>
                      <w:szCs w:val="21"/>
                      <w:highlight w:val="none"/>
                    </w:rPr>
                    <w:t>是</w:t>
                  </w:r>
                </w:p>
              </w:tc>
              <w:tc>
                <w:tcPr>
                  <w:tcW w:w="377" w:type="pct"/>
                  <w:vMerge w:val="restar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r>
                    <w:rPr>
                      <w:rFonts w:hint="eastAsia" w:ascii="Times New Roman" w:hAnsi="Times New Roman"/>
                      <w:b w:val="0"/>
                      <w:bCs/>
                      <w:snapToGrid w:val="0"/>
                      <w:color w:val="000000"/>
                      <w:sz w:val="21"/>
                      <w:szCs w:val="21"/>
                      <w:highlight w:val="none"/>
                    </w:rPr>
                    <w:t>192m</w:t>
                  </w:r>
                  <w:r>
                    <w:rPr>
                      <w:rFonts w:hint="eastAsia" w:ascii="Times New Roman" w:hAnsi="Times New Roman"/>
                      <w:b w:val="0"/>
                      <w:bCs/>
                      <w:snapToGrid w:val="0"/>
                      <w:color w:val="000000"/>
                      <w:sz w:val="21"/>
                      <w:szCs w:val="21"/>
                      <w:highlight w:val="none"/>
                      <w:vertAlign w:val="superscript"/>
                    </w:rPr>
                    <w:t>3</w:t>
                  </w:r>
                  <w:r>
                    <w:rPr>
                      <w:rFonts w:hint="eastAsia" w:ascii="Times New Roman" w:hAnsi="Times New Roman"/>
                      <w:b w:val="0"/>
                      <w:bCs/>
                      <w:snapToGrid w:val="0"/>
                      <w:color w:val="000000"/>
                      <w:sz w:val="21"/>
                      <w:szCs w:val="21"/>
                      <w:highlight w:val="none"/>
                    </w:rPr>
                    <w:t>/a</w:t>
                  </w:r>
                </w:p>
              </w:tc>
              <w:tc>
                <w:tcPr>
                  <w:tcW w:w="801" w:type="pc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r>
                    <w:rPr>
                      <w:rFonts w:hint="eastAsia" w:ascii="Times New Roman" w:hAnsi="Times New Roman"/>
                      <w:b w:val="0"/>
                      <w:bCs/>
                      <w:snapToGrid w:val="0"/>
                      <w:color w:val="000000"/>
                      <w:sz w:val="21"/>
                      <w:szCs w:val="21"/>
                      <w:highlight w:val="none"/>
                    </w:rPr>
                    <w:t>280mg/L，0.0538t/a</w:t>
                  </w:r>
                </w:p>
              </w:tc>
              <w:tc>
                <w:tcPr>
                  <w:tcW w:w="252" w:type="pct"/>
                  <w:vMerge w:val="restart"/>
                  <w:tcBorders>
                    <w:tl2br w:val="nil"/>
                    <w:tr2bl w:val="nil"/>
                  </w:tcBorders>
                  <w:vAlign w:val="center"/>
                </w:tcPr>
                <w:p>
                  <w:pPr>
                    <w:pStyle w:val="23"/>
                    <w:spacing w:before="0" w:beforeAutospacing="0" w:after="0" w:afterAutospacing="0" w:line="240" w:lineRule="auto"/>
                    <w:jc w:val="center"/>
                    <w:outlineLvl w:val="0"/>
                    <w:rPr>
                      <w:rFonts w:hint="eastAsia" w:ascii="Times New Roman" w:hAnsi="Times New Roman" w:eastAsia="宋体"/>
                      <w:b w:val="0"/>
                      <w:bCs/>
                      <w:snapToGrid w:val="0"/>
                      <w:color w:val="000000"/>
                      <w:sz w:val="21"/>
                      <w:szCs w:val="21"/>
                      <w:lang w:eastAsia="zh-CN"/>
                    </w:rPr>
                  </w:pPr>
                  <w:r>
                    <w:rPr>
                      <w:rFonts w:hint="eastAsia" w:ascii="Times New Roman" w:hAnsi="Times New Roman"/>
                      <w:b w:val="0"/>
                      <w:bCs/>
                      <w:snapToGrid w:val="0"/>
                      <w:color w:val="000000"/>
                      <w:sz w:val="21"/>
                      <w:szCs w:val="21"/>
                      <w:lang w:val="en-US" w:eastAsia="zh-CN"/>
                    </w:rPr>
                    <w:t>不排放</w:t>
                  </w:r>
                </w:p>
              </w:tc>
              <w:tc>
                <w:tcPr>
                  <w:tcW w:w="265" w:type="pct"/>
                  <w:vMerge w:val="restart"/>
                  <w:tcBorders>
                    <w:tl2br w:val="nil"/>
                    <w:tr2bl w:val="nil"/>
                  </w:tcBorders>
                  <w:vAlign w:val="center"/>
                </w:tcPr>
                <w:p>
                  <w:pPr>
                    <w:pStyle w:val="23"/>
                    <w:spacing w:before="0" w:beforeAutospacing="0" w:after="0" w:afterAutospacing="0" w:line="240" w:lineRule="auto"/>
                    <w:jc w:val="center"/>
                    <w:outlineLvl w:val="0"/>
                    <w:rPr>
                      <w:rFonts w:hint="default" w:ascii="Times New Roman" w:hAnsi="Times New Roman" w:eastAsia="宋体"/>
                      <w:b w:val="0"/>
                      <w:bCs/>
                      <w:snapToGrid w:val="0"/>
                      <w:color w:val="000000"/>
                      <w:sz w:val="21"/>
                      <w:szCs w:val="21"/>
                      <w:lang w:val="en-US" w:eastAsia="zh-CN"/>
                    </w:rPr>
                  </w:pPr>
                  <w:r>
                    <w:rPr>
                      <w:rFonts w:hint="eastAsia" w:ascii="Times New Roman" w:hAnsi="Times New Roman"/>
                      <w:b w:val="0"/>
                      <w:bCs/>
                      <w:snapToGrid w:val="0"/>
                      <w:color w:val="000000"/>
                      <w:sz w:val="21"/>
                      <w:szCs w:val="21"/>
                      <w:lang w:val="en-US" w:eastAsia="zh-CN"/>
                    </w:rPr>
                    <w:t>清掏肥田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2"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p>
              </w:tc>
              <w:tc>
                <w:tcPr>
                  <w:tcW w:w="450"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p>
              </w:tc>
              <w:tc>
                <w:tcPr>
                  <w:tcW w:w="331" w:type="pc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r>
                    <w:rPr>
                      <w:rFonts w:hint="eastAsia" w:ascii="Times New Roman" w:hAnsi="Times New Roman"/>
                      <w:b w:val="0"/>
                      <w:bCs/>
                      <w:snapToGrid w:val="0"/>
                      <w:color w:val="000000"/>
                      <w:sz w:val="21"/>
                      <w:szCs w:val="21"/>
                      <w:highlight w:val="none"/>
                    </w:rPr>
                    <w:t>SS</w:t>
                  </w:r>
                </w:p>
              </w:tc>
              <w:tc>
                <w:tcPr>
                  <w:tcW w:w="784" w:type="pc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r>
                    <w:rPr>
                      <w:rFonts w:hint="eastAsia" w:ascii="Times New Roman" w:hAnsi="Times New Roman"/>
                      <w:b w:val="0"/>
                      <w:bCs/>
                      <w:snapToGrid w:val="0"/>
                      <w:color w:val="000000"/>
                      <w:sz w:val="21"/>
                      <w:szCs w:val="21"/>
                      <w:highlight w:val="none"/>
                    </w:rPr>
                    <w:t>200mg/L，0.0384t/a</w:t>
                  </w:r>
                </w:p>
              </w:tc>
              <w:tc>
                <w:tcPr>
                  <w:tcW w:w="433"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p>
              </w:tc>
              <w:tc>
                <w:tcPr>
                  <w:tcW w:w="278"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p>
              </w:tc>
              <w:tc>
                <w:tcPr>
                  <w:tcW w:w="302" w:type="pc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r>
                    <w:rPr>
                      <w:rFonts w:hint="eastAsia" w:ascii="Times New Roman" w:hAnsi="Times New Roman"/>
                      <w:b w:val="0"/>
                      <w:bCs/>
                      <w:snapToGrid w:val="0"/>
                      <w:color w:val="000000"/>
                      <w:sz w:val="21"/>
                      <w:szCs w:val="21"/>
                      <w:highlight w:val="none"/>
                    </w:rPr>
                    <w:t>50%</w:t>
                  </w:r>
                </w:p>
              </w:tc>
              <w:tc>
                <w:tcPr>
                  <w:tcW w:w="413"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p>
              </w:tc>
              <w:tc>
                <w:tcPr>
                  <w:tcW w:w="377"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p>
              </w:tc>
              <w:tc>
                <w:tcPr>
                  <w:tcW w:w="801" w:type="pc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r>
                    <w:rPr>
                      <w:rFonts w:hint="eastAsia" w:ascii="Times New Roman" w:hAnsi="Times New Roman"/>
                      <w:b w:val="0"/>
                      <w:bCs/>
                      <w:snapToGrid w:val="0"/>
                      <w:color w:val="000000"/>
                      <w:sz w:val="21"/>
                      <w:szCs w:val="21"/>
                      <w:highlight w:val="none"/>
                    </w:rPr>
                    <w:t>100mg/L，0.0192t/a</w:t>
                  </w:r>
                </w:p>
              </w:tc>
              <w:tc>
                <w:tcPr>
                  <w:tcW w:w="252"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p>
              </w:tc>
              <w:tc>
                <w:tcPr>
                  <w:tcW w:w="265"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p>
              </w:tc>
              <w:tc>
                <w:tcPr>
                  <w:tcW w:w="450"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p>
              </w:tc>
              <w:tc>
                <w:tcPr>
                  <w:tcW w:w="331" w:type="pc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r>
                    <w:rPr>
                      <w:rFonts w:hint="eastAsia" w:ascii="Times New Roman" w:hAnsi="Times New Roman"/>
                      <w:b w:val="0"/>
                      <w:bCs/>
                      <w:snapToGrid w:val="0"/>
                      <w:color w:val="000000"/>
                      <w:sz w:val="21"/>
                      <w:szCs w:val="21"/>
                      <w:highlight w:val="none"/>
                    </w:rPr>
                    <w:t>氨氮</w:t>
                  </w:r>
                </w:p>
              </w:tc>
              <w:tc>
                <w:tcPr>
                  <w:tcW w:w="784" w:type="pc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r>
                    <w:rPr>
                      <w:rFonts w:hint="eastAsia" w:ascii="Times New Roman" w:hAnsi="Times New Roman"/>
                      <w:b w:val="0"/>
                      <w:bCs/>
                      <w:snapToGrid w:val="0"/>
                      <w:color w:val="000000"/>
                      <w:sz w:val="21"/>
                      <w:szCs w:val="21"/>
                      <w:highlight w:val="none"/>
                    </w:rPr>
                    <w:t>30mg/L，0.0057t/a</w:t>
                  </w:r>
                </w:p>
              </w:tc>
              <w:tc>
                <w:tcPr>
                  <w:tcW w:w="433"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p>
              </w:tc>
              <w:tc>
                <w:tcPr>
                  <w:tcW w:w="278"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p>
              </w:tc>
              <w:tc>
                <w:tcPr>
                  <w:tcW w:w="302" w:type="pc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r>
                    <w:rPr>
                      <w:rFonts w:hint="eastAsia" w:ascii="Times New Roman" w:hAnsi="Times New Roman"/>
                      <w:b w:val="0"/>
                      <w:bCs/>
                      <w:snapToGrid w:val="0"/>
                      <w:color w:val="000000"/>
                      <w:sz w:val="21"/>
                      <w:szCs w:val="21"/>
                      <w:highlight w:val="none"/>
                    </w:rPr>
                    <w:t>3%</w:t>
                  </w:r>
                </w:p>
              </w:tc>
              <w:tc>
                <w:tcPr>
                  <w:tcW w:w="413"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p>
              </w:tc>
              <w:tc>
                <w:tcPr>
                  <w:tcW w:w="377"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p>
              </w:tc>
              <w:tc>
                <w:tcPr>
                  <w:tcW w:w="801" w:type="pct"/>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highlight w:val="none"/>
                    </w:rPr>
                  </w:pPr>
                  <w:r>
                    <w:rPr>
                      <w:rFonts w:hint="eastAsia" w:ascii="Times New Roman" w:hAnsi="Times New Roman"/>
                      <w:b w:val="0"/>
                      <w:bCs/>
                      <w:snapToGrid w:val="0"/>
                      <w:color w:val="000000"/>
                      <w:sz w:val="21"/>
                      <w:szCs w:val="21"/>
                      <w:highlight w:val="none"/>
                    </w:rPr>
                    <w:t>29.1mg/L，0.0056t/a</w:t>
                  </w:r>
                </w:p>
              </w:tc>
              <w:tc>
                <w:tcPr>
                  <w:tcW w:w="252"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p>
              </w:tc>
              <w:tc>
                <w:tcPr>
                  <w:tcW w:w="265" w:type="pct"/>
                  <w:vMerge w:val="continue"/>
                  <w:tcBorders>
                    <w:tl2br w:val="nil"/>
                    <w:tr2bl w:val="nil"/>
                  </w:tcBorders>
                  <w:vAlign w:val="center"/>
                </w:tcPr>
                <w:p>
                  <w:pPr>
                    <w:pStyle w:val="23"/>
                    <w:spacing w:before="0" w:beforeAutospacing="0" w:after="0" w:afterAutospacing="0" w:line="240" w:lineRule="auto"/>
                    <w:jc w:val="center"/>
                    <w:outlineLvl w:val="0"/>
                    <w:rPr>
                      <w:rFonts w:ascii="Times New Roman" w:hAnsi="Times New Roman"/>
                      <w:b w:val="0"/>
                      <w:bCs/>
                      <w:snapToGrid w:val="0"/>
                      <w:color w:val="000000"/>
                      <w:sz w:val="21"/>
                      <w:szCs w:val="21"/>
                    </w:rPr>
                  </w:pPr>
                </w:p>
              </w:tc>
            </w:tr>
          </w:tbl>
          <w:p>
            <w:pPr>
              <w:pStyle w:val="2"/>
              <w:spacing w:after="0" w:line="360" w:lineRule="auto"/>
              <w:ind w:left="0" w:leftChars="0" w:firstLine="0"/>
              <w:rPr>
                <w:rFonts w:hint="default" w:eastAsia="宋体"/>
                <w:b/>
                <w:bCs/>
                <w:color w:val="000000"/>
                <w:sz w:val="24"/>
                <w:szCs w:val="24"/>
              </w:rPr>
            </w:pPr>
            <w:r>
              <w:rPr>
                <w:rFonts w:hint="default" w:eastAsia="宋体"/>
                <w:b/>
                <w:bCs/>
                <w:color w:val="000000"/>
                <w:sz w:val="24"/>
                <w:szCs w:val="24"/>
              </w:rPr>
              <w:t>2.</w:t>
            </w:r>
            <w:r>
              <w:rPr>
                <w:rFonts w:hint="eastAsia" w:eastAsia="宋体"/>
                <w:b/>
                <w:bCs/>
                <w:color w:val="000000"/>
                <w:sz w:val="24"/>
                <w:szCs w:val="24"/>
                <w:lang w:val="en-US" w:eastAsia="zh-CN"/>
              </w:rPr>
              <w:t>2</w:t>
            </w:r>
            <w:r>
              <w:rPr>
                <w:rFonts w:hint="default" w:eastAsia="宋体"/>
                <w:b/>
                <w:bCs/>
                <w:color w:val="000000"/>
                <w:sz w:val="24"/>
                <w:szCs w:val="24"/>
              </w:rPr>
              <w:t>水环境影响分析</w:t>
            </w:r>
          </w:p>
          <w:p>
            <w:pPr>
              <w:spacing w:line="360" w:lineRule="auto"/>
              <w:ind w:firstLine="480" w:firstLineChars="200"/>
              <w:rPr>
                <w:b/>
                <w:bCs/>
                <w:color w:val="000000"/>
                <w:sz w:val="24"/>
                <w:szCs w:val="24"/>
              </w:rPr>
            </w:pPr>
            <w:r>
              <w:rPr>
                <w:rFonts w:hint="eastAsia"/>
                <w:color w:val="000000"/>
                <w:sz w:val="24"/>
                <w:szCs w:val="24"/>
              </w:rPr>
              <w:t>本项目用水主要为生活用水。</w:t>
            </w:r>
          </w:p>
          <w:p>
            <w:pPr>
              <w:spacing w:line="360" w:lineRule="auto"/>
              <w:ind w:firstLine="480" w:firstLineChars="200"/>
              <w:rPr>
                <w:rFonts w:hint="eastAsia" w:eastAsia="宋体"/>
                <w:color w:val="000000" w:themeColor="text1"/>
                <w:sz w:val="24"/>
                <w:szCs w:val="32"/>
                <w:lang w:val="en-US" w:eastAsia="zh-CN"/>
                <w14:textFill>
                  <w14:solidFill>
                    <w14:schemeClr w14:val="tx1"/>
                  </w14:solidFill>
                </w14:textFill>
              </w:rPr>
            </w:pP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1</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生活用水</w:t>
            </w:r>
          </w:p>
          <w:p>
            <w:pPr>
              <w:spacing w:line="360" w:lineRule="auto"/>
              <w:ind w:firstLine="480" w:firstLineChars="200"/>
              <w:rPr>
                <w:color w:val="000000" w:themeColor="text1"/>
                <w:sz w:val="24"/>
                <w:szCs w:val="24"/>
                <w:shd w:val="clear" w:fill="FFFF00"/>
                <w14:textFill>
                  <w14:solidFill>
                    <w14:schemeClr w14:val="tx1"/>
                  </w14:solidFill>
                </w14:textFill>
              </w:rPr>
            </w:pPr>
            <w:r>
              <w:rPr>
                <w:color w:val="000000" w:themeColor="text1"/>
                <w:sz w:val="24"/>
                <w:szCs w:val="32"/>
                <w14:textFill>
                  <w14:solidFill>
                    <w14:schemeClr w14:val="tx1"/>
                  </w14:solidFill>
                </w14:textFill>
              </w:rPr>
              <w:t>本项目</w:t>
            </w:r>
            <w:r>
              <w:rPr>
                <w:color w:val="000000" w:themeColor="text1"/>
                <w:sz w:val="24"/>
                <w:szCs w:val="32"/>
                <w:highlight w:val="none"/>
                <w14:textFill>
                  <w14:solidFill>
                    <w14:schemeClr w14:val="tx1"/>
                  </w14:solidFill>
                </w14:textFill>
              </w:rPr>
              <w:t>劳动定员</w:t>
            </w:r>
            <w:r>
              <w:rPr>
                <w:rFonts w:hint="eastAsia"/>
                <w:color w:val="000000" w:themeColor="text1"/>
                <w:sz w:val="24"/>
                <w:szCs w:val="32"/>
                <w:highlight w:val="none"/>
                <w14:textFill>
                  <w14:solidFill>
                    <w14:schemeClr w14:val="tx1"/>
                  </w14:solidFill>
                </w14:textFill>
              </w:rPr>
              <w:t>20</w:t>
            </w:r>
            <w:r>
              <w:rPr>
                <w:color w:val="000000" w:themeColor="text1"/>
                <w:sz w:val="24"/>
                <w:szCs w:val="32"/>
                <w:highlight w:val="none"/>
                <w14:textFill>
                  <w14:solidFill>
                    <w14:schemeClr w14:val="tx1"/>
                  </w14:solidFill>
                </w14:textFill>
              </w:rPr>
              <w:t>人，</w:t>
            </w:r>
            <w:r>
              <w:rPr>
                <w:rFonts w:hint="eastAsia"/>
                <w:color w:val="000000" w:themeColor="text1"/>
                <w:sz w:val="24"/>
                <w:szCs w:val="32"/>
                <w:highlight w:val="none"/>
                <w14:textFill>
                  <w14:solidFill>
                    <w14:schemeClr w14:val="tx1"/>
                  </w14:solidFill>
                </w14:textFill>
              </w:rPr>
              <w:t>均不在厂</w:t>
            </w:r>
            <w:r>
              <w:rPr>
                <w:rFonts w:hint="eastAsia"/>
                <w:color w:val="000000" w:themeColor="text1"/>
                <w:sz w:val="24"/>
                <w:szCs w:val="32"/>
                <w14:textFill>
                  <w14:solidFill>
                    <w14:schemeClr w14:val="tx1"/>
                  </w14:solidFill>
                </w14:textFill>
              </w:rPr>
              <w:t>区食宿，</w:t>
            </w:r>
            <w:r>
              <w:rPr>
                <w:color w:val="000000" w:themeColor="text1"/>
                <w:sz w:val="24"/>
                <w:szCs w:val="32"/>
                <w14:textFill>
                  <w14:solidFill>
                    <w14:schemeClr w14:val="tx1"/>
                  </w14:solidFill>
                </w14:textFill>
              </w:rPr>
              <w:t>年工作时间为</w:t>
            </w:r>
            <w:r>
              <w:rPr>
                <w:rFonts w:hint="eastAsia"/>
                <w:color w:val="000000" w:themeColor="text1"/>
                <w:sz w:val="24"/>
                <w:szCs w:val="32"/>
                <w14:textFill>
                  <w14:solidFill>
                    <w14:schemeClr w14:val="tx1"/>
                  </w14:solidFill>
                </w14:textFill>
              </w:rPr>
              <w:t>3</w:t>
            </w:r>
            <w:r>
              <w:rPr>
                <w:color w:val="000000" w:themeColor="text1"/>
                <w:sz w:val="24"/>
                <w:szCs w:val="32"/>
                <w14:textFill>
                  <w14:solidFill>
                    <w14:schemeClr w14:val="tx1"/>
                  </w14:solidFill>
                </w14:textFill>
              </w:rPr>
              <w:t>00天。</w:t>
            </w:r>
            <w:r>
              <w:rPr>
                <w:rFonts w:hint="eastAsia"/>
                <w:color w:val="000000" w:themeColor="text1"/>
                <w:sz w:val="24"/>
                <w:szCs w:val="32"/>
                <w14:textFill>
                  <w14:solidFill>
                    <w14:schemeClr w14:val="tx1"/>
                  </w14:solidFill>
                </w14:textFill>
              </w:rPr>
              <w:t>根据《河南省地方标准工业与城镇生活用水定额》（DB41/385-2020）确定用水定额取40L/（人·d）</w:t>
            </w:r>
            <w:r>
              <w:rPr>
                <w:color w:val="000000" w:themeColor="text1"/>
                <w:sz w:val="24"/>
                <w:szCs w:val="32"/>
                <w14:textFill>
                  <w14:solidFill>
                    <w14:schemeClr w14:val="tx1"/>
                  </w14:solidFill>
                </w14:textFill>
              </w:rPr>
              <w:t>，则项目生活用水量为</w:t>
            </w:r>
            <w:r>
              <w:rPr>
                <w:rFonts w:hint="eastAsia"/>
                <w:color w:val="000000" w:themeColor="text1"/>
                <w:sz w:val="24"/>
                <w:szCs w:val="32"/>
                <w14:textFill>
                  <w14:solidFill>
                    <w14:schemeClr w14:val="tx1"/>
                  </w14:solidFill>
                </w14:textFill>
              </w:rPr>
              <w:t>20</w:t>
            </w:r>
            <w:r>
              <w:rPr>
                <w:color w:val="000000" w:themeColor="text1"/>
                <w:sz w:val="24"/>
                <w:szCs w:val="32"/>
                <w14:textFill>
                  <w14:solidFill>
                    <w14:schemeClr w14:val="tx1"/>
                  </w14:solidFill>
                </w14:textFill>
              </w:rPr>
              <w:t>人×</w:t>
            </w:r>
            <w:r>
              <w:rPr>
                <w:rFonts w:hint="eastAsia"/>
                <w:color w:val="000000" w:themeColor="text1"/>
                <w:sz w:val="24"/>
                <w:szCs w:val="32"/>
                <w14:textFill>
                  <w14:solidFill>
                    <w14:schemeClr w14:val="tx1"/>
                  </w14:solidFill>
                </w14:textFill>
              </w:rPr>
              <w:t>40L</w:t>
            </w:r>
            <w:r>
              <w:rPr>
                <w:color w:val="000000" w:themeColor="text1"/>
                <w:sz w:val="24"/>
                <w:szCs w:val="32"/>
                <w14:textFill>
                  <w14:solidFill>
                    <w14:schemeClr w14:val="tx1"/>
                  </w14:solidFill>
                </w14:textFill>
              </w:rPr>
              <w:t>/（人﹒</w:t>
            </w:r>
            <w:r>
              <w:rPr>
                <w:rFonts w:hint="eastAsia"/>
                <w:color w:val="000000" w:themeColor="text1"/>
                <w:sz w:val="24"/>
                <w:szCs w:val="32"/>
                <w14:textFill>
                  <w14:solidFill>
                    <w14:schemeClr w14:val="tx1"/>
                  </w14:solidFill>
                </w14:textFill>
              </w:rPr>
              <w:t>d</w:t>
            </w:r>
            <w:r>
              <w:rPr>
                <w:color w:val="000000" w:themeColor="text1"/>
                <w:sz w:val="24"/>
                <w:szCs w:val="32"/>
                <w14:textFill>
                  <w14:solidFill>
                    <w14:schemeClr w14:val="tx1"/>
                  </w14:solidFill>
                </w14:textFill>
              </w:rPr>
              <w:t>）</w:t>
            </w:r>
            <w:r>
              <w:rPr>
                <w:rFonts w:hint="eastAsia"/>
                <w:color w:val="000000" w:themeColor="text1"/>
                <w:sz w:val="24"/>
                <w:szCs w:val="32"/>
                <w14:textFill>
                  <w14:solidFill>
                    <w14:schemeClr w14:val="tx1"/>
                  </w14:solidFill>
                </w14:textFill>
              </w:rPr>
              <w:t>=0.8</w:t>
            </w:r>
            <w:r>
              <w:rPr>
                <w:color w:val="000000" w:themeColor="text1"/>
                <w:sz w:val="24"/>
                <w:szCs w:val="32"/>
                <w14:textFill>
                  <w14:solidFill>
                    <w14:schemeClr w14:val="tx1"/>
                  </w14:solidFill>
                </w14:textFill>
              </w:rPr>
              <w:t>m</w:t>
            </w:r>
            <w:r>
              <w:rPr>
                <w:color w:val="000000" w:themeColor="text1"/>
                <w:sz w:val="24"/>
                <w:szCs w:val="32"/>
                <w:vertAlign w:val="superscript"/>
                <w14:textFill>
                  <w14:solidFill>
                    <w14:schemeClr w14:val="tx1"/>
                  </w14:solidFill>
                </w14:textFill>
              </w:rPr>
              <w:t>3</w:t>
            </w:r>
            <w:r>
              <w:rPr>
                <w:color w:val="000000" w:themeColor="text1"/>
                <w:sz w:val="24"/>
                <w:szCs w:val="32"/>
                <w14:textFill>
                  <w14:solidFill>
                    <w14:schemeClr w14:val="tx1"/>
                  </w14:solidFill>
                </w14:textFill>
              </w:rPr>
              <w:t>/</w:t>
            </w:r>
            <w:r>
              <w:rPr>
                <w:rFonts w:hint="eastAsia"/>
                <w:color w:val="000000" w:themeColor="text1"/>
                <w:sz w:val="24"/>
                <w:szCs w:val="32"/>
                <w14:textFill>
                  <w14:solidFill>
                    <w14:schemeClr w14:val="tx1"/>
                  </w14:solidFill>
                </w14:textFill>
              </w:rPr>
              <w:t>d，即240m</w:t>
            </w:r>
            <w:r>
              <w:rPr>
                <w:rFonts w:hint="eastAsia"/>
                <w:color w:val="000000" w:themeColor="text1"/>
                <w:sz w:val="24"/>
                <w:szCs w:val="32"/>
                <w:vertAlign w:val="superscript"/>
                <w14:textFill>
                  <w14:solidFill>
                    <w14:schemeClr w14:val="tx1"/>
                  </w14:solidFill>
                </w14:textFill>
              </w:rPr>
              <w:t>3</w:t>
            </w:r>
            <w:r>
              <w:rPr>
                <w:rFonts w:hint="eastAsia"/>
                <w:color w:val="000000" w:themeColor="text1"/>
                <w:sz w:val="24"/>
                <w:szCs w:val="32"/>
                <w14:textFill>
                  <w14:solidFill>
                    <w14:schemeClr w14:val="tx1"/>
                  </w14:solidFill>
                </w14:textFill>
              </w:rPr>
              <w:t>/a</w:t>
            </w:r>
            <w:r>
              <w:rPr>
                <w:color w:val="000000" w:themeColor="text1"/>
                <w:sz w:val="24"/>
                <w:szCs w:val="32"/>
                <w14:textFill>
                  <w14:solidFill>
                    <w14:schemeClr w14:val="tx1"/>
                  </w14:solidFill>
                </w14:textFill>
              </w:rPr>
              <w:t>。污水排放系数取0.8，则本项目生活污水产生量为</w:t>
            </w:r>
            <w:r>
              <w:rPr>
                <w:rFonts w:hint="eastAsia"/>
                <w:color w:val="000000" w:themeColor="text1"/>
                <w:sz w:val="24"/>
                <w:szCs w:val="32"/>
                <w14:textFill>
                  <w14:solidFill>
                    <w14:schemeClr w14:val="tx1"/>
                  </w14:solidFill>
                </w14:textFill>
              </w:rPr>
              <w:t>192</w:t>
            </w:r>
            <w:r>
              <w:rPr>
                <w:color w:val="000000" w:themeColor="text1"/>
                <w:sz w:val="24"/>
                <w:szCs w:val="32"/>
                <w14:textFill>
                  <w14:solidFill>
                    <w14:schemeClr w14:val="tx1"/>
                  </w14:solidFill>
                </w14:textFill>
              </w:rPr>
              <w:t>m</w:t>
            </w:r>
            <w:r>
              <w:rPr>
                <w:color w:val="000000" w:themeColor="text1"/>
                <w:sz w:val="24"/>
                <w:szCs w:val="32"/>
                <w:vertAlign w:val="superscript"/>
                <w14:textFill>
                  <w14:solidFill>
                    <w14:schemeClr w14:val="tx1"/>
                  </w14:solidFill>
                </w14:textFill>
              </w:rPr>
              <w:t>3</w:t>
            </w:r>
            <w:r>
              <w:rPr>
                <w:color w:val="000000" w:themeColor="text1"/>
                <w:sz w:val="24"/>
                <w:szCs w:val="32"/>
                <w14:textFill>
                  <w14:solidFill>
                    <w14:schemeClr w14:val="tx1"/>
                  </w14:solidFill>
                </w14:textFill>
              </w:rPr>
              <w:t>/</w:t>
            </w:r>
            <w:r>
              <w:rPr>
                <w:rFonts w:hint="eastAsia"/>
                <w:color w:val="000000" w:themeColor="text1"/>
                <w:sz w:val="24"/>
                <w:szCs w:val="32"/>
                <w14:textFill>
                  <w14:solidFill>
                    <w14:schemeClr w14:val="tx1"/>
                  </w14:solidFill>
                </w14:textFill>
              </w:rPr>
              <w:t>a</w:t>
            </w:r>
            <w:r>
              <w:rPr>
                <w:color w:val="000000" w:themeColor="text1"/>
                <w:sz w:val="24"/>
                <w:szCs w:val="32"/>
                <w14:textFill>
                  <w14:solidFill>
                    <w14:schemeClr w14:val="tx1"/>
                  </w14:solidFill>
                </w14:textFill>
              </w:rPr>
              <w:t>。生活污水主要污染物产生浓度分别为COD 350mg/L，SS 2</w:t>
            </w:r>
            <w:r>
              <w:rPr>
                <w:rFonts w:hint="eastAsia"/>
                <w:color w:val="000000" w:themeColor="text1"/>
                <w:sz w:val="24"/>
                <w:szCs w:val="32"/>
                <w14:textFill>
                  <w14:solidFill>
                    <w14:schemeClr w14:val="tx1"/>
                  </w14:solidFill>
                </w14:textFill>
              </w:rPr>
              <w:t>0</w:t>
            </w:r>
            <w:r>
              <w:rPr>
                <w:color w:val="000000" w:themeColor="text1"/>
                <w:sz w:val="24"/>
                <w:szCs w:val="32"/>
                <w14:textFill>
                  <w14:solidFill>
                    <w14:schemeClr w14:val="tx1"/>
                  </w14:solidFill>
                </w14:textFill>
              </w:rPr>
              <w:t>0mg/L、氨氮30mg/L，则产生量分别为COD 0.</w:t>
            </w:r>
            <w:r>
              <w:rPr>
                <w:rFonts w:hint="eastAsia"/>
                <w:color w:val="000000" w:themeColor="text1"/>
                <w:sz w:val="24"/>
                <w:szCs w:val="32"/>
                <w14:textFill>
                  <w14:solidFill>
                    <w14:schemeClr w14:val="tx1"/>
                  </w14:solidFill>
                </w14:textFill>
              </w:rPr>
              <w:t>0672</w:t>
            </w:r>
            <w:r>
              <w:rPr>
                <w:color w:val="000000" w:themeColor="text1"/>
                <w:sz w:val="24"/>
                <w:szCs w:val="32"/>
                <w14:textFill>
                  <w14:solidFill>
                    <w14:schemeClr w14:val="tx1"/>
                  </w14:solidFill>
                </w14:textFill>
              </w:rPr>
              <w:t>t/a、SS 0.</w:t>
            </w:r>
            <w:r>
              <w:rPr>
                <w:rFonts w:hint="eastAsia"/>
                <w:color w:val="000000" w:themeColor="text1"/>
                <w:sz w:val="24"/>
                <w:szCs w:val="32"/>
                <w14:textFill>
                  <w14:solidFill>
                    <w14:schemeClr w14:val="tx1"/>
                  </w14:solidFill>
                </w14:textFill>
              </w:rPr>
              <w:t>0384</w:t>
            </w:r>
            <w:r>
              <w:rPr>
                <w:color w:val="000000" w:themeColor="text1"/>
                <w:sz w:val="24"/>
                <w:szCs w:val="32"/>
                <w14:textFill>
                  <w14:solidFill>
                    <w14:schemeClr w14:val="tx1"/>
                  </w14:solidFill>
                </w14:textFill>
              </w:rPr>
              <w:t>t/a、氨氮0.0</w:t>
            </w:r>
            <w:r>
              <w:rPr>
                <w:rFonts w:hint="eastAsia"/>
                <w:color w:val="000000" w:themeColor="text1"/>
                <w:sz w:val="24"/>
                <w:szCs w:val="32"/>
                <w14:textFill>
                  <w14:solidFill>
                    <w14:schemeClr w14:val="tx1"/>
                  </w14:solidFill>
                </w14:textFill>
              </w:rPr>
              <w:t>057</w:t>
            </w:r>
            <w:r>
              <w:rPr>
                <w:color w:val="000000" w:themeColor="text1"/>
                <w:sz w:val="24"/>
                <w:szCs w:val="32"/>
                <w14:textFill>
                  <w14:solidFill>
                    <w14:schemeClr w14:val="tx1"/>
                  </w14:solidFill>
                </w14:textFill>
              </w:rPr>
              <w:t>t/a。</w:t>
            </w:r>
            <w:r>
              <w:rPr>
                <w:rFonts w:hint="eastAsia"/>
                <w:color w:val="000000" w:themeColor="text1"/>
                <w:sz w:val="24"/>
                <w:szCs w:val="24"/>
                <w14:textFill>
                  <w14:solidFill>
                    <w14:schemeClr w14:val="tx1"/>
                  </w14:solidFill>
                </w14:textFill>
              </w:rPr>
              <w:t>生活污水排入化粪池处理</w:t>
            </w:r>
            <w:r>
              <w:rPr>
                <w:rFonts w:hint="eastAsia"/>
                <w:color w:val="000000" w:themeColor="text1"/>
                <w:sz w:val="24"/>
                <w:szCs w:val="24"/>
                <w:lang w:val="en-US" w:eastAsia="zh-CN"/>
                <w14:textFill>
                  <w14:solidFill>
                    <w14:schemeClr w14:val="tx1"/>
                  </w14:solidFill>
                </w14:textFill>
              </w:rPr>
              <w:t>后定期清掏肥田。</w:t>
            </w:r>
          </w:p>
          <w:p>
            <w:pPr>
              <w:spacing w:line="360" w:lineRule="auto"/>
              <w:ind w:firstLine="494" w:firstLineChars="20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本项目依托厂区现有化粪池（10m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），化粪池处理后的污染物浓度为COD280mg/L，SS100mg/L、氨氮29.1mg/L</w:t>
            </w:r>
            <w:r>
              <w:rPr>
                <w:color w:val="000000" w:themeColor="text1"/>
                <w:sz w:val="24"/>
                <w:szCs w:val="32"/>
                <w14:textFill>
                  <w14:solidFill>
                    <w14:schemeClr w14:val="tx1"/>
                  </w14:solidFill>
                </w14:textFill>
              </w:rPr>
              <w:t>，</w:t>
            </w:r>
            <w:r>
              <w:rPr>
                <w:rFonts w:hint="eastAsia"/>
                <w:color w:val="000000" w:themeColor="text1"/>
                <w:sz w:val="24"/>
                <w:szCs w:val="24"/>
                <w14:textFill>
                  <w14:solidFill>
                    <w14:schemeClr w14:val="tx1"/>
                  </w14:solidFill>
                </w14:textFill>
              </w:rPr>
              <w:t>则项目生活污水中污染物排放量分别为COD0.0538t/a、SS0.0192t/a、氨氮0.0056t/a</w:t>
            </w:r>
            <w:r>
              <w:rPr>
                <w:color w:val="000000" w:themeColor="text1"/>
                <w:sz w:val="24"/>
                <w:szCs w:val="32"/>
                <w14:textFill>
                  <w14:solidFill>
                    <w14:schemeClr w14:val="tx1"/>
                  </w14:solidFill>
                </w14:textFill>
              </w:rPr>
              <w:t>。</w:t>
            </w:r>
            <w:r>
              <w:rPr>
                <w:rFonts w:hint="eastAsia"/>
                <w:color w:val="000000" w:themeColor="text1"/>
                <w:sz w:val="24"/>
                <w:szCs w:val="24"/>
                <w14:textFill>
                  <w14:solidFill>
                    <w14:schemeClr w14:val="tx1"/>
                  </w14:solidFill>
                </w14:textFill>
              </w:rPr>
              <w:t>因此，项目废水对周边地表水环境影响较小。</w:t>
            </w:r>
          </w:p>
          <w:p>
            <w:pPr>
              <w:spacing w:line="360" w:lineRule="auto"/>
              <w:ind w:firstLine="480" w:firstLineChars="200"/>
              <w:rPr>
                <w:color w:val="000000" w:themeColor="text1"/>
                <w:sz w:val="24"/>
                <w:szCs w:val="32"/>
                <w14:textFill>
                  <w14:solidFill>
                    <w14:schemeClr w14:val="tx1"/>
                  </w14:solidFill>
                </w14:textFill>
              </w:rPr>
            </w:pPr>
            <w:r>
              <w:rPr>
                <w:color w:val="000000" w:themeColor="text1"/>
                <w:sz w:val="24"/>
                <w:szCs w:val="24"/>
                <w14:textFill>
                  <w14:solidFill>
                    <w14:schemeClr w14:val="tx1"/>
                  </w14:solidFill>
                </w14:textFill>
              </w:rPr>
              <w:t>综上，本项目建成营运后排放的废水对周围水环境影响较小。</w:t>
            </w:r>
          </w:p>
          <w:p>
            <w:pPr>
              <w:pStyle w:val="23"/>
              <w:spacing w:before="0" w:beforeAutospacing="0" w:after="0" w:afterAutospacing="0" w:line="360" w:lineRule="auto"/>
              <w:ind w:firstLine="480" w:firstLineChars="200"/>
              <w:jc w:val="both"/>
              <w:outlineLvl w:val="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项目水平衡如下：</w:t>
            </w:r>
          </w:p>
          <w:p>
            <w:pPr>
              <w:pStyle w:val="23"/>
              <w:spacing w:before="0" w:beforeAutospacing="0" w:after="0" w:afterAutospacing="0" w:line="360" w:lineRule="auto"/>
              <w:jc w:val="center"/>
              <w:outlineLvl w:val="0"/>
              <w:rPr>
                <w:b/>
                <w:bCs/>
                <w:color w:val="000000" w:themeColor="text1"/>
                <w14:textFill>
                  <w14:solidFill>
                    <w14:schemeClr w14:val="tx1"/>
                  </w14:solidFill>
                </w14:textFill>
              </w:rPr>
            </w:pPr>
            <w:r>
              <w:rPr>
                <w:rFonts w:ascii="Times New Roman" w:hAnsi="Times New Roman"/>
                <w:color w:val="FF0000"/>
                <w:sz w:val="21"/>
                <w:szCs w:val="21"/>
              </w:rPr>
              <mc:AlternateContent>
                <mc:Choice Requires="wpc">
                  <w:drawing>
                    <wp:inline distT="0" distB="0" distL="114300" distR="114300">
                      <wp:extent cx="4715510" cy="1478915"/>
                      <wp:effectExtent l="0" t="0" r="0" b="0"/>
                      <wp:docPr id="26" name="画布 26"/>
                      <wp:cNvGraphicFramePr/>
                      <a:graphic xmlns:a="http://schemas.openxmlformats.org/drawingml/2006/main">
                        <a:graphicData uri="http://schemas.microsoft.com/office/word/2010/wordprocessingCanvas">
                          <wpc:wpc>
                            <wpc:bg>
                              <a:noFill/>
                            </wpc:bg>
                            <wpc:whole>
                              <a:ln>
                                <a:noFill/>
                              </a:ln>
                            </wpc:whole>
                            <wps:wsp>
                              <wps:cNvPr id="3" name="文本框 2"/>
                              <wps:cNvSpPr txBox="1"/>
                              <wps:spPr>
                                <a:xfrm>
                                  <a:off x="9525" y="0"/>
                                  <a:ext cx="662940" cy="257175"/>
                                </a:xfrm>
                                <a:prstGeom prst="rect">
                                  <a:avLst/>
                                </a:prstGeom>
                                <a:noFill/>
                                <a:ln>
                                  <a:noFill/>
                                </a:ln>
                              </wps:spPr>
                              <wps:txbx>
                                <w:txbxContent>
                                  <w:p>
                                    <w:pPr>
                                      <w:rPr>
                                        <w:rFonts w:ascii="宋体" w:hAnsi="宋体" w:cs="宋体"/>
                                      </w:rPr>
                                    </w:pPr>
                                    <w:r>
                                      <w:rPr>
                                        <w:rFonts w:hint="eastAsia" w:ascii="宋体" w:hAnsi="宋体" w:cs="宋体"/>
                                      </w:rPr>
                                      <w:t>新鲜水</w:t>
                                    </w:r>
                                  </w:p>
                                </w:txbxContent>
                              </wps:txbx>
                              <wps:bodyPr upright="1"/>
                            </wps:wsp>
                            <wps:wsp>
                              <wps:cNvPr id="16" name="直接连接符 4"/>
                              <wps:cNvCnPr>
                                <a:endCxn id="8" idx="1"/>
                              </wps:cNvCnPr>
                              <wps:spPr>
                                <a:xfrm>
                                  <a:off x="429260" y="749300"/>
                                  <a:ext cx="678815" cy="4445"/>
                                </a:xfrm>
                                <a:prstGeom prst="line">
                                  <a:avLst/>
                                </a:prstGeom>
                                <a:ln w="9525" cap="flat" cmpd="sng">
                                  <a:solidFill>
                                    <a:srgbClr val="000000"/>
                                  </a:solidFill>
                                  <a:prstDash val="solid"/>
                                  <a:headEnd type="none" w="med" len="med"/>
                                  <a:tailEnd type="triangle" w="med" len="med"/>
                                </a:ln>
                              </wps:spPr>
                              <wps:bodyPr/>
                            </wps:wsp>
                            <wps:wsp>
                              <wps:cNvPr id="17" name="直接连接符 5"/>
                              <wps:cNvCnPr/>
                              <wps:spPr>
                                <a:xfrm flipV="1">
                                  <a:off x="1834515" y="765175"/>
                                  <a:ext cx="536575" cy="1270"/>
                                </a:xfrm>
                                <a:prstGeom prst="line">
                                  <a:avLst/>
                                </a:prstGeom>
                                <a:ln w="9525" cap="flat" cmpd="sng">
                                  <a:solidFill>
                                    <a:srgbClr val="000000"/>
                                  </a:solidFill>
                                  <a:prstDash val="solid"/>
                                  <a:headEnd type="none" w="med" len="med"/>
                                  <a:tailEnd type="triangle" w="med" len="med"/>
                                </a:ln>
                              </wps:spPr>
                              <wps:bodyPr/>
                            </wps:wsp>
                            <wps:wsp>
                              <wps:cNvPr id="18" name="文本框 6"/>
                              <wps:cNvSpPr txBox="1"/>
                              <wps:spPr>
                                <a:xfrm>
                                  <a:off x="1620520" y="235585"/>
                                  <a:ext cx="545465" cy="234950"/>
                                </a:xfrm>
                                <a:prstGeom prst="rect">
                                  <a:avLst/>
                                </a:prstGeom>
                                <a:noFill/>
                                <a:ln>
                                  <a:noFill/>
                                </a:ln>
                              </wps:spPr>
                              <wps:txbx>
                                <w:txbxContent>
                                  <w:p>
                                    <w:pPr>
                                      <w:jc w:val="center"/>
                                    </w:pPr>
                                    <w:r>
                                      <w:rPr>
                                        <w:rFonts w:hint="eastAsia"/>
                                      </w:rPr>
                                      <w:t>0.16</w:t>
                                    </w:r>
                                  </w:p>
                                </w:txbxContent>
                              </wps:txbx>
                              <wps:bodyPr upright="1"/>
                            </wps:wsp>
                            <wps:wsp>
                              <wps:cNvPr id="19" name="文本框 7"/>
                              <wps:cNvSpPr txBox="1"/>
                              <wps:spPr>
                                <a:xfrm>
                                  <a:off x="441325" y="0"/>
                                  <a:ext cx="588010" cy="263525"/>
                                </a:xfrm>
                                <a:prstGeom prst="rect">
                                  <a:avLst/>
                                </a:prstGeom>
                                <a:noFill/>
                                <a:ln>
                                  <a:noFill/>
                                </a:ln>
                              </wps:spPr>
                              <wps:txbx>
                                <w:txbxContent>
                                  <w:p>
                                    <w:pPr>
                                      <w:rPr>
                                        <w:rFonts w:hint="default" w:eastAsia="宋体"/>
                                        <w:lang w:val="en-US" w:eastAsia="zh-CN"/>
                                      </w:rPr>
                                    </w:pPr>
                                    <w:r>
                                      <w:rPr>
                                        <w:rFonts w:hint="eastAsia"/>
                                        <w:lang w:val="en-US" w:eastAsia="zh-CN"/>
                                      </w:rPr>
                                      <w:t>0.8</w:t>
                                    </w:r>
                                  </w:p>
                                </w:txbxContent>
                              </wps:txbx>
                              <wps:bodyPr upright="1"/>
                            </wps:wsp>
                            <wps:wsp>
                              <wps:cNvPr id="20" name="文本框 8"/>
                              <wps:cNvSpPr txBox="1"/>
                              <wps:spPr>
                                <a:xfrm>
                                  <a:off x="1108075" y="623570"/>
                                  <a:ext cx="733425" cy="259715"/>
                                </a:xfrm>
                                <a:prstGeom prst="rect">
                                  <a:avLst/>
                                </a:prstGeom>
                                <a:noFill/>
                                <a:ln w="9525" cap="flat" cmpd="sng">
                                  <a:solidFill>
                                    <a:srgbClr val="000000"/>
                                  </a:solidFill>
                                  <a:prstDash val="solid"/>
                                  <a:miter/>
                                  <a:headEnd type="none" w="med" len="med"/>
                                  <a:tailEnd type="none" w="med" len="med"/>
                                </a:ln>
                              </wps:spPr>
                              <wps:txbx>
                                <w:txbxContent>
                                  <w:p>
                                    <w:pPr>
                                      <w:rPr>
                                        <w:rFonts w:ascii="宋体" w:hAnsi="宋体" w:cs="宋体"/>
                                      </w:rPr>
                                    </w:pPr>
                                    <w:r>
                                      <w:rPr>
                                        <w:rFonts w:hint="eastAsia" w:ascii="宋体" w:hAnsi="宋体" w:cs="宋体"/>
                                      </w:rPr>
                                      <w:t>生活用水</w:t>
                                    </w:r>
                                  </w:p>
                                </w:txbxContent>
                              </wps:txbx>
                              <wps:bodyPr upright="1"/>
                            </wps:wsp>
                            <wps:wsp>
                              <wps:cNvPr id="21" name="文本框 9"/>
                              <wps:cNvSpPr txBox="1"/>
                              <wps:spPr>
                                <a:xfrm>
                                  <a:off x="2366010" y="591185"/>
                                  <a:ext cx="689610" cy="311785"/>
                                </a:xfrm>
                                <a:prstGeom prst="rect">
                                  <a:avLst/>
                                </a:prstGeom>
                                <a:noFill/>
                                <a:ln w="9525" cap="flat" cmpd="sng">
                                  <a:solidFill>
                                    <a:srgbClr val="000000"/>
                                  </a:solidFill>
                                  <a:prstDash val="solid"/>
                                  <a:miter/>
                                  <a:headEnd type="none" w="med" len="med"/>
                                  <a:tailEnd type="none" w="med" len="med"/>
                                </a:ln>
                              </wps:spPr>
                              <wps:txbx>
                                <w:txbxContent>
                                  <w:p>
                                    <w:pPr>
                                      <w:jc w:val="center"/>
                                      <w:rPr>
                                        <w:rFonts w:ascii="宋体" w:hAnsi="宋体" w:cs="宋体"/>
                                      </w:rPr>
                                    </w:pPr>
                                    <w:r>
                                      <w:rPr>
                                        <w:rFonts w:hint="eastAsia" w:ascii="宋体" w:hAnsi="宋体" w:cs="宋体"/>
                                      </w:rPr>
                                      <w:t>化粪池</w:t>
                                    </w:r>
                                  </w:p>
                                </w:txbxContent>
                              </wps:txbx>
                              <wps:bodyPr upright="1"/>
                            </wps:wsp>
                            <wps:wsp>
                              <wps:cNvPr id="22" name="文本框 10"/>
                              <wps:cNvSpPr txBox="1"/>
                              <wps:spPr>
                                <a:xfrm>
                                  <a:off x="1782445" y="548005"/>
                                  <a:ext cx="571500" cy="273050"/>
                                </a:xfrm>
                                <a:prstGeom prst="rect">
                                  <a:avLst/>
                                </a:prstGeom>
                                <a:noFill/>
                                <a:ln>
                                  <a:noFill/>
                                </a:ln>
                              </wps:spPr>
                              <wps:txbx>
                                <w:txbxContent>
                                  <w:p>
                                    <w:pPr>
                                      <w:jc w:val="center"/>
                                    </w:pPr>
                                    <w:r>
                                      <w:rPr>
                                        <w:rFonts w:hint="eastAsia"/>
                                      </w:rPr>
                                      <w:t>0.64</w:t>
                                    </w:r>
                                  </w:p>
                                </w:txbxContent>
                              </wps:txbx>
                              <wps:bodyPr upright="1"/>
                            </wps:wsp>
                            <wps:wsp>
                              <wps:cNvPr id="23" name="文本框 11"/>
                              <wps:cNvSpPr txBox="1"/>
                              <wps:spPr>
                                <a:xfrm>
                                  <a:off x="502920" y="485775"/>
                                  <a:ext cx="490220" cy="214630"/>
                                </a:xfrm>
                                <a:prstGeom prst="rect">
                                  <a:avLst/>
                                </a:prstGeom>
                                <a:noFill/>
                                <a:ln>
                                  <a:noFill/>
                                </a:ln>
                              </wps:spPr>
                              <wps:txbx>
                                <w:txbxContent>
                                  <w:p>
                                    <w:pPr>
                                      <w:jc w:val="center"/>
                                    </w:pPr>
                                    <w:r>
                                      <w:rPr>
                                        <w:rFonts w:hint="eastAsia"/>
                                      </w:rPr>
                                      <w:t>0.8</w:t>
                                    </w:r>
                                  </w:p>
                                </w:txbxContent>
                              </wps:txbx>
                              <wps:bodyPr upright="1"/>
                            </wps:wsp>
                            <wps:wsp>
                              <wps:cNvPr id="24" name="任意多边形 12"/>
                              <wps:cNvSpPr/>
                              <wps:spPr>
                                <a:xfrm>
                                  <a:off x="1387475" y="355600"/>
                                  <a:ext cx="370205" cy="249555"/>
                                </a:xfrm>
                                <a:custGeom>
                                  <a:avLst/>
                                  <a:gdLst/>
                                  <a:ahLst/>
                                  <a:cxnLst/>
                                  <a:rect l="0" t="0" r="0" b="0"/>
                                  <a:pathLst>
                                    <a:path w="996" h="741">
                                      <a:moveTo>
                                        <a:pt x="0" y="741"/>
                                      </a:moveTo>
                                      <a:cubicBezTo>
                                        <a:pt x="113" y="714"/>
                                        <a:pt x="468" y="684"/>
                                        <a:pt x="555" y="561"/>
                                      </a:cubicBezTo>
                                      <a:cubicBezTo>
                                        <a:pt x="642" y="438"/>
                                        <a:pt x="366" y="234"/>
                                        <a:pt x="435" y="126"/>
                                      </a:cubicBezTo>
                                      <a:cubicBezTo>
                                        <a:pt x="504" y="18"/>
                                        <a:pt x="804" y="42"/>
                                        <a:pt x="900" y="21"/>
                                      </a:cubicBezTo>
                                      <a:cubicBezTo>
                                        <a:pt x="996" y="0"/>
                                        <a:pt x="921" y="19"/>
                                        <a:pt x="915" y="21"/>
                                      </a:cubicBezTo>
                                    </a:path>
                                  </a:pathLst>
                                </a:custGeom>
                                <a:noFill/>
                                <a:ln w="9525" cap="flat" cmpd="sng">
                                  <a:solidFill>
                                    <a:srgbClr val="000000"/>
                                  </a:solidFill>
                                  <a:prstDash val="dash"/>
                                  <a:headEnd type="none" w="med" len="med"/>
                                  <a:tailEnd type="triangle" w="med" len="med"/>
                                </a:ln>
                              </wps:spPr>
                              <wps:bodyPr upright="1"/>
                            </wps:wsp>
                            <wps:wsp>
                              <wps:cNvPr id="30" name="直接连接符 13"/>
                              <wps:cNvCnPr/>
                              <wps:spPr>
                                <a:xfrm>
                                  <a:off x="3068955" y="762000"/>
                                  <a:ext cx="532765" cy="3175"/>
                                </a:xfrm>
                                <a:prstGeom prst="line">
                                  <a:avLst/>
                                </a:prstGeom>
                                <a:ln w="9525" cap="flat" cmpd="sng">
                                  <a:solidFill>
                                    <a:srgbClr val="000000"/>
                                  </a:solidFill>
                                  <a:prstDash val="solid"/>
                                  <a:headEnd type="none" w="med" len="med"/>
                                  <a:tailEnd type="triangle" w="med" len="med"/>
                                </a:ln>
                              </wps:spPr>
                              <wps:bodyPr/>
                            </wps:wsp>
                            <wps:wsp>
                              <wps:cNvPr id="31" name="文本框 14"/>
                              <wps:cNvSpPr txBox="1"/>
                              <wps:spPr>
                                <a:xfrm>
                                  <a:off x="3002915" y="546735"/>
                                  <a:ext cx="591820" cy="254000"/>
                                </a:xfrm>
                                <a:prstGeom prst="rect">
                                  <a:avLst/>
                                </a:prstGeom>
                                <a:noFill/>
                                <a:ln>
                                  <a:noFill/>
                                </a:ln>
                              </wps:spPr>
                              <wps:txbx>
                                <w:txbxContent>
                                  <w:p>
                                    <w:pPr>
                                      <w:jc w:val="center"/>
                                    </w:pPr>
                                    <w:r>
                                      <w:rPr>
                                        <w:rFonts w:hint="eastAsia"/>
                                      </w:rPr>
                                      <w:t>0.64</w:t>
                                    </w:r>
                                  </w:p>
                                </w:txbxContent>
                              </wps:txbx>
                              <wps:bodyPr upright="1"/>
                            </wps:wsp>
                            <wps:wsp>
                              <wps:cNvPr id="32" name="矩形 15"/>
                              <wps:cNvSpPr/>
                              <wps:spPr>
                                <a:xfrm>
                                  <a:off x="3630930" y="556895"/>
                                  <a:ext cx="1076325" cy="440690"/>
                                </a:xfrm>
                                <a:prstGeom prst="rect">
                                  <a:avLst/>
                                </a:prstGeom>
                                <a:noFill/>
                                <a:ln w="9525" cap="flat" cmpd="sng">
                                  <a:noFill/>
                                  <a:prstDash val="solid"/>
                                  <a:miter/>
                                  <a:headEnd type="none" w="med" len="med"/>
                                  <a:tailEnd type="none" w="med" len="med"/>
                                </a:ln>
                              </wps:spPr>
                              <wps:txbx>
                                <w:txbxContent>
                                  <w:p>
                                    <w:pPr>
                                      <w:jc w:val="center"/>
                                      <w:rPr>
                                        <w:rFonts w:hint="default" w:eastAsia="宋体"/>
                                        <w:highlight w:val="none"/>
                                        <w:lang w:val="en-US" w:eastAsia="zh-CN"/>
                                      </w:rPr>
                                    </w:pPr>
                                    <w:r>
                                      <w:rPr>
                                        <w:rFonts w:hint="eastAsia"/>
                                        <w:highlight w:val="none"/>
                                        <w:lang w:val="en-US" w:eastAsia="zh-CN"/>
                                      </w:rPr>
                                      <w:t>化粪池定期清掏肥田</w:t>
                                    </w:r>
                                  </w:p>
                                </w:txbxContent>
                              </wps:txbx>
                              <wps:bodyPr upright="1"/>
                            </wps:wsp>
                            <wps:wsp>
                              <wps:cNvPr id="33" name="直接连接符 27"/>
                              <wps:cNvCnPr/>
                              <wps:spPr>
                                <a:xfrm>
                                  <a:off x="421640" y="220345"/>
                                  <a:ext cx="6985" cy="530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矩形 51"/>
                              <wps:cNvSpPr/>
                              <wps:spPr>
                                <a:xfrm>
                                  <a:off x="1142365" y="1153160"/>
                                  <a:ext cx="2593340" cy="325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4"/>
                                        <w:szCs w:val="32"/>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图2  </w:t>
                                    </w:r>
                                    <w:r>
                                      <w:rPr>
                                        <w:color w:val="000000" w:themeColor="text1"/>
                                        <w:sz w:val="24"/>
                                        <w:szCs w:val="24"/>
                                        <w:highlight w:val="none"/>
                                        <w14:textFill>
                                          <w14:solidFill>
                                            <w14:schemeClr w14:val="tx1"/>
                                          </w14:solidFill>
                                        </w14:textFill>
                                      </w:rPr>
                                      <w:t>项目水平衡图  （单位：m</w:t>
                                    </w:r>
                                    <w:r>
                                      <w:rPr>
                                        <w:color w:val="000000" w:themeColor="text1"/>
                                        <w:sz w:val="24"/>
                                        <w:szCs w:val="24"/>
                                        <w:highlight w:val="none"/>
                                        <w:vertAlign w:val="superscript"/>
                                        <w14:textFill>
                                          <w14:solidFill>
                                            <w14:schemeClr w14:val="tx1"/>
                                          </w14:solidFill>
                                        </w14:textFill>
                                      </w:rPr>
                                      <w:t>3</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d</w:t>
                                    </w:r>
                                    <w:r>
                                      <w:rPr>
                                        <w:color w:val="000000" w:themeColor="text1"/>
                                        <w:sz w:val="24"/>
                                        <w:szCs w:val="24"/>
                                        <w:highlight w:val="none"/>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116.45pt;width:371.3pt;" coordsize="4715510,1478915" editas="canvas" o:gfxdata="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">
                      <o:lock v:ext="edit" aspectratio="f"/>
                      <v:shape id="_x0000_s1026" o:spid="_x0000_s1026" style="position:absolute;left:0;top:0;height:1478915;width:4715510;" filled="f" stroked="f" coordsize="21600,21600" o:gfxdata="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">
                        <v:fill on="f" focussize="0,0"/>
                        <v:stroke on="f"/>
                        <v:imagedata o:title=""/>
                        <o:lock v:ext="edit" aspectratio="f"/>
                      </v:shape>
                      <v:shape id="文本框 2" o:spid="_x0000_s1026" o:spt="202" type="#_x0000_t202" style="position:absolute;left:9525;top:0;height:257175;width:662940;" filled="f" stroked="f" coordsize="21600,21600" o:gfxdata="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D+6A1AAA&#10;AAUBAAAPAAAAAAAAAAEAIAAAACIAAABkcnMvZG93bnJldi54bWxQSwECFAAUAAAACACHTuJAlHf2&#10;orABAABQAwAADgAAAAAAAAABACAAAAAjAQAAZHJzL2Uyb0RvYy54bWxQSwUGAAAAAAYABgBZAQAA&#10;RQUAAAAA&#10;">
                        <v:fill on="f" focussize="0,0"/>
                        <v:stroke on="f"/>
                        <v:imagedata o:title=""/>
                        <o:lock v:ext="edit" aspectratio="f"/>
                        <v:textbox>
                          <w:txbxContent>
                            <w:p>
                              <w:pPr>
                                <w:rPr>
                                  <w:rFonts w:ascii="宋体" w:hAnsi="宋体" w:cs="宋体"/>
                                </w:rPr>
                              </w:pPr>
                              <w:r>
                                <w:rPr>
                                  <w:rFonts w:hint="eastAsia" w:ascii="宋体" w:hAnsi="宋体" w:cs="宋体"/>
                                </w:rPr>
                                <w:t>新鲜水</w:t>
                              </w:r>
                            </w:p>
                          </w:txbxContent>
                        </v:textbox>
                      </v:shape>
                      <v:line id="直接连接符 4" o:spid="_x0000_s1026" o:spt="20" style="position:absolute;left:429260;top:749300;height:4445;width:678815;" filled="f" stroked="t" coordsize="21600,21600" o:gfxdata="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OgCl3XAAAABQEAAA8AAAAAAAAA&#10;AQAgAAAAIgAAAGRycy9kb3ducmV2LnhtbFBLAQIUABQAAAAIAIdO4kCUzHLAEgIAABAEAAAOAAAA&#10;AAAAAAEAIAAAACYBAABkcnMvZTJvRG9jLnhtbFBLBQYAAAAABgAGAFkBAACqBQAAAAA=&#10;">
                        <v:fill on="f" focussize="0,0"/>
                        <v:stroke color="#000000" joinstyle="round" endarrow="block"/>
                        <v:imagedata o:title=""/>
                        <o:lock v:ext="edit" aspectratio="f"/>
                      </v:line>
                      <v:line id="直接连接符 5" o:spid="_x0000_s1026" o:spt="20" style="position:absolute;left:1834515;top:765175;flip:y;height:1270;width:536575;" filled="f" stroked="t" coordsize="21600,21600" o:gfxdata="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7yJ8O1wAAAAUBAAAPAAAAAAAAAAEAIAAAACIA&#10;AABkcnMvZG93bnJldi54bWxQSwECFAAUAAAACACHTuJAyHldMQoCAAD0AwAADgAAAAAAAAABACAA&#10;AAAmAQAAZHJzL2Uyb0RvYy54bWxQSwUGAAAAAAYABgBZAQAAogUAAAAA&#10;">
                        <v:fill on="f" focussize="0,0"/>
                        <v:stroke color="#000000" joinstyle="round" endarrow="block"/>
                        <v:imagedata o:title=""/>
                        <o:lock v:ext="edit" aspectratio="f"/>
                      </v:line>
                      <v:shape id="文本框 6" o:spid="_x0000_s1026" o:spt="202" type="#_x0000_t202" style="position:absolute;left:1620520;top:235585;height:234950;width:545465;" filled="f" stroked="f" coordsize="21600,21600" o:gfxdata="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S&#10;D+6A1AAAAAUBAAAPAAAAAAAAAAEAIAAAACIAAABkcnMvZG93bnJldi54bWxQSwECFAAUAAAACACH&#10;TuJA424qb7YBAABZAwAADgAAAAAAAAABACAAAAAjAQAAZHJzL2Uyb0RvYy54bWxQSwUGAAAAAAYA&#10;BgBZAQAASwUAAAAA&#10;">
                        <v:fill on="f" focussize="0,0"/>
                        <v:stroke on="f"/>
                        <v:imagedata o:title=""/>
                        <o:lock v:ext="edit" aspectratio="f"/>
                        <v:textbox>
                          <w:txbxContent>
                            <w:p>
                              <w:pPr>
                                <w:jc w:val="center"/>
                              </w:pPr>
                              <w:r>
                                <w:rPr>
                                  <w:rFonts w:hint="eastAsia"/>
                                </w:rPr>
                                <w:t>0.16</w:t>
                              </w:r>
                            </w:p>
                          </w:txbxContent>
                        </v:textbox>
                      </v:shape>
                      <v:shape id="文本框 7" o:spid="_x0000_s1026" o:spt="202" type="#_x0000_t202" style="position:absolute;left:441325;top:0;height:263525;width:588010;" filled="f" stroked="f" coordsize="21600,21600" o:gfxdata="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D+6A1AAA&#10;AAUBAAAPAAAAAAAAAAEAIAAAACIAAABkcnMvZG93bnJldi54bWxQSwECFAAUAAAACACHTuJANlYC&#10;TLABAABTAwAADgAAAAAAAAABACAAAAAjAQAAZHJzL2Uyb0RvYy54bWxQSwUGAAAAAAYABgBZAQAA&#10;RQUAAAAA&#10;">
                        <v:fill on="f" focussize="0,0"/>
                        <v:stroke on="f"/>
                        <v:imagedata o:title=""/>
                        <o:lock v:ext="edit" aspectratio="f"/>
                        <v:textbox>
                          <w:txbxContent>
                            <w:p>
                              <w:pPr>
                                <w:rPr>
                                  <w:rFonts w:hint="default" w:eastAsia="宋体"/>
                                  <w:lang w:val="en-US" w:eastAsia="zh-CN"/>
                                </w:rPr>
                              </w:pPr>
                              <w:r>
                                <w:rPr>
                                  <w:rFonts w:hint="eastAsia"/>
                                  <w:lang w:val="en-US" w:eastAsia="zh-CN"/>
                                </w:rPr>
                                <w:t>0.8</w:t>
                              </w:r>
                            </w:p>
                          </w:txbxContent>
                        </v:textbox>
                      </v:shape>
                      <v:shape id="文本框 8" o:spid="_x0000_s1026" o:spt="202" type="#_x0000_t202" style="position:absolute;left:1108075;top:623570;height:259715;width:733425;" filled="f" stroked="t" coordsize="21600,21600" o:gfxdata="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dtevPUAAAABQEAAA8AAAAAAAAAAQAgAAAA&#10;IgAAAGRycy9kb3ducmV2LnhtbFBLAQIUABQAAAAIAIdO4kAKXFa/DwIAABgEAAAOAAAAAAAAAAEA&#10;IAAAACMBAABkcnMvZTJvRG9jLnhtbFBLBQYAAAAABgAGAFkBAACkBQAAAAA=&#10;">
                        <v:fill on="f" focussize="0,0"/>
                        <v:stroke color="#000000" joinstyle="miter"/>
                        <v:imagedata o:title=""/>
                        <o:lock v:ext="edit" aspectratio="f"/>
                        <v:textbox>
                          <w:txbxContent>
                            <w:p>
                              <w:pPr>
                                <w:rPr>
                                  <w:rFonts w:ascii="宋体" w:hAnsi="宋体" w:cs="宋体"/>
                                </w:rPr>
                              </w:pPr>
                              <w:r>
                                <w:rPr>
                                  <w:rFonts w:hint="eastAsia" w:ascii="宋体" w:hAnsi="宋体" w:cs="宋体"/>
                                </w:rPr>
                                <w:t>生活用水</w:t>
                              </w:r>
                            </w:p>
                          </w:txbxContent>
                        </v:textbox>
                      </v:shape>
                      <v:shape id="文本框 9" o:spid="_x0000_s1026" o:spt="202" type="#_x0000_t202" style="position:absolute;left:2366010;top:591185;height:311785;width:689610;" filled="f" stroked="t" coordsize="21600,21600" o:gfxdata="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bXrz1AAAAAUBAAAPAAAAAAAAAAEAIAAA&#10;ACIAAABkcnMvZG93bnJldi54bWxQSwECFAAUAAAACACHTuJAkNcEVhACAAAYBAAADgAAAAAAAAAB&#10;ACAAAAAjAQAAZHJzL2Uyb0RvYy54bWxQSwUGAAAAAAYABgBZAQAApQUAAAAA&#10;">
                        <v:fill on="f" focussize="0,0"/>
                        <v:stroke color="#000000" joinstyle="miter"/>
                        <v:imagedata o:title=""/>
                        <o:lock v:ext="edit" aspectratio="f"/>
                        <v:textbox>
                          <w:txbxContent>
                            <w:p>
                              <w:pPr>
                                <w:jc w:val="center"/>
                                <w:rPr>
                                  <w:rFonts w:ascii="宋体" w:hAnsi="宋体" w:cs="宋体"/>
                                </w:rPr>
                              </w:pPr>
                              <w:r>
                                <w:rPr>
                                  <w:rFonts w:hint="eastAsia" w:ascii="宋体" w:hAnsi="宋体" w:cs="宋体"/>
                                </w:rPr>
                                <w:t>化粪池</w:t>
                              </w:r>
                            </w:p>
                          </w:txbxContent>
                        </v:textbox>
                      </v:shape>
                      <v:shape id="文本框 10" o:spid="_x0000_s1026" o:spt="202" type="#_x0000_t202" style="position:absolute;left:1782445;top:548005;height:273050;width:571500;" filled="f" stroked="f" coordsize="21600,21600" o:gfxdata="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IP7oDUAAAABQEAAA8AAAAAAAAAAQAgAAAAIgAAAGRycy9kb3ducmV2LnhtbFBLAQIUABQAAAAI&#10;AIdO4kCQyCVOuAEAAFoDAAAOAAAAAAAAAAEAIAAAACMBAABkcnMvZTJvRG9jLnhtbFBLBQYAAAAA&#10;BgAGAFkBAABNBQAAAAA=&#10;">
                        <v:fill on="f" focussize="0,0"/>
                        <v:stroke on="f"/>
                        <v:imagedata o:title=""/>
                        <o:lock v:ext="edit" aspectratio="f"/>
                        <v:textbox>
                          <w:txbxContent>
                            <w:p>
                              <w:pPr>
                                <w:jc w:val="center"/>
                              </w:pPr>
                              <w:r>
                                <w:rPr>
                                  <w:rFonts w:hint="eastAsia"/>
                                </w:rPr>
                                <w:t>0.64</w:t>
                              </w:r>
                            </w:p>
                          </w:txbxContent>
                        </v:textbox>
                      </v:shape>
                      <v:shape id="文本框 11" o:spid="_x0000_s1026" o:spt="202" type="#_x0000_t202" style="position:absolute;left:502920;top:485775;height:214630;width:490220;" filled="f" stroked="f" coordsize="21600,21600" o:gfxdata="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SD+6A1AAAAAUBAAAPAAAAAAAAAAEAIAAAACIAAABkcnMvZG93bnJldi54bWxQSwECFAAUAAAA&#10;CACHTuJAfpTKxLkBAABZAwAADgAAAAAAAAABACAAAAAjAQAAZHJzL2Uyb0RvYy54bWxQSwUGAAAA&#10;AAYABgBZAQAATgUAAAAA&#10;">
                        <v:fill on="f" focussize="0,0"/>
                        <v:stroke on="f"/>
                        <v:imagedata o:title=""/>
                        <o:lock v:ext="edit" aspectratio="f"/>
                        <v:textbox>
                          <w:txbxContent>
                            <w:p>
                              <w:pPr>
                                <w:jc w:val="center"/>
                              </w:pPr>
                              <w:r>
                                <w:rPr>
                                  <w:rFonts w:hint="eastAsia"/>
                                </w:rPr>
                                <w:t>0.8</w:t>
                              </w:r>
                            </w:p>
                          </w:txbxContent>
                        </v:textbox>
                      </v:shape>
                      <v:shape id="任意多边形 12" o:spid="_x0000_s1026" o:spt="100" style="position:absolute;left:1387475;top:355600;height:249555;width:370205;" filled="f" stroked="t" coordsize="996,741" o:gfxdata="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3DW2+tYAAAAFAQAADwAAAAAA&#10;AAABACAAAAAiAAAAZHJzL2Rvd25yZXYueG1sUEsBAhQAFAAAAAgAh07iQBa/sqPAAgAAGgYAAA4A&#10;AAAAAAAAAQAgAAAAJQEAAGRycy9lMm9Eb2MueG1sUEsFBgAAAAAGAAYAWQEAAFcGAAAAAA==&#10;" path="m0,741c113,714,468,684,555,561c642,438,366,234,435,126c504,18,804,42,900,21c996,0,921,19,915,21e">
                        <v:fill on="f" focussize="0,0"/>
                        <v:stroke color="#000000" joinstyle="round" dashstyle="dash" endarrow="block"/>
                        <v:imagedata o:title=""/>
                        <o:lock v:ext="edit" aspectratio="f"/>
                      </v:shape>
                      <v:line id="直接连接符 13" o:spid="_x0000_s1026" o:spt="20" style="position:absolute;left:3068955;top:762000;height:3175;width:532765;" filled="f" stroked="t" coordsize="21600,21600" o:gfxdata="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6AKXdcAAAAFAQAADwAAAAAAAAABACAAAAAiAAAAZHJzL2Rvd25y&#10;ZXYueG1sUEsBAhQAFAAAAAgAh07iQO2EXxH/AQAA6wMAAA4AAAAAAAAAAQAgAAAAJgEAAGRycy9l&#10;Mm9Eb2MueG1sUEsFBgAAAAAGAAYAWQEAAJcFAAAAAA==&#10;">
                        <v:fill on="f" focussize="0,0"/>
                        <v:stroke color="#000000" joinstyle="round" endarrow="block"/>
                        <v:imagedata o:title=""/>
                        <o:lock v:ext="edit" aspectratio="f"/>
                      </v:line>
                      <v:shape id="文本框 14" o:spid="_x0000_s1026" o:spt="202" type="#_x0000_t202" style="position:absolute;left:3002915;top:546735;height:254000;width:591820;" filled="f" stroked="f" coordsize="21600,21600" o:gfxdata="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g/ugNQAAAAFAQAADwAAAAAAAAABACAAAAAiAAAAZHJzL2Rvd25yZXYueG1sUEsBAhQAFAAA&#10;AAgAh07iQGrLGnG6AQAAWgMAAA4AAAAAAAAAAQAgAAAAIwEAAGRycy9lMm9Eb2MueG1sUEsFBgAA&#10;AAAGAAYAWQEAAE8FAAAAAA==&#10;">
                        <v:fill on="f" focussize="0,0"/>
                        <v:stroke on="f"/>
                        <v:imagedata o:title=""/>
                        <o:lock v:ext="edit" aspectratio="f"/>
                        <v:textbox>
                          <w:txbxContent>
                            <w:p>
                              <w:pPr>
                                <w:jc w:val="center"/>
                              </w:pPr>
                              <w:r>
                                <w:rPr>
                                  <w:rFonts w:hint="eastAsia"/>
                                </w:rPr>
                                <w:t>0.64</w:t>
                              </w:r>
                            </w:p>
                          </w:txbxContent>
                        </v:textbox>
                      </v:shape>
                      <v:rect id="矩形 15" o:spid="_x0000_s1026" o:spt="1" style="position:absolute;left:3630930;top:556895;height:440690;width:1076325;" filled="f" stroked="f" coordsize="21600,21600" o:gfxdata="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tCXQtgAAAAFAQAADwAAAAAAAAABACAAAAAiAAAAZHJzL2Rvd25yZXYueG1s&#10;UEsBAhQAFAAAAAgAh07iQAobbrj4AQAA5AMAAA4AAAAAAAAAAQAgAAAAJwEAAGRycy9lMm9Eb2Mu&#10;eG1sUEsFBgAAAAAGAAYAWQEAAJEFAAAAAA==&#10;">
                        <v:fill on="f" focussize="0,0"/>
                        <v:stroke on="f" joinstyle="miter"/>
                        <v:imagedata o:title=""/>
                        <o:lock v:ext="edit" aspectratio="f"/>
                        <v:textbox>
                          <w:txbxContent>
                            <w:p>
                              <w:pPr>
                                <w:jc w:val="center"/>
                                <w:rPr>
                                  <w:rFonts w:hint="default" w:eastAsia="宋体"/>
                                  <w:highlight w:val="none"/>
                                  <w:lang w:val="en-US" w:eastAsia="zh-CN"/>
                                </w:rPr>
                              </w:pPr>
                              <w:r>
                                <w:rPr>
                                  <w:rFonts w:hint="eastAsia"/>
                                  <w:highlight w:val="none"/>
                                  <w:lang w:val="en-US" w:eastAsia="zh-CN"/>
                                </w:rPr>
                                <w:t>化粪池定期清掏肥田</w:t>
                              </w:r>
                            </w:p>
                          </w:txbxContent>
                        </v:textbox>
                      </v:rect>
                      <v:line id="直接连接符 27" o:spid="_x0000_s1026" o:spt="20" style="position:absolute;left:421640;top:220345;height:530860;width:6985;" filled="f" stroked="t" coordsize="21600,21600" o:gfxdata="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P9Re/UAAAABQEAAA8AAAAAAAAAAQAgAAAAIgAAAGRycy9kb3ducmV2LnhtbFBLAQIUABQA&#10;AAAIAIdO4kDnr6cQ9AEAAL8DAAAOAAAAAAAAAAEAIAAAACMBAABkcnMvZTJvRG9jLnhtbFBLBQYA&#10;AAAABgAGAFkBAACJBQAAAAA=&#10;">
                        <v:fill on="f" focussize="0,0"/>
                        <v:stroke weight="0.5pt" color="#000000 [3213]" miterlimit="8" joinstyle="miter"/>
                        <v:imagedata o:title=""/>
                        <o:lock v:ext="edit" aspectratio="f"/>
                      </v:line>
                      <v:rect id="矩形 51" o:spid="_x0000_s1026" o:spt="1" style="position:absolute;left:1142365;top:1153160;height:325120;width:2593340;v-text-anchor:middle;" filled="f" stroked="f" coordsize="21600,21600" o:gfxdata="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Sd/IL1QAAAAUBAAAPAAAAAAAAAAEAIAAAACIAAABkcnMvZG93bnJldi54bWxQ&#10;SwECFAAUAAAACACHTuJAA3MJaWwCAAC7BAAADgAAAAAAAAABACAAAAAkAQAAZHJzL2Uyb0RvYy54&#10;bWxQSwUGAAAAAAYABgBZAQAAAgYAAAAA&#10;">
                        <v:fill on="f" focussize="0,0"/>
                        <v:stroke on="f" weight="1pt" miterlimit="8" joinstyle="miter"/>
                        <v:imagedata o:title=""/>
                        <o:lock v:ext="edit" aspectratio="f"/>
                        <v:textbox>
                          <w:txbxContent>
                            <w:p>
                              <w:pPr>
                                <w:jc w:val="center"/>
                                <w:rPr>
                                  <w:color w:val="000000" w:themeColor="text1"/>
                                  <w:sz w:val="24"/>
                                  <w:szCs w:val="32"/>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图2  </w:t>
                              </w:r>
                              <w:r>
                                <w:rPr>
                                  <w:color w:val="000000" w:themeColor="text1"/>
                                  <w:sz w:val="24"/>
                                  <w:szCs w:val="24"/>
                                  <w:highlight w:val="none"/>
                                  <w14:textFill>
                                    <w14:solidFill>
                                      <w14:schemeClr w14:val="tx1"/>
                                    </w14:solidFill>
                                  </w14:textFill>
                                </w:rPr>
                                <w:t>项目水平衡图  （单位：m</w:t>
                              </w:r>
                              <w:r>
                                <w:rPr>
                                  <w:color w:val="000000" w:themeColor="text1"/>
                                  <w:sz w:val="24"/>
                                  <w:szCs w:val="24"/>
                                  <w:highlight w:val="none"/>
                                  <w:vertAlign w:val="superscript"/>
                                  <w14:textFill>
                                    <w14:solidFill>
                                      <w14:schemeClr w14:val="tx1"/>
                                    </w14:solidFill>
                                  </w14:textFill>
                                </w:rPr>
                                <w:t>3</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d</w:t>
                              </w:r>
                              <w:r>
                                <w:rPr>
                                  <w:color w:val="000000" w:themeColor="text1"/>
                                  <w:sz w:val="24"/>
                                  <w:szCs w:val="24"/>
                                  <w:highlight w:val="none"/>
                                  <w14:textFill>
                                    <w14:solidFill>
                                      <w14:schemeClr w14:val="tx1"/>
                                    </w14:solidFill>
                                  </w14:textFill>
                                </w:rPr>
                                <w:t>）</w:t>
                              </w:r>
                            </w:p>
                          </w:txbxContent>
                        </v:textbox>
                      </v:rect>
                      <w10:wrap type="none"/>
                      <w10:anchorlock/>
                    </v:group>
                  </w:pict>
                </mc:Fallback>
              </mc:AlternateContent>
            </w:r>
          </w:p>
          <w:p>
            <w:pPr>
              <w:spacing w:line="360" w:lineRule="auto"/>
              <w:ind w:firstLine="480" w:firstLineChars="200"/>
              <w:rPr>
                <w:bCs/>
                <w:sz w:val="24"/>
                <w:szCs w:val="24"/>
              </w:rPr>
            </w:pPr>
            <w:r>
              <w:rPr>
                <w:rFonts w:hint="eastAsia"/>
                <w:color w:val="000000" w:themeColor="text1"/>
                <w:sz w:val="24"/>
                <w:szCs w:val="32"/>
                <w14:textFill>
                  <w14:solidFill>
                    <w14:schemeClr w14:val="tx1"/>
                  </w14:solidFill>
                </w14:textFill>
              </w:rPr>
              <w:t>（2）</w:t>
            </w:r>
            <w:r>
              <w:rPr>
                <w:bCs/>
                <w:sz w:val="24"/>
                <w:szCs w:val="24"/>
              </w:rPr>
              <w:t>厂区</w:t>
            </w:r>
            <w:r>
              <w:rPr>
                <w:rFonts w:hint="eastAsia"/>
                <w:bCs/>
                <w:sz w:val="24"/>
                <w:szCs w:val="24"/>
              </w:rPr>
              <w:t>化粪池</w:t>
            </w:r>
            <w:r>
              <w:rPr>
                <w:bCs/>
                <w:sz w:val="24"/>
                <w:szCs w:val="24"/>
              </w:rPr>
              <w:t>依托可行性分析</w:t>
            </w:r>
          </w:p>
          <w:p>
            <w:pPr>
              <w:pStyle w:val="58"/>
              <w:spacing w:line="360" w:lineRule="auto"/>
              <w:ind w:firstLine="420"/>
              <w:rPr>
                <w:b/>
                <w:bCs/>
                <w:color w:val="000000" w:themeColor="text1"/>
                <w:sz w:val="32"/>
                <w:szCs w:val="32"/>
                <w14:textFill>
                  <w14:solidFill>
                    <w14:schemeClr w14:val="tx1"/>
                  </w14:solidFill>
                </w14:textFill>
              </w:rPr>
            </w:pPr>
            <w:r>
              <w:rPr>
                <w:rFonts w:hint="eastAsia"/>
                <w:bCs/>
                <w:sz w:val="24"/>
                <w:szCs w:val="24"/>
              </w:rPr>
              <w:t>本项目生活污水排放量</w:t>
            </w:r>
            <w:r>
              <w:rPr>
                <w:bCs/>
                <w:sz w:val="24"/>
                <w:szCs w:val="24"/>
              </w:rPr>
              <w:t>为</w:t>
            </w:r>
            <w:r>
              <w:rPr>
                <w:rFonts w:hint="eastAsia"/>
                <w:bCs/>
                <w:sz w:val="24"/>
                <w:szCs w:val="24"/>
              </w:rPr>
              <w:t>0.</w:t>
            </w:r>
            <w:r>
              <w:rPr>
                <w:rFonts w:hint="eastAsia"/>
                <w:bCs/>
                <w:sz w:val="24"/>
                <w:szCs w:val="24"/>
                <w:lang w:val="en-US" w:eastAsia="zh-CN"/>
              </w:rPr>
              <w:t>64</w:t>
            </w:r>
            <w:r>
              <w:rPr>
                <w:bCs/>
                <w:sz w:val="24"/>
                <w:szCs w:val="24"/>
              </w:rPr>
              <w:t>m</w:t>
            </w:r>
            <w:r>
              <w:rPr>
                <w:bCs/>
                <w:sz w:val="24"/>
                <w:szCs w:val="16"/>
                <w:vertAlign w:val="superscript"/>
              </w:rPr>
              <w:t>3</w:t>
            </w:r>
            <w:r>
              <w:rPr>
                <w:bCs/>
                <w:sz w:val="24"/>
                <w:szCs w:val="24"/>
              </w:rPr>
              <w:t>/</w:t>
            </w:r>
            <w:r>
              <w:rPr>
                <w:rFonts w:hint="eastAsia"/>
                <w:bCs/>
                <w:sz w:val="24"/>
                <w:szCs w:val="24"/>
              </w:rPr>
              <w:t>d</w:t>
            </w:r>
            <w:r>
              <w:rPr>
                <w:bCs/>
                <w:sz w:val="24"/>
                <w:szCs w:val="24"/>
              </w:rPr>
              <w:t>（</w:t>
            </w:r>
            <w:r>
              <w:rPr>
                <w:rFonts w:hint="eastAsia"/>
                <w:bCs/>
                <w:sz w:val="24"/>
                <w:szCs w:val="24"/>
              </w:rPr>
              <w:t>192</w:t>
            </w:r>
            <w:r>
              <w:rPr>
                <w:bCs/>
                <w:sz w:val="24"/>
                <w:szCs w:val="24"/>
              </w:rPr>
              <w:t>m</w:t>
            </w:r>
            <w:r>
              <w:rPr>
                <w:bCs/>
                <w:sz w:val="24"/>
                <w:szCs w:val="16"/>
                <w:vertAlign w:val="superscript"/>
              </w:rPr>
              <w:t>3</w:t>
            </w:r>
            <w:r>
              <w:rPr>
                <w:bCs/>
                <w:sz w:val="24"/>
                <w:szCs w:val="24"/>
              </w:rPr>
              <w:t>/</w:t>
            </w:r>
            <w:r>
              <w:rPr>
                <w:rFonts w:hint="eastAsia"/>
                <w:bCs/>
                <w:sz w:val="24"/>
                <w:szCs w:val="24"/>
              </w:rPr>
              <w:t>a</w:t>
            </w:r>
            <w:r>
              <w:rPr>
                <w:bCs/>
                <w:sz w:val="24"/>
                <w:szCs w:val="24"/>
              </w:rPr>
              <w:t>），</w:t>
            </w:r>
            <w:r>
              <w:rPr>
                <w:rFonts w:hint="eastAsia"/>
                <w:bCs/>
                <w:sz w:val="24"/>
                <w:szCs w:val="24"/>
              </w:rPr>
              <w:t>本项目厂区现有企业生活</w:t>
            </w:r>
            <w:r>
              <w:rPr>
                <w:bCs/>
                <w:sz w:val="24"/>
                <w:szCs w:val="24"/>
              </w:rPr>
              <w:t>污水产生量为</w:t>
            </w:r>
            <w:r>
              <w:rPr>
                <w:rFonts w:hint="eastAsia"/>
                <w:bCs/>
                <w:sz w:val="24"/>
                <w:szCs w:val="24"/>
                <w:lang w:val="en-US" w:eastAsia="zh-CN"/>
              </w:rPr>
              <w:t>2.56</w:t>
            </w:r>
            <w:r>
              <w:rPr>
                <w:bCs/>
                <w:sz w:val="24"/>
                <w:szCs w:val="24"/>
              </w:rPr>
              <w:t>m</w:t>
            </w:r>
            <w:r>
              <w:rPr>
                <w:bCs/>
                <w:sz w:val="24"/>
                <w:szCs w:val="16"/>
                <w:vertAlign w:val="superscript"/>
              </w:rPr>
              <w:t>3</w:t>
            </w:r>
            <w:r>
              <w:rPr>
                <w:bCs/>
                <w:sz w:val="24"/>
                <w:szCs w:val="24"/>
              </w:rPr>
              <w:t>/d，</w:t>
            </w:r>
            <w:r>
              <w:rPr>
                <w:rFonts w:hint="eastAsia"/>
                <w:bCs/>
                <w:sz w:val="24"/>
                <w:szCs w:val="24"/>
                <w:lang w:val="en-US" w:eastAsia="zh-CN"/>
              </w:rPr>
              <w:t>厂区依托原有</w:t>
            </w:r>
            <w:r>
              <w:rPr>
                <w:rFonts w:hint="eastAsia"/>
                <w:bCs/>
                <w:sz w:val="24"/>
                <w:szCs w:val="24"/>
              </w:rPr>
              <w:t>容积为10m</w:t>
            </w:r>
            <w:r>
              <w:rPr>
                <w:rFonts w:hint="eastAsia"/>
                <w:bCs/>
                <w:sz w:val="24"/>
                <w:szCs w:val="24"/>
                <w:vertAlign w:val="superscript"/>
              </w:rPr>
              <w:t>3</w:t>
            </w:r>
            <w:r>
              <w:rPr>
                <w:rFonts w:hint="eastAsia"/>
                <w:bCs/>
                <w:sz w:val="24"/>
                <w:szCs w:val="24"/>
              </w:rPr>
              <w:t>化粪池</w:t>
            </w:r>
            <w:r>
              <w:rPr>
                <w:bCs/>
                <w:sz w:val="24"/>
                <w:szCs w:val="24"/>
              </w:rPr>
              <w:t>，</w:t>
            </w:r>
            <w:r>
              <w:rPr>
                <w:rFonts w:hint="eastAsia"/>
                <w:bCs/>
                <w:sz w:val="24"/>
                <w:szCs w:val="24"/>
              </w:rPr>
              <w:t>能够满足本项目需要</w:t>
            </w:r>
            <w:r>
              <w:rPr>
                <w:bCs/>
                <w:sz w:val="24"/>
                <w:szCs w:val="24"/>
              </w:rPr>
              <w:t>。</w:t>
            </w:r>
          </w:p>
          <w:p>
            <w:pPr>
              <w:spacing w:line="360" w:lineRule="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3、噪声</w:t>
            </w:r>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3.1</w:t>
            </w:r>
            <w:r>
              <w:rPr>
                <w:b/>
                <w:bCs/>
                <w:color w:val="000000" w:themeColor="text1"/>
                <w:sz w:val="24"/>
                <w:szCs w:val="24"/>
                <w14:textFill>
                  <w14:solidFill>
                    <w14:schemeClr w14:val="tx1"/>
                  </w14:solidFill>
                </w14:textFill>
              </w:rPr>
              <w:t>降噪措施及预测分析</w:t>
            </w:r>
          </w:p>
          <w:p>
            <w:pPr>
              <w:pStyle w:val="2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bCs/>
                <w:color w:val="FF0000"/>
                <w:spacing w:val="-10"/>
                <w:szCs w:val="21"/>
              </w:rPr>
            </w:pPr>
            <w:r>
              <w:rPr>
                <w:color w:val="000000" w:themeColor="text1"/>
                <w:sz w:val="24"/>
                <w:szCs w:val="24"/>
                <w14:textFill>
                  <w14:solidFill>
                    <w14:schemeClr w14:val="tx1"/>
                  </w14:solidFill>
                </w14:textFill>
              </w:rPr>
              <w:t>本项目噪声主要来自设备运行产生的噪声，噪声级在7</w:t>
            </w: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~8</w:t>
            </w: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dB（A）之间，项目所有设备均位于厂房内，经厂房隔声、基础减振措施后，噪声衰减15~20dB（A）。设备噪声及降噪效果见下表。</w:t>
            </w:r>
          </w:p>
        </w:tc>
      </w:tr>
    </w:tbl>
    <w:p>
      <w:pPr>
        <w:rPr>
          <w:rFonts w:eastAsia="黑体"/>
          <w:snapToGrid w:val="0"/>
          <w:color w:val="FF0000"/>
          <w:sz w:val="30"/>
          <w:szCs w:val="30"/>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3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tc>
        <w:tc>
          <w:tcPr>
            <w:tcW w:w="13223" w:type="dxa"/>
          </w:tcPr>
          <w:p>
            <w:pPr>
              <w:jc w:val="center"/>
              <w:rPr>
                <w:b/>
                <w:bCs/>
                <w:color w:val="000000" w:themeColor="text1"/>
                <w:sz w:val="24"/>
                <w:szCs w:val="32"/>
                <w:highlight w:val="none"/>
                <w:u w:val="single"/>
                <w14:textFill>
                  <w14:solidFill>
                    <w14:schemeClr w14:val="tx1"/>
                  </w14:solidFill>
                </w14:textFill>
              </w:rPr>
            </w:pPr>
            <w:r>
              <w:rPr>
                <w:b/>
                <w:bCs/>
                <w:color w:val="000000" w:themeColor="text1"/>
                <w:sz w:val="24"/>
                <w:szCs w:val="32"/>
                <w:highlight w:val="none"/>
                <w:u w:val="single"/>
                <w14:textFill>
                  <w14:solidFill>
                    <w14:schemeClr w14:val="tx1"/>
                  </w14:solidFill>
                </w14:textFill>
              </w:rPr>
              <w:t>表4-</w:t>
            </w:r>
            <w:r>
              <w:rPr>
                <w:rFonts w:hint="eastAsia"/>
                <w:b/>
                <w:bCs/>
                <w:color w:val="000000" w:themeColor="text1"/>
                <w:sz w:val="24"/>
                <w:szCs w:val="32"/>
                <w:highlight w:val="none"/>
                <w:u w:val="single"/>
                <w:lang w:val="en-US" w:eastAsia="zh-CN"/>
                <w14:textFill>
                  <w14:solidFill>
                    <w14:schemeClr w14:val="tx1"/>
                  </w14:solidFill>
                </w14:textFill>
              </w:rPr>
              <w:t>6</w:t>
            </w:r>
            <w:r>
              <w:rPr>
                <w:b/>
                <w:bCs/>
                <w:color w:val="000000" w:themeColor="text1"/>
                <w:sz w:val="24"/>
                <w:szCs w:val="32"/>
                <w:highlight w:val="none"/>
                <w:u w:val="single"/>
                <w14:textFill>
                  <w14:solidFill>
                    <w14:schemeClr w14:val="tx1"/>
                  </w14:solidFill>
                </w14:textFill>
              </w:rPr>
              <w:t xml:space="preserve">  </w:t>
            </w:r>
            <w:r>
              <w:rPr>
                <w:rFonts w:hint="eastAsia"/>
                <w:b/>
                <w:bCs/>
                <w:color w:val="000000" w:themeColor="text1"/>
                <w:sz w:val="24"/>
                <w:szCs w:val="32"/>
                <w:highlight w:val="none"/>
                <w:u w:val="single"/>
                <w14:textFill>
                  <w14:solidFill>
                    <w14:schemeClr w14:val="tx1"/>
                  </w14:solidFill>
                </w14:textFill>
              </w:rPr>
              <w:t>工业企业噪声源调查清单（室内声源）</w:t>
            </w:r>
            <w:r>
              <w:rPr>
                <w:b/>
                <w:bCs/>
                <w:color w:val="000000" w:themeColor="text1"/>
                <w:sz w:val="24"/>
                <w:szCs w:val="32"/>
                <w:highlight w:val="none"/>
                <w:u w:val="single"/>
                <w14:textFill>
                  <w14:solidFill>
                    <w14:schemeClr w14:val="tx1"/>
                  </w14:solidFill>
                </w14:textFill>
              </w:rPr>
              <w:t xml:space="preserve">       单位：dB(A)</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6"/>
              <w:gridCol w:w="426"/>
              <w:gridCol w:w="735"/>
              <w:gridCol w:w="566"/>
              <w:gridCol w:w="496"/>
              <w:gridCol w:w="542"/>
              <w:gridCol w:w="438"/>
              <w:gridCol w:w="485"/>
              <w:gridCol w:w="565"/>
              <w:gridCol w:w="485"/>
              <w:gridCol w:w="462"/>
              <w:gridCol w:w="438"/>
              <w:gridCol w:w="727"/>
              <w:gridCol w:w="635"/>
              <w:gridCol w:w="588"/>
              <w:gridCol w:w="646"/>
              <w:gridCol w:w="358"/>
              <w:gridCol w:w="427"/>
              <w:gridCol w:w="669"/>
              <w:gridCol w:w="669"/>
              <w:gridCol w:w="623"/>
              <w:gridCol w:w="687"/>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42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序号</w:t>
                  </w:r>
                </w:p>
              </w:tc>
              <w:tc>
                <w:tcPr>
                  <w:tcW w:w="42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建筑物名称</w:t>
                  </w:r>
                </w:p>
              </w:tc>
              <w:tc>
                <w:tcPr>
                  <w:tcW w:w="42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声源名称</w:t>
                  </w:r>
                </w:p>
              </w:tc>
              <w:tc>
                <w:tcPr>
                  <w:tcW w:w="73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型号</w:t>
                  </w:r>
                </w:p>
              </w:tc>
              <w:tc>
                <w:tcPr>
                  <w:tcW w:w="56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ascii="Times New Roman" w:hAnsi="Times New Roman"/>
                      <w:b/>
                      <w:bCs/>
                      <w:color w:val="auto"/>
                      <w:szCs w:val="21"/>
                      <w:u w:val="single"/>
                    </w:rPr>
                    <w:t>声源源强/声功率级</w:t>
                  </w:r>
                </w:p>
              </w:tc>
              <w:tc>
                <w:tcPr>
                  <w:tcW w:w="49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声源控制措施</w:t>
                  </w:r>
                </w:p>
              </w:tc>
              <w:tc>
                <w:tcPr>
                  <w:tcW w:w="146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空间相对位置/m</w:t>
                  </w:r>
                </w:p>
              </w:tc>
              <w:tc>
                <w:tcPr>
                  <w:tcW w:w="195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距室内边界距离/m</w:t>
                  </w:r>
                </w:p>
              </w:tc>
              <w:tc>
                <w:tcPr>
                  <w:tcW w:w="259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室内边界声级/</w:t>
                  </w:r>
                  <w:r>
                    <w:rPr>
                      <w:b/>
                      <w:bCs/>
                      <w:color w:val="000000" w:themeColor="text1"/>
                      <w:highlight w:val="none"/>
                      <w:u w:val="single"/>
                      <w14:textFill>
                        <w14:solidFill>
                          <w14:schemeClr w14:val="tx1"/>
                        </w14:solidFill>
                      </w14:textFill>
                    </w:rPr>
                    <w:t>dB(A)</w:t>
                  </w:r>
                </w:p>
              </w:tc>
              <w:tc>
                <w:tcPr>
                  <w:tcW w:w="3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运行时段</w:t>
                  </w:r>
                </w:p>
              </w:tc>
              <w:tc>
                <w:tcPr>
                  <w:tcW w:w="42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建筑物插入损失</w:t>
                  </w:r>
                </w:p>
              </w:tc>
              <w:tc>
                <w:tcPr>
                  <w:tcW w:w="2648"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建筑物外噪声</w:t>
                  </w:r>
                  <w:r>
                    <w:rPr>
                      <w:rFonts w:hint="eastAsia"/>
                      <w:b/>
                      <w:bCs/>
                      <w:color w:val="000000" w:themeColor="text1"/>
                      <w:highlight w:val="none"/>
                      <w:u w:val="single"/>
                      <w:lang w:val="en-US" w:eastAsia="zh-CN"/>
                      <w14:textFill>
                        <w14:solidFill>
                          <w14:schemeClr w14:val="tx1"/>
                        </w14:solidFill>
                      </w14:textFill>
                    </w:rPr>
                    <w:t>/</w:t>
                  </w:r>
                  <w:r>
                    <w:rPr>
                      <w:rFonts w:hint="eastAsia"/>
                      <w:b/>
                      <w:bCs/>
                      <w:color w:val="000000" w:themeColor="text1"/>
                      <w:highlight w:val="none"/>
                      <w:u w:val="single"/>
                      <w14:textFill>
                        <w14:solidFill>
                          <w14:schemeClr w14:val="tx1"/>
                        </w14:solidFill>
                      </w14:textFill>
                    </w:rPr>
                    <w:t>声压级/</w:t>
                  </w:r>
                  <w:r>
                    <w:rPr>
                      <w:b/>
                      <w:bCs/>
                      <w:color w:val="000000" w:themeColor="text1"/>
                      <w:highlight w:val="none"/>
                      <w:u w:val="single"/>
                      <w14:textFill>
                        <w14:solidFill>
                          <w14:schemeClr w14:val="tx1"/>
                        </w14:solidFill>
                      </w14:textFill>
                    </w:rPr>
                    <w:t>dB(A)</w:t>
                  </w:r>
                </w:p>
              </w:tc>
              <w:tc>
                <w:tcPr>
                  <w:tcW w:w="43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建筑物外距离/m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highlight w:val="none"/>
                      <w:u w:val="single"/>
                    </w:rPr>
                  </w:pPr>
                </w:p>
              </w:tc>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highlight w:val="none"/>
                      <w:u w:val="single"/>
                    </w:rPr>
                  </w:pPr>
                </w:p>
              </w:tc>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highlight w:val="none"/>
                      <w:u w:val="single"/>
                    </w:rPr>
                  </w:pPr>
                </w:p>
              </w:tc>
              <w:tc>
                <w:tcPr>
                  <w:tcW w:w="73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highlight w:val="none"/>
                      <w:u w:val="single"/>
                    </w:rPr>
                  </w:pPr>
                </w:p>
              </w:tc>
              <w:tc>
                <w:tcPr>
                  <w:tcW w:w="56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highlight w:val="none"/>
                      <w:u w:val="single"/>
                    </w:rPr>
                  </w:pPr>
                </w:p>
              </w:tc>
              <w:tc>
                <w:tcPr>
                  <w:tcW w:w="4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highlight w:val="none"/>
                      <w:u w:val="single"/>
                    </w:rPr>
                  </w:pPr>
                </w:p>
              </w:tc>
              <w:tc>
                <w:tcPr>
                  <w:tcW w:w="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highlight w:val="none"/>
                      <w:u w:val="single"/>
                    </w:rPr>
                  </w:pPr>
                  <w:r>
                    <w:rPr>
                      <w:rFonts w:hint="eastAsia"/>
                      <w:b/>
                      <w:bCs/>
                      <w:highlight w:val="none"/>
                      <w:u w:val="single"/>
                    </w:rPr>
                    <w:t>x</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highlight w:val="none"/>
                      <w:u w:val="single"/>
                    </w:rPr>
                  </w:pPr>
                  <w:r>
                    <w:rPr>
                      <w:rFonts w:hint="eastAsia"/>
                      <w:b/>
                      <w:bCs/>
                      <w:highlight w:val="none"/>
                      <w:u w:val="single"/>
                    </w:rPr>
                    <w:t>y</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z</w:t>
                  </w: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东</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西</w:t>
                  </w:r>
                </w:p>
              </w:tc>
              <w:tc>
                <w:tcPr>
                  <w:tcW w:w="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南</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北</w:t>
                  </w:r>
                </w:p>
              </w:tc>
              <w:tc>
                <w:tcPr>
                  <w:tcW w:w="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东</w:t>
                  </w:r>
                </w:p>
              </w:tc>
              <w:tc>
                <w:tcPr>
                  <w:tcW w:w="6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西</w:t>
                  </w:r>
                </w:p>
              </w:tc>
              <w:tc>
                <w:tcPr>
                  <w:tcW w:w="5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南</w:t>
                  </w:r>
                </w:p>
              </w:tc>
              <w:tc>
                <w:tcPr>
                  <w:tcW w:w="6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北</w:t>
                  </w:r>
                </w:p>
              </w:tc>
              <w:tc>
                <w:tcPr>
                  <w:tcW w:w="3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4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东</w:t>
                  </w: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西</w:t>
                  </w:r>
                </w:p>
              </w:tc>
              <w:tc>
                <w:tcPr>
                  <w:tcW w:w="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南</w:t>
                  </w:r>
                </w:p>
              </w:tc>
              <w:tc>
                <w:tcPr>
                  <w:tcW w:w="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北</w:t>
                  </w:r>
                </w:p>
              </w:tc>
              <w:tc>
                <w:tcPr>
                  <w:tcW w:w="4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1</w:t>
                  </w:r>
                </w:p>
              </w:tc>
              <w:tc>
                <w:tcPr>
                  <w:tcW w:w="42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生产车间</w:t>
                  </w: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切割机</w:t>
                  </w:r>
                </w:p>
              </w:tc>
              <w:tc>
                <w:tcPr>
                  <w:tcW w:w="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4015</w:t>
                  </w: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85</w:t>
                  </w:r>
                </w:p>
              </w:tc>
              <w:tc>
                <w:tcPr>
                  <w:tcW w:w="49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b/>
                      <w:bCs/>
                      <w:color w:val="000000" w:themeColor="text1"/>
                      <w:highlight w:val="none"/>
                      <w:u w:val="single"/>
                      <w14:textFill>
                        <w14:solidFill>
                          <w14:schemeClr w14:val="tx1"/>
                        </w14:solidFill>
                      </w14:textFill>
                    </w:rPr>
                    <w:t>建筑隔声、距离衰减</w:t>
                  </w:r>
                </w:p>
              </w:tc>
              <w:tc>
                <w:tcPr>
                  <w:tcW w:w="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42</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30</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1.5</w:t>
                  </w: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30</w:t>
                  </w:r>
                </w:p>
              </w:tc>
              <w:tc>
                <w:tcPr>
                  <w:tcW w:w="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15</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53</w:t>
                  </w:r>
                </w:p>
              </w:tc>
              <w:tc>
                <w:tcPr>
                  <w:tcW w:w="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85</w:t>
                  </w:r>
                </w:p>
              </w:tc>
              <w:tc>
                <w:tcPr>
                  <w:tcW w:w="6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55.5</w:t>
                  </w:r>
                </w:p>
              </w:tc>
              <w:tc>
                <w:tcPr>
                  <w:tcW w:w="5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61.5</w:t>
                  </w:r>
                </w:p>
              </w:tc>
              <w:tc>
                <w:tcPr>
                  <w:tcW w:w="6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50.5</w:t>
                  </w:r>
                </w:p>
              </w:tc>
              <w:tc>
                <w:tcPr>
                  <w:tcW w:w="3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昼间</w:t>
                  </w:r>
                </w:p>
              </w:tc>
              <w:tc>
                <w:tcPr>
                  <w:tcW w:w="42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15</w:t>
                  </w: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70</w:t>
                  </w: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40.5</w:t>
                  </w:r>
                </w:p>
              </w:tc>
              <w:tc>
                <w:tcPr>
                  <w:tcW w:w="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46.5</w:t>
                  </w:r>
                </w:p>
              </w:tc>
              <w:tc>
                <w:tcPr>
                  <w:tcW w:w="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35.5</w:t>
                  </w:r>
                </w:p>
              </w:tc>
              <w:tc>
                <w:tcPr>
                  <w:tcW w:w="43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2</w:t>
                  </w:r>
                </w:p>
              </w:tc>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highlight w:val="none"/>
                      <w:u w:val="single"/>
                      <w14:textFill>
                        <w14:solidFill>
                          <w14:schemeClr w14:val="tx1"/>
                        </w14:solidFill>
                      </w14:textFill>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切管机</w:t>
                  </w:r>
                </w:p>
              </w:tc>
              <w:tc>
                <w:tcPr>
                  <w:tcW w:w="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4015</w:t>
                  </w: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4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21</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31</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1.5</w:t>
                  </w: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25</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15</w:t>
                  </w:r>
                </w:p>
              </w:tc>
              <w:tc>
                <w:tcPr>
                  <w:tcW w:w="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13</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64</w:t>
                  </w:r>
                </w:p>
              </w:tc>
              <w:tc>
                <w:tcPr>
                  <w:tcW w:w="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52.0</w:t>
                  </w:r>
                </w:p>
              </w:tc>
              <w:tc>
                <w:tcPr>
                  <w:tcW w:w="6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56.5</w:t>
                  </w:r>
                </w:p>
              </w:tc>
              <w:tc>
                <w:tcPr>
                  <w:tcW w:w="5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57.7</w:t>
                  </w:r>
                </w:p>
              </w:tc>
              <w:tc>
                <w:tcPr>
                  <w:tcW w:w="6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43.9</w:t>
                  </w:r>
                </w:p>
              </w:tc>
              <w:tc>
                <w:tcPr>
                  <w:tcW w:w="3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p>
              </w:tc>
              <w:tc>
                <w:tcPr>
                  <w:tcW w:w="4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highlight w:val="none"/>
                      <w:u w:val="single"/>
                      <w14:textFill>
                        <w14:solidFill>
                          <w14:schemeClr w14:val="tx1"/>
                        </w14:solidFill>
                      </w14:textFill>
                    </w:rPr>
                  </w:pP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37</w:t>
                  </w: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41.5</w:t>
                  </w:r>
                </w:p>
              </w:tc>
              <w:tc>
                <w:tcPr>
                  <w:tcW w:w="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42.7</w:t>
                  </w:r>
                </w:p>
              </w:tc>
              <w:tc>
                <w:tcPr>
                  <w:tcW w:w="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28.9</w:t>
                  </w:r>
                </w:p>
              </w:tc>
              <w:tc>
                <w:tcPr>
                  <w:tcW w:w="4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3</w:t>
                  </w:r>
                </w:p>
              </w:tc>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剪板机</w:t>
                  </w:r>
                </w:p>
              </w:tc>
              <w:tc>
                <w:tcPr>
                  <w:tcW w:w="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Q11-3*2500</w:t>
                  </w: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b/>
                      <w:bCs/>
                      <w:color w:val="000000" w:themeColor="text1"/>
                      <w:highlight w:val="none"/>
                      <w:u w:val="single"/>
                      <w14:textFill>
                        <w14:solidFill>
                          <w14:schemeClr w14:val="tx1"/>
                        </w14:solidFill>
                      </w14:textFill>
                    </w:rPr>
                    <w:t>80</w:t>
                  </w:r>
                </w:p>
              </w:tc>
              <w:tc>
                <w:tcPr>
                  <w:tcW w:w="4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22</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33</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1.2</w:t>
                  </w: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36</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36</w:t>
                  </w:r>
                </w:p>
              </w:tc>
              <w:tc>
                <w:tcPr>
                  <w:tcW w:w="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53.9</w:t>
                  </w:r>
                </w:p>
              </w:tc>
              <w:tc>
                <w:tcPr>
                  <w:tcW w:w="6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53.9</w:t>
                  </w:r>
                </w:p>
              </w:tc>
              <w:tc>
                <w:tcPr>
                  <w:tcW w:w="5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48.9</w:t>
                  </w:r>
                </w:p>
              </w:tc>
              <w:tc>
                <w:tcPr>
                  <w:tcW w:w="6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48.9</w:t>
                  </w:r>
                </w:p>
              </w:tc>
              <w:tc>
                <w:tcPr>
                  <w:tcW w:w="3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4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38.9</w:t>
                  </w: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38.9</w:t>
                  </w:r>
                </w:p>
              </w:tc>
              <w:tc>
                <w:tcPr>
                  <w:tcW w:w="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33.9</w:t>
                  </w:r>
                </w:p>
              </w:tc>
              <w:tc>
                <w:tcPr>
                  <w:tcW w:w="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33.9</w:t>
                  </w:r>
                </w:p>
              </w:tc>
              <w:tc>
                <w:tcPr>
                  <w:tcW w:w="4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w:t>
                  </w:r>
                </w:p>
              </w:tc>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折弯机</w:t>
                  </w:r>
                </w:p>
              </w:tc>
              <w:tc>
                <w:tcPr>
                  <w:tcW w:w="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default" w:ascii="Times New Roman" w:hAnsi="Times New Roman" w:eastAsia="宋体" w:cs="Times New Roman"/>
                      <w:b/>
                      <w:bCs/>
                      <w:sz w:val="21"/>
                      <w:szCs w:val="21"/>
                      <w:u w:val="single"/>
                    </w:rPr>
                    <w:t>MGM2-8025</w:t>
                  </w: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85</w:t>
                  </w:r>
                </w:p>
              </w:tc>
              <w:tc>
                <w:tcPr>
                  <w:tcW w:w="4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24</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1.5</w:t>
                  </w: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18</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30</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42</w:t>
                  </w:r>
                </w:p>
              </w:tc>
              <w:tc>
                <w:tcPr>
                  <w:tcW w:w="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59.9</w:t>
                  </w:r>
                </w:p>
              </w:tc>
              <w:tc>
                <w:tcPr>
                  <w:tcW w:w="6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58.9</w:t>
                  </w:r>
                </w:p>
              </w:tc>
              <w:tc>
                <w:tcPr>
                  <w:tcW w:w="5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55.5</w:t>
                  </w:r>
                </w:p>
              </w:tc>
              <w:tc>
                <w:tcPr>
                  <w:tcW w:w="6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52.5</w:t>
                  </w:r>
                </w:p>
              </w:tc>
              <w:tc>
                <w:tcPr>
                  <w:tcW w:w="3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4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44.9</w:t>
                  </w: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43.9</w:t>
                  </w:r>
                </w:p>
              </w:tc>
              <w:tc>
                <w:tcPr>
                  <w:tcW w:w="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40.5</w:t>
                  </w:r>
                </w:p>
              </w:tc>
              <w:tc>
                <w:tcPr>
                  <w:tcW w:w="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37.5</w:t>
                  </w:r>
                </w:p>
              </w:tc>
              <w:tc>
                <w:tcPr>
                  <w:tcW w:w="4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w:t>
                  </w:r>
                </w:p>
              </w:tc>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冲床</w:t>
                  </w:r>
                </w:p>
              </w:tc>
              <w:tc>
                <w:tcPr>
                  <w:tcW w:w="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u w:val="single"/>
                      <w:lang w:val="en-US" w:eastAsia="zh-CN"/>
                    </w:rPr>
                    <w:t>40t</w:t>
                  </w: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75</w:t>
                  </w:r>
                </w:p>
              </w:tc>
              <w:tc>
                <w:tcPr>
                  <w:tcW w:w="4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35</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1.2</w:t>
                  </w: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22</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50</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28</w:t>
                  </w:r>
                </w:p>
              </w:tc>
              <w:tc>
                <w:tcPr>
                  <w:tcW w:w="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48.2</w:t>
                  </w:r>
                </w:p>
              </w:tc>
              <w:tc>
                <w:tcPr>
                  <w:tcW w:w="6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48.9</w:t>
                  </w:r>
                </w:p>
              </w:tc>
              <w:tc>
                <w:tcPr>
                  <w:tcW w:w="5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41.0</w:t>
                  </w:r>
                </w:p>
              </w:tc>
              <w:tc>
                <w:tcPr>
                  <w:tcW w:w="6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46.0</w:t>
                  </w:r>
                </w:p>
              </w:tc>
              <w:tc>
                <w:tcPr>
                  <w:tcW w:w="3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4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33.2</w:t>
                  </w: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33.9</w:t>
                  </w:r>
                </w:p>
              </w:tc>
              <w:tc>
                <w:tcPr>
                  <w:tcW w:w="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26.0</w:t>
                  </w:r>
                </w:p>
              </w:tc>
              <w:tc>
                <w:tcPr>
                  <w:tcW w:w="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31</w:t>
                  </w:r>
                </w:p>
              </w:tc>
              <w:tc>
                <w:tcPr>
                  <w:tcW w:w="4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打磨机</w:t>
                  </w:r>
                </w:p>
              </w:tc>
              <w:tc>
                <w:tcPr>
                  <w:tcW w:w="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w:t>
                  </w: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4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40</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46</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1.5</w:t>
                  </w: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35</w:t>
                  </w:r>
                </w:p>
              </w:tc>
              <w:tc>
                <w:tcPr>
                  <w:tcW w:w="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59</w:t>
                  </w:r>
                </w:p>
              </w:tc>
              <w:tc>
                <w:tcPr>
                  <w:tcW w:w="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73.9</w:t>
                  </w:r>
                </w:p>
              </w:tc>
              <w:tc>
                <w:tcPr>
                  <w:tcW w:w="6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49.1</w:t>
                  </w:r>
                </w:p>
              </w:tc>
              <w:tc>
                <w:tcPr>
                  <w:tcW w:w="5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53.9</w:t>
                  </w:r>
                </w:p>
              </w:tc>
              <w:tc>
                <w:tcPr>
                  <w:tcW w:w="6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44.6</w:t>
                  </w:r>
                </w:p>
              </w:tc>
              <w:tc>
                <w:tcPr>
                  <w:tcW w:w="3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4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58.9</w:t>
                  </w: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34.1</w:t>
                  </w:r>
                </w:p>
              </w:tc>
              <w:tc>
                <w:tcPr>
                  <w:tcW w:w="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38.9</w:t>
                  </w:r>
                </w:p>
              </w:tc>
              <w:tc>
                <w:tcPr>
                  <w:tcW w:w="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29.6</w:t>
                  </w:r>
                </w:p>
              </w:tc>
              <w:tc>
                <w:tcPr>
                  <w:tcW w:w="4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w:t>
                  </w:r>
                </w:p>
              </w:tc>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拉丝机</w:t>
                  </w:r>
                </w:p>
              </w:tc>
              <w:tc>
                <w:tcPr>
                  <w:tcW w:w="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w:t>
                  </w: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75</w:t>
                  </w:r>
                </w:p>
              </w:tc>
              <w:tc>
                <w:tcPr>
                  <w:tcW w:w="4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22</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42</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50</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28</w:t>
                  </w:r>
                </w:p>
              </w:tc>
              <w:tc>
                <w:tcPr>
                  <w:tcW w:w="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48.9</w:t>
                  </w:r>
                </w:p>
              </w:tc>
              <w:tc>
                <w:tcPr>
                  <w:tcW w:w="6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48.9</w:t>
                  </w:r>
                </w:p>
              </w:tc>
              <w:tc>
                <w:tcPr>
                  <w:tcW w:w="5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41.0</w:t>
                  </w:r>
                </w:p>
              </w:tc>
              <w:tc>
                <w:tcPr>
                  <w:tcW w:w="6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46.1</w:t>
                  </w:r>
                </w:p>
              </w:tc>
              <w:tc>
                <w:tcPr>
                  <w:tcW w:w="3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4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33.9</w:t>
                  </w: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33.9</w:t>
                  </w:r>
                </w:p>
              </w:tc>
              <w:tc>
                <w:tcPr>
                  <w:tcW w:w="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26</w:t>
                  </w:r>
                </w:p>
              </w:tc>
              <w:tc>
                <w:tcPr>
                  <w:tcW w:w="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31.1</w:t>
                  </w:r>
                </w:p>
              </w:tc>
              <w:tc>
                <w:tcPr>
                  <w:tcW w:w="4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8</w:t>
                  </w:r>
                </w:p>
              </w:tc>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锯机</w:t>
                  </w:r>
                </w:p>
              </w:tc>
              <w:tc>
                <w:tcPr>
                  <w:tcW w:w="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w:t>
                  </w: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4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14</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0.8</w:t>
                  </w: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15</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28</w:t>
                  </w:r>
                </w:p>
              </w:tc>
              <w:tc>
                <w:tcPr>
                  <w:tcW w:w="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74</w:t>
                  </w:r>
                </w:p>
              </w:tc>
              <w:tc>
                <w:tcPr>
                  <w:tcW w:w="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61.5</w:t>
                  </w:r>
                </w:p>
              </w:tc>
              <w:tc>
                <w:tcPr>
                  <w:tcW w:w="6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56.1</w:t>
                  </w:r>
                </w:p>
              </w:tc>
              <w:tc>
                <w:tcPr>
                  <w:tcW w:w="5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70.4</w:t>
                  </w:r>
                </w:p>
              </w:tc>
              <w:tc>
                <w:tcPr>
                  <w:tcW w:w="6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47.6</w:t>
                  </w:r>
                </w:p>
              </w:tc>
              <w:tc>
                <w:tcPr>
                  <w:tcW w:w="3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4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46.5</w:t>
                  </w: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41.1</w:t>
                  </w:r>
                </w:p>
              </w:tc>
              <w:tc>
                <w:tcPr>
                  <w:tcW w:w="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55.4</w:t>
                  </w:r>
                </w:p>
              </w:tc>
              <w:tc>
                <w:tcPr>
                  <w:tcW w:w="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32.6</w:t>
                  </w:r>
                </w:p>
              </w:tc>
              <w:tc>
                <w:tcPr>
                  <w:tcW w:w="4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000000" w:themeColor="text1"/>
                      <w:highlight w:val="none"/>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9</w:t>
                  </w:r>
                </w:p>
              </w:tc>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除尘器风机</w:t>
                  </w:r>
                </w:p>
              </w:tc>
              <w:tc>
                <w:tcPr>
                  <w:tcW w:w="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highlight w:val="none"/>
                      <w:u w:val="single"/>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w:t>
                  </w: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4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36</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74</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43</w:t>
                  </w:r>
                </w:p>
              </w:tc>
              <w:tc>
                <w:tcPr>
                  <w:tcW w:w="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18</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59</w:t>
                  </w:r>
                </w:p>
              </w:tc>
              <w:tc>
                <w:tcPr>
                  <w:tcW w:w="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6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47.3</w:t>
                  </w:r>
                </w:p>
              </w:tc>
              <w:tc>
                <w:tcPr>
                  <w:tcW w:w="5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54.9</w:t>
                  </w:r>
                </w:p>
              </w:tc>
              <w:tc>
                <w:tcPr>
                  <w:tcW w:w="6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44.6</w:t>
                  </w:r>
                </w:p>
              </w:tc>
              <w:tc>
                <w:tcPr>
                  <w:tcW w:w="3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highlight w:val="none"/>
                      <w:u w:val="single"/>
                      <w14:textFill>
                        <w14:solidFill>
                          <w14:schemeClr w14:val="tx1"/>
                        </w14:solidFill>
                      </w14:textFill>
                    </w:rPr>
                  </w:pPr>
                </w:p>
              </w:tc>
              <w:tc>
                <w:tcPr>
                  <w:tcW w:w="4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65</w:t>
                  </w: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32.3</w:t>
                  </w:r>
                </w:p>
              </w:tc>
              <w:tc>
                <w:tcPr>
                  <w:tcW w:w="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lightGray"/>
                      <w:u w:val="single"/>
                      <w:lang w:val="en-US" w:eastAsia="zh-CN"/>
                      <w14:textFill>
                        <w14:solidFill>
                          <w14:schemeClr w14:val="tx1"/>
                        </w14:solidFill>
                      </w14:textFill>
                    </w:rPr>
                  </w:pPr>
                  <w:r>
                    <w:rPr>
                      <w:rFonts w:hint="eastAsia"/>
                      <w:b/>
                      <w:bCs/>
                      <w:color w:val="000000" w:themeColor="text1"/>
                      <w:highlight w:val="none"/>
                      <w:u w:val="single"/>
                      <w:shd w:val="clear"/>
                      <w:lang w:val="en-US" w:eastAsia="zh-CN"/>
                      <w14:textFill>
                        <w14:solidFill>
                          <w14:schemeClr w14:val="tx1"/>
                        </w14:solidFill>
                      </w14:textFill>
                    </w:rPr>
                    <w:t>39.9</w:t>
                  </w:r>
                </w:p>
              </w:tc>
              <w:tc>
                <w:tcPr>
                  <w:tcW w:w="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29.6</w:t>
                  </w:r>
                </w:p>
              </w:tc>
              <w:tc>
                <w:tcPr>
                  <w:tcW w:w="4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10</w:t>
                  </w:r>
                </w:p>
              </w:tc>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滤筒除尘风机</w:t>
                  </w:r>
                </w:p>
              </w:tc>
              <w:tc>
                <w:tcPr>
                  <w:tcW w:w="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w:t>
                  </w: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4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45</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53</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23</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74</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w:t>
                  </w:r>
                </w:p>
              </w:tc>
              <w:tc>
                <w:tcPr>
                  <w:tcW w:w="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52.8</w:t>
                  </w:r>
                </w:p>
              </w:tc>
              <w:tc>
                <w:tcPr>
                  <w:tcW w:w="6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53.9</w:t>
                  </w:r>
                </w:p>
              </w:tc>
              <w:tc>
                <w:tcPr>
                  <w:tcW w:w="5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70.5</w:t>
                  </w:r>
                </w:p>
              </w:tc>
              <w:tc>
                <w:tcPr>
                  <w:tcW w:w="6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42.6</w:t>
                  </w:r>
                </w:p>
              </w:tc>
              <w:tc>
                <w:tcPr>
                  <w:tcW w:w="3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highlight w:val="none"/>
                      <w:u w:val="single"/>
                      <w14:textFill>
                        <w14:solidFill>
                          <w14:schemeClr w14:val="tx1"/>
                        </w14:solidFill>
                      </w14:textFill>
                    </w:rPr>
                  </w:pPr>
                </w:p>
              </w:tc>
              <w:tc>
                <w:tcPr>
                  <w:tcW w:w="4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37.8</w:t>
                  </w: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38.9</w:t>
                  </w:r>
                </w:p>
              </w:tc>
              <w:tc>
                <w:tcPr>
                  <w:tcW w:w="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lightGray"/>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27.6</w:t>
                  </w:r>
                </w:p>
              </w:tc>
              <w:tc>
                <w:tcPr>
                  <w:tcW w:w="68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55.5</w:t>
                  </w:r>
                </w:p>
              </w:tc>
              <w:tc>
                <w:tcPr>
                  <w:tcW w:w="4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11</w:t>
                  </w:r>
                </w:p>
              </w:tc>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szCs w:val="21"/>
                      <w:highlight w:val="none"/>
                      <w:u w:val="single"/>
                      <w:lang w:val="en-US" w:eastAsia="zh-CN"/>
                      <w14:textFill>
                        <w14:solidFill>
                          <w14:schemeClr w14:val="tx1"/>
                        </w14:solidFill>
                      </w14:textFill>
                    </w:rPr>
                  </w:pPr>
                  <w:r>
                    <w:rPr>
                      <w:rFonts w:hint="eastAsia"/>
                      <w:b/>
                      <w:bCs/>
                      <w:color w:val="000000" w:themeColor="text1"/>
                      <w:szCs w:val="21"/>
                      <w:highlight w:val="none"/>
                      <w:u w:val="single"/>
                      <w:lang w:val="en-US" w:eastAsia="zh-CN"/>
                      <w14:textFill>
                        <w14:solidFill>
                          <w14:schemeClr w14:val="tx1"/>
                        </w14:solidFill>
                      </w14:textFill>
                    </w:rPr>
                    <w:t>活性炭风机</w:t>
                  </w:r>
                </w:p>
              </w:tc>
              <w:tc>
                <w:tcPr>
                  <w:tcW w:w="7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w:t>
                  </w:r>
                </w:p>
              </w:tc>
              <w:tc>
                <w:tcPr>
                  <w:tcW w:w="5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80</w:t>
                  </w:r>
                </w:p>
              </w:tc>
              <w:tc>
                <w:tcPr>
                  <w:tcW w:w="4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5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50</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56</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2.0</w:t>
                  </w:r>
                </w:p>
              </w:tc>
              <w:tc>
                <w:tcPr>
                  <w:tcW w:w="5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33</w:t>
                  </w:r>
                </w:p>
              </w:tc>
              <w:tc>
                <w:tcPr>
                  <w:tcW w:w="4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10</w:t>
                  </w:r>
                </w:p>
              </w:tc>
              <w:tc>
                <w:tcPr>
                  <w:tcW w:w="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74</w:t>
                  </w:r>
                </w:p>
              </w:tc>
              <w:tc>
                <w:tcPr>
                  <w:tcW w:w="4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w:t>
                  </w:r>
                </w:p>
              </w:tc>
              <w:tc>
                <w:tcPr>
                  <w:tcW w:w="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49.6</w:t>
                  </w:r>
                </w:p>
              </w:tc>
              <w:tc>
                <w:tcPr>
                  <w:tcW w:w="6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60</w:t>
                  </w:r>
                </w:p>
              </w:tc>
              <w:tc>
                <w:tcPr>
                  <w:tcW w:w="5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70.4</w:t>
                  </w:r>
                </w:p>
              </w:tc>
              <w:tc>
                <w:tcPr>
                  <w:tcW w:w="6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42.6</w:t>
                  </w:r>
                </w:p>
              </w:tc>
              <w:tc>
                <w:tcPr>
                  <w:tcW w:w="3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000000" w:themeColor="text1"/>
                      <w:highlight w:val="none"/>
                      <w:u w:val="single"/>
                      <w14:textFill>
                        <w14:solidFill>
                          <w14:schemeClr w14:val="tx1"/>
                        </w14:solidFill>
                      </w14:textFill>
                    </w:rPr>
                  </w:pPr>
                </w:p>
              </w:tc>
              <w:tc>
                <w:tcPr>
                  <w:tcW w:w="4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highlight w:val="none"/>
                      <w:u w:val="single"/>
                      <w14:textFill>
                        <w14:solidFill>
                          <w14:schemeClr w14:val="tx1"/>
                        </w14:solidFill>
                      </w14:textFill>
                    </w:rPr>
                  </w:pP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34.6</w:t>
                  </w:r>
                </w:p>
              </w:tc>
              <w:tc>
                <w:tcPr>
                  <w:tcW w:w="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45.0</w:t>
                  </w:r>
                </w:p>
              </w:tc>
              <w:tc>
                <w:tcPr>
                  <w:tcW w:w="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lightGray"/>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27.6</w:t>
                  </w:r>
                  <w:bookmarkStart w:id="2" w:name="_GoBack"/>
                  <w:bookmarkEnd w:id="2"/>
                </w:p>
              </w:tc>
              <w:tc>
                <w:tcPr>
                  <w:tcW w:w="68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u w:val="single"/>
                      <w:lang w:val="en-US" w:eastAsia="zh-CN"/>
                      <w14:textFill>
                        <w14:solidFill>
                          <w14:schemeClr w14:val="tx1"/>
                        </w14:solidFill>
                      </w14:textFill>
                    </w:rPr>
                    <w:t>55.4</w:t>
                  </w:r>
                </w:p>
              </w:tc>
              <w:tc>
                <w:tcPr>
                  <w:tcW w:w="4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000000" w:themeColor="text1"/>
                      <w:highlight w:val="none"/>
                      <w:u w:val="single"/>
                      <w:lang w:val="en-US" w:eastAsia="zh-CN"/>
                      <w14:textFill>
                        <w14:solidFill>
                          <w14:schemeClr w14:val="tx1"/>
                        </w14:solidFill>
                      </w14:textFill>
                    </w:rPr>
                  </w:pPr>
                </w:p>
              </w:tc>
            </w:tr>
          </w:tbl>
          <w:p>
            <w:pPr>
              <w:spacing w:line="360" w:lineRule="auto"/>
              <w:rPr>
                <w:sz w:val="24"/>
                <w:szCs w:val="32"/>
              </w:rPr>
            </w:pPr>
            <w:r>
              <w:rPr>
                <w:rFonts w:hint="eastAsia"/>
                <w:b/>
                <w:bCs/>
                <w:color w:val="000000" w:themeColor="text1"/>
                <w:sz w:val="24"/>
                <w:szCs w:val="32"/>
                <w14:textFill>
                  <w14:solidFill>
                    <w14:schemeClr w14:val="tx1"/>
                  </w14:solidFill>
                </w14:textFill>
              </w:rPr>
              <w:t>3.2噪声预测及达标情况</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根据《环境影响评价技术导则声环境》（HJ 2.4-2021），声源位于室内，室内声源可采用等效室外声源声功率级法进行计算。本项目产生的噪声，几乎不衰减，预测方法见下。 </w:t>
            </w:r>
          </w:p>
          <w:p>
            <w:pPr>
              <w:numPr>
                <w:ilvl w:val="0"/>
                <w:numId w:val="7"/>
              </w:num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无指向性点声源的几何发散衰减公式： </w:t>
            </w:r>
          </w:p>
          <w:p>
            <w:pPr>
              <w:numPr>
                <w:ilvl w:val="0"/>
                <w:numId w:val="0"/>
              </w:num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P（r）</w:t>
            </w: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P（r0）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20lg（r/r0）</w:t>
            </w:r>
          </w:p>
          <w:p>
            <w:pPr>
              <w:numPr>
                <w:ilvl w:val="0"/>
                <w:numId w:val="0"/>
              </w:num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式中：r</w:t>
            </w:r>
            <w:r>
              <w:rPr>
                <w:rFonts w:hint="default" w:ascii="Times New Roman" w:hAnsi="Times New Roman" w:eastAsia="宋体" w:cs="Times New Roman"/>
                <w:sz w:val="24"/>
                <w:szCs w:val="24"/>
                <w:vertAlign w:val="subscript"/>
              </w:rPr>
              <w:t>0</w:t>
            </w:r>
            <w:r>
              <w:rPr>
                <w:rFonts w:hint="default" w:ascii="Times New Roman" w:hAnsi="Times New Roman" w:eastAsia="宋体" w:cs="Times New Roman"/>
                <w:sz w:val="24"/>
                <w:szCs w:val="24"/>
              </w:rPr>
              <w:t xml:space="preserve">－参考位置距离声源的距离（m）； </w:t>
            </w:r>
          </w:p>
          <w:p>
            <w:pPr>
              <w:numPr>
                <w:ilvl w:val="0"/>
                <w:numId w:val="0"/>
              </w:num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r－预测点距离声源的距离（m）； </w:t>
            </w:r>
          </w:p>
          <w:p>
            <w:pPr>
              <w:numPr>
                <w:ilvl w:val="0"/>
                <w:numId w:val="0"/>
              </w:num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P（r）</w:t>
            </w:r>
            <w:r>
              <w:rPr>
                <w:rFonts w:hint="default" w:ascii="Times New Roman" w:hAnsi="Times New Roman" w:eastAsia="宋体" w:cs="Times New Roman"/>
                <w:sz w:val="24"/>
                <w:szCs w:val="24"/>
              </w:rPr>
              <w:t xml:space="preserve">－预测点处声压级，dB； </w:t>
            </w:r>
          </w:p>
          <w:p>
            <w:pPr>
              <w:numPr>
                <w:ilvl w:val="0"/>
                <w:numId w:val="0"/>
              </w:numPr>
              <w:spacing w:line="360" w:lineRule="auto"/>
              <w:ind w:firstLine="480" w:firstLineChars="200"/>
              <w:rPr>
                <w:rFonts w:hint="eastAsia" w:eastAsia="宋体"/>
                <w:lang w:eastAsia="zh-CN"/>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P（r0）</w:t>
            </w:r>
            <w:r>
              <w:rPr>
                <w:rFonts w:hint="default" w:ascii="Times New Roman" w:hAnsi="Times New Roman" w:eastAsia="宋体" w:cs="Times New Roman"/>
                <w:sz w:val="24"/>
                <w:szCs w:val="24"/>
              </w:rPr>
              <w:t xml:space="preserve">－参考位置 r0的声压级，dB。 </w:t>
            </w:r>
            <w:r>
              <w:rPr>
                <w:rFonts w:hint="eastAsia"/>
                <w:lang w:eastAsia="zh-CN"/>
              </w:rPr>
              <w:t>，</w:t>
            </w:r>
          </w:p>
        </w:tc>
      </w:tr>
    </w:tbl>
    <w:p>
      <w:pPr>
        <w:sectPr>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3" w:hRule="atLeast"/>
        </w:trPr>
        <w:tc>
          <w:tcPr>
            <w:tcW w:w="713" w:type="dxa"/>
          </w:tcPr>
          <w:p/>
        </w:tc>
        <w:tc>
          <w:tcPr>
            <w:tcW w:w="8347" w:type="dxa"/>
          </w:tcPr>
          <w:p>
            <w:pPr>
              <w:numPr>
                <w:ilvl w:val="0"/>
                <w:numId w:val="0"/>
              </w:num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声源的几何发散衰减： </w:t>
            </w:r>
          </w:p>
          <w:p>
            <w:pPr>
              <w:numPr>
                <w:ilvl w:val="0"/>
                <w:numId w:val="0"/>
              </w:num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A（r）</w:t>
            </w: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A（r0）</w:t>
            </w:r>
          </w:p>
          <w:p>
            <w:pPr>
              <w:numPr>
                <w:ilvl w:val="0"/>
                <w:numId w:val="0"/>
              </w:num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式中：A</w:t>
            </w:r>
            <w:r>
              <w:rPr>
                <w:rFonts w:hint="default" w:ascii="Times New Roman" w:hAnsi="Times New Roman" w:eastAsia="宋体" w:cs="Times New Roman"/>
                <w:sz w:val="24"/>
                <w:szCs w:val="24"/>
                <w:vertAlign w:val="subscript"/>
              </w:rPr>
              <w:t>div</w:t>
            </w:r>
            <w:r>
              <w:rPr>
                <w:rFonts w:hint="default" w:ascii="Times New Roman" w:hAnsi="Times New Roman" w:eastAsia="宋体" w:cs="Times New Roman"/>
                <w:sz w:val="24"/>
                <w:szCs w:val="24"/>
              </w:rPr>
              <w:t xml:space="preserve">─几何发散引起的衰减，dB； </w:t>
            </w:r>
          </w:p>
          <w:p>
            <w:pPr>
              <w:numPr>
                <w:ilvl w:val="0"/>
                <w:numId w:val="0"/>
              </w:num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r─预测点距声源的距离； </w:t>
            </w:r>
          </w:p>
          <w:p>
            <w:pPr>
              <w:numPr>
                <w:ilvl w:val="0"/>
                <w:numId w:val="0"/>
              </w:num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w:t>
            </w:r>
            <w:r>
              <w:rPr>
                <w:rFonts w:hint="default" w:ascii="Times New Roman" w:hAnsi="Times New Roman" w:eastAsia="宋体" w:cs="Times New Roman"/>
                <w:sz w:val="24"/>
                <w:szCs w:val="24"/>
                <w:vertAlign w:val="subscript"/>
              </w:rPr>
              <w:t>0</w:t>
            </w:r>
            <w:r>
              <w:rPr>
                <w:rFonts w:hint="default" w:ascii="Times New Roman" w:hAnsi="Times New Roman" w:eastAsia="宋体" w:cs="Times New Roman"/>
                <w:sz w:val="24"/>
                <w:szCs w:val="24"/>
              </w:rPr>
              <w:t xml:space="preserve">─参考位置距声源的距离。 </w:t>
            </w:r>
          </w:p>
          <w:p>
            <w:pPr>
              <w:numPr>
                <w:ilvl w:val="0"/>
                <w:numId w:val="7"/>
              </w:numPr>
              <w:spacing w:line="36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噪声预测值（L</w:t>
            </w:r>
            <w:r>
              <w:rPr>
                <w:rFonts w:hint="default" w:ascii="Times New Roman" w:hAnsi="Times New Roman" w:eastAsia="宋体" w:cs="Times New Roman"/>
                <w:sz w:val="24"/>
                <w:szCs w:val="24"/>
                <w:vertAlign w:val="subscript"/>
              </w:rPr>
              <w:t>eq</w:t>
            </w:r>
            <w:r>
              <w:rPr>
                <w:rFonts w:hint="default" w:ascii="Times New Roman" w:hAnsi="Times New Roman" w:eastAsia="宋体" w:cs="Times New Roman"/>
                <w:sz w:val="24"/>
                <w:szCs w:val="24"/>
              </w:rPr>
              <w:t xml:space="preserve">）计算公式： </w:t>
            </w:r>
          </w:p>
          <w:p>
            <w:pPr>
              <w:numPr>
                <w:ilvl w:val="0"/>
                <w:numId w:val="0"/>
              </w:num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eq</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10lg</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10 </w:t>
            </w:r>
            <w:r>
              <w:rPr>
                <w:rFonts w:hint="default" w:ascii="Times New Roman" w:hAnsi="Times New Roman" w:eastAsia="宋体" w:cs="Times New Roman"/>
                <w:sz w:val="24"/>
                <w:szCs w:val="24"/>
                <w:vertAlign w:val="superscript"/>
              </w:rPr>
              <w:t>0.1Leqg</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 xml:space="preserve">10 </w:t>
            </w:r>
            <w:r>
              <w:rPr>
                <w:rFonts w:hint="default" w:ascii="Times New Roman" w:hAnsi="Times New Roman" w:eastAsia="宋体" w:cs="Times New Roman"/>
                <w:sz w:val="24"/>
                <w:szCs w:val="24"/>
                <w:vertAlign w:val="superscript"/>
              </w:rPr>
              <w:t>0.1Leqb</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w:t>
            </w:r>
          </w:p>
          <w:p>
            <w:pPr>
              <w:numPr>
                <w:ilvl w:val="0"/>
                <w:numId w:val="0"/>
              </w:numPr>
              <w:spacing w:line="360" w:lineRule="auto"/>
              <w:ind w:leftChars="200" w:firstLine="240" w:firstLineChars="1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 L</w:t>
            </w:r>
            <w:r>
              <w:rPr>
                <w:rFonts w:hint="default" w:ascii="Times New Roman" w:hAnsi="Times New Roman" w:eastAsia="宋体" w:cs="Times New Roman"/>
                <w:sz w:val="24"/>
                <w:szCs w:val="24"/>
                <w:vertAlign w:val="subscript"/>
              </w:rPr>
              <w:t>eq</w:t>
            </w:r>
            <w:r>
              <w:rPr>
                <w:rFonts w:hint="default" w:ascii="Times New Roman" w:hAnsi="Times New Roman" w:eastAsia="宋体" w:cs="Times New Roman"/>
                <w:sz w:val="24"/>
                <w:szCs w:val="24"/>
              </w:rPr>
              <w:t xml:space="preserve">－预测点的噪声预测值，dB； </w:t>
            </w:r>
          </w:p>
          <w:p>
            <w:pPr>
              <w:numPr>
                <w:ilvl w:val="0"/>
                <w:numId w:val="0"/>
              </w:numPr>
              <w:spacing w:line="360" w:lineRule="auto"/>
              <w:ind w:leftChars="200" w:firstLine="240" w:firstLineChars="1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epg</w:t>
            </w:r>
            <w:r>
              <w:rPr>
                <w:rFonts w:hint="default" w:ascii="Times New Roman" w:hAnsi="Times New Roman" w:eastAsia="宋体" w:cs="Times New Roman"/>
                <w:sz w:val="24"/>
                <w:szCs w:val="24"/>
              </w:rPr>
              <w:t xml:space="preserve">－建设项目声源在预测点产生的噪声贡献值，dB； </w:t>
            </w:r>
          </w:p>
          <w:p>
            <w:pPr>
              <w:numPr>
                <w:ilvl w:val="0"/>
                <w:numId w:val="0"/>
              </w:numPr>
              <w:spacing w:line="360" w:lineRule="auto"/>
              <w:ind w:leftChars="200" w:firstLine="240" w:firstLineChars="100"/>
              <w:rPr>
                <w:rFonts w:hint="default" w:ascii="Times New Roman" w:hAnsi="Times New Roman" w:cs="Times New Roman"/>
                <w:b w:val="0"/>
                <w:bCs/>
                <w:color w:val="000000"/>
                <w:sz w:val="24"/>
                <w:szCs w:val="24"/>
                <w:u w:val="none"/>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epb</w:t>
            </w:r>
            <w:r>
              <w:rPr>
                <w:rFonts w:hint="default" w:ascii="Times New Roman" w:hAnsi="Times New Roman" w:eastAsia="宋体" w:cs="Times New Roman"/>
                <w:sz w:val="24"/>
                <w:szCs w:val="24"/>
              </w:rPr>
              <w:t>－预测点的背景噪声值，dB。</w:t>
            </w:r>
          </w:p>
          <w:p>
            <w:pPr>
              <w:spacing w:line="360" w:lineRule="auto"/>
              <w:ind w:firstLine="482" w:firstLineChars="200"/>
              <w:rPr>
                <w:rFonts w:hint="default" w:ascii="Times New Roman" w:hAnsi="Times New Roman" w:eastAsia="宋体" w:cs="Times New Roman"/>
                <w:b/>
                <w:bCs/>
                <w:sz w:val="24"/>
                <w:szCs w:val="24"/>
                <w:u w:val="single"/>
              </w:rPr>
            </w:pPr>
            <w:r>
              <w:rPr>
                <w:rFonts w:hint="eastAsia" w:cs="Times New Roman"/>
                <w:b/>
                <w:bCs w:val="0"/>
                <w:color w:val="000000"/>
                <w:sz w:val="24"/>
                <w:szCs w:val="24"/>
                <w:u w:val="single"/>
                <w:lang w:val="en-US" w:eastAsia="zh-CN"/>
              </w:rPr>
              <w:t>本项目位于</w:t>
            </w:r>
            <w:r>
              <w:rPr>
                <w:rFonts w:hint="eastAsia"/>
                <w:b/>
                <w:bCs/>
                <w:sz w:val="24"/>
                <w:szCs w:val="24"/>
                <w:u w:val="single"/>
                <w:shd w:val="clear"/>
              </w:rPr>
              <w:t>偃师区大口镇后周村府金路66号</w:t>
            </w:r>
            <w:r>
              <w:rPr>
                <w:rFonts w:hint="eastAsia"/>
                <w:b/>
                <w:bCs/>
                <w:sz w:val="24"/>
                <w:szCs w:val="24"/>
                <w:u w:val="single"/>
                <w:shd w:val="clear"/>
                <w:lang w:eastAsia="zh-CN"/>
              </w:rPr>
              <w:t>，</w:t>
            </w:r>
            <w:r>
              <w:rPr>
                <w:rFonts w:ascii="宋体" w:hAnsi="宋体" w:eastAsia="宋体" w:cs="宋体"/>
                <w:b/>
                <w:bCs/>
                <w:sz w:val="24"/>
                <w:szCs w:val="24"/>
                <w:u w:val="single"/>
              </w:rPr>
              <w:t>根据项目所在地声环境功能划分</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u w:val="single"/>
                <w:lang w:val="en-US" w:eastAsia="zh-CN"/>
              </w:rPr>
              <w:t>东侧、北侧为共用厂界，不具备预测条件，因此本次评价不在进行预测分析。</w:t>
            </w:r>
            <w:r>
              <w:rPr>
                <w:rFonts w:hint="default" w:ascii="Times New Roman" w:hAnsi="Times New Roman" w:eastAsia="宋体" w:cs="Times New Roman"/>
                <w:b/>
                <w:bCs/>
                <w:sz w:val="24"/>
                <w:szCs w:val="24"/>
                <w:u w:val="single"/>
              </w:rPr>
              <w:t>西、南厂界噪声执行《工业企业厂界环境噪声排放标准》（GB12348-2008）中 2 类标准。</w:t>
            </w:r>
          </w:p>
          <w:p>
            <w:pPr>
              <w:spacing w:line="360" w:lineRule="auto"/>
              <w:ind w:firstLine="482" w:firstLineChars="200"/>
              <w:rPr>
                <w:b/>
                <w:bCs w:val="0"/>
                <w:sz w:val="24"/>
                <w:szCs w:val="24"/>
                <w:u w:val="single"/>
              </w:rPr>
            </w:pPr>
            <w:r>
              <w:rPr>
                <w:rFonts w:hint="default" w:ascii="Times New Roman" w:hAnsi="Times New Roman" w:cs="Times New Roman"/>
                <w:b/>
                <w:bCs w:val="0"/>
                <w:color w:val="000000"/>
                <w:sz w:val="24"/>
                <w:szCs w:val="24"/>
                <w:u w:val="single"/>
              </w:rPr>
              <w:t>本项目夜间不生产，故本次评价只对</w:t>
            </w:r>
            <w:r>
              <w:rPr>
                <w:rFonts w:hint="default" w:ascii="Times New Roman" w:hAnsi="Times New Roman" w:eastAsia="宋体" w:cs="Times New Roman"/>
                <w:b/>
                <w:bCs/>
                <w:sz w:val="24"/>
                <w:szCs w:val="24"/>
                <w:u w:val="single"/>
              </w:rPr>
              <w:t>西、南</w:t>
            </w:r>
            <w:r>
              <w:rPr>
                <w:rFonts w:hint="default" w:ascii="Times New Roman" w:hAnsi="Times New Roman" w:cs="Times New Roman"/>
                <w:b/>
                <w:bCs w:val="0"/>
                <w:color w:val="000000"/>
                <w:sz w:val="24"/>
                <w:szCs w:val="24"/>
                <w:u w:val="single"/>
              </w:rPr>
              <w:t>厂界昼间噪声进行预测。项目厂界噪声预测结果见下表：</w:t>
            </w:r>
          </w:p>
          <w:p>
            <w:pPr>
              <w:jc w:val="center"/>
              <w:rPr>
                <w:b/>
                <w:bCs w:val="0"/>
                <w:color w:val="000000" w:themeColor="text1"/>
                <w:sz w:val="24"/>
                <w:szCs w:val="32"/>
                <w:u w:val="single"/>
                <w14:textFill>
                  <w14:solidFill>
                    <w14:schemeClr w14:val="tx1"/>
                  </w14:solidFill>
                </w14:textFill>
              </w:rPr>
            </w:pPr>
            <w:r>
              <w:rPr>
                <w:b/>
                <w:bCs w:val="0"/>
                <w:color w:val="000000" w:themeColor="text1"/>
                <w:sz w:val="24"/>
                <w:szCs w:val="32"/>
                <w:u w:val="single"/>
                <w14:textFill>
                  <w14:solidFill>
                    <w14:schemeClr w14:val="tx1"/>
                  </w14:solidFill>
                </w14:textFill>
              </w:rPr>
              <w:t>表4-</w:t>
            </w:r>
            <w:r>
              <w:rPr>
                <w:rFonts w:hint="eastAsia"/>
                <w:b/>
                <w:bCs w:val="0"/>
                <w:color w:val="000000" w:themeColor="text1"/>
                <w:sz w:val="24"/>
                <w:szCs w:val="32"/>
                <w:u w:val="single"/>
                <w:lang w:val="en-US" w:eastAsia="zh-CN"/>
                <w14:textFill>
                  <w14:solidFill>
                    <w14:schemeClr w14:val="tx1"/>
                  </w14:solidFill>
                </w14:textFill>
              </w:rPr>
              <w:t>7</w:t>
            </w:r>
            <w:r>
              <w:rPr>
                <w:b/>
                <w:bCs w:val="0"/>
                <w:color w:val="000000" w:themeColor="text1"/>
                <w:sz w:val="24"/>
                <w:szCs w:val="32"/>
                <w:u w:val="single"/>
                <w14:textFill>
                  <w14:solidFill>
                    <w14:schemeClr w14:val="tx1"/>
                  </w14:solidFill>
                </w14:textFill>
              </w:rPr>
              <w:t xml:space="preserve">  本项目高噪声设备对厂界的噪声预测分析   单位：dB（A）</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1641"/>
              <w:gridCol w:w="1900"/>
              <w:gridCol w:w="1333"/>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74" w:type="pct"/>
                  <w:tcBorders>
                    <w:tl2br w:val="nil"/>
                    <w:tr2bl w:val="nil"/>
                  </w:tcBorders>
                  <w:vAlign w:val="center"/>
                </w:tcPr>
                <w:p>
                  <w:pPr>
                    <w:pStyle w:val="9"/>
                    <w:spacing w:line="360" w:lineRule="exact"/>
                    <w:ind w:firstLine="0" w:firstLineChars="0"/>
                    <w:jc w:val="center"/>
                    <w:rPr>
                      <w:b/>
                      <w:bCs w:val="0"/>
                      <w:color w:val="000000" w:themeColor="text1"/>
                      <w:u w:val="single"/>
                      <w14:textFill>
                        <w14:solidFill>
                          <w14:schemeClr w14:val="tx1"/>
                        </w14:solidFill>
                      </w14:textFill>
                    </w:rPr>
                  </w:pPr>
                  <w:r>
                    <w:rPr>
                      <w:b/>
                      <w:bCs w:val="0"/>
                      <w:color w:val="000000" w:themeColor="text1"/>
                      <w:u w:val="single"/>
                      <w14:textFill>
                        <w14:solidFill>
                          <w14:schemeClr w14:val="tx1"/>
                        </w14:solidFill>
                      </w14:textFill>
                    </w:rPr>
                    <w:t>影响对象</w:t>
                  </w:r>
                </w:p>
              </w:tc>
              <w:tc>
                <w:tcPr>
                  <w:tcW w:w="1011" w:type="pct"/>
                  <w:tcBorders>
                    <w:tl2br w:val="nil"/>
                    <w:tr2bl w:val="nil"/>
                  </w:tcBorders>
                  <w:vAlign w:val="center"/>
                </w:tcPr>
                <w:p>
                  <w:pPr>
                    <w:pStyle w:val="9"/>
                    <w:spacing w:line="360" w:lineRule="exact"/>
                    <w:ind w:firstLine="0" w:firstLineChars="0"/>
                    <w:jc w:val="center"/>
                    <w:rPr>
                      <w:b/>
                      <w:bCs w:val="0"/>
                      <w:color w:val="000000" w:themeColor="text1"/>
                      <w:u w:val="single"/>
                      <w14:textFill>
                        <w14:solidFill>
                          <w14:schemeClr w14:val="tx1"/>
                        </w14:solidFill>
                      </w14:textFill>
                    </w:rPr>
                  </w:pPr>
                  <w:r>
                    <w:rPr>
                      <w:b/>
                      <w:bCs w:val="0"/>
                      <w:color w:val="000000" w:themeColor="text1"/>
                      <w:u w:val="single"/>
                      <w14:textFill>
                        <w14:solidFill>
                          <w14:schemeClr w14:val="tx1"/>
                        </w14:solidFill>
                      </w14:textFill>
                    </w:rPr>
                    <w:t>噪声源</w:t>
                  </w:r>
                </w:p>
              </w:tc>
              <w:tc>
                <w:tcPr>
                  <w:tcW w:w="1170" w:type="pct"/>
                  <w:tcBorders>
                    <w:tl2br w:val="nil"/>
                    <w:tr2bl w:val="nil"/>
                  </w:tcBorders>
                  <w:vAlign w:val="center"/>
                </w:tcPr>
                <w:p>
                  <w:pPr>
                    <w:pStyle w:val="9"/>
                    <w:spacing w:line="360" w:lineRule="exact"/>
                    <w:ind w:firstLine="0" w:firstLineChars="0"/>
                    <w:jc w:val="center"/>
                    <w:rPr>
                      <w:b/>
                      <w:bCs w:val="0"/>
                      <w:color w:val="000000" w:themeColor="text1"/>
                      <w:u w:val="single"/>
                      <w14:textFill>
                        <w14:solidFill>
                          <w14:schemeClr w14:val="tx1"/>
                        </w14:solidFill>
                      </w14:textFill>
                    </w:rPr>
                  </w:pPr>
                  <w:r>
                    <w:rPr>
                      <w:b/>
                      <w:bCs w:val="0"/>
                      <w:color w:val="000000" w:themeColor="text1"/>
                      <w:u w:val="single"/>
                      <w14:textFill>
                        <w14:solidFill>
                          <w14:schemeClr w14:val="tx1"/>
                        </w14:solidFill>
                      </w14:textFill>
                    </w:rPr>
                    <w:t>贡献值</w:t>
                  </w:r>
                </w:p>
              </w:tc>
              <w:tc>
                <w:tcPr>
                  <w:tcW w:w="821" w:type="pct"/>
                  <w:tcBorders>
                    <w:tl2br w:val="nil"/>
                    <w:tr2bl w:val="nil"/>
                  </w:tcBorders>
                  <w:vAlign w:val="center"/>
                </w:tcPr>
                <w:p>
                  <w:pPr>
                    <w:pStyle w:val="9"/>
                    <w:spacing w:line="360" w:lineRule="exact"/>
                    <w:ind w:firstLine="0" w:firstLineChars="0"/>
                    <w:jc w:val="center"/>
                    <w:rPr>
                      <w:b/>
                      <w:bCs w:val="0"/>
                      <w:color w:val="000000" w:themeColor="text1"/>
                      <w:u w:val="single"/>
                      <w14:textFill>
                        <w14:solidFill>
                          <w14:schemeClr w14:val="tx1"/>
                        </w14:solidFill>
                      </w14:textFill>
                    </w:rPr>
                  </w:pPr>
                  <w:r>
                    <w:rPr>
                      <w:b/>
                      <w:bCs w:val="0"/>
                      <w:color w:val="000000" w:themeColor="text1"/>
                      <w:u w:val="single"/>
                      <w14:textFill>
                        <w14:solidFill>
                          <w14:schemeClr w14:val="tx1"/>
                        </w14:solidFill>
                      </w14:textFill>
                    </w:rPr>
                    <w:t>标准值</w:t>
                  </w:r>
                </w:p>
              </w:tc>
              <w:tc>
                <w:tcPr>
                  <w:tcW w:w="821" w:type="pct"/>
                  <w:tcBorders>
                    <w:tl2br w:val="nil"/>
                    <w:tr2bl w:val="nil"/>
                  </w:tcBorders>
                  <w:vAlign w:val="center"/>
                </w:tcPr>
                <w:p>
                  <w:pPr>
                    <w:pStyle w:val="9"/>
                    <w:spacing w:line="360" w:lineRule="exact"/>
                    <w:ind w:firstLine="0" w:firstLineChars="0"/>
                    <w:jc w:val="center"/>
                    <w:rPr>
                      <w:rFonts w:hint="eastAsia" w:eastAsia="宋体"/>
                      <w:b/>
                      <w:bCs w:val="0"/>
                      <w:color w:val="000000" w:themeColor="text1"/>
                      <w:u w:val="single"/>
                      <w:lang w:val="en-US" w:eastAsia="zh-CN"/>
                      <w14:textFill>
                        <w14:solidFill>
                          <w14:schemeClr w14:val="tx1"/>
                        </w14:solidFill>
                      </w14:textFill>
                    </w:rPr>
                  </w:pPr>
                  <w:r>
                    <w:rPr>
                      <w:rFonts w:hint="eastAsia"/>
                      <w:b/>
                      <w:bCs w:val="0"/>
                      <w:color w:val="000000" w:themeColor="text1"/>
                      <w:u w:val="single"/>
                      <w:lang w:val="en-US"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74" w:type="pct"/>
                  <w:tcBorders>
                    <w:tl2br w:val="nil"/>
                    <w:tr2bl w:val="nil"/>
                  </w:tcBorders>
                  <w:vAlign w:val="center"/>
                </w:tcPr>
                <w:p>
                  <w:pPr>
                    <w:spacing w:line="360" w:lineRule="exact"/>
                    <w:jc w:val="center"/>
                    <w:rPr>
                      <w:b/>
                      <w:bCs w:val="0"/>
                      <w:color w:val="000000" w:themeColor="text1"/>
                      <w:u w:val="single"/>
                      <w14:textFill>
                        <w14:solidFill>
                          <w14:schemeClr w14:val="tx1"/>
                        </w14:solidFill>
                      </w14:textFill>
                    </w:rPr>
                  </w:pPr>
                  <w:r>
                    <w:rPr>
                      <w:rFonts w:hint="eastAsia"/>
                      <w:b/>
                      <w:bCs w:val="0"/>
                      <w:color w:val="000000" w:themeColor="text1"/>
                      <w:u w:val="single"/>
                      <w:lang w:val="en-US" w:eastAsia="zh-CN"/>
                      <w14:textFill>
                        <w14:solidFill>
                          <w14:schemeClr w14:val="tx1"/>
                        </w14:solidFill>
                      </w14:textFill>
                    </w:rPr>
                    <w:t>西</w:t>
                  </w:r>
                  <w:r>
                    <w:rPr>
                      <w:b/>
                      <w:bCs w:val="0"/>
                      <w:color w:val="000000" w:themeColor="text1"/>
                      <w:u w:val="single"/>
                      <w14:textFill>
                        <w14:solidFill>
                          <w14:schemeClr w14:val="tx1"/>
                        </w14:solidFill>
                      </w14:textFill>
                    </w:rPr>
                    <w:t>厂界</w:t>
                  </w:r>
                </w:p>
              </w:tc>
              <w:tc>
                <w:tcPr>
                  <w:tcW w:w="1011" w:type="pct"/>
                  <w:vMerge w:val="restart"/>
                  <w:tcBorders>
                    <w:tl2br w:val="nil"/>
                    <w:tr2bl w:val="nil"/>
                  </w:tcBorders>
                  <w:vAlign w:val="center"/>
                </w:tcPr>
                <w:p>
                  <w:pPr>
                    <w:spacing w:line="360" w:lineRule="exact"/>
                    <w:jc w:val="center"/>
                    <w:rPr>
                      <w:b/>
                      <w:bCs w:val="0"/>
                      <w:color w:val="000000" w:themeColor="text1"/>
                      <w:u w:val="single"/>
                      <w14:textFill>
                        <w14:solidFill>
                          <w14:schemeClr w14:val="tx1"/>
                        </w14:solidFill>
                      </w14:textFill>
                    </w:rPr>
                  </w:pPr>
                  <w:r>
                    <w:rPr>
                      <w:b/>
                      <w:bCs w:val="0"/>
                      <w:color w:val="000000" w:themeColor="text1"/>
                      <w:u w:val="single"/>
                      <w14:textFill>
                        <w14:solidFill>
                          <w14:schemeClr w14:val="tx1"/>
                        </w14:solidFill>
                      </w14:textFill>
                    </w:rPr>
                    <w:t>生产车间</w:t>
                  </w:r>
                </w:p>
              </w:tc>
              <w:tc>
                <w:tcPr>
                  <w:tcW w:w="1170" w:type="pct"/>
                  <w:tcBorders>
                    <w:tl2br w:val="nil"/>
                    <w:tr2bl w:val="nil"/>
                  </w:tcBorders>
                  <w:vAlign w:val="center"/>
                </w:tcPr>
                <w:p>
                  <w:pPr>
                    <w:spacing w:line="360" w:lineRule="exact"/>
                    <w:jc w:val="center"/>
                    <w:rPr>
                      <w:rFonts w:hint="default" w:eastAsia="宋体"/>
                      <w:b/>
                      <w:bCs w:val="0"/>
                      <w:color w:val="000000" w:themeColor="text1"/>
                      <w:highlight w:val="none"/>
                      <w:u w:val="single"/>
                      <w:lang w:val="en-US" w:eastAsia="zh-CN"/>
                      <w14:textFill>
                        <w14:solidFill>
                          <w14:schemeClr w14:val="tx1"/>
                        </w14:solidFill>
                      </w14:textFill>
                    </w:rPr>
                  </w:pPr>
                  <w:r>
                    <w:rPr>
                      <w:rFonts w:hint="eastAsia"/>
                      <w:b/>
                      <w:bCs w:val="0"/>
                      <w:color w:val="000000" w:themeColor="text1"/>
                      <w:highlight w:val="none"/>
                      <w:u w:val="single"/>
                      <w:lang w:val="en-US" w:eastAsia="zh-CN"/>
                      <w14:textFill>
                        <w14:solidFill>
                          <w14:schemeClr w14:val="tx1"/>
                        </w14:solidFill>
                      </w14:textFill>
                    </w:rPr>
                    <w:t>50.76</w:t>
                  </w:r>
                </w:p>
              </w:tc>
              <w:tc>
                <w:tcPr>
                  <w:tcW w:w="821" w:type="pct"/>
                  <w:vMerge w:val="restart"/>
                  <w:tcBorders>
                    <w:tl2br w:val="nil"/>
                    <w:tr2bl w:val="nil"/>
                  </w:tcBorders>
                  <w:vAlign w:val="center"/>
                </w:tcPr>
                <w:p>
                  <w:pPr>
                    <w:spacing w:line="360" w:lineRule="exact"/>
                    <w:jc w:val="center"/>
                    <w:rPr>
                      <w:rFonts w:hint="eastAsia" w:eastAsia="宋体"/>
                      <w:b/>
                      <w:bCs w:val="0"/>
                      <w:color w:val="000000" w:themeColor="text1"/>
                      <w:u w:val="single"/>
                      <w:lang w:eastAsia="zh-CN"/>
                      <w14:textFill>
                        <w14:solidFill>
                          <w14:schemeClr w14:val="tx1"/>
                        </w14:solidFill>
                      </w14:textFill>
                    </w:rPr>
                  </w:pPr>
                  <w:r>
                    <w:rPr>
                      <w:b/>
                      <w:bCs w:val="0"/>
                      <w:color w:val="000000" w:themeColor="text1"/>
                      <w:u w:val="single"/>
                      <w14:textFill>
                        <w14:solidFill>
                          <w14:schemeClr w14:val="tx1"/>
                        </w14:solidFill>
                      </w14:textFill>
                    </w:rPr>
                    <w:t>昼间：6</w:t>
                  </w:r>
                  <w:r>
                    <w:rPr>
                      <w:rFonts w:hint="eastAsia"/>
                      <w:b/>
                      <w:bCs w:val="0"/>
                      <w:color w:val="000000" w:themeColor="text1"/>
                      <w:u w:val="single"/>
                      <w:lang w:val="en-US" w:eastAsia="zh-CN"/>
                      <w14:textFill>
                        <w14:solidFill>
                          <w14:schemeClr w14:val="tx1"/>
                        </w14:solidFill>
                      </w14:textFill>
                    </w:rPr>
                    <w:t>0</w:t>
                  </w:r>
                </w:p>
              </w:tc>
              <w:tc>
                <w:tcPr>
                  <w:tcW w:w="821" w:type="pct"/>
                  <w:tcBorders>
                    <w:tl2br w:val="nil"/>
                    <w:tr2bl w:val="nil"/>
                  </w:tcBorders>
                  <w:vAlign w:val="center"/>
                </w:tcPr>
                <w:p>
                  <w:pPr>
                    <w:spacing w:line="360" w:lineRule="exact"/>
                    <w:jc w:val="center"/>
                    <w:rPr>
                      <w:rFonts w:hint="eastAsia" w:eastAsia="宋体"/>
                      <w:b/>
                      <w:bCs w:val="0"/>
                      <w:color w:val="000000" w:themeColor="text1"/>
                      <w:u w:val="single"/>
                      <w:lang w:val="en-US" w:eastAsia="zh-CN"/>
                      <w14:textFill>
                        <w14:solidFill>
                          <w14:schemeClr w14:val="tx1"/>
                        </w14:solidFill>
                      </w14:textFill>
                    </w:rPr>
                  </w:pPr>
                  <w:r>
                    <w:rPr>
                      <w:rFonts w:hint="eastAsia"/>
                      <w:b/>
                      <w:bCs w:val="0"/>
                      <w:color w:val="000000" w:themeColor="text1"/>
                      <w:u w:val="singl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74" w:type="pct"/>
                  <w:tcBorders>
                    <w:tl2br w:val="nil"/>
                    <w:tr2bl w:val="nil"/>
                  </w:tcBorders>
                  <w:vAlign w:val="center"/>
                </w:tcPr>
                <w:p>
                  <w:pPr>
                    <w:spacing w:line="360" w:lineRule="exact"/>
                    <w:jc w:val="center"/>
                    <w:rPr>
                      <w:b/>
                      <w:bCs w:val="0"/>
                      <w:color w:val="000000" w:themeColor="text1"/>
                      <w:u w:val="single"/>
                      <w14:textFill>
                        <w14:solidFill>
                          <w14:schemeClr w14:val="tx1"/>
                        </w14:solidFill>
                      </w14:textFill>
                    </w:rPr>
                  </w:pPr>
                  <w:r>
                    <w:rPr>
                      <w:rFonts w:hint="eastAsia"/>
                      <w:b/>
                      <w:bCs w:val="0"/>
                      <w:color w:val="000000" w:themeColor="text1"/>
                      <w:u w:val="single"/>
                      <w:lang w:val="en-US" w:eastAsia="zh-CN"/>
                      <w14:textFill>
                        <w14:solidFill>
                          <w14:schemeClr w14:val="tx1"/>
                        </w14:solidFill>
                      </w14:textFill>
                    </w:rPr>
                    <w:t>南</w:t>
                  </w:r>
                  <w:r>
                    <w:rPr>
                      <w:b/>
                      <w:bCs w:val="0"/>
                      <w:color w:val="000000" w:themeColor="text1"/>
                      <w:u w:val="single"/>
                      <w14:textFill>
                        <w14:solidFill>
                          <w14:schemeClr w14:val="tx1"/>
                        </w14:solidFill>
                      </w14:textFill>
                    </w:rPr>
                    <w:t>厂界</w:t>
                  </w:r>
                </w:p>
              </w:tc>
              <w:tc>
                <w:tcPr>
                  <w:tcW w:w="1011" w:type="pct"/>
                  <w:vMerge w:val="continue"/>
                  <w:tcBorders>
                    <w:tl2br w:val="nil"/>
                    <w:tr2bl w:val="nil"/>
                  </w:tcBorders>
                  <w:vAlign w:val="center"/>
                </w:tcPr>
                <w:p>
                  <w:pPr>
                    <w:spacing w:line="360" w:lineRule="exact"/>
                    <w:jc w:val="center"/>
                    <w:rPr>
                      <w:b/>
                      <w:bCs w:val="0"/>
                      <w:color w:val="000000" w:themeColor="text1"/>
                      <w:u w:val="single"/>
                      <w14:textFill>
                        <w14:solidFill>
                          <w14:schemeClr w14:val="tx1"/>
                        </w14:solidFill>
                      </w14:textFill>
                    </w:rPr>
                  </w:pPr>
                </w:p>
              </w:tc>
              <w:tc>
                <w:tcPr>
                  <w:tcW w:w="1170" w:type="pct"/>
                  <w:tcBorders>
                    <w:tl2br w:val="nil"/>
                    <w:tr2bl w:val="nil"/>
                  </w:tcBorders>
                  <w:vAlign w:val="center"/>
                </w:tcPr>
                <w:p>
                  <w:pPr>
                    <w:spacing w:line="360" w:lineRule="exact"/>
                    <w:jc w:val="center"/>
                    <w:rPr>
                      <w:rFonts w:hint="default" w:eastAsia="宋体"/>
                      <w:b/>
                      <w:bCs w:val="0"/>
                      <w:color w:val="000000" w:themeColor="text1"/>
                      <w:highlight w:val="none"/>
                      <w:u w:val="single"/>
                      <w:lang w:val="en-US" w:eastAsia="zh-CN"/>
                      <w14:textFill>
                        <w14:solidFill>
                          <w14:schemeClr w14:val="tx1"/>
                        </w14:solidFill>
                      </w14:textFill>
                    </w:rPr>
                  </w:pPr>
                  <w:r>
                    <w:rPr>
                      <w:rFonts w:hint="eastAsia"/>
                      <w:b/>
                      <w:bCs w:val="0"/>
                      <w:color w:val="000000" w:themeColor="text1"/>
                      <w:highlight w:val="none"/>
                      <w:u w:val="single"/>
                      <w:lang w:val="en-US" w:eastAsia="zh-CN"/>
                      <w14:textFill>
                        <w14:solidFill>
                          <w14:schemeClr w14:val="tx1"/>
                        </w14:solidFill>
                      </w14:textFill>
                    </w:rPr>
                    <w:t>56.47</w:t>
                  </w:r>
                </w:p>
              </w:tc>
              <w:tc>
                <w:tcPr>
                  <w:tcW w:w="821" w:type="pct"/>
                  <w:vMerge w:val="continue"/>
                  <w:tcBorders>
                    <w:tl2br w:val="nil"/>
                    <w:tr2bl w:val="nil"/>
                  </w:tcBorders>
                  <w:vAlign w:val="center"/>
                </w:tcPr>
                <w:p>
                  <w:pPr>
                    <w:spacing w:line="360" w:lineRule="exact"/>
                    <w:jc w:val="center"/>
                    <w:rPr>
                      <w:b/>
                      <w:bCs w:val="0"/>
                      <w:color w:val="000000" w:themeColor="text1"/>
                      <w:u w:val="single"/>
                      <w14:textFill>
                        <w14:solidFill>
                          <w14:schemeClr w14:val="tx1"/>
                        </w14:solidFill>
                      </w14:textFill>
                    </w:rPr>
                  </w:pPr>
                </w:p>
              </w:tc>
              <w:tc>
                <w:tcPr>
                  <w:tcW w:w="821" w:type="pct"/>
                  <w:tcBorders>
                    <w:tl2br w:val="nil"/>
                    <w:tr2bl w:val="nil"/>
                  </w:tcBorders>
                  <w:vAlign w:val="center"/>
                </w:tcPr>
                <w:p>
                  <w:pPr>
                    <w:spacing w:line="360" w:lineRule="exact"/>
                    <w:jc w:val="center"/>
                    <w:rPr>
                      <w:rFonts w:hint="eastAsia" w:eastAsia="宋体"/>
                      <w:b/>
                      <w:bCs w:val="0"/>
                      <w:color w:val="000000" w:themeColor="text1"/>
                      <w:u w:val="single"/>
                      <w:lang w:val="en-US" w:eastAsia="zh-CN"/>
                      <w14:textFill>
                        <w14:solidFill>
                          <w14:schemeClr w14:val="tx1"/>
                        </w14:solidFill>
                      </w14:textFill>
                    </w:rPr>
                  </w:pPr>
                  <w:r>
                    <w:rPr>
                      <w:rFonts w:hint="eastAsia"/>
                      <w:b/>
                      <w:bCs w:val="0"/>
                      <w:color w:val="000000" w:themeColor="text1"/>
                      <w:u w:val="singl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000" w:type="pct"/>
                  <w:gridSpan w:val="5"/>
                  <w:tcBorders>
                    <w:tl2br w:val="nil"/>
                    <w:tr2bl w:val="nil"/>
                  </w:tcBorders>
                  <w:vAlign w:val="center"/>
                </w:tcPr>
                <w:p>
                  <w:pPr>
                    <w:spacing w:line="360" w:lineRule="exact"/>
                    <w:jc w:val="left"/>
                    <w:rPr>
                      <w:rFonts w:hint="eastAsia"/>
                      <w:b/>
                      <w:bCs w:val="0"/>
                      <w:color w:val="000000" w:themeColor="text1"/>
                      <w:u w:val="single"/>
                      <w:lang w:val="en-US" w:eastAsia="zh-CN"/>
                      <w14:textFill>
                        <w14:solidFill>
                          <w14:schemeClr w14:val="tx1"/>
                        </w14:solidFill>
                      </w14:textFill>
                    </w:rPr>
                  </w:pPr>
                  <w:r>
                    <w:rPr>
                      <w:rFonts w:hint="eastAsia" w:ascii="Times New Roman" w:hAnsi="Times New Roman"/>
                      <w:b/>
                      <w:bCs/>
                      <w:color w:val="auto"/>
                      <w:szCs w:val="21"/>
                      <w:u w:val="single"/>
                    </w:rPr>
                    <w:t>注：</w:t>
                  </w:r>
                  <w:r>
                    <w:rPr>
                      <w:rFonts w:hint="eastAsia"/>
                      <w:b/>
                      <w:bCs/>
                      <w:color w:val="auto"/>
                      <w:szCs w:val="21"/>
                      <w:u w:val="single"/>
                      <w:lang w:val="en-US" w:eastAsia="zh-CN"/>
                    </w:rPr>
                    <w:t>东、北</w:t>
                  </w:r>
                  <w:r>
                    <w:rPr>
                      <w:rFonts w:hint="eastAsia" w:ascii="Times New Roman" w:hAnsi="Times New Roman"/>
                      <w:b/>
                      <w:bCs/>
                      <w:color w:val="auto"/>
                      <w:szCs w:val="21"/>
                      <w:u w:val="single"/>
                    </w:rPr>
                    <w:t>厂界为公共厂界。</w:t>
                  </w:r>
                </w:p>
              </w:tc>
            </w:tr>
          </w:tbl>
          <w:p>
            <w:pPr>
              <w:spacing w:line="360" w:lineRule="auto"/>
              <w:ind w:firstLine="482" w:firstLineChars="200"/>
              <w:rPr>
                <w:b/>
                <w:bCs w:val="0"/>
                <w:color w:val="FF0000"/>
                <w:sz w:val="24"/>
                <w:szCs w:val="32"/>
                <w:u w:val="single"/>
              </w:rPr>
            </w:pPr>
            <w:r>
              <w:rPr>
                <w:b/>
                <w:bCs w:val="0"/>
                <w:color w:val="000000" w:themeColor="text1"/>
                <w:sz w:val="24"/>
                <w:szCs w:val="32"/>
                <w:u w:val="single"/>
                <w14:textFill>
                  <w14:solidFill>
                    <w14:schemeClr w14:val="tx1"/>
                  </w14:solidFill>
                </w14:textFill>
              </w:rPr>
              <w:t>由上表可以看出，项目</w:t>
            </w:r>
            <w:r>
              <w:rPr>
                <w:rFonts w:hint="eastAsia"/>
                <w:b/>
                <w:bCs w:val="0"/>
                <w:color w:val="000000" w:themeColor="text1"/>
                <w:sz w:val="24"/>
                <w:szCs w:val="32"/>
                <w:u w:val="single"/>
                <w:lang w:val="en-US" w:eastAsia="zh-CN"/>
                <w14:textFill>
                  <w14:solidFill>
                    <w14:schemeClr w14:val="tx1"/>
                  </w14:solidFill>
                </w14:textFill>
              </w:rPr>
              <w:t>西、南</w:t>
            </w:r>
            <w:r>
              <w:rPr>
                <w:b/>
                <w:bCs w:val="0"/>
                <w:color w:val="000000" w:themeColor="text1"/>
                <w:sz w:val="24"/>
                <w:szCs w:val="32"/>
                <w:u w:val="single"/>
                <w14:textFill>
                  <w14:solidFill>
                    <w14:schemeClr w14:val="tx1"/>
                  </w14:solidFill>
                </w14:textFill>
              </w:rPr>
              <w:t>厂界噪声贡献值能满足《工业企业厂界环境噪声排放标准》（GB12348-2008）中</w:t>
            </w:r>
            <w:r>
              <w:rPr>
                <w:rFonts w:hint="eastAsia"/>
                <w:b/>
                <w:bCs w:val="0"/>
                <w:color w:val="000000" w:themeColor="text1"/>
                <w:sz w:val="24"/>
                <w:szCs w:val="32"/>
                <w:u w:val="single"/>
                <w:lang w:val="en-US" w:eastAsia="zh-CN"/>
                <w14:textFill>
                  <w14:solidFill>
                    <w14:schemeClr w14:val="tx1"/>
                  </w14:solidFill>
                </w14:textFill>
              </w:rPr>
              <w:t>2</w:t>
            </w:r>
            <w:r>
              <w:rPr>
                <w:b/>
                <w:bCs w:val="0"/>
                <w:color w:val="000000" w:themeColor="text1"/>
                <w:sz w:val="24"/>
                <w:szCs w:val="32"/>
                <w:u w:val="single"/>
                <w14:textFill>
                  <w14:solidFill>
                    <w14:schemeClr w14:val="tx1"/>
                  </w14:solidFill>
                </w14:textFill>
              </w:rPr>
              <w:t>类标准。因此在采取基础减振、建筑隔声等措施后，项目噪声对外界环境影响较小。</w:t>
            </w:r>
          </w:p>
          <w:p>
            <w:pPr>
              <w:spacing w:line="360" w:lineRule="auto"/>
              <w:rPr>
                <w:b/>
                <w:bCs/>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3.3</w:t>
            </w:r>
            <w:r>
              <w:rPr>
                <w:b/>
                <w:bCs/>
                <w:color w:val="000000" w:themeColor="text1"/>
                <w:sz w:val="24"/>
                <w:szCs w:val="32"/>
                <w14:textFill>
                  <w14:solidFill>
                    <w14:schemeClr w14:val="tx1"/>
                  </w14:solidFill>
                </w14:textFill>
              </w:rPr>
              <w:t>噪声监测要求</w:t>
            </w:r>
          </w:p>
          <w:p>
            <w:pPr>
              <w:adjustRightInd w:val="0"/>
              <w:snapToGrid w:val="0"/>
              <w:spacing w:line="360" w:lineRule="auto"/>
              <w:ind w:firstLine="480" w:firstLineChars="200"/>
              <w:rPr>
                <w:color w:val="000000" w:themeColor="text1"/>
                <w:sz w:val="24"/>
                <w:szCs w:val="32"/>
                <w:highlight w:val="yellow"/>
                <w14:textFill>
                  <w14:solidFill>
                    <w14:schemeClr w14:val="tx1"/>
                  </w14:solidFill>
                </w14:textFill>
              </w:rPr>
            </w:pPr>
            <w:r>
              <w:rPr>
                <w:color w:val="000000" w:themeColor="text1"/>
                <w:sz w:val="24"/>
                <w:szCs w:val="32"/>
                <w14:textFill>
                  <w14:solidFill>
                    <w14:schemeClr w14:val="tx1"/>
                  </w14:solidFill>
                </w14:textFill>
              </w:rPr>
              <w:t>监测工作建议委托有资质的环境监测机构完成。监控内容及频率见</w:t>
            </w:r>
            <w:r>
              <w:rPr>
                <w:rFonts w:hint="eastAsia"/>
                <w:color w:val="000000" w:themeColor="text1"/>
                <w:sz w:val="24"/>
                <w:szCs w:val="32"/>
                <w14:textFill>
                  <w14:solidFill>
                    <w14:schemeClr w14:val="tx1"/>
                  </w14:solidFill>
                </w14:textFill>
              </w:rPr>
              <w:t>下表。</w:t>
            </w:r>
          </w:p>
          <w:p>
            <w:pPr>
              <w:adjustRightInd w:val="0"/>
              <w:snapToGrid w:val="0"/>
              <w:ind w:firstLine="3360" w:firstLineChars="1400"/>
              <w:rPr>
                <w:b/>
                <w:bCs/>
                <w:color w:val="000000" w:themeColor="text1"/>
                <w:sz w:val="24"/>
                <w:szCs w:val="32"/>
                <w:u w:val="single"/>
                <w14:textFill>
                  <w14:solidFill>
                    <w14:schemeClr w14:val="tx1"/>
                  </w14:solidFill>
                </w14:textFill>
              </w:rPr>
            </w:pPr>
            <w:r>
              <w:rPr>
                <w:color w:val="000000" w:themeColor="text1"/>
                <w:sz w:val="24"/>
                <w:szCs w:val="32"/>
                <w14:textFill>
                  <w14:solidFill>
                    <w14:schemeClr w14:val="tx1"/>
                  </w14:solidFill>
                </w14:textFill>
              </w:rPr>
              <w:t>表4-</w:t>
            </w:r>
            <w:r>
              <w:rPr>
                <w:rFonts w:hint="eastAsia"/>
                <w:color w:val="000000" w:themeColor="text1"/>
                <w:sz w:val="24"/>
                <w:szCs w:val="32"/>
                <w:lang w:val="en-US" w:eastAsia="zh-CN"/>
                <w14:textFill>
                  <w14:solidFill>
                    <w14:schemeClr w14:val="tx1"/>
                  </w14:solidFill>
                </w14:textFill>
              </w:rPr>
              <w:t>8</w:t>
            </w:r>
            <w:r>
              <w:rPr>
                <w:color w:val="000000" w:themeColor="text1"/>
                <w:sz w:val="24"/>
                <w:szCs w:val="32"/>
                <w14:textFill>
                  <w14:solidFill>
                    <w14:schemeClr w14:val="tx1"/>
                  </w14:solidFill>
                </w14:textFill>
              </w:rPr>
              <w:t xml:space="preserve">  项目噪声监测方案</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1584"/>
              <w:gridCol w:w="1103"/>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43" w:type="pct"/>
                  <w:tcBorders>
                    <w:tl2br w:val="nil"/>
                    <w:tr2bl w:val="nil"/>
                  </w:tcBorders>
                  <w:vAlign w:val="center"/>
                </w:tcPr>
                <w:p>
                  <w:pPr>
                    <w:pStyle w:val="34"/>
                    <w:spacing w:beforeLines="0" w:afterLines="0" w:line="360" w:lineRule="exact"/>
                    <w:rPr>
                      <w:rFonts w:ascii="Times New Roman"/>
                      <w:b w:val="0"/>
                      <w:bCs w:val="0"/>
                      <w:color w:val="000000" w:themeColor="text1"/>
                      <w14:textFill>
                        <w14:solidFill>
                          <w14:schemeClr w14:val="tx1"/>
                        </w14:solidFill>
                      </w14:textFill>
                    </w:rPr>
                  </w:pPr>
                  <w:r>
                    <w:rPr>
                      <w:rFonts w:ascii="Times New Roman"/>
                      <w:b w:val="0"/>
                      <w:bCs w:val="0"/>
                      <w:color w:val="000000" w:themeColor="text1"/>
                      <w14:textFill>
                        <w14:solidFill>
                          <w14:schemeClr w14:val="tx1"/>
                        </w14:solidFill>
                      </w14:textFill>
                    </w:rPr>
                    <w:t>监测点位</w:t>
                  </w:r>
                </w:p>
              </w:tc>
              <w:tc>
                <w:tcPr>
                  <w:tcW w:w="975" w:type="pct"/>
                  <w:tcBorders>
                    <w:tl2br w:val="nil"/>
                    <w:tr2bl w:val="nil"/>
                  </w:tcBorders>
                  <w:vAlign w:val="center"/>
                </w:tcPr>
                <w:p>
                  <w:pPr>
                    <w:pStyle w:val="34"/>
                    <w:spacing w:beforeLines="0" w:afterLines="0" w:line="360" w:lineRule="exact"/>
                    <w:rPr>
                      <w:rFonts w:ascii="Times New Roman"/>
                      <w:b w:val="0"/>
                      <w:bCs w:val="0"/>
                      <w:color w:val="000000" w:themeColor="text1"/>
                      <w14:textFill>
                        <w14:solidFill>
                          <w14:schemeClr w14:val="tx1"/>
                        </w14:solidFill>
                      </w14:textFill>
                    </w:rPr>
                  </w:pPr>
                  <w:r>
                    <w:rPr>
                      <w:rFonts w:ascii="Times New Roman"/>
                      <w:b w:val="0"/>
                      <w:bCs w:val="0"/>
                      <w:color w:val="000000" w:themeColor="text1"/>
                      <w14:textFill>
                        <w14:solidFill>
                          <w14:schemeClr w14:val="tx1"/>
                        </w14:solidFill>
                      </w14:textFill>
                    </w:rPr>
                    <w:t>监测指标</w:t>
                  </w:r>
                </w:p>
              </w:tc>
              <w:tc>
                <w:tcPr>
                  <w:tcW w:w="679" w:type="pct"/>
                  <w:tcBorders>
                    <w:tl2br w:val="nil"/>
                    <w:tr2bl w:val="nil"/>
                  </w:tcBorders>
                  <w:vAlign w:val="center"/>
                </w:tcPr>
                <w:p>
                  <w:pPr>
                    <w:pStyle w:val="34"/>
                    <w:spacing w:beforeLines="0" w:afterLines="0" w:line="360" w:lineRule="exact"/>
                    <w:rPr>
                      <w:rFonts w:ascii="Times New Roman"/>
                      <w:b w:val="0"/>
                      <w:bCs w:val="0"/>
                      <w:color w:val="000000" w:themeColor="text1"/>
                      <w14:textFill>
                        <w14:solidFill>
                          <w14:schemeClr w14:val="tx1"/>
                        </w14:solidFill>
                      </w14:textFill>
                    </w:rPr>
                  </w:pPr>
                  <w:r>
                    <w:rPr>
                      <w:rFonts w:ascii="Times New Roman"/>
                      <w:b w:val="0"/>
                      <w:bCs w:val="0"/>
                      <w:color w:val="000000" w:themeColor="text1"/>
                      <w14:textFill>
                        <w14:solidFill>
                          <w14:schemeClr w14:val="tx1"/>
                        </w14:solidFill>
                      </w14:textFill>
                    </w:rPr>
                    <w:t>监测频次</w:t>
                  </w:r>
                </w:p>
              </w:tc>
              <w:tc>
                <w:tcPr>
                  <w:tcW w:w="2301" w:type="pct"/>
                  <w:tcBorders>
                    <w:tl2br w:val="nil"/>
                    <w:tr2bl w:val="nil"/>
                  </w:tcBorders>
                  <w:vAlign w:val="center"/>
                </w:tcPr>
                <w:p>
                  <w:pPr>
                    <w:pStyle w:val="34"/>
                    <w:spacing w:beforeLines="0" w:afterLines="0" w:line="360" w:lineRule="exact"/>
                    <w:rPr>
                      <w:rFonts w:ascii="Times New Roman"/>
                      <w:b w:val="0"/>
                      <w:bCs w:val="0"/>
                      <w:color w:val="000000" w:themeColor="text1"/>
                      <w14:textFill>
                        <w14:solidFill>
                          <w14:schemeClr w14:val="tx1"/>
                        </w14:solidFill>
                      </w14:textFill>
                    </w:rPr>
                  </w:pPr>
                  <w:r>
                    <w:rPr>
                      <w:rFonts w:ascii="Times New Roman"/>
                      <w:b w:val="0"/>
                      <w:bCs w:val="0"/>
                      <w:color w:val="000000" w:themeColor="text1"/>
                      <w14:textFill>
                        <w14:solidFill>
                          <w14:schemeClr w14:val="tx1"/>
                        </w14:solidFill>
                      </w14:textFill>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43" w:type="pct"/>
                  <w:tcBorders>
                    <w:tl2br w:val="nil"/>
                    <w:tr2bl w:val="nil"/>
                  </w:tcBorders>
                  <w:vAlign w:val="center"/>
                </w:tcPr>
                <w:p>
                  <w:pPr>
                    <w:pStyle w:val="34"/>
                    <w:spacing w:beforeLines="0" w:afterLines="0" w:line="360" w:lineRule="exact"/>
                    <w:rPr>
                      <w:rFonts w:ascii="Times New Roman"/>
                      <w:b w:val="0"/>
                      <w:bCs w:val="0"/>
                      <w:color w:val="000000" w:themeColor="text1"/>
                      <w14:textFill>
                        <w14:solidFill>
                          <w14:schemeClr w14:val="tx1"/>
                        </w14:solidFill>
                      </w14:textFill>
                    </w:rPr>
                  </w:pPr>
                  <w:r>
                    <w:rPr>
                      <w:rFonts w:hint="eastAsia" w:ascii="Times New Roman"/>
                      <w:b w:val="0"/>
                      <w:bCs w:val="0"/>
                      <w:color w:val="000000" w:themeColor="text1"/>
                      <w:lang w:val="en-US" w:eastAsia="zh-CN"/>
                      <w14:textFill>
                        <w14:solidFill>
                          <w14:schemeClr w14:val="tx1"/>
                        </w14:solidFill>
                      </w14:textFill>
                    </w:rPr>
                    <w:t>西、南</w:t>
                  </w:r>
                  <w:r>
                    <w:rPr>
                      <w:rFonts w:hint="eastAsia" w:ascii="Times New Roman"/>
                      <w:b w:val="0"/>
                      <w:bCs w:val="0"/>
                      <w:color w:val="000000" w:themeColor="text1"/>
                      <w14:textFill>
                        <w14:solidFill>
                          <w14:schemeClr w14:val="tx1"/>
                        </w14:solidFill>
                      </w14:textFill>
                    </w:rPr>
                    <w:t>厂界</w:t>
                  </w:r>
                </w:p>
              </w:tc>
              <w:tc>
                <w:tcPr>
                  <w:tcW w:w="975" w:type="pct"/>
                  <w:tcBorders>
                    <w:tl2br w:val="nil"/>
                    <w:tr2bl w:val="nil"/>
                  </w:tcBorders>
                  <w:vAlign w:val="center"/>
                </w:tcPr>
                <w:p>
                  <w:pPr>
                    <w:pStyle w:val="34"/>
                    <w:spacing w:beforeLines="0" w:afterLines="0" w:line="360" w:lineRule="exact"/>
                    <w:rPr>
                      <w:rFonts w:ascii="Times New Roman"/>
                      <w:b w:val="0"/>
                      <w:bCs w:val="0"/>
                      <w:color w:val="000000" w:themeColor="text1"/>
                      <w14:textFill>
                        <w14:solidFill>
                          <w14:schemeClr w14:val="tx1"/>
                        </w14:solidFill>
                      </w14:textFill>
                    </w:rPr>
                  </w:pPr>
                  <w:r>
                    <w:rPr>
                      <w:rFonts w:ascii="Times New Roman"/>
                      <w:b w:val="0"/>
                      <w:bCs w:val="0"/>
                      <w:color w:val="000000" w:themeColor="text1"/>
                      <w14:textFill>
                        <w14:solidFill>
                          <w14:schemeClr w14:val="tx1"/>
                        </w14:solidFill>
                      </w14:textFill>
                    </w:rPr>
                    <w:t>等效A声级（Leq）</w:t>
                  </w:r>
                </w:p>
              </w:tc>
              <w:tc>
                <w:tcPr>
                  <w:tcW w:w="679" w:type="pct"/>
                  <w:tcBorders>
                    <w:tl2br w:val="nil"/>
                    <w:tr2bl w:val="nil"/>
                  </w:tcBorders>
                  <w:vAlign w:val="center"/>
                </w:tcPr>
                <w:p>
                  <w:pPr>
                    <w:pStyle w:val="34"/>
                    <w:spacing w:beforeLines="0" w:afterLines="0" w:line="360" w:lineRule="exact"/>
                    <w:rPr>
                      <w:rFonts w:ascii="Times New Roman"/>
                      <w:b w:val="0"/>
                      <w:bCs w:val="0"/>
                      <w:color w:val="000000" w:themeColor="text1"/>
                      <w14:textFill>
                        <w14:solidFill>
                          <w14:schemeClr w14:val="tx1"/>
                        </w14:solidFill>
                      </w14:textFill>
                    </w:rPr>
                  </w:pPr>
                  <w:r>
                    <w:rPr>
                      <w:rFonts w:ascii="Times New Roman"/>
                      <w:b w:val="0"/>
                      <w:bCs w:val="0"/>
                      <w:color w:val="000000" w:themeColor="text1"/>
                      <w14:textFill>
                        <w14:solidFill>
                          <w14:schemeClr w14:val="tx1"/>
                        </w14:solidFill>
                      </w14:textFill>
                    </w:rPr>
                    <w:t>1次/季</w:t>
                  </w:r>
                </w:p>
              </w:tc>
              <w:tc>
                <w:tcPr>
                  <w:tcW w:w="2301" w:type="pct"/>
                  <w:tcBorders>
                    <w:tl2br w:val="nil"/>
                    <w:tr2bl w:val="nil"/>
                  </w:tcBorders>
                  <w:vAlign w:val="center"/>
                </w:tcPr>
                <w:p>
                  <w:pPr>
                    <w:pStyle w:val="34"/>
                    <w:spacing w:beforeLines="0" w:afterLines="0" w:line="360" w:lineRule="exact"/>
                    <w:rPr>
                      <w:rFonts w:ascii="Times New Roman"/>
                      <w:b w:val="0"/>
                      <w:bCs w:val="0"/>
                      <w:color w:val="000000" w:themeColor="text1"/>
                      <w14:textFill>
                        <w14:solidFill>
                          <w14:schemeClr w14:val="tx1"/>
                        </w14:solidFill>
                      </w14:textFill>
                    </w:rPr>
                  </w:pPr>
                  <w:r>
                    <w:rPr>
                      <w:rFonts w:ascii="Times New Roman"/>
                      <w:b w:val="0"/>
                      <w:bCs w:val="0"/>
                      <w:color w:val="000000" w:themeColor="text1"/>
                      <w14:textFill>
                        <w14:solidFill>
                          <w14:schemeClr w14:val="tx1"/>
                        </w14:solidFill>
                      </w14:textFill>
                    </w:rPr>
                    <w:t>《工业企业厂界环境噪声排放标准》（GB12348-2008）</w:t>
                  </w:r>
                  <w:r>
                    <w:rPr>
                      <w:rFonts w:hint="eastAsia" w:ascii="Times New Roman"/>
                      <w:b w:val="0"/>
                      <w:bCs w:val="0"/>
                      <w:color w:val="000000" w:themeColor="text1"/>
                      <w:lang w:val="en-US" w:eastAsia="zh-CN"/>
                      <w14:textFill>
                        <w14:solidFill>
                          <w14:schemeClr w14:val="tx1"/>
                        </w14:solidFill>
                      </w14:textFill>
                    </w:rPr>
                    <w:t>2</w:t>
                  </w:r>
                  <w:r>
                    <w:rPr>
                      <w:rFonts w:ascii="Times New Roman"/>
                      <w:b w:val="0"/>
                      <w:bCs w:val="0"/>
                      <w:color w:val="000000" w:themeColor="text1"/>
                      <w14:textFill>
                        <w14:solidFill>
                          <w14:schemeClr w14:val="tx1"/>
                        </w14:solidFill>
                      </w14:textFill>
                    </w:rPr>
                    <w:t>类标准</w:t>
                  </w:r>
                </w:p>
              </w:tc>
            </w:tr>
          </w:tbl>
          <w:p>
            <w:pPr>
              <w:spacing w:line="360" w:lineRule="auto"/>
              <w:rPr>
                <w:b/>
                <w:bCs/>
                <w:color w:val="000000" w:themeColor="text1"/>
                <w:sz w:val="24"/>
                <w:szCs w:val="32"/>
                <w14:textFill>
                  <w14:solidFill>
                    <w14:schemeClr w14:val="tx1"/>
                  </w14:solidFill>
                </w14:textFill>
              </w:rPr>
            </w:pPr>
            <w:r>
              <w:rPr>
                <w:b/>
                <w:bCs/>
                <w:color w:val="000000" w:themeColor="text1"/>
                <w:sz w:val="24"/>
                <w:szCs w:val="32"/>
                <w14:textFill>
                  <w14:solidFill>
                    <w14:schemeClr w14:val="tx1"/>
                  </w14:solidFill>
                </w14:textFill>
              </w:rPr>
              <w:t>4、固体废物</w:t>
            </w:r>
          </w:p>
          <w:p>
            <w:pPr>
              <w:spacing w:line="360" w:lineRule="auto"/>
              <w:ind w:firstLine="480" w:firstLineChars="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本项目固体废物有</w:t>
            </w:r>
            <w:r>
              <w:rPr>
                <w:color w:val="000000" w:themeColor="text1"/>
                <w:sz w:val="24"/>
                <w:szCs w:val="32"/>
                <w14:textFill>
                  <w14:solidFill>
                    <w14:schemeClr w14:val="tx1"/>
                  </w14:solidFill>
                </w14:textFill>
              </w:rPr>
              <w:t>职工生活垃圾</w:t>
            </w:r>
            <w:r>
              <w:rPr>
                <w:rFonts w:hint="eastAsia"/>
                <w:color w:val="000000" w:themeColor="text1"/>
                <w:sz w:val="24"/>
                <w:szCs w:val="32"/>
                <w14:textFill>
                  <w14:solidFill>
                    <w14:schemeClr w14:val="tx1"/>
                  </w14:solidFill>
                </w14:textFill>
              </w:rPr>
              <w:t>、</w:t>
            </w:r>
            <w:r>
              <w:rPr>
                <w:color w:val="000000" w:themeColor="text1"/>
                <w:sz w:val="24"/>
                <w:szCs w:val="32"/>
                <w14:textFill>
                  <w14:solidFill>
                    <w14:schemeClr w14:val="tx1"/>
                  </w14:solidFill>
                </w14:textFill>
              </w:rPr>
              <w:t>废</w:t>
            </w:r>
            <w:r>
              <w:rPr>
                <w:rFonts w:hint="eastAsia"/>
                <w:color w:val="000000" w:themeColor="text1"/>
                <w:sz w:val="24"/>
                <w:szCs w:val="32"/>
                <w:lang w:val="en-US" w:eastAsia="zh-CN"/>
                <w14:textFill>
                  <w14:solidFill>
                    <w14:schemeClr w14:val="tx1"/>
                  </w14:solidFill>
                </w14:textFill>
              </w:rPr>
              <w:t>边角</w:t>
            </w:r>
            <w:r>
              <w:rPr>
                <w:color w:val="000000" w:themeColor="text1"/>
                <w:sz w:val="24"/>
                <w:szCs w:val="32"/>
                <w14:textFill>
                  <w14:solidFill>
                    <w14:schemeClr w14:val="tx1"/>
                  </w14:solidFill>
                </w14:textFill>
              </w:rPr>
              <w:t>料</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除尘器收集的塑粉</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废纸箱、</w:t>
            </w:r>
            <w:r>
              <w:rPr>
                <w:rFonts w:hint="eastAsia"/>
                <w:color w:val="000000" w:themeColor="text1"/>
                <w:sz w:val="24"/>
                <w:szCs w:val="32"/>
                <w14:textFill>
                  <w14:solidFill>
                    <w14:schemeClr w14:val="tx1"/>
                  </w14:solidFill>
                </w14:textFill>
              </w:rPr>
              <w:t>废</w:t>
            </w:r>
            <w:r>
              <w:rPr>
                <w:rFonts w:hint="eastAsia"/>
                <w:color w:val="000000" w:themeColor="text1"/>
                <w:sz w:val="24"/>
                <w:szCs w:val="32"/>
                <w:lang w:val="en-US" w:eastAsia="zh-CN"/>
                <w14:textFill>
                  <w14:solidFill>
                    <w14:schemeClr w14:val="tx1"/>
                  </w14:solidFill>
                </w14:textFill>
              </w:rPr>
              <w:t>滤芯</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废挂钩、废机油、废液压油、废光氧灯管、废活性炭。</w:t>
            </w:r>
          </w:p>
          <w:p>
            <w:pPr>
              <w:spacing w:line="360" w:lineRule="auto"/>
              <w:rPr>
                <w:color w:val="000000" w:themeColor="text1"/>
                <w:sz w:val="24"/>
                <w:szCs w:val="32"/>
                <w14:textFill>
                  <w14:solidFill>
                    <w14:schemeClr w14:val="tx1"/>
                  </w14:solidFill>
                </w14:textFill>
              </w:rPr>
            </w:pPr>
            <w:r>
              <w:rPr>
                <w:b/>
                <w:bCs/>
                <w:color w:val="000000" w:themeColor="text1"/>
                <w:sz w:val="24"/>
                <w:szCs w:val="32"/>
                <w14:textFill>
                  <w14:solidFill>
                    <w14:schemeClr w14:val="tx1"/>
                  </w14:solidFill>
                </w14:textFill>
              </w:rPr>
              <w:t>4.1 一般固废</w:t>
            </w:r>
          </w:p>
          <w:p>
            <w:pPr>
              <w:spacing w:line="360" w:lineRule="auto"/>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项目产生的一般固废主要包括职工生活垃圾，废</w:t>
            </w:r>
            <w:r>
              <w:rPr>
                <w:rFonts w:hint="eastAsia"/>
                <w:color w:val="000000" w:themeColor="text1"/>
                <w:sz w:val="24"/>
                <w:szCs w:val="32"/>
                <w14:textFill>
                  <w14:solidFill>
                    <w14:schemeClr w14:val="tx1"/>
                  </w14:solidFill>
                </w14:textFill>
              </w:rPr>
              <w:t>边角料、废</w:t>
            </w:r>
            <w:r>
              <w:rPr>
                <w:rFonts w:hint="eastAsia"/>
                <w:color w:val="000000" w:themeColor="text1"/>
                <w:sz w:val="24"/>
                <w:szCs w:val="32"/>
                <w:lang w:val="en-US" w:eastAsia="zh-CN"/>
                <w14:textFill>
                  <w14:solidFill>
                    <w14:schemeClr w14:val="tx1"/>
                  </w14:solidFill>
                </w14:textFill>
              </w:rPr>
              <w:t>塑粉</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废塑粉包装材料、</w:t>
            </w:r>
            <w:r>
              <w:rPr>
                <w:rFonts w:hint="eastAsia"/>
                <w:color w:val="000000" w:themeColor="text1"/>
                <w:sz w:val="24"/>
                <w:szCs w:val="32"/>
                <w14:textFill>
                  <w14:solidFill>
                    <w14:schemeClr w14:val="tx1"/>
                  </w14:solidFill>
                </w14:textFill>
              </w:rPr>
              <w:t>废</w:t>
            </w:r>
            <w:r>
              <w:rPr>
                <w:rFonts w:hint="eastAsia"/>
                <w:color w:val="000000" w:themeColor="text1"/>
                <w:sz w:val="24"/>
                <w:szCs w:val="32"/>
                <w:lang w:val="en-US" w:eastAsia="zh-CN"/>
                <w14:textFill>
                  <w14:solidFill>
                    <w14:schemeClr w14:val="tx1"/>
                  </w14:solidFill>
                </w14:textFill>
              </w:rPr>
              <w:t>滤芯</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废挂钩</w:t>
            </w:r>
            <w:r>
              <w:rPr>
                <w:color w:val="000000" w:themeColor="text1"/>
                <w:sz w:val="24"/>
                <w:szCs w:val="32"/>
                <w14:textFill>
                  <w14:solidFill>
                    <w14:schemeClr w14:val="tx1"/>
                  </w14:solidFill>
                </w14:textFill>
              </w:rPr>
              <w:t>。</w:t>
            </w:r>
          </w:p>
          <w:p>
            <w:pPr>
              <w:spacing w:line="360" w:lineRule="auto"/>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本项目劳动定员</w:t>
            </w:r>
            <w:r>
              <w:rPr>
                <w:rFonts w:hint="eastAsia"/>
                <w:color w:val="000000" w:themeColor="text1"/>
                <w:sz w:val="24"/>
                <w:szCs w:val="32"/>
                <w14:textFill>
                  <w14:solidFill>
                    <w14:schemeClr w14:val="tx1"/>
                  </w14:solidFill>
                </w14:textFill>
              </w:rPr>
              <w:t>20</w:t>
            </w:r>
            <w:r>
              <w:rPr>
                <w:color w:val="000000" w:themeColor="text1"/>
                <w:sz w:val="24"/>
                <w:szCs w:val="32"/>
                <w14:textFill>
                  <w14:solidFill>
                    <w14:schemeClr w14:val="tx1"/>
                  </w14:solidFill>
                </w14:textFill>
              </w:rPr>
              <w:t>人，生活垃圾产量按0.5kg/（人·d）计，则生活垃圾产生量为</w:t>
            </w:r>
            <w:r>
              <w:rPr>
                <w:rFonts w:hint="eastAsia"/>
                <w:color w:val="000000" w:themeColor="text1"/>
                <w:sz w:val="24"/>
                <w:szCs w:val="32"/>
                <w14:textFill>
                  <w14:solidFill>
                    <w14:schemeClr w14:val="tx1"/>
                  </w14:solidFill>
                </w14:textFill>
              </w:rPr>
              <w:t>3</w:t>
            </w:r>
            <w:r>
              <w:rPr>
                <w:color w:val="000000" w:themeColor="text1"/>
                <w:sz w:val="24"/>
                <w:szCs w:val="32"/>
                <w14:textFill>
                  <w14:solidFill>
                    <w14:schemeClr w14:val="tx1"/>
                  </w14:solidFill>
                </w14:textFill>
              </w:rPr>
              <w:t>t/a。生活垃圾在厂区内设置垃圾桶收集，定期交由环卫部门统一清运。</w:t>
            </w:r>
          </w:p>
          <w:p>
            <w:pPr>
              <w:spacing w:line="360" w:lineRule="auto"/>
              <w:ind w:firstLine="480" w:firstLineChars="200"/>
              <w:rPr>
                <w:rFonts w:hint="default"/>
                <w:color w:val="000000" w:themeColor="text1"/>
                <w:sz w:val="24"/>
                <w:szCs w:val="32"/>
                <w:lang w:val="en-US"/>
                <w14:textFill>
                  <w14:solidFill>
                    <w14:schemeClr w14:val="tx1"/>
                  </w14:solidFill>
                </w14:textFill>
              </w:rPr>
            </w:pPr>
            <w:r>
              <w:rPr>
                <w:rFonts w:hint="eastAsia"/>
                <w:color w:val="000000" w:themeColor="text1"/>
                <w:sz w:val="24"/>
                <w:szCs w:val="32"/>
                <w14:textFill>
                  <w14:solidFill>
                    <w14:schemeClr w14:val="tx1"/>
                  </w14:solidFill>
                </w14:textFill>
              </w:rPr>
              <w:t>废边角料</w:t>
            </w:r>
            <w:r>
              <w:rPr>
                <w:rFonts w:hint="eastAsia"/>
                <w:color w:val="000000" w:themeColor="text1"/>
                <w:sz w:val="24"/>
                <w:szCs w:val="32"/>
                <w:lang w:eastAsia="zh-CN"/>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包含焊接打磨工序袋式除尘器收集的金属废屑</w:t>
            </w:r>
            <w:r>
              <w:rPr>
                <w:rFonts w:hint="eastAsia"/>
                <w:color w:val="000000" w:themeColor="text1"/>
                <w:sz w:val="24"/>
                <w:szCs w:val="32"/>
                <w:lang w:eastAsia="zh-CN"/>
                <w14:textFill>
                  <w14:solidFill>
                    <w14:schemeClr w14:val="tx1"/>
                  </w14:solidFill>
                </w14:textFill>
              </w:rPr>
              <w:t>）</w:t>
            </w:r>
            <w:r>
              <w:rPr>
                <w:rFonts w:hint="eastAsia"/>
                <w:color w:val="000000" w:themeColor="text1"/>
                <w:sz w:val="24"/>
                <w:szCs w:val="32"/>
                <w14:textFill>
                  <w14:solidFill>
                    <w14:schemeClr w14:val="tx1"/>
                  </w14:solidFill>
                </w14:textFill>
              </w:rPr>
              <w:t>的产生量为</w:t>
            </w:r>
            <w:r>
              <w:rPr>
                <w:rFonts w:hint="eastAsia"/>
                <w:color w:val="000000" w:themeColor="text1"/>
                <w:sz w:val="24"/>
                <w:szCs w:val="32"/>
                <w:lang w:val="en-US" w:eastAsia="zh-CN"/>
                <w14:textFill>
                  <w14:solidFill>
                    <w14:schemeClr w14:val="tx1"/>
                  </w14:solidFill>
                </w14:textFill>
              </w:rPr>
              <w:t>16</w:t>
            </w:r>
            <w:r>
              <w:rPr>
                <w:rFonts w:hint="eastAsia"/>
                <w:color w:val="000000" w:themeColor="text1"/>
                <w:sz w:val="24"/>
                <w:szCs w:val="32"/>
                <w14:textFill>
                  <w14:solidFill>
                    <w14:schemeClr w14:val="tx1"/>
                  </w14:solidFill>
                </w14:textFill>
              </w:rPr>
              <w:t>t/a，</w:t>
            </w:r>
            <w:r>
              <w:rPr>
                <w:rFonts w:hint="eastAsia"/>
                <w:color w:val="000000" w:themeColor="text1"/>
                <w:sz w:val="24"/>
                <w:szCs w:val="32"/>
                <w:lang w:val="en-US" w:eastAsia="zh-CN"/>
                <w14:textFill>
                  <w14:solidFill>
                    <w14:schemeClr w14:val="tx1"/>
                  </w14:solidFill>
                </w14:textFill>
              </w:rPr>
              <w:t>废纸箱</w:t>
            </w:r>
            <w:r>
              <w:rPr>
                <w:color w:val="000000" w:themeColor="text1"/>
                <w:sz w:val="24"/>
                <w:szCs w:val="32"/>
                <w14:textFill>
                  <w14:solidFill>
                    <w14:schemeClr w14:val="tx1"/>
                  </w14:solidFill>
                </w14:textFill>
              </w:rPr>
              <w:t>的产生量为</w:t>
            </w:r>
            <w:r>
              <w:rPr>
                <w:rFonts w:hint="eastAsia"/>
                <w:color w:val="000000" w:themeColor="text1"/>
                <w:sz w:val="24"/>
                <w:szCs w:val="32"/>
                <w:lang w:val="en-US" w:eastAsia="zh-CN"/>
                <w14:textFill>
                  <w14:solidFill>
                    <w14:schemeClr w14:val="tx1"/>
                  </w14:solidFill>
                </w14:textFill>
              </w:rPr>
              <w:t>0.4</w:t>
            </w:r>
            <w:r>
              <w:rPr>
                <w:color w:val="000000" w:themeColor="text1"/>
                <w:sz w:val="24"/>
                <w:szCs w:val="32"/>
                <w14:textFill>
                  <w14:solidFill>
                    <w14:schemeClr w14:val="tx1"/>
                  </w14:solidFill>
                </w14:textFill>
              </w:rPr>
              <w:t>t/a</w:t>
            </w:r>
            <w:r>
              <w:rPr>
                <w:rFonts w:hint="eastAsia"/>
                <w:color w:val="000000" w:themeColor="text1"/>
                <w:sz w:val="24"/>
                <w:szCs w:val="32"/>
                <w:lang w:eastAsia="zh-CN"/>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废挂钩</w:t>
            </w:r>
            <w:r>
              <w:rPr>
                <w:color w:val="000000" w:themeColor="text1"/>
                <w:sz w:val="24"/>
                <w:szCs w:val="32"/>
                <w14:textFill>
                  <w14:solidFill>
                    <w14:schemeClr w14:val="tx1"/>
                  </w14:solidFill>
                </w14:textFill>
              </w:rPr>
              <w:t>的产生量为</w:t>
            </w:r>
            <w:r>
              <w:rPr>
                <w:rFonts w:hint="eastAsia"/>
                <w:color w:val="000000" w:themeColor="text1"/>
                <w:sz w:val="24"/>
                <w:szCs w:val="32"/>
                <w:lang w:val="en-US" w:eastAsia="zh-CN"/>
                <w14:textFill>
                  <w14:solidFill>
                    <w14:schemeClr w14:val="tx1"/>
                  </w14:solidFill>
                </w14:textFill>
              </w:rPr>
              <w:t>0.1</w:t>
            </w:r>
            <w:r>
              <w:rPr>
                <w:color w:val="000000" w:themeColor="text1"/>
                <w:sz w:val="24"/>
                <w:szCs w:val="32"/>
                <w14:textFill>
                  <w14:solidFill>
                    <w14:schemeClr w14:val="tx1"/>
                  </w14:solidFill>
                </w14:textFill>
              </w:rPr>
              <w:t>t/a</w:t>
            </w:r>
            <w:r>
              <w:rPr>
                <w:rFonts w:hint="eastAsia"/>
                <w:color w:val="000000" w:themeColor="text1"/>
                <w:sz w:val="24"/>
                <w:szCs w:val="32"/>
                <w:lang w:eastAsia="zh-CN"/>
                <w14:textFill>
                  <w14:solidFill>
                    <w14:schemeClr w14:val="tx1"/>
                  </w14:solidFill>
                </w14:textFill>
              </w:rPr>
              <w:t>，</w:t>
            </w:r>
            <w:r>
              <w:rPr>
                <w:color w:val="000000" w:themeColor="text1"/>
                <w:sz w:val="24"/>
                <w:szCs w:val="32"/>
                <w14:textFill>
                  <w14:solidFill>
                    <w14:schemeClr w14:val="tx1"/>
                  </w14:solidFill>
                </w14:textFill>
              </w:rPr>
              <w:t>一般固废暂存</w:t>
            </w:r>
            <w:r>
              <w:rPr>
                <w:rFonts w:hint="eastAsia"/>
                <w:color w:val="000000" w:themeColor="text1"/>
                <w:sz w:val="24"/>
                <w:szCs w:val="32"/>
                <w:lang w:val="en-US" w:eastAsia="zh-CN"/>
                <w14:textFill>
                  <w14:solidFill>
                    <w14:schemeClr w14:val="tx1"/>
                  </w14:solidFill>
                </w14:textFill>
              </w:rPr>
              <w:t>间</w:t>
            </w:r>
            <w:r>
              <w:rPr>
                <w:color w:val="000000" w:themeColor="text1"/>
                <w:sz w:val="24"/>
                <w:szCs w:val="32"/>
                <w14:textFill>
                  <w14:solidFill>
                    <w14:schemeClr w14:val="tx1"/>
                  </w14:solidFill>
                </w14:textFill>
              </w:rPr>
              <w:t>暂存，定期外售；</w:t>
            </w:r>
            <w:r>
              <w:rPr>
                <w:rFonts w:hint="eastAsia"/>
                <w:color w:val="000000" w:themeColor="text1"/>
                <w:sz w:val="24"/>
                <w:szCs w:val="32"/>
                <w:lang w:val="en-US" w:eastAsia="zh-CN"/>
                <w14:textFill>
                  <w14:solidFill>
                    <w14:schemeClr w14:val="tx1"/>
                  </w14:solidFill>
                </w14:textFill>
              </w:rPr>
              <w:t>废滤芯</w:t>
            </w:r>
            <w:r>
              <w:rPr>
                <w:color w:val="000000" w:themeColor="text1"/>
                <w:sz w:val="24"/>
                <w:szCs w:val="32"/>
                <w14:textFill>
                  <w14:solidFill>
                    <w14:schemeClr w14:val="tx1"/>
                  </w14:solidFill>
                </w14:textFill>
              </w:rPr>
              <w:t>的产生量为</w:t>
            </w:r>
            <w:r>
              <w:rPr>
                <w:rFonts w:hint="eastAsia"/>
                <w:color w:val="000000" w:themeColor="text1"/>
                <w:sz w:val="24"/>
                <w:szCs w:val="32"/>
                <w:lang w:val="en-US" w:eastAsia="zh-CN"/>
                <w14:textFill>
                  <w14:solidFill>
                    <w14:schemeClr w14:val="tx1"/>
                  </w14:solidFill>
                </w14:textFill>
              </w:rPr>
              <w:t>36个</w:t>
            </w:r>
            <w:r>
              <w:rPr>
                <w:color w:val="000000" w:themeColor="text1"/>
                <w:sz w:val="24"/>
                <w:szCs w:val="32"/>
                <w14:textFill>
                  <w14:solidFill>
                    <w14:schemeClr w14:val="tx1"/>
                  </w14:solidFill>
                </w14:textFill>
              </w:rPr>
              <w:t>/a</w:t>
            </w:r>
            <w:r>
              <w:rPr>
                <w:rFonts w:hint="eastAsia"/>
                <w:color w:val="000000" w:themeColor="text1"/>
                <w:sz w:val="24"/>
                <w:szCs w:val="32"/>
                <w:lang w:eastAsia="zh-CN"/>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厂家回收；除尘器收集的塑粉</w:t>
            </w:r>
            <w:r>
              <w:rPr>
                <w:color w:val="000000" w:themeColor="text1"/>
                <w:sz w:val="24"/>
                <w:szCs w:val="32"/>
                <w14:textFill>
                  <w14:solidFill>
                    <w14:schemeClr w14:val="tx1"/>
                  </w14:solidFill>
                </w14:textFill>
              </w:rPr>
              <w:t>的产生量为</w:t>
            </w:r>
            <w:r>
              <w:rPr>
                <w:rFonts w:hint="eastAsia"/>
                <w:color w:val="000000" w:themeColor="text1"/>
                <w:sz w:val="24"/>
                <w:szCs w:val="32"/>
                <w:lang w:val="en-US" w:eastAsia="zh-CN"/>
                <w14:textFill>
                  <w14:solidFill>
                    <w14:schemeClr w14:val="tx1"/>
                  </w14:solidFill>
                </w14:textFill>
              </w:rPr>
              <w:t>7.13</w:t>
            </w:r>
            <w:r>
              <w:rPr>
                <w:color w:val="000000" w:themeColor="text1"/>
                <w:sz w:val="24"/>
                <w:szCs w:val="32"/>
                <w14:textFill>
                  <w14:solidFill>
                    <w14:schemeClr w14:val="tx1"/>
                  </w14:solidFill>
                </w14:textFill>
              </w:rPr>
              <w:t>t/a</w:t>
            </w:r>
            <w:r>
              <w:rPr>
                <w:rFonts w:hint="eastAsia"/>
                <w:color w:val="000000" w:themeColor="text1"/>
                <w:sz w:val="24"/>
                <w:szCs w:val="32"/>
                <w:lang w:eastAsia="zh-CN"/>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回用于生产。</w:t>
            </w:r>
          </w:p>
          <w:p>
            <w:pPr>
              <w:jc w:val="center"/>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表4-</w:t>
            </w:r>
            <w:r>
              <w:rPr>
                <w:rFonts w:hint="eastAsia"/>
                <w:color w:val="000000" w:themeColor="text1"/>
                <w:sz w:val="24"/>
                <w:szCs w:val="32"/>
                <w:lang w:val="en-US" w:eastAsia="zh-CN"/>
                <w14:textFill>
                  <w14:solidFill>
                    <w14:schemeClr w14:val="tx1"/>
                  </w14:solidFill>
                </w14:textFill>
              </w:rPr>
              <w:t>9</w:t>
            </w:r>
            <w:r>
              <w:rPr>
                <w:color w:val="000000" w:themeColor="text1"/>
                <w:sz w:val="24"/>
                <w:szCs w:val="32"/>
                <w14:textFill>
                  <w14:solidFill>
                    <w14:schemeClr w14:val="tx1"/>
                  </w14:solidFill>
                </w14:textFill>
              </w:rPr>
              <w:t xml:space="preserve">  本项目</w:t>
            </w:r>
            <w:r>
              <w:rPr>
                <w:rFonts w:hint="eastAsia"/>
                <w:color w:val="000000" w:themeColor="text1"/>
                <w:sz w:val="24"/>
                <w:szCs w:val="32"/>
                <w14:textFill>
                  <w14:solidFill>
                    <w14:schemeClr w14:val="tx1"/>
                  </w14:solidFill>
                </w14:textFill>
              </w:rPr>
              <w:t>固体</w:t>
            </w:r>
            <w:r>
              <w:rPr>
                <w:color w:val="000000" w:themeColor="text1"/>
                <w:sz w:val="24"/>
                <w:szCs w:val="32"/>
                <w14:textFill>
                  <w14:solidFill>
                    <w14:schemeClr w14:val="tx1"/>
                  </w14:solidFill>
                </w14:textFill>
              </w:rPr>
              <w:t>废物汇总表</w:t>
            </w:r>
          </w:p>
          <w:tbl>
            <w:tblPr>
              <w:tblStyle w:val="27"/>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721"/>
              <w:gridCol w:w="695"/>
              <w:gridCol w:w="1332"/>
              <w:gridCol w:w="895"/>
              <w:gridCol w:w="129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8"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产生环节</w:t>
                  </w:r>
                </w:p>
              </w:tc>
              <w:tc>
                <w:tcPr>
                  <w:tcW w:w="1059"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名称</w:t>
                  </w:r>
                </w:p>
              </w:tc>
              <w:tc>
                <w:tcPr>
                  <w:tcW w:w="428"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属性</w:t>
                  </w:r>
                </w:p>
              </w:tc>
              <w:tc>
                <w:tcPr>
                  <w:tcW w:w="820"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类别代码</w:t>
                  </w:r>
                </w:p>
              </w:tc>
              <w:tc>
                <w:tcPr>
                  <w:tcW w:w="551"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年产量t/a</w:t>
                  </w:r>
                </w:p>
              </w:tc>
              <w:tc>
                <w:tcPr>
                  <w:tcW w:w="796"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贮存方式</w:t>
                  </w:r>
                </w:p>
              </w:tc>
              <w:tc>
                <w:tcPr>
                  <w:tcW w:w="684"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58"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机加工</w:t>
                  </w:r>
                </w:p>
              </w:tc>
              <w:tc>
                <w:tcPr>
                  <w:tcW w:w="1059"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废边角料</w:t>
                  </w:r>
                </w:p>
              </w:tc>
              <w:tc>
                <w:tcPr>
                  <w:tcW w:w="428" w:type="pct"/>
                  <w:vMerge w:val="restar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一般工业固体废物</w:t>
                  </w:r>
                </w:p>
              </w:tc>
              <w:tc>
                <w:tcPr>
                  <w:tcW w:w="820"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900-999-99</w:t>
                  </w:r>
                </w:p>
              </w:tc>
              <w:tc>
                <w:tcPr>
                  <w:tcW w:w="551"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16</w:t>
                  </w:r>
                </w:p>
              </w:tc>
              <w:tc>
                <w:tcPr>
                  <w:tcW w:w="796" w:type="pct"/>
                  <w:vMerge w:val="restar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一般固废暂存</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间</w:t>
                  </w:r>
                  <w:r>
                    <w:rPr>
                      <w:rFonts w:hint="default" w:ascii="Times New Roman" w:hAnsi="Times New Roman" w:cs="Times New Roman"/>
                      <w:b w:val="0"/>
                      <w:bCs w:val="0"/>
                      <w:color w:val="000000" w:themeColor="text1"/>
                      <w:sz w:val="21"/>
                      <w:szCs w:val="21"/>
                      <w14:textFill>
                        <w14:solidFill>
                          <w14:schemeClr w14:val="tx1"/>
                        </w14:solidFill>
                      </w14:textFill>
                    </w:rPr>
                    <w:t>（</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w:t>
                  </w:r>
                  <w:r>
                    <w:rPr>
                      <w:rFonts w:hint="default" w:ascii="Times New Roman" w:hAnsi="Times New Roman" w:cs="Times New Roman"/>
                      <w:b w:val="0"/>
                      <w:bCs w:val="0"/>
                      <w:color w:val="000000" w:themeColor="text1"/>
                      <w:sz w:val="21"/>
                      <w:szCs w:val="21"/>
                      <w14:textFill>
                        <w14:solidFill>
                          <w14:schemeClr w14:val="tx1"/>
                        </w14:solidFill>
                      </w14:textFill>
                    </w:rPr>
                    <w:t>0m</w:t>
                  </w:r>
                  <w:r>
                    <w:rPr>
                      <w:rFonts w:hint="default" w:ascii="Times New Roman" w:hAnsi="Times New Roman" w:cs="Times New Roman"/>
                      <w:b w:val="0"/>
                      <w:bCs w:val="0"/>
                      <w:color w:val="000000" w:themeColor="text1"/>
                      <w:sz w:val="21"/>
                      <w:szCs w:val="21"/>
                      <w:vertAlign w:val="superscript"/>
                      <w14:textFill>
                        <w14:solidFill>
                          <w14:schemeClr w14:val="tx1"/>
                        </w14:solidFill>
                      </w14:textFill>
                    </w:rPr>
                    <w:t>2</w:t>
                  </w:r>
                  <w:r>
                    <w:rPr>
                      <w:rFonts w:hint="default" w:ascii="Times New Roman" w:hAnsi="Times New Roman" w:cs="Times New Roman"/>
                      <w:b w:val="0"/>
                      <w:bCs w:val="0"/>
                      <w:color w:val="000000" w:themeColor="text1"/>
                      <w:sz w:val="21"/>
                      <w:szCs w:val="21"/>
                      <w14:textFill>
                        <w14:solidFill>
                          <w14:schemeClr w14:val="tx1"/>
                        </w14:solidFill>
                      </w14:textFill>
                    </w:rPr>
                    <w:t>）暂存</w:t>
                  </w:r>
                </w:p>
              </w:tc>
              <w:tc>
                <w:tcPr>
                  <w:tcW w:w="684" w:type="pct"/>
                  <w:vMerge w:val="restar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定期外售</w:t>
                  </w:r>
                  <w:r>
                    <w:rPr>
                      <w:rFonts w:hint="default" w:ascii="Times New Roman" w:hAnsi="Times New Roman" w:cs="Times New Roman"/>
                      <w:b w:val="0"/>
                      <w:bCs w:val="0"/>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喷塑</w:t>
                  </w:r>
                </w:p>
              </w:tc>
              <w:tc>
                <w:tcPr>
                  <w:tcW w:w="1059"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废纸箱</w:t>
                  </w:r>
                </w:p>
              </w:tc>
              <w:tc>
                <w:tcPr>
                  <w:tcW w:w="428" w:type="pct"/>
                  <w:vMerge w:val="continue"/>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p>
              </w:tc>
              <w:tc>
                <w:tcPr>
                  <w:tcW w:w="820"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900-999-99</w:t>
                  </w:r>
                </w:p>
              </w:tc>
              <w:tc>
                <w:tcPr>
                  <w:tcW w:w="551"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0.4</w:t>
                  </w:r>
                </w:p>
              </w:tc>
              <w:tc>
                <w:tcPr>
                  <w:tcW w:w="796" w:type="pct"/>
                  <w:vMerge w:val="continue"/>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p>
              </w:tc>
              <w:tc>
                <w:tcPr>
                  <w:tcW w:w="684" w:type="pct"/>
                  <w:vMerge w:val="continue"/>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喷塑</w:t>
                  </w:r>
                </w:p>
              </w:tc>
              <w:tc>
                <w:tcPr>
                  <w:tcW w:w="1059"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废挂钩</w:t>
                  </w:r>
                </w:p>
              </w:tc>
              <w:tc>
                <w:tcPr>
                  <w:tcW w:w="428" w:type="pct"/>
                  <w:vMerge w:val="continue"/>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p>
              </w:tc>
              <w:tc>
                <w:tcPr>
                  <w:tcW w:w="820"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900-999-99</w:t>
                  </w:r>
                </w:p>
              </w:tc>
              <w:tc>
                <w:tcPr>
                  <w:tcW w:w="551"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0.1</w:t>
                  </w:r>
                </w:p>
              </w:tc>
              <w:tc>
                <w:tcPr>
                  <w:tcW w:w="796" w:type="pct"/>
                  <w:vMerge w:val="continue"/>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p>
              </w:tc>
              <w:tc>
                <w:tcPr>
                  <w:tcW w:w="684" w:type="pct"/>
                  <w:vMerge w:val="continue"/>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喷塑</w:t>
                  </w:r>
                </w:p>
              </w:tc>
              <w:tc>
                <w:tcPr>
                  <w:tcW w:w="1059"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废滤芯</w:t>
                  </w:r>
                </w:p>
              </w:tc>
              <w:tc>
                <w:tcPr>
                  <w:tcW w:w="428" w:type="pct"/>
                  <w:vMerge w:val="continue"/>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p>
              </w:tc>
              <w:tc>
                <w:tcPr>
                  <w:tcW w:w="820"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900-999-99</w:t>
                  </w:r>
                </w:p>
              </w:tc>
              <w:tc>
                <w:tcPr>
                  <w:tcW w:w="551"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36个</w:t>
                  </w:r>
                </w:p>
              </w:tc>
              <w:tc>
                <w:tcPr>
                  <w:tcW w:w="796"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厂家回收</w:t>
                  </w:r>
                </w:p>
              </w:tc>
              <w:tc>
                <w:tcPr>
                  <w:tcW w:w="684"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olor w:val="000000" w:themeColor="text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喷塑</w:t>
                  </w:r>
                </w:p>
              </w:tc>
              <w:tc>
                <w:tcPr>
                  <w:tcW w:w="1059"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除尘器收集塑粉</w:t>
                  </w:r>
                </w:p>
              </w:tc>
              <w:tc>
                <w:tcPr>
                  <w:tcW w:w="428" w:type="pct"/>
                  <w:vMerge w:val="continue"/>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p>
              </w:tc>
              <w:tc>
                <w:tcPr>
                  <w:tcW w:w="820"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900-999-99</w:t>
                  </w:r>
                </w:p>
              </w:tc>
              <w:tc>
                <w:tcPr>
                  <w:tcW w:w="551"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7.13</w:t>
                  </w:r>
                </w:p>
              </w:tc>
              <w:tc>
                <w:tcPr>
                  <w:tcW w:w="796"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袋装</w:t>
                  </w:r>
                </w:p>
              </w:tc>
              <w:tc>
                <w:tcPr>
                  <w:tcW w:w="684"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员工生活</w:t>
                  </w:r>
                </w:p>
              </w:tc>
              <w:tc>
                <w:tcPr>
                  <w:tcW w:w="1059"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生活垃圾</w:t>
                  </w:r>
                </w:p>
              </w:tc>
              <w:tc>
                <w:tcPr>
                  <w:tcW w:w="428" w:type="pct"/>
                  <w:vMerge w:val="continue"/>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p>
              </w:tc>
              <w:tc>
                <w:tcPr>
                  <w:tcW w:w="820"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900-999-99</w:t>
                  </w:r>
                </w:p>
              </w:tc>
              <w:tc>
                <w:tcPr>
                  <w:tcW w:w="551"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3</w:t>
                  </w:r>
                </w:p>
              </w:tc>
              <w:tc>
                <w:tcPr>
                  <w:tcW w:w="796"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设置垃圾桶</w:t>
                  </w:r>
                </w:p>
              </w:tc>
              <w:tc>
                <w:tcPr>
                  <w:tcW w:w="684" w:type="pct"/>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环卫部门统一清运</w:t>
                  </w:r>
                </w:p>
              </w:tc>
            </w:tr>
          </w:tbl>
          <w:p>
            <w:pPr>
              <w:spacing w:line="360" w:lineRule="auto"/>
              <w:rPr>
                <w:color w:val="000000" w:themeColor="text1"/>
                <w:sz w:val="24"/>
                <w:szCs w:val="32"/>
                <w14:textFill>
                  <w14:solidFill>
                    <w14:schemeClr w14:val="tx1"/>
                  </w14:solidFill>
                </w14:textFill>
              </w:rPr>
            </w:pPr>
            <w:r>
              <w:rPr>
                <w:b/>
                <w:bCs/>
                <w:color w:val="000000" w:themeColor="text1"/>
                <w:sz w:val="24"/>
                <w:szCs w:val="32"/>
                <w14:textFill>
                  <w14:solidFill>
                    <w14:schemeClr w14:val="tx1"/>
                  </w14:solidFill>
                </w14:textFill>
              </w:rPr>
              <w:t>4.2 危险</w:t>
            </w:r>
            <w:r>
              <w:rPr>
                <w:rFonts w:hint="eastAsia"/>
                <w:b/>
                <w:bCs/>
                <w:color w:val="000000" w:themeColor="text1"/>
                <w:sz w:val="24"/>
                <w:szCs w:val="32"/>
                <w14:textFill>
                  <w14:solidFill>
                    <w14:schemeClr w14:val="tx1"/>
                  </w14:solidFill>
                </w14:textFill>
              </w:rPr>
              <w:t>废物</w:t>
            </w:r>
          </w:p>
          <w:p>
            <w:pPr>
              <w:spacing w:line="360" w:lineRule="auto"/>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（1）</w:t>
            </w:r>
            <w:r>
              <w:rPr>
                <w:rFonts w:hint="eastAsia"/>
                <w:color w:val="000000" w:themeColor="text1"/>
                <w:sz w:val="24"/>
                <w:szCs w:val="32"/>
                <w14:textFill>
                  <w14:solidFill>
                    <w14:schemeClr w14:val="tx1"/>
                  </w14:solidFill>
                </w14:textFill>
              </w:rPr>
              <w:t>废</w:t>
            </w:r>
            <w:r>
              <w:rPr>
                <w:rFonts w:hint="eastAsia"/>
                <w:color w:val="000000" w:themeColor="text1"/>
                <w:sz w:val="24"/>
                <w:szCs w:val="32"/>
                <w:lang w:val="en-US" w:eastAsia="zh-CN"/>
                <w14:textFill>
                  <w14:solidFill>
                    <w14:schemeClr w14:val="tx1"/>
                  </w14:solidFill>
                </w14:textFill>
              </w:rPr>
              <w:t>机</w:t>
            </w:r>
            <w:r>
              <w:rPr>
                <w:rFonts w:hint="eastAsia"/>
                <w:color w:val="000000" w:themeColor="text1"/>
                <w:sz w:val="24"/>
                <w:szCs w:val="32"/>
                <w14:textFill>
                  <w14:solidFill>
                    <w14:schemeClr w14:val="tx1"/>
                  </w14:solidFill>
                </w14:textFill>
              </w:rPr>
              <w:t>油</w:t>
            </w:r>
          </w:p>
          <w:p>
            <w:pPr>
              <w:spacing w:line="360" w:lineRule="auto"/>
              <w:ind w:firstLine="480" w:firstLineChars="200"/>
              <w:rPr>
                <w:sz w:val="24"/>
                <w:szCs w:val="32"/>
              </w:rPr>
            </w:pPr>
            <w:r>
              <w:rPr>
                <w:color w:val="000000"/>
                <w:kern w:val="0"/>
                <w:sz w:val="24"/>
                <w:szCs w:val="24"/>
              </w:rPr>
              <w:t>生产设备在维护、维修过程中</w:t>
            </w:r>
            <w:r>
              <w:rPr>
                <w:rFonts w:hint="eastAsia"/>
                <w:color w:val="000000"/>
                <w:kern w:val="0"/>
                <w:sz w:val="24"/>
                <w:szCs w:val="24"/>
              </w:rPr>
              <w:t>会产生少量废</w:t>
            </w:r>
            <w:r>
              <w:rPr>
                <w:rFonts w:hint="eastAsia"/>
                <w:color w:val="000000"/>
                <w:kern w:val="0"/>
                <w:sz w:val="24"/>
                <w:szCs w:val="24"/>
                <w:lang w:val="en-US" w:eastAsia="zh-CN"/>
              </w:rPr>
              <w:t>机</w:t>
            </w:r>
            <w:r>
              <w:rPr>
                <w:rFonts w:hint="eastAsia"/>
                <w:color w:val="000000"/>
                <w:kern w:val="0"/>
                <w:sz w:val="24"/>
                <w:szCs w:val="24"/>
              </w:rPr>
              <w:t>油，</w:t>
            </w:r>
            <w:r>
              <w:rPr>
                <w:sz w:val="24"/>
                <w:szCs w:val="32"/>
              </w:rPr>
              <w:t>废</w:t>
            </w:r>
            <w:r>
              <w:rPr>
                <w:rFonts w:hint="eastAsia"/>
                <w:color w:val="000000"/>
                <w:kern w:val="0"/>
                <w:sz w:val="24"/>
                <w:szCs w:val="24"/>
                <w:lang w:val="en-US" w:eastAsia="zh-CN"/>
              </w:rPr>
              <w:t>机</w:t>
            </w:r>
            <w:r>
              <w:rPr>
                <w:rFonts w:hint="eastAsia"/>
                <w:sz w:val="24"/>
                <w:szCs w:val="32"/>
              </w:rPr>
              <w:t>油</w:t>
            </w:r>
            <w:r>
              <w:rPr>
                <w:sz w:val="24"/>
                <w:szCs w:val="32"/>
              </w:rPr>
              <w:t>产生量为0.</w:t>
            </w:r>
            <w:r>
              <w:rPr>
                <w:rFonts w:hint="eastAsia"/>
                <w:sz w:val="24"/>
                <w:szCs w:val="32"/>
                <w:lang w:val="en-US" w:eastAsia="zh-CN"/>
              </w:rPr>
              <w:t>1</w:t>
            </w:r>
            <w:r>
              <w:rPr>
                <w:sz w:val="24"/>
                <w:szCs w:val="32"/>
              </w:rPr>
              <w:t>t/a。经查阅《国家危险废物名录》（2021年版），废</w:t>
            </w:r>
            <w:r>
              <w:rPr>
                <w:rFonts w:hint="eastAsia"/>
                <w:color w:val="000000"/>
                <w:kern w:val="0"/>
                <w:sz w:val="24"/>
                <w:szCs w:val="24"/>
                <w:lang w:val="en-US" w:eastAsia="zh-CN"/>
              </w:rPr>
              <w:t>机</w:t>
            </w:r>
            <w:r>
              <w:rPr>
                <w:rFonts w:hint="eastAsia"/>
                <w:sz w:val="24"/>
                <w:szCs w:val="32"/>
              </w:rPr>
              <w:t>油</w:t>
            </w:r>
            <w:r>
              <w:rPr>
                <w:sz w:val="24"/>
                <w:szCs w:val="32"/>
              </w:rPr>
              <w:t>属于危险废物，类别为</w:t>
            </w:r>
            <w:r>
              <w:rPr>
                <w:rFonts w:hint="eastAsia"/>
                <w:sz w:val="24"/>
                <w:szCs w:val="32"/>
              </w:rPr>
              <w:t>“</w:t>
            </w:r>
            <w:r>
              <w:rPr>
                <w:sz w:val="24"/>
                <w:szCs w:val="32"/>
              </w:rPr>
              <w:t>HW08废矿物油与含矿物油废物</w:t>
            </w:r>
            <w:r>
              <w:rPr>
                <w:rFonts w:hint="eastAsia"/>
                <w:sz w:val="24"/>
                <w:szCs w:val="32"/>
              </w:rPr>
              <w:t>”</w:t>
            </w:r>
            <w:r>
              <w:rPr>
                <w:sz w:val="24"/>
                <w:szCs w:val="32"/>
              </w:rPr>
              <w:t>，废物代码为</w:t>
            </w:r>
            <w:r>
              <w:rPr>
                <w:rFonts w:hint="eastAsia"/>
                <w:b w:val="0"/>
                <w:bCs w:val="0"/>
                <w:sz w:val="24"/>
                <w:szCs w:val="32"/>
                <w:highlight w:val="none"/>
                <w:u w:val="none"/>
              </w:rPr>
              <w:t>“</w:t>
            </w:r>
            <w:r>
              <w:rPr>
                <w:b w:val="0"/>
                <w:bCs w:val="0"/>
                <w:sz w:val="24"/>
                <w:szCs w:val="32"/>
                <w:highlight w:val="none"/>
                <w:u w:val="none"/>
              </w:rPr>
              <w:t>900-</w:t>
            </w:r>
            <w:r>
              <w:rPr>
                <w:rFonts w:hint="eastAsia"/>
                <w:b w:val="0"/>
                <w:bCs w:val="0"/>
                <w:color w:val="000000"/>
                <w:sz w:val="24"/>
                <w:szCs w:val="24"/>
                <w:highlight w:val="none"/>
                <w:u w:val="none"/>
              </w:rPr>
              <w:t>249</w:t>
            </w:r>
            <w:r>
              <w:rPr>
                <w:b w:val="0"/>
                <w:bCs w:val="0"/>
                <w:sz w:val="24"/>
                <w:szCs w:val="32"/>
                <w:highlight w:val="none"/>
                <w:u w:val="none"/>
              </w:rPr>
              <w:t>-08</w:t>
            </w:r>
            <w:r>
              <w:rPr>
                <w:rFonts w:hint="eastAsia"/>
                <w:b w:val="0"/>
                <w:bCs w:val="0"/>
                <w:sz w:val="24"/>
                <w:szCs w:val="32"/>
                <w:highlight w:val="none"/>
                <w:u w:val="none"/>
              </w:rPr>
              <w:t>”</w:t>
            </w:r>
            <w:r>
              <w:rPr>
                <w:sz w:val="24"/>
                <w:szCs w:val="32"/>
              </w:rPr>
              <w:t>。废油存入危废暂存间，定期交有资质的危废处理单位处理。</w:t>
            </w:r>
          </w:p>
          <w:p>
            <w:pPr>
              <w:spacing w:line="360" w:lineRule="auto"/>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2</w:t>
            </w:r>
            <w:r>
              <w:rPr>
                <w:color w:val="000000" w:themeColor="text1"/>
                <w:sz w:val="24"/>
                <w:szCs w:val="32"/>
                <w14:textFill>
                  <w14:solidFill>
                    <w14:schemeClr w14:val="tx1"/>
                  </w14:solidFill>
                </w14:textFill>
              </w:rPr>
              <w:t>）</w:t>
            </w:r>
            <w:r>
              <w:rPr>
                <w:rFonts w:hint="eastAsia"/>
                <w:color w:val="000000" w:themeColor="text1"/>
                <w:sz w:val="24"/>
                <w:szCs w:val="32"/>
                <w14:textFill>
                  <w14:solidFill>
                    <w14:schemeClr w14:val="tx1"/>
                  </w14:solidFill>
                </w14:textFill>
              </w:rPr>
              <w:t>废</w:t>
            </w:r>
            <w:r>
              <w:rPr>
                <w:rFonts w:hint="eastAsia"/>
                <w:color w:val="000000" w:themeColor="text1"/>
                <w:sz w:val="24"/>
                <w:szCs w:val="32"/>
                <w:lang w:val="en-US" w:eastAsia="zh-CN"/>
                <w14:textFill>
                  <w14:solidFill>
                    <w14:schemeClr w14:val="tx1"/>
                  </w14:solidFill>
                </w14:textFill>
              </w:rPr>
              <w:t>液压</w:t>
            </w:r>
            <w:r>
              <w:rPr>
                <w:rFonts w:hint="eastAsia"/>
                <w:color w:val="000000" w:themeColor="text1"/>
                <w:sz w:val="24"/>
                <w:szCs w:val="32"/>
                <w14:textFill>
                  <w14:solidFill>
                    <w14:schemeClr w14:val="tx1"/>
                  </w14:solidFill>
                </w14:textFill>
              </w:rPr>
              <w:t>油</w:t>
            </w:r>
          </w:p>
          <w:p>
            <w:pPr>
              <w:spacing w:line="360" w:lineRule="auto"/>
              <w:ind w:firstLine="480" w:firstLineChars="200"/>
              <w:rPr>
                <w:sz w:val="24"/>
                <w:szCs w:val="32"/>
              </w:rPr>
            </w:pPr>
            <w:r>
              <w:rPr>
                <w:rFonts w:hint="eastAsia"/>
                <w:color w:val="000000"/>
                <w:kern w:val="0"/>
                <w:sz w:val="24"/>
                <w:szCs w:val="24"/>
                <w:lang w:val="en-US" w:eastAsia="zh-CN"/>
              </w:rPr>
              <w:t>项目液压设备会产生废液压油</w:t>
            </w:r>
            <w:r>
              <w:rPr>
                <w:rFonts w:hint="eastAsia"/>
                <w:color w:val="000000"/>
                <w:kern w:val="0"/>
                <w:sz w:val="24"/>
                <w:szCs w:val="24"/>
              </w:rPr>
              <w:t>，</w:t>
            </w:r>
            <w:r>
              <w:rPr>
                <w:sz w:val="24"/>
                <w:szCs w:val="32"/>
              </w:rPr>
              <w:t>废</w:t>
            </w:r>
            <w:r>
              <w:rPr>
                <w:rFonts w:hint="eastAsia"/>
                <w:sz w:val="24"/>
                <w:szCs w:val="32"/>
                <w:lang w:val="en-US" w:eastAsia="zh-CN"/>
              </w:rPr>
              <w:t>液压</w:t>
            </w:r>
            <w:r>
              <w:rPr>
                <w:rFonts w:hint="eastAsia"/>
                <w:sz w:val="24"/>
                <w:szCs w:val="32"/>
              </w:rPr>
              <w:t>油</w:t>
            </w:r>
            <w:r>
              <w:rPr>
                <w:rFonts w:hint="eastAsia"/>
                <w:sz w:val="24"/>
                <w:szCs w:val="32"/>
                <w:lang w:val="en-US" w:eastAsia="zh-CN"/>
              </w:rPr>
              <w:t>的</w:t>
            </w:r>
            <w:r>
              <w:rPr>
                <w:sz w:val="24"/>
                <w:szCs w:val="32"/>
              </w:rPr>
              <w:t>产生量为0.</w:t>
            </w:r>
            <w:r>
              <w:rPr>
                <w:rFonts w:hint="eastAsia"/>
                <w:sz w:val="24"/>
                <w:szCs w:val="32"/>
                <w:lang w:val="en-US" w:eastAsia="zh-CN"/>
              </w:rPr>
              <w:t>1</w:t>
            </w:r>
            <w:r>
              <w:rPr>
                <w:sz w:val="24"/>
                <w:szCs w:val="32"/>
              </w:rPr>
              <w:t>t/a。经查阅《国家危险废物名录》（2021年版），废</w:t>
            </w:r>
            <w:r>
              <w:rPr>
                <w:rFonts w:hint="eastAsia"/>
                <w:sz w:val="24"/>
                <w:szCs w:val="32"/>
                <w:lang w:val="en-US" w:eastAsia="zh-CN"/>
              </w:rPr>
              <w:t>液压</w:t>
            </w:r>
            <w:r>
              <w:rPr>
                <w:rFonts w:hint="eastAsia"/>
                <w:sz w:val="24"/>
                <w:szCs w:val="32"/>
              </w:rPr>
              <w:t>油</w:t>
            </w:r>
            <w:r>
              <w:rPr>
                <w:sz w:val="24"/>
                <w:szCs w:val="32"/>
              </w:rPr>
              <w:t>属于危险废物，类别为</w:t>
            </w:r>
            <w:r>
              <w:rPr>
                <w:rFonts w:hint="eastAsia"/>
                <w:sz w:val="24"/>
                <w:szCs w:val="32"/>
              </w:rPr>
              <w:t>“</w:t>
            </w:r>
            <w:r>
              <w:rPr>
                <w:sz w:val="24"/>
                <w:szCs w:val="32"/>
              </w:rPr>
              <w:t>HW08废矿物油与含矿物油废物</w:t>
            </w:r>
            <w:r>
              <w:rPr>
                <w:rFonts w:hint="eastAsia"/>
                <w:sz w:val="24"/>
                <w:szCs w:val="32"/>
              </w:rPr>
              <w:t>”</w:t>
            </w:r>
            <w:r>
              <w:rPr>
                <w:sz w:val="24"/>
                <w:szCs w:val="32"/>
              </w:rPr>
              <w:t>，废物代码为</w:t>
            </w:r>
            <w:r>
              <w:rPr>
                <w:rFonts w:hint="eastAsia"/>
                <w:sz w:val="24"/>
                <w:szCs w:val="32"/>
              </w:rPr>
              <w:t>“</w:t>
            </w:r>
            <w:r>
              <w:rPr>
                <w:sz w:val="24"/>
                <w:szCs w:val="32"/>
              </w:rPr>
              <w:t>900-2</w:t>
            </w:r>
            <w:r>
              <w:rPr>
                <w:rFonts w:hint="eastAsia"/>
                <w:sz w:val="24"/>
                <w:szCs w:val="32"/>
                <w:lang w:val="en-US" w:eastAsia="zh-CN"/>
              </w:rPr>
              <w:t>18</w:t>
            </w:r>
            <w:r>
              <w:rPr>
                <w:sz w:val="24"/>
                <w:szCs w:val="32"/>
              </w:rPr>
              <w:t>-08</w:t>
            </w:r>
            <w:r>
              <w:rPr>
                <w:rFonts w:hint="eastAsia"/>
                <w:sz w:val="24"/>
                <w:szCs w:val="32"/>
              </w:rPr>
              <w:t>”</w:t>
            </w:r>
            <w:r>
              <w:rPr>
                <w:sz w:val="24"/>
                <w:szCs w:val="32"/>
              </w:rPr>
              <w:t>。废油存入危废暂存间，定期交有资质的危废处理单位处理。</w:t>
            </w:r>
          </w:p>
          <w:p>
            <w:pPr>
              <w:numPr>
                <w:ilvl w:val="0"/>
                <w:numId w:val="0"/>
              </w:numPr>
              <w:spacing w:line="360" w:lineRule="auto"/>
              <w:ind w:firstLine="480" w:firstLineChars="200"/>
              <w:rPr>
                <w:color w:val="000000" w:themeColor="text1"/>
                <w:sz w:val="24"/>
                <w:szCs w:val="32"/>
                <w14:textFill>
                  <w14:solidFill>
                    <w14:schemeClr w14:val="tx1"/>
                  </w14:solidFill>
                </w14:textFill>
              </w:rPr>
            </w:pPr>
            <w:r>
              <w:rPr>
                <w:rFonts w:hint="eastAsia"/>
                <w:color w:val="000000" w:themeColor="text1"/>
                <w:sz w:val="24"/>
                <w:szCs w:val="32"/>
                <w:lang w:eastAsia="zh-CN"/>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3</w:t>
            </w:r>
            <w:r>
              <w:rPr>
                <w:rFonts w:hint="eastAsia"/>
                <w:color w:val="000000" w:themeColor="text1"/>
                <w:sz w:val="24"/>
                <w:szCs w:val="32"/>
                <w:lang w:eastAsia="zh-CN"/>
                <w14:textFill>
                  <w14:solidFill>
                    <w14:schemeClr w14:val="tx1"/>
                  </w14:solidFill>
                </w14:textFill>
              </w:rPr>
              <w:t>）</w:t>
            </w:r>
            <w:r>
              <w:rPr>
                <w:rFonts w:hint="eastAsia"/>
                <w:color w:val="000000" w:themeColor="text1"/>
                <w:sz w:val="24"/>
                <w:szCs w:val="32"/>
                <w14:textFill>
                  <w14:solidFill>
                    <w14:schemeClr w14:val="tx1"/>
                  </w14:solidFill>
                </w14:textFill>
              </w:rPr>
              <w:t>废</w:t>
            </w:r>
            <w:r>
              <w:rPr>
                <w:rFonts w:hint="eastAsia"/>
                <w:color w:val="000000" w:themeColor="text1"/>
                <w:sz w:val="24"/>
                <w:szCs w:val="32"/>
                <w:lang w:val="en-US" w:eastAsia="zh-CN"/>
                <w14:textFill>
                  <w14:solidFill>
                    <w14:schemeClr w14:val="tx1"/>
                  </w14:solidFill>
                </w14:textFill>
              </w:rPr>
              <w:t>光氧</w:t>
            </w:r>
            <w:r>
              <w:rPr>
                <w:rFonts w:hint="eastAsia"/>
                <w:color w:val="000000" w:themeColor="text1"/>
                <w:sz w:val="24"/>
                <w:szCs w:val="32"/>
                <w14:textFill>
                  <w14:solidFill>
                    <w14:schemeClr w14:val="tx1"/>
                  </w14:solidFill>
                </w14:textFill>
              </w:rPr>
              <w:t>灯管</w:t>
            </w:r>
          </w:p>
          <w:p>
            <w:pPr>
              <w:spacing w:line="360" w:lineRule="auto"/>
              <w:ind w:firstLine="480" w:firstLineChars="200"/>
              <w:rPr>
                <w:color w:val="000000" w:themeColor="text1"/>
                <w:sz w:val="24"/>
                <w:szCs w:val="24"/>
                <w14:textFill>
                  <w14:solidFill>
                    <w14:schemeClr w14:val="tx1"/>
                  </w14:solidFill>
                </w14:textFill>
              </w:rPr>
            </w:pPr>
            <w:r>
              <w:rPr>
                <w:rFonts w:hint="eastAsia"/>
                <w:sz w:val="24"/>
                <w:szCs w:val="24"/>
                <w:lang w:val="en-US" w:eastAsia="zh-CN"/>
              </w:rPr>
              <w:t>项目废气治理设施产生废光氧灯管，</w:t>
            </w:r>
            <w:r>
              <w:rPr>
                <w:sz w:val="24"/>
                <w:szCs w:val="24"/>
              </w:rPr>
              <w:t>废灯管产生量约为</w:t>
            </w:r>
            <w:r>
              <w:rPr>
                <w:rFonts w:hint="eastAsia"/>
                <w:sz w:val="24"/>
                <w:szCs w:val="24"/>
                <w:lang w:val="en-US" w:eastAsia="zh-CN"/>
              </w:rPr>
              <w:t>5</w:t>
            </w:r>
            <w:r>
              <w:rPr>
                <w:sz w:val="24"/>
                <w:szCs w:val="24"/>
              </w:rPr>
              <w:t>根/年。经查阅《国家危险废物名录》（2021年版），废</w:t>
            </w:r>
            <w:r>
              <w:rPr>
                <w:rFonts w:hint="eastAsia"/>
                <w:color w:val="000000" w:themeColor="text1"/>
                <w:sz w:val="24"/>
                <w:szCs w:val="32"/>
                <w:lang w:val="en-US" w:eastAsia="zh-CN"/>
                <w14:textFill>
                  <w14:solidFill>
                    <w14:schemeClr w14:val="tx1"/>
                  </w14:solidFill>
                </w14:textFill>
              </w:rPr>
              <w:t>光氧</w:t>
            </w:r>
            <w:r>
              <w:rPr>
                <w:sz w:val="24"/>
                <w:szCs w:val="24"/>
              </w:rPr>
              <w:t>灯管属于危</w:t>
            </w:r>
            <w:r>
              <w:rPr>
                <w:sz w:val="24"/>
                <w:szCs w:val="24"/>
                <w:highlight w:val="none"/>
              </w:rPr>
              <w:t>险废物，废物类别“HW</w:t>
            </w:r>
            <w:r>
              <w:rPr>
                <w:rFonts w:hint="eastAsia"/>
                <w:sz w:val="24"/>
                <w:szCs w:val="24"/>
                <w:highlight w:val="none"/>
              </w:rPr>
              <w:t>29含汞废物</w:t>
            </w:r>
            <w:r>
              <w:rPr>
                <w:sz w:val="24"/>
                <w:szCs w:val="24"/>
                <w:highlight w:val="none"/>
              </w:rPr>
              <w:t>”，废物代码为</w:t>
            </w:r>
            <w:r>
              <w:rPr>
                <w:rFonts w:hint="eastAsia"/>
                <w:sz w:val="24"/>
                <w:szCs w:val="24"/>
                <w:highlight w:val="none"/>
              </w:rPr>
              <w:t>“</w:t>
            </w:r>
            <w:r>
              <w:rPr>
                <w:sz w:val="24"/>
                <w:szCs w:val="24"/>
                <w:highlight w:val="none"/>
              </w:rPr>
              <w:t>900-023-29</w:t>
            </w:r>
            <w:r>
              <w:rPr>
                <w:rFonts w:hint="eastAsia"/>
                <w:sz w:val="24"/>
                <w:szCs w:val="24"/>
                <w:highlight w:val="none"/>
              </w:rPr>
              <w:t>”</w:t>
            </w:r>
            <w:r>
              <w:rPr>
                <w:sz w:val="24"/>
                <w:szCs w:val="24"/>
                <w:highlight w:val="none"/>
              </w:rPr>
              <w:t>。废</w:t>
            </w:r>
            <w:r>
              <w:rPr>
                <w:rFonts w:hint="eastAsia"/>
                <w:color w:val="000000" w:themeColor="text1"/>
                <w:sz w:val="24"/>
                <w:szCs w:val="32"/>
                <w:highlight w:val="none"/>
                <w:lang w:val="en-US" w:eastAsia="zh-CN"/>
                <w14:textFill>
                  <w14:solidFill>
                    <w14:schemeClr w14:val="tx1"/>
                  </w14:solidFill>
                </w14:textFill>
              </w:rPr>
              <w:t>光氧</w:t>
            </w:r>
            <w:r>
              <w:rPr>
                <w:sz w:val="24"/>
                <w:szCs w:val="24"/>
                <w:highlight w:val="none"/>
              </w:rPr>
              <w:t>灯管在危废暂存间</w:t>
            </w:r>
            <w:r>
              <w:rPr>
                <w:sz w:val="24"/>
                <w:szCs w:val="24"/>
              </w:rPr>
              <w:t>暂存，定期交有资质的危废处理单位处理。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4</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废活性炭</w:t>
            </w:r>
          </w:p>
          <w:p>
            <w:pPr>
              <w:spacing w:line="360" w:lineRule="auto"/>
              <w:ind w:firstLine="480" w:firstLineChars="200"/>
              <w:rPr>
                <w:b w:val="0"/>
                <w:bCs w:val="0"/>
                <w:sz w:val="24"/>
                <w:szCs w:val="24"/>
                <w:highlight w:val="none"/>
                <w:u w:val="none"/>
              </w:rPr>
            </w:pPr>
            <w:r>
              <w:rPr>
                <w:rFonts w:hint="eastAsia"/>
                <w:b w:val="0"/>
                <w:bCs w:val="0"/>
                <w:sz w:val="24"/>
                <w:szCs w:val="24"/>
                <w:highlight w:val="none"/>
                <w:u w:val="none"/>
              </w:rPr>
              <w:t>本项目设置</w:t>
            </w:r>
            <w:r>
              <w:rPr>
                <w:rFonts w:hint="eastAsia"/>
                <w:b w:val="0"/>
                <w:bCs w:val="0"/>
                <w:sz w:val="24"/>
                <w:szCs w:val="24"/>
                <w:highlight w:val="none"/>
                <w:u w:val="none"/>
                <w:lang w:val="en-US" w:eastAsia="zh-CN"/>
              </w:rPr>
              <w:t>1</w:t>
            </w:r>
            <w:r>
              <w:rPr>
                <w:rFonts w:hint="eastAsia"/>
                <w:b w:val="0"/>
                <w:bCs w:val="0"/>
                <w:sz w:val="24"/>
                <w:szCs w:val="24"/>
                <w:highlight w:val="none"/>
                <w:u w:val="none"/>
              </w:rPr>
              <w:t>套“UV光氧+活性炭吸附装置”，</w:t>
            </w:r>
            <w:r>
              <w:rPr>
                <w:b w:val="0"/>
                <w:bCs w:val="0"/>
                <w:sz w:val="24"/>
                <w:szCs w:val="24"/>
                <w:highlight w:val="none"/>
                <w:u w:val="none"/>
              </w:rPr>
              <w:t>活性炭对废气饱和平衡吸附容量按照</w:t>
            </w:r>
            <w:r>
              <w:rPr>
                <w:rFonts w:hint="eastAsia"/>
                <w:b w:val="0"/>
                <w:bCs w:val="0"/>
                <w:sz w:val="24"/>
                <w:szCs w:val="24"/>
                <w:highlight w:val="none"/>
                <w:u w:val="none"/>
              </w:rPr>
              <w:t>25</w:t>
            </w:r>
            <w:r>
              <w:rPr>
                <w:b w:val="0"/>
                <w:bCs w:val="0"/>
                <w:sz w:val="24"/>
                <w:szCs w:val="24"/>
                <w:highlight w:val="none"/>
                <w:u w:val="none"/>
              </w:rPr>
              <w:t>kg（废气）/100kg（活性炭）计，</w:t>
            </w:r>
            <w:r>
              <w:rPr>
                <w:rFonts w:hint="eastAsia"/>
                <w:b w:val="0"/>
                <w:bCs w:val="0"/>
                <w:sz w:val="24"/>
                <w:szCs w:val="24"/>
                <w:highlight w:val="none"/>
                <w:u w:val="none"/>
              </w:rPr>
              <w:t>项目年吸附废气量为</w:t>
            </w:r>
            <w:r>
              <w:rPr>
                <w:rFonts w:hint="eastAsia"/>
                <w:b w:val="0"/>
                <w:bCs w:val="0"/>
                <w:sz w:val="24"/>
                <w:szCs w:val="24"/>
                <w:highlight w:val="none"/>
                <w:u w:val="none"/>
                <w:lang w:val="en-US" w:eastAsia="zh-CN"/>
              </w:rPr>
              <w:t>0.022</w:t>
            </w:r>
            <w:r>
              <w:rPr>
                <w:rFonts w:hint="eastAsia"/>
                <w:b w:val="0"/>
                <w:bCs w:val="0"/>
                <w:sz w:val="24"/>
                <w:szCs w:val="24"/>
                <w:highlight w:val="none"/>
                <w:u w:val="none"/>
              </w:rPr>
              <w:t>t/a，则所需活性炭</w:t>
            </w:r>
            <w:r>
              <w:rPr>
                <w:rFonts w:hint="eastAsia"/>
                <w:b w:val="0"/>
                <w:bCs w:val="0"/>
                <w:sz w:val="24"/>
                <w:szCs w:val="24"/>
                <w:highlight w:val="none"/>
                <w:u w:val="none"/>
                <w:lang w:val="en-US" w:eastAsia="zh-CN"/>
              </w:rPr>
              <w:t>0.088</w:t>
            </w:r>
            <w:r>
              <w:rPr>
                <w:rFonts w:hint="eastAsia"/>
                <w:b w:val="0"/>
                <w:bCs w:val="0"/>
                <w:sz w:val="24"/>
                <w:szCs w:val="24"/>
                <w:highlight w:val="none"/>
                <w:u w:val="none"/>
              </w:rPr>
              <w:t>t/a。故活性炭及吸附的废气量合计产生量为</w:t>
            </w:r>
            <w:r>
              <w:rPr>
                <w:rFonts w:hint="eastAsia"/>
                <w:b w:val="0"/>
                <w:bCs w:val="0"/>
                <w:sz w:val="24"/>
                <w:szCs w:val="24"/>
                <w:highlight w:val="none"/>
                <w:u w:val="none"/>
                <w:lang w:val="en-US" w:eastAsia="zh-CN"/>
              </w:rPr>
              <w:t>0.11</w:t>
            </w:r>
            <w:r>
              <w:rPr>
                <w:rFonts w:hint="eastAsia"/>
                <w:b w:val="0"/>
                <w:bCs w:val="0"/>
                <w:sz w:val="24"/>
                <w:szCs w:val="24"/>
                <w:highlight w:val="none"/>
                <w:u w:val="none"/>
              </w:rPr>
              <w:t>t/a。</w:t>
            </w:r>
            <w:r>
              <w:rPr>
                <w:b w:val="0"/>
                <w:bCs w:val="0"/>
                <w:sz w:val="24"/>
                <w:szCs w:val="24"/>
                <w:highlight w:val="none"/>
                <w:u w:val="none"/>
              </w:rPr>
              <w:t>经查阅《国家危险废物名录》（</w:t>
            </w:r>
            <w:r>
              <w:rPr>
                <w:rFonts w:hint="eastAsia"/>
                <w:b w:val="0"/>
                <w:bCs w:val="0"/>
                <w:sz w:val="24"/>
                <w:szCs w:val="24"/>
                <w:highlight w:val="none"/>
                <w:u w:val="none"/>
              </w:rPr>
              <w:t>2021</w:t>
            </w:r>
            <w:r>
              <w:rPr>
                <w:b w:val="0"/>
                <w:bCs w:val="0"/>
                <w:sz w:val="24"/>
                <w:szCs w:val="24"/>
                <w:highlight w:val="none"/>
                <w:u w:val="none"/>
              </w:rPr>
              <w:t>年版），废活性炭属于危险废物，类别为“HW49其他废物”，废物代码为“900-0</w:t>
            </w:r>
            <w:r>
              <w:rPr>
                <w:rFonts w:hint="eastAsia"/>
                <w:b w:val="0"/>
                <w:bCs w:val="0"/>
                <w:sz w:val="24"/>
                <w:szCs w:val="24"/>
                <w:highlight w:val="none"/>
                <w:u w:val="none"/>
              </w:rPr>
              <w:t>39</w:t>
            </w:r>
            <w:r>
              <w:rPr>
                <w:b w:val="0"/>
                <w:bCs w:val="0"/>
                <w:sz w:val="24"/>
                <w:szCs w:val="24"/>
                <w:highlight w:val="none"/>
                <w:u w:val="none"/>
              </w:rPr>
              <w:t>-49”。活性炭更换后存入危废暂存间，定期交有资质的危废处理单位处理。</w:t>
            </w:r>
          </w:p>
          <w:p>
            <w:pPr>
              <w:spacing w:line="360" w:lineRule="auto"/>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废物类别及废物代码如下表所示。</w:t>
            </w:r>
          </w:p>
          <w:p>
            <w:pPr>
              <w:jc w:val="center"/>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表4-</w:t>
            </w:r>
            <w:r>
              <w:rPr>
                <w:rFonts w:hint="eastAsia"/>
                <w:color w:val="000000" w:themeColor="text1"/>
                <w:sz w:val="24"/>
                <w:szCs w:val="32"/>
                <w:highlight w:val="none"/>
                <w:lang w:val="en-US" w:eastAsia="zh-CN"/>
                <w14:textFill>
                  <w14:solidFill>
                    <w14:schemeClr w14:val="tx1"/>
                  </w14:solidFill>
                </w14:textFill>
              </w:rPr>
              <w:t>10</w:t>
            </w:r>
            <w:r>
              <w:rPr>
                <w:color w:val="000000" w:themeColor="text1"/>
                <w:sz w:val="24"/>
                <w:szCs w:val="32"/>
                <w:highlight w:val="none"/>
                <w14:textFill>
                  <w14:solidFill>
                    <w14:schemeClr w14:val="tx1"/>
                  </w14:solidFill>
                </w14:textFill>
              </w:rPr>
              <w:t xml:space="preserve">  本项目危险废物汇总表</w:t>
            </w:r>
          </w:p>
          <w:tbl>
            <w:tblPr>
              <w:tblStyle w:val="2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
              <w:gridCol w:w="855"/>
              <w:gridCol w:w="799"/>
              <w:gridCol w:w="1212"/>
              <w:gridCol w:w="757"/>
              <w:gridCol w:w="684"/>
              <w:gridCol w:w="539"/>
              <w:gridCol w:w="960"/>
              <w:gridCol w:w="538"/>
              <w:gridCol w:w="599"/>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1"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序号</w:t>
                  </w:r>
                </w:p>
              </w:tc>
              <w:tc>
                <w:tcPr>
                  <w:tcW w:w="526"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危险废物名称</w:t>
                  </w:r>
                </w:p>
              </w:tc>
              <w:tc>
                <w:tcPr>
                  <w:tcW w:w="492"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危险废物类别</w:t>
                  </w:r>
                </w:p>
              </w:tc>
              <w:tc>
                <w:tcPr>
                  <w:tcW w:w="746"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危险废物代码</w:t>
                  </w:r>
                </w:p>
              </w:tc>
              <w:tc>
                <w:tcPr>
                  <w:tcW w:w="466"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产生量</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（t/a）</w:t>
                  </w:r>
                </w:p>
              </w:tc>
              <w:tc>
                <w:tcPr>
                  <w:tcW w:w="421"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产生工序及装置</w:t>
                  </w:r>
                </w:p>
              </w:tc>
              <w:tc>
                <w:tcPr>
                  <w:tcW w:w="332"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形态</w:t>
                  </w:r>
                </w:p>
              </w:tc>
              <w:tc>
                <w:tcPr>
                  <w:tcW w:w="591"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有害成分</w:t>
                  </w:r>
                </w:p>
              </w:tc>
              <w:tc>
                <w:tcPr>
                  <w:tcW w:w="331"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产废周期</w:t>
                  </w:r>
                </w:p>
              </w:tc>
              <w:tc>
                <w:tcPr>
                  <w:tcW w:w="369"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危险</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特性</w:t>
                  </w:r>
                </w:p>
              </w:tc>
              <w:tc>
                <w:tcPr>
                  <w:tcW w:w="459"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1"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1</w:t>
                  </w:r>
                </w:p>
              </w:tc>
              <w:tc>
                <w:tcPr>
                  <w:tcW w:w="526"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废</w:t>
                  </w:r>
                  <w:r>
                    <w:rPr>
                      <w:rFonts w:hint="eastAsia"/>
                      <w:b w:val="0"/>
                      <w:bCs w:val="0"/>
                      <w:color w:val="000000" w:themeColor="text1"/>
                      <w:sz w:val="21"/>
                      <w:szCs w:val="21"/>
                      <w:lang w:val="en-US" w:eastAsia="zh-CN"/>
                      <w14:textFill>
                        <w14:solidFill>
                          <w14:schemeClr w14:val="tx1"/>
                        </w14:solidFill>
                      </w14:textFill>
                    </w:rPr>
                    <w:t>机</w:t>
                  </w:r>
                  <w:r>
                    <w:rPr>
                      <w:rFonts w:hint="eastAsia"/>
                      <w:b w:val="0"/>
                      <w:bCs w:val="0"/>
                      <w:color w:val="000000" w:themeColor="text1"/>
                      <w:sz w:val="21"/>
                      <w:szCs w:val="21"/>
                      <w14:textFill>
                        <w14:solidFill>
                          <w14:schemeClr w14:val="tx1"/>
                        </w14:solidFill>
                      </w14:textFill>
                    </w:rPr>
                    <w:t>油</w:t>
                  </w:r>
                </w:p>
              </w:tc>
              <w:tc>
                <w:tcPr>
                  <w:tcW w:w="492"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HW08</w:t>
                  </w:r>
                </w:p>
              </w:tc>
              <w:tc>
                <w:tcPr>
                  <w:tcW w:w="746"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900-2</w:t>
                  </w:r>
                  <w:r>
                    <w:rPr>
                      <w:rFonts w:hint="eastAsia"/>
                      <w:b w:val="0"/>
                      <w:bCs w:val="0"/>
                      <w:color w:val="000000" w:themeColor="text1"/>
                      <w:sz w:val="21"/>
                      <w:szCs w:val="21"/>
                      <w:lang w:val="en-US" w:eastAsia="zh-CN"/>
                      <w14:textFill>
                        <w14:solidFill>
                          <w14:schemeClr w14:val="tx1"/>
                        </w14:solidFill>
                      </w14:textFill>
                    </w:rPr>
                    <w:t>49</w:t>
                  </w:r>
                  <w:r>
                    <w:rPr>
                      <w:b w:val="0"/>
                      <w:bCs w:val="0"/>
                      <w:color w:val="000000" w:themeColor="text1"/>
                      <w:sz w:val="21"/>
                      <w:szCs w:val="21"/>
                      <w14:textFill>
                        <w14:solidFill>
                          <w14:schemeClr w14:val="tx1"/>
                        </w14:solidFill>
                      </w14:textFill>
                    </w:rPr>
                    <w:t>-08</w:t>
                  </w:r>
                </w:p>
              </w:tc>
              <w:tc>
                <w:tcPr>
                  <w:tcW w:w="466"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eastAsia="宋体"/>
                      <w:b w:val="0"/>
                      <w:bCs w:val="0"/>
                      <w:color w:val="000000" w:themeColor="text1"/>
                      <w:sz w:val="21"/>
                      <w:szCs w:val="21"/>
                      <w:lang w:eastAsia="zh-CN"/>
                      <w14:textFill>
                        <w14:solidFill>
                          <w14:schemeClr w14:val="tx1"/>
                        </w14:solidFill>
                      </w14:textFill>
                    </w:rPr>
                  </w:pPr>
                  <w:r>
                    <w:rPr>
                      <w:b w:val="0"/>
                      <w:bCs w:val="0"/>
                      <w:color w:val="000000" w:themeColor="text1"/>
                      <w:sz w:val="21"/>
                      <w:szCs w:val="21"/>
                      <w14:textFill>
                        <w14:solidFill>
                          <w14:schemeClr w14:val="tx1"/>
                        </w14:solidFill>
                      </w14:textFill>
                    </w:rPr>
                    <w:t>0.</w:t>
                  </w:r>
                  <w:r>
                    <w:rPr>
                      <w:rFonts w:hint="eastAsia"/>
                      <w:b w:val="0"/>
                      <w:bCs w:val="0"/>
                      <w:color w:val="000000" w:themeColor="text1"/>
                      <w:sz w:val="21"/>
                      <w:szCs w:val="21"/>
                      <w:lang w:val="en-US" w:eastAsia="zh-CN"/>
                      <w14:textFill>
                        <w14:solidFill>
                          <w14:schemeClr w14:val="tx1"/>
                        </w14:solidFill>
                      </w14:textFill>
                    </w:rPr>
                    <w:t>1</w:t>
                  </w:r>
                </w:p>
              </w:tc>
              <w:tc>
                <w:tcPr>
                  <w:tcW w:w="421"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设备</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维护</w:t>
                  </w:r>
                </w:p>
              </w:tc>
              <w:tc>
                <w:tcPr>
                  <w:tcW w:w="332"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液态</w:t>
                  </w:r>
                </w:p>
              </w:tc>
              <w:tc>
                <w:tcPr>
                  <w:tcW w:w="591"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sz w:val="21"/>
                      <w:szCs w:val="21"/>
                    </w:rPr>
                    <w:t>基础油、机械杂质等</w:t>
                  </w:r>
                </w:p>
              </w:tc>
              <w:tc>
                <w:tcPr>
                  <w:tcW w:w="331" w:type="pct"/>
                  <w:vMerge w:val="restar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FF0000"/>
                      <w:sz w:val="21"/>
                      <w:szCs w:val="21"/>
                    </w:rPr>
                  </w:pPr>
                  <w:r>
                    <w:rPr>
                      <w:rFonts w:hint="eastAsia"/>
                      <w:b w:val="0"/>
                      <w:bCs w:val="0"/>
                      <w:sz w:val="21"/>
                      <w:szCs w:val="21"/>
                    </w:rPr>
                    <w:t>一年</w:t>
                  </w:r>
                </w:p>
              </w:tc>
              <w:tc>
                <w:tcPr>
                  <w:tcW w:w="369"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T</w:t>
                  </w:r>
                  <w:r>
                    <w:rPr>
                      <w:rFonts w:hint="eastAsia"/>
                      <w:b w:val="0"/>
                      <w:bCs w:val="0"/>
                      <w:color w:val="000000" w:themeColor="text1"/>
                      <w:sz w:val="21"/>
                      <w:szCs w:val="21"/>
                      <w14:textFill>
                        <w14:solidFill>
                          <w14:schemeClr w14:val="tx1"/>
                        </w14:solidFill>
                      </w14:textFill>
                    </w:rPr>
                    <w:t>/</w:t>
                  </w:r>
                  <w:r>
                    <w:rPr>
                      <w:b w:val="0"/>
                      <w:bCs w:val="0"/>
                      <w:color w:val="000000" w:themeColor="text1"/>
                      <w:sz w:val="21"/>
                      <w:szCs w:val="21"/>
                      <w14:textFill>
                        <w14:solidFill>
                          <w14:schemeClr w14:val="tx1"/>
                        </w14:solidFill>
                      </w14:textFill>
                    </w:rPr>
                    <w:t>I</w:t>
                  </w:r>
                </w:p>
              </w:tc>
              <w:tc>
                <w:tcPr>
                  <w:tcW w:w="459" w:type="pct"/>
                  <w:vMerge w:val="restar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委托有资质的单位处置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1"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2</w:t>
                  </w:r>
                </w:p>
              </w:tc>
              <w:tc>
                <w:tcPr>
                  <w:tcW w:w="526"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废液压油</w:t>
                  </w:r>
                </w:p>
              </w:tc>
              <w:tc>
                <w:tcPr>
                  <w:tcW w:w="492"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b w:val="0"/>
                      <w:bCs w:val="0"/>
                      <w:color w:val="000000" w:themeColor="text1"/>
                      <w:sz w:val="21"/>
                      <w:szCs w:val="21"/>
                      <w14:textFill>
                        <w14:solidFill>
                          <w14:schemeClr w14:val="tx1"/>
                        </w14:solidFill>
                      </w14:textFill>
                    </w:rPr>
                    <w:t>HW08</w:t>
                  </w:r>
                </w:p>
              </w:tc>
              <w:tc>
                <w:tcPr>
                  <w:tcW w:w="746"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b w:val="0"/>
                      <w:bCs w:val="0"/>
                      <w:color w:val="000000" w:themeColor="text1"/>
                      <w:sz w:val="21"/>
                      <w:szCs w:val="21"/>
                      <w14:textFill>
                        <w14:solidFill>
                          <w14:schemeClr w14:val="tx1"/>
                        </w14:solidFill>
                      </w14:textFill>
                    </w:rPr>
                    <w:t>900-2</w:t>
                  </w:r>
                  <w:r>
                    <w:rPr>
                      <w:rFonts w:hint="eastAsia"/>
                      <w:b w:val="0"/>
                      <w:bCs w:val="0"/>
                      <w:color w:val="000000" w:themeColor="text1"/>
                      <w:sz w:val="21"/>
                      <w:szCs w:val="21"/>
                      <w:lang w:val="en-US" w:eastAsia="zh-CN"/>
                      <w14:textFill>
                        <w14:solidFill>
                          <w14:schemeClr w14:val="tx1"/>
                        </w14:solidFill>
                      </w14:textFill>
                    </w:rPr>
                    <w:t>18</w:t>
                  </w:r>
                  <w:r>
                    <w:rPr>
                      <w:b w:val="0"/>
                      <w:bCs w:val="0"/>
                      <w:color w:val="000000" w:themeColor="text1"/>
                      <w:sz w:val="21"/>
                      <w:szCs w:val="21"/>
                      <w14:textFill>
                        <w14:solidFill>
                          <w14:schemeClr w14:val="tx1"/>
                        </w14:solidFill>
                      </w14:textFill>
                    </w:rPr>
                    <w:t>-08</w:t>
                  </w:r>
                </w:p>
              </w:tc>
              <w:tc>
                <w:tcPr>
                  <w:tcW w:w="466"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b w:val="0"/>
                      <w:bCs w:val="0"/>
                      <w:color w:val="000000" w:themeColor="text1"/>
                      <w:sz w:val="21"/>
                      <w:szCs w:val="21"/>
                      <w14:textFill>
                        <w14:solidFill>
                          <w14:schemeClr w14:val="tx1"/>
                        </w14:solidFill>
                      </w14:textFill>
                    </w:rPr>
                    <w:t>0.</w:t>
                  </w:r>
                  <w:r>
                    <w:rPr>
                      <w:rFonts w:hint="eastAsia"/>
                      <w:b w:val="0"/>
                      <w:bCs w:val="0"/>
                      <w:color w:val="000000" w:themeColor="text1"/>
                      <w:sz w:val="21"/>
                      <w:szCs w:val="21"/>
                      <w:lang w:val="en-US" w:eastAsia="zh-CN"/>
                      <w14:textFill>
                        <w14:solidFill>
                          <w14:schemeClr w14:val="tx1"/>
                        </w14:solidFill>
                      </w14:textFill>
                    </w:rPr>
                    <w:t>1</w:t>
                  </w:r>
                </w:p>
              </w:tc>
              <w:tc>
                <w:tcPr>
                  <w:tcW w:w="421"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液压</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设备</w:t>
                  </w:r>
                </w:p>
              </w:tc>
              <w:tc>
                <w:tcPr>
                  <w:tcW w:w="332"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液态</w:t>
                  </w:r>
                </w:p>
              </w:tc>
              <w:tc>
                <w:tcPr>
                  <w:tcW w:w="591"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sz w:val="21"/>
                      <w:szCs w:val="21"/>
                    </w:rPr>
                  </w:pPr>
                  <w:r>
                    <w:rPr>
                      <w:b w:val="0"/>
                      <w:bCs w:val="0"/>
                      <w:sz w:val="21"/>
                      <w:szCs w:val="21"/>
                    </w:rPr>
                    <w:t>基础油、机械杂质等</w:t>
                  </w:r>
                </w:p>
              </w:tc>
              <w:tc>
                <w:tcPr>
                  <w:tcW w:w="331" w:type="pct"/>
                  <w:vMerge w:val="continue"/>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b w:val="0"/>
                      <w:bCs w:val="0"/>
                      <w:sz w:val="21"/>
                      <w:szCs w:val="21"/>
                    </w:rPr>
                  </w:pPr>
                </w:p>
              </w:tc>
              <w:tc>
                <w:tcPr>
                  <w:tcW w:w="369"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T</w:t>
                  </w:r>
                  <w:r>
                    <w:rPr>
                      <w:rFonts w:hint="eastAsia"/>
                      <w:b w:val="0"/>
                      <w:bCs w:val="0"/>
                      <w:color w:val="000000" w:themeColor="text1"/>
                      <w:sz w:val="21"/>
                      <w:szCs w:val="21"/>
                      <w14:textFill>
                        <w14:solidFill>
                          <w14:schemeClr w14:val="tx1"/>
                        </w14:solidFill>
                      </w14:textFill>
                    </w:rPr>
                    <w:t>/</w:t>
                  </w:r>
                  <w:r>
                    <w:rPr>
                      <w:b w:val="0"/>
                      <w:bCs w:val="0"/>
                      <w:color w:val="000000" w:themeColor="text1"/>
                      <w:sz w:val="21"/>
                      <w:szCs w:val="21"/>
                      <w14:textFill>
                        <w14:solidFill>
                          <w14:schemeClr w14:val="tx1"/>
                        </w14:solidFill>
                      </w14:textFill>
                    </w:rPr>
                    <w:t>I</w:t>
                  </w:r>
                </w:p>
              </w:tc>
              <w:tc>
                <w:tcPr>
                  <w:tcW w:w="459" w:type="pct"/>
                  <w:vMerge w:val="continue"/>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1"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eastAsia="宋体"/>
                      <w:b w:val="0"/>
                      <w:bCs w:val="0"/>
                      <w:color w:val="000000" w:themeColor="text1"/>
                      <w:sz w:val="21"/>
                      <w:szCs w:val="21"/>
                      <w:lang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3</w:t>
                  </w:r>
                </w:p>
              </w:tc>
              <w:tc>
                <w:tcPr>
                  <w:tcW w:w="526"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废</w:t>
                  </w:r>
                  <w:r>
                    <w:rPr>
                      <w:rFonts w:hint="eastAsia"/>
                      <w:b w:val="0"/>
                      <w:bCs w:val="0"/>
                      <w:color w:val="000000" w:themeColor="text1"/>
                      <w:sz w:val="21"/>
                      <w:szCs w:val="21"/>
                      <w:lang w:val="en-US" w:eastAsia="zh-CN"/>
                      <w14:textFill>
                        <w14:solidFill>
                          <w14:schemeClr w14:val="tx1"/>
                        </w14:solidFill>
                      </w14:textFill>
                    </w:rPr>
                    <w:t>光氧</w:t>
                  </w:r>
                  <w:r>
                    <w:rPr>
                      <w:rFonts w:hint="eastAsia"/>
                      <w:b w:val="0"/>
                      <w:bCs w:val="0"/>
                      <w:color w:val="000000" w:themeColor="text1"/>
                      <w:sz w:val="21"/>
                      <w:szCs w:val="21"/>
                      <w14:textFill>
                        <w14:solidFill>
                          <w14:schemeClr w14:val="tx1"/>
                        </w14:solidFill>
                      </w14:textFill>
                    </w:rPr>
                    <w:t>灯管</w:t>
                  </w:r>
                </w:p>
              </w:tc>
              <w:tc>
                <w:tcPr>
                  <w:tcW w:w="492"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HW29</w:t>
                  </w:r>
                </w:p>
              </w:tc>
              <w:tc>
                <w:tcPr>
                  <w:tcW w:w="746"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900-023-29</w:t>
                  </w:r>
                </w:p>
              </w:tc>
              <w:tc>
                <w:tcPr>
                  <w:tcW w:w="466"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5根</w:t>
                  </w:r>
                </w:p>
              </w:tc>
              <w:tc>
                <w:tcPr>
                  <w:tcW w:w="421" w:type="pct"/>
                  <w:vMerge w:val="restar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eastAsia="宋体"/>
                      <w:b w:val="0"/>
                      <w:bCs w:val="0"/>
                      <w:color w:val="000000" w:themeColor="text1"/>
                      <w:sz w:val="21"/>
                      <w:szCs w:val="21"/>
                      <w:lang w:eastAsia="zh-CN"/>
                      <w14:textFill>
                        <w14:solidFill>
                          <w14:schemeClr w14:val="tx1"/>
                        </w14:solidFill>
                      </w14:textFill>
                    </w:rPr>
                  </w:pPr>
                  <w:r>
                    <w:rPr>
                      <w:rFonts w:hint="eastAsia"/>
                      <w:b w:val="0"/>
                      <w:bCs w:val="0"/>
                      <w:color w:val="000000" w:themeColor="text1"/>
                      <w:sz w:val="21"/>
                      <w:szCs w:val="21"/>
                      <w14:textFill>
                        <w14:solidFill>
                          <w14:schemeClr w14:val="tx1"/>
                        </w14:solidFill>
                      </w14:textFill>
                    </w:rPr>
                    <w:t>废气</w:t>
                  </w:r>
                  <w:r>
                    <w:rPr>
                      <w:rFonts w:hint="eastAsia"/>
                      <w:b w:val="0"/>
                      <w:bCs w:val="0"/>
                      <w:color w:val="000000" w:themeColor="text1"/>
                      <w:sz w:val="21"/>
                      <w:szCs w:val="21"/>
                      <w:lang w:val="en-US" w:eastAsia="zh-CN"/>
                      <w14:textFill>
                        <w14:solidFill>
                          <w14:schemeClr w14:val="tx1"/>
                        </w14:solidFill>
                      </w14:textFill>
                    </w:rPr>
                    <w:t>治理</w:t>
                  </w:r>
                </w:p>
              </w:tc>
              <w:tc>
                <w:tcPr>
                  <w:tcW w:w="332" w:type="pct"/>
                  <w:vMerge w:val="restar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固态</w:t>
                  </w:r>
                </w:p>
              </w:tc>
              <w:tc>
                <w:tcPr>
                  <w:tcW w:w="591"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灯管</w:t>
                  </w:r>
                </w:p>
              </w:tc>
              <w:tc>
                <w:tcPr>
                  <w:tcW w:w="331" w:type="pct"/>
                  <w:vMerge w:val="continue"/>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p>
              </w:tc>
              <w:tc>
                <w:tcPr>
                  <w:tcW w:w="369"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T</w:t>
                  </w:r>
                  <w:r>
                    <w:rPr>
                      <w:rFonts w:hint="eastAsia"/>
                      <w:b w:val="0"/>
                      <w:bCs w:val="0"/>
                      <w:color w:val="000000" w:themeColor="text1"/>
                      <w:sz w:val="21"/>
                      <w:szCs w:val="21"/>
                      <w14:textFill>
                        <w14:solidFill>
                          <w14:schemeClr w14:val="tx1"/>
                        </w14:solidFill>
                      </w14:textFill>
                    </w:rPr>
                    <w:t>/</w:t>
                  </w:r>
                  <w:r>
                    <w:rPr>
                      <w:b w:val="0"/>
                      <w:bCs w:val="0"/>
                      <w:color w:val="000000" w:themeColor="text1"/>
                      <w:sz w:val="21"/>
                      <w:szCs w:val="21"/>
                      <w14:textFill>
                        <w14:solidFill>
                          <w14:schemeClr w14:val="tx1"/>
                        </w14:solidFill>
                      </w14:textFill>
                    </w:rPr>
                    <w:t>I</w:t>
                  </w:r>
                </w:p>
              </w:tc>
              <w:tc>
                <w:tcPr>
                  <w:tcW w:w="459" w:type="pct"/>
                  <w:vMerge w:val="continue"/>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1"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eastAsia="宋体"/>
                      <w:b w:val="0"/>
                      <w:bCs w:val="0"/>
                      <w:color w:val="000000" w:themeColor="text1"/>
                      <w:sz w:val="21"/>
                      <w:szCs w:val="21"/>
                      <w:lang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4</w:t>
                  </w:r>
                </w:p>
              </w:tc>
              <w:tc>
                <w:tcPr>
                  <w:tcW w:w="526"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废活性炭</w:t>
                  </w:r>
                </w:p>
              </w:tc>
              <w:tc>
                <w:tcPr>
                  <w:tcW w:w="492"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sz w:val="21"/>
                      <w:szCs w:val="21"/>
                    </w:rPr>
                    <w:t>HW49</w:t>
                  </w:r>
                </w:p>
              </w:tc>
              <w:tc>
                <w:tcPr>
                  <w:tcW w:w="746"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sz w:val="21"/>
                      <w:szCs w:val="21"/>
                    </w:rPr>
                    <w:t>900-0</w:t>
                  </w:r>
                  <w:r>
                    <w:rPr>
                      <w:rFonts w:hint="eastAsia"/>
                      <w:b w:val="0"/>
                      <w:bCs w:val="0"/>
                      <w:sz w:val="21"/>
                      <w:szCs w:val="21"/>
                    </w:rPr>
                    <w:t>39</w:t>
                  </w:r>
                  <w:r>
                    <w:rPr>
                      <w:b w:val="0"/>
                      <w:bCs w:val="0"/>
                      <w:sz w:val="21"/>
                      <w:szCs w:val="21"/>
                    </w:rPr>
                    <w:t>-49</w:t>
                  </w:r>
                </w:p>
              </w:tc>
              <w:tc>
                <w:tcPr>
                  <w:tcW w:w="466"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0.11</w:t>
                  </w:r>
                </w:p>
              </w:tc>
              <w:tc>
                <w:tcPr>
                  <w:tcW w:w="421" w:type="pct"/>
                  <w:vMerge w:val="continue"/>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p>
              </w:tc>
              <w:tc>
                <w:tcPr>
                  <w:tcW w:w="332" w:type="pct"/>
                  <w:vMerge w:val="continue"/>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p>
              </w:tc>
              <w:tc>
                <w:tcPr>
                  <w:tcW w:w="591"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sz w:val="21"/>
                      <w:szCs w:val="21"/>
                    </w:rPr>
                    <w:t>废活性炭及有机物</w:t>
                  </w:r>
                </w:p>
              </w:tc>
              <w:tc>
                <w:tcPr>
                  <w:tcW w:w="331" w:type="pct"/>
                  <w:vMerge w:val="continue"/>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p>
              </w:tc>
              <w:tc>
                <w:tcPr>
                  <w:tcW w:w="369" w:type="pct"/>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T</w:t>
                  </w:r>
                  <w:r>
                    <w:rPr>
                      <w:rFonts w:hint="eastAsia"/>
                      <w:b w:val="0"/>
                      <w:bCs w:val="0"/>
                      <w:color w:val="000000" w:themeColor="text1"/>
                      <w:sz w:val="21"/>
                      <w:szCs w:val="21"/>
                      <w14:textFill>
                        <w14:solidFill>
                          <w14:schemeClr w14:val="tx1"/>
                        </w14:solidFill>
                      </w14:textFill>
                    </w:rPr>
                    <w:t>/</w:t>
                  </w:r>
                  <w:r>
                    <w:rPr>
                      <w:b w:val="0"/>
                      <w:bCs w:val="0"/>
                      <w:color w:val="000000" w:themeColor="text1"/>
                      <w:sz w:val="21"/>
                      <w:szCs w:val="21"/>
                      <w14:textFill>
                        <w14:solidFill>
                          <w14:schemeClr w14:val="tx1"/>
                        </w14:solidFill>
                      </w14:textFill>
                    </w:rPr>
                    <w:t>I</w:t>
                  </w:r>
                </w:p>
              </w:tc>
              <w:tc>
                <w:tcPr>
                  <w:tcW w:w="459" w:type="pct"/>
                  <w:vMerge w:val="continue"/>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b w:val="0"/>
                      <w:bCs w:val="0"/>
                      <w:color w:val="000000" w:themeColor="text1"/>
                      <w:sz w:val="21"/>
                      <w:szCs w:val="21"/>
                      <w14:textFill>
                        <w14:solidFill>
                          <w14:schemeClr w14:val="tx1"/>
                        </w14:solidFill>
                      </w14:textFill>
                    </w:rPr>
                  </w:pPr>
                </w:p>
              </w:tc>
            </w:tr>
          </w:tbl>
          <w:p>
            <w:pPr>
              <w:spacing w:line="360" w:lineRule="auto"/>
              <w:rPr>
                <w:color w:val="000000" w:themeColor="text1"/>
                <w:sz w:val="24"/>
                <w:szCs w:val="32"/>
                <w14:textFill>
                  <w14:solidFill>
                    <w14:schemeClr w14:val="tx1"/>
                  </w14:solidFill>
                </w14:textFill>
              </w:rPr>
            </w:pPr>
            <w:r>
              <w:rPr>
                <w:b/>
                <w:bCs/>
                <w:color w:val="000000" w:themeColor="text1"/>
                <w:sz w:val="24"/>
                <w:szCs w:val="32"/>
                <w14:textFill>
                  <w14:solidFill>
                    <w14:schemeClr w14:val="tx1"/>
                  </w14:solidFill>
                </w14:textFill>
              </w:rPr>
              <w:t>4.3 固废防治措施可行性分析</w:t>
            </w:r>
          </w:p>
          <w:p>
            <w:pPr>
              <w:spacing w:line="360" w:lineRule="auto"/>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一般固体废物：在厂区设置专门的一般固废暂存</w:t>
            </w:r>
            <w:r>
              <w:rPr>
                <w:rFonts w:hint="eastAsia"/>
                <w:color w:val="000000" w:themeColor="text1"/>
                <w:sz w:val="24"/>
                <w:szCs w:val="32"/>
                <w:lang w:val="en-US" w:eastAsia="zh-CN"/>
                <w14:textFill>
                  <w14:solidFill>
                    <w14:schemeClr w14:val="tx1"/>
                  </w14:solidFill>
                </w14:textFill>
              </w:rPr>
              <w:t>间</w:t>
            </w:r>
            <w:r>
              <w:rPr>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1</w:t>
            </w:r>
            <w:r>
              <w:rPr>
                <w:rFonts w:hint="eastAsia"/>
                <w:color w:val="000000" w:themeColor="text1"/>
                <w:sz w:val="24"/>
                <w:szCs w:val="32"/>
                <w14:textFill>
                  <w14:solidFill>
                    <w14:schemeClr w14:val="tx1"/>
                  </w14:solidFill>
                </w14:textFill>
              </w:rPr>
              <w:t>0</w:t>
            </w:r>
            <w:r>
              <w:rPr>
                <w:color w:val="000000" w:themeColor="text1"/>
                <w:sz w:val="24"/>
                <w:szCs w:val="32"/>
                <w14:textFill>
                  <w14:solidFill>
                    <w14:schemeClr w14:val="tx1"/>
                  </w14:solidFill>
                </w14:textFill>
              </w:rPr>
              <w:t>m</w:t>
            </w:r>
            <w:r>
              <w:rPr>
                <w:color w:val="000000" w:themeColor="text1"/>
                <w:sz w:val="24"/>
                <w:szCs w:val="32"/>
                <w:vertAlign w:val="superscript"/>
                <w14:textFill>
                  <w14:solidFill>
                    <w14:schemeClr w14:val="tx1"/>
                  </w14:solidFill>
                </w14:textFill>
              </w:rPr>
              <w:t>2</w:t>
            </w:r>
            <w:r>
              <w:rPr>
                <w:color w:val="000000" w:themeColor="text1"/>
                <w:sz w:val="24"/>
                <w:szCs w:val="32"/>
                <w14:textFill>
                  <w14:solidFill>
                    <w14:schemeClr w14:val="tx1"/>
                  </w14:solidFill>
                </w14:textFill>
              </w:rPr>
              <w:t>），</w:t>
            </w:r>
            <w:r>
              <w:rPr>
                <w:rFonts w:hint="eastAsia"/>
                <w:color w:val="000000" w:themeColor="text1"/>
                <w:sz w:val="24"/>
                <w:szCs w:val="32"/>
                <w14:textFill>
                  <w14:solidFill>
                    <w14:schemeClr w14:val="tx1"/>
                  </w14:solidFill>
                </w14:textFill>
              </w:rPr>
              <w:t>废边角料</w:t>
            </w:r>
            <w:r>
              <w:rPr>
                <w:rFonts w:hint="eastAsia"/>
                <w:color w:val="000000" w:themeColor="text1"/>
                <w:sz w:val="24"/>
                <w:szCs w:val="32"/>
                <w:lang w:eastAsia="zh-CN"/>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废纸箱</w:t>
            </w:r>
            <w:r>
              <w:rPr>
                <w:rFonts w:hint="eastAsia"/>
                <w:color w:val="000000" w:themeColor="text1"/>
                <w:sz w:val="24"/>
                <w:szCs w:val="32"/>
                <w:lang w:eastAsia="zh-CN"/>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废挂钩于</w:t>
            </w:r>
            <w:r>
              <w:rPr>
                <w:color w:val="000000" w:themeColor="text1"/>
                <w:sz w:val="24"/>
                <w:szCs w:val="32"/>
                <w14:textFill>
                  <w14:solidFill>
                    <w14:schemeClr w14:val="tx1"/>
                  </w14:solidFill>
                </w14:textFill>
              </w:rPr>
              <w:t>一般固废暂存</w:t>
            </w:r>
            <w:r>
              <w:rPr>
                <w:rFonts w:hint="eastAsia"/>
                <w:color w:val="000000" w:themeColor="text1"/>
                <w:sz w:val="24"/>
                <w:szCs w:val="32"/>
                <w:lang w:val="en-US" w:eastAsia="zh-CN"/>
                <w14:textFill>
                  <w14:solidFill>
                    <w14:schemeClr w14:val="tx1"/>
                  </w14:solidFill>
                </w14:textFill>
              </w:rPr>
              <w:t>间</w:t>
            </w:r>
            <w:r>
              <w:rPr>
                <w:color w:val="000000" w:themeColor="text1"/>
                <w:sz w:val="24"/>
                <w:szCs w:val="32"/>
                <w14:textFill>
                  <w14:solidFill>
                    <w14:schemeClr w14:val="tx1"/>
                  </w14:solidFill>
                </w14:textFill>
              </w:rPr>
              <w:t>暂存，定期外售；</w:t>
            </w:r>
            <w:r>
              <w:rPr>
                <w:rFonts w:hint="eastAsia"/>
                <w:color w:val="000000" w:themeColor="text1"/>
                <w:sz w:val="24"/>
                <w:szCs w:val="32"/>
                <w:lang w:val="en-US" w:eastAsia="zh-CN"/>
                <w14:textFill>
                  <w14:solidFill>
                    <w14:schemeClr w14:val="tx1"/>
                  </w14:solidFill>
                </w14:textFill>
              </w:rPr>
              <w:t>废滤芯由厂家直接回收。除尘器收集塑粉定期回用于生产。</w:t>
            </w:r>
            <w:r>
              <w:rPr>
                <w:color w:val="000000" w:themeColor="text1"/>
                <w:sz w:val="24"/>
                <w:szCs w:val="32"/>
                <w14:textFill>
                  <w14:solidFill>
                    <w14:schemeClr w14:val="tx1"/>
                  </w14:solidFill>
                </w14:textFill>
              </w:rPr>
              <w:t>生活垃圾设置垃圾桶进行收集，定期交由环卫部门处理，防治措施可行。</w:t>
            </w:r>
          </w:p>
          <w:p>
            <w:pPr>
              <w:spacing w:line="360" w:lineRule="auto"/>
              <w:ind w:firstLine="482" w:firstLineChars="200"/>
              <w:rPr>
                <w:b/>
                <w:bCs/>
                <w:color w:val="FF0000"/>
                <w:sz w:val="24"/>
                <w:szCs w:val="32"/>
                <w:u w:val="single"/>
              </w:rPr>
            </w:pPr>
            <w:r>
              <w:rPr>
                <w:b/>
                <w:bCs/>
                <w:color w:val="000000" w:themeColor="text1"/>
                <w:sz w:val="24"/>
                <w:szCs w:val="32"/>
                <w:u w:val="single"/>
                <w14:textFill>
                  <w14:solidFill>
                    <w14:schemeClr w14:val="tx1"/>
                  </w14:solidFill>
                </w14:textFill>
              </w:rPr>
              <w:t>危险废物：在生产过程中产生的危险废物，按照《危险废物贮存污染控制标准》（GB18597-20</w:t>
            </w:r>
            <w:r>
              <w:rPr>
                <w:rFonts w:hint="eastAsia"/>
                <w:b/>
                <w:bCs/>
                <w:color w:val="000000" w:themeColor="text1"/>
                <w:sz w:val="24"/>
                <w:szCs w:val="32"/>
                <w:u w:val="single"/>
                <w:lang w:val="en-US" w:eastAsia="zh-CN"/>
                <w14:textFill>
                  <w14:solidFill>
                    <w14:schemeClr w14:val="tx1"/>
                  </w14:solidFill>
                </w14:textFill>
              </w:rPr>
              <w:t>23</w:t>
            </w:r>
            <w:r>
              <w:rPr>
                <w:b/>
                <w:bCs/>
                <w:color w:val="000000" w:themeColor="text1"/>
                <w:sz w:val="24"/>
                <w:szCs w:val="32"/>
                <w:u w:val="single"/>
                <w14:textFill>
                  <w14:solidFill>
                    <w14:schemeClr w14:val="tx1"/>
                  </w14:solidFill>
                </w14:textFill>
              </w:rPr>
              <w:t>要求设置危险废物暂存场所，应建设基础防渗设施，防风、防晒、防雨、防漏、防渗、防腐，危废间周边设置围堰，必须定期检查，确保完好无损，防止泄露造成二次污染，并按规定设立危险废物标志。危险废物要用不易破损、变形、老化、能有效防止渗透、扩散的容器储存，装有危险废物的容器必须贴标签。起 运时包装要完整，装载应稳妥，本项目危废暂存间位于车间内，危险废物的转运严格按 照有关规定，实行联单制度。</w:t>
            </w:r>
          </w:p>
          <w:p>
            <w:pPr>
              <w:spacing w:line="360" w:lineRule="auto"/>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评价要求建设单位在车间内设置1处危废暂存间（</w:t>
            </w:r>
            <w:r>
              <w:rPr>
                <w:rFonts w:hint="eastAsia"/>
                <w:color w:val="000000" w:themeColor="text1"/>
                <w:sz w:val="24"/>
                <w:szCs w:val="32"/>
                <w14:textFill>
                  <w14:solidFill>
                    <w14:schemeClr w14:val="tx1"/>
                  </w14:solidFill>
                </w14:textFill>
              </w:rPr>
              <w:t>6</w:t>
            </w:r>
            <w:r>
              <w:rPr>
                <w:color w:val="000000" w:themeColor="text1"/>
                <w:sz w:val="24"/>
                <w:szCs w:val="32"/>
                <w14:textFill>
                  <w14:solidFill>
                    <w14:schemeClr w14:val="tx1"/>
                  </w14:solidFill>
                </w14:textFill>
              </w:rPr>
              <w:t>m</w:t>
            </w:r>
            <w:r>
              <w:rPr>
                <w:color w:val="000000" w:themeColor="text1"/>
                <w:sz w:val="24"/>
                <w:szCs w:val="32"/>
                <w:vertAlign w:val="superscript"/>
                <w14:textFill>
                  <w14:solidFill>
                    <w14:schemeClr w14:val="tx1"/>
                  </w14:solidFill>
                </w14:textFill>
              </w:rPr>
              <w:t>2</w:t>
            </w:r>
            <w:r>
              <w:rPr>
                <w:color w:val="000000" w:themeColor="text1"/>
                <w:sz w:val="24"/>
                <w:szCs w:val="32"/>
                <w14:textFill>
                  <w14:solidFill>
                    <w14:schemeClr w14:val="tx1"/>
                  </w14:solidFill>
                </w14:textFill>
              </w:rPr>
              <w:t>），采用地面硬化，并进行防渗，四周设置围堰，基础必须防渗，防渗层为至少1米厚粘土层（渗透系数≤10</w:t>
            </w:r>
            <w:r>
              <w:rPr>
                <w:color w:val="000000" w:themeColor="text1"/>
                <w:sz w:val="24"/>
                <w:szCs w:val="32"/>
                <w:vertAlign w:val="superscript"/>
                <w14:textFill>
                  <w14:solidFill>
                    <w14:schemeClr w14:val="tx1"/>
                  </w14:solidFill>
                </w14:textFill>
              </w:rPr>
              <w:t>-7</w:t>
            </w:r>
            <w:r>
              <w:rPr>
                <w:color w:val="000000" w:themeColor="text1"/>
                <w:sz w:val="24"/>
                <w:szCs w:val="32"/>
                <w14:textFill>
                  <w14:solidFill>
                    <w14:schemeClr w14:val="tx1"/>
                  </w14:solidFill>
                </w14:textFill>
              </w:rPr>
              <w:t>cm/s），或2毫米厚高密度聚乙烯，或至少2毫米厚的其它人工材料，渗透系数≤10-10 cm/s；四周设置围堰；危险废物堆要防风、防雨、防晒等。暂存处明显处悬挂危险废物识别标志。各类危险废物采用密闭容器分类储存，定期通知危废经营单位进行回收和安全处置。</w:t>
            </w:r>
          </w:p>
          <w:p>
            <w:pPr>
              <w:spacing w:line="360" w:lineRule="auto"/>
              <w:ind w:firstLine="482" w:firstLineChars="200"/>
              <w:rPr>
                <w:b/>
                <w:bCs/>
                <w:i w:val="0"/>
                <w:iCs w:val="0"/>
                <w:color w:val="000000" w:themeColor="text1"/>
                <w:sz w:val="24"/>
                <w:szCs w:val="32"/>
                <w:u w:val="single"/>
                <w14:textFill>
                  <w14:solidFill>
                    <w14:schemeClr w14:val="tx1"/>
                  </w14:solidFill>
                </w14:textFill>
              </w:rPr>
            </w:pPr>
            <w:r>
              <w:rPr>
                <w:b/>
                <w:bCs/>
                <w:i w:val="0"/>
                <w:iCs w:val="0"/>
                <w:color w:val="000000" w:themeColor="text1"/>
                <w:sz w:val="24"/>
                <w:szCs w:val="32"/>
                <w:u w:val="single"/>
                <w14:textFill>
                  <w14:solidFill>
                    <w14:schemeClr w14:val="tx1"/>
                  </w14:solidFill>
                </w14:textFill>
              </w:rPr>
              <w:t>根据《建设项目危险废物环境影响评价指南》（环境保护部公告2017年第43号）及《危险废物贮存污染控制标准》（GB18597-2023）要求进行设计、运行和贮存；危险废物贮存应注意“六防”（防风、防晒、防雨、防漏、防渗、防腐），并在存储容器上张贴标签、张贴警示标识；建设单位须做好危险废物情况的记录，记录上注明危 险废物的名称、来源、数量、特征、和包装容器的类别、入库日期、存放库位、废物出 库日期及接受单位名称。危险废物转运过程中应防止散落、泄漏，必须定期对贮存危险 废物的包装容器及危废暂存间进行检查，发现破损，应及时采取措施清理更换。</w:t>
            </w:r>
          </w:p>
          <w:p>
            <w:pPr>
              <w:spacing w:line="360" w:lineRule="auto"/>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危险废物贮存场所（设施）基本情况见表4-</w:t>
            </w:r>
            <w:r>
              <w:rPr>
                <w:rFonts w:hint="eastAsia"/>
                <w:color w:val="000000" w:themeColor="text1"/>
                <w:sz w:val="24"/>
                <w:szCs w:val="32"/>
                <w14:textFill>
                  <w14:solidFill>
                    <w14:schemeClr w14:val="tx1"/>
                  </w14:solidFill>
                </w14:textFill>
              </w:rPr>
              <w:t>1</w:t>
            </w:r>
            <w:r>
              <w:rPr>
                <w:rFonts w:hint="eastAsia"/>
                <w:color w:val="000000" w:themeColor="text1"/>
                <w:sz w:val="24"/>
                <w:szCs w:val="32"/>
                <w:lang w:val="en-US" w:eastAsia="zh-CN"/>
                <w14:textFill>
                  <w14:solidFill>
                    <w14:schemeClr w14:val="tx1"/>
                  </w14:solidFill>
                </w14:textFill>
              </w:rPr>
              <w:t>1</w:t>
            </w:r>
            <w:r>
              <w:rPr>
                <w:color w:val="000000" w:themeColor="text1"/>
                <w:sz w:val="24"/>
                <w:szCs w:val="32"/>
                <w14:textFill>
                  <w14:solidFill>
                    <w14:schemeClr w14:val="tx1"/>
                  </w14:solidFill>
                </w14:textFill>
              </w:rPr>
              <w:t>。</w:t>
            </w:r>
          </w:p>
          <w:p>
            <w:pPr>
              <w:jc w:val="center"/>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表4-</w:t>
            </w:r>
            <w:r>
              <w:rPr>
                <w:rFonts w:hint="eastAsia"/>
                <w:color w:val="000000" w:themeColor="text1"/>
                <w:sz w:val="24"/>
                <w:szCs w:val="32"/>
                <w14:textFill>
                  <w14:solidFill>
                    <w14:schemeClr w14:val="tx1"/>
                  </w14:solidFill>
                </w14:textFill>
              </w:rPr>
              <w:t>1</w:t>
            </w:r>
            <w:r>
              <w:rPr>
                <w:rFonts w:hint="eastAsia"/>
                <w:color w:val="000000" w:themeColor="text1"/>
                <w:sz w:val="24"/>
                <w:szCs w:val="32"/>
                <w:lang w:val="en-US" w:eastAsia="zh-CN"/>
                <w14:textFill>
                  <w14:solidFill>
                    <w14:schemeClr w14:val="tx1"/>
                  </w14:solidFill>
                </w14:textFill>
              </w:rPr>
              <w:t>1</w:t>
            </w:r>
            <w:r>
              <w:rPr>
                <w:color w:val="000000" w:themeColor="text1"/>
                <w:sz w:val="24"/>
                <w:szCs w:val="32"/>
                <w14:textFill>
                  <w14:solidFill>
                    <w14:schemeClr w14:val="tx1"/>
                  </w14:solidFill>
                </w14:textFill>
              </w:rPr>
              <w:t xml:space="preserve">  本项目危险废物贮存场所基本情况表</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34"/>
              <w:gridCol w:w="1059"/>
              <w:gridCol w:w="1296"/>
              <w:gridCol w:w="1272"/>
              <w:gridCol w:w="672"/>
              <w:gridCol w:w="720"/>
              <w:gridCol w:w="947"/>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62" w:type="pct"/>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序号</w:t>
                  </w:r>
                </w:p>
              </w:tc>
              <w:tc>
                <w:tcPr>
                  <w:tcW w:w="637" w:type="pct"/>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贮存场所（设施）名称</w:t>
                  </w:r>
                </w:p>
              </w:tc>
              <w:tc>
                <w:tcPr>
                  <w:tcW w:w="652" w:type="pct"/>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危险废物名称</w:t>
                  </w:r>
                </w:p>
              </w:tc>
              <w:tc>
                <w:tcPr>
                  <w:tcW w:w="798" w:type="pct"/>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危险废物</w:t>
                  </w:r>
                </w:p>
                <w:p>
                  <w:pPr>
                    <w:snapToGrid w:val="0"/>
                    <w:spacing w:line="360" w:lineRule="exact"/>
                    <w:jc w:val="center"/>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类别</w:t>
                  </w:r>
                </w:p>
              </w:tc>
              <w:tc>
                <w:tcPr>
                  <w:tcW w:w="783" w:type="pct"/>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危险废物</w:t>
                  </w:r>
                </w:p>
                <w:p>
                  <w:pPr>
                    <w:snapToGrid w:val="0"/>
                    <w:spacing w:line="360" w:lineRule="exact"/>
                    <w:jc w:val="center"/>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代码</w:t>
                  </w:r>
                </w:p>
              </w:tc>
              <w:tc>
                <w:tcPr>
                  <w:tcW w:w="414" w:type="pct"/>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位置</w:t>
                  </w:r>
                </w:p>
              </w:tc>
              <w:tc>
                <w:tcPr>
                  <w:tcW w:w="443" w:type="pct"/>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占地面积</w:t>
                  </w:r>
                </w:p>
              </w:tc>
              <w:tc>
                <w:tcPr>
                  <w:tcW w:w="583" w:type="pct"/>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贮存方式</w:t>
                  </w:r>
                </w:p>
              </w:tc>
              <w:tc>
                <w:tcPr>
                  <w:tcW w:w="424" w:type="pct"/>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贮存</w:t>
                  </w:r>
                </w:p>
                <w:p>
                  <w:pPr>
                    <w:snapToGrid w:val="0"/>
                    <w:spacing w:line="360" w:lineRule="exact"/>
                    <w:jc w:val="center"/>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2" w:type="pct"/>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1</w:t>
                  </w:r>
                </w:p>
              </w:tc>
              <w:tc>
                <w:tcPr>
                  <w:tcW w:w="637" w:type="pct"/>
                  <w:vMerge w:val="restart"/>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危废暂存间</w:t>
                  </w:r>
                </w:p>
              </w:tc>
              <w:tc>
                <w:tcPr>
                  <w:tcW w:w="652" w:type="pct"/>
                  <w:tcBorders>
                    <w:tl2br w:val="nil"/>
                    <w:tr2bl w:val="nil"/>
                  </w:tcBorders>
                  <w:vAlign w:val="center"/>
                </w:tcPr>
                <w:p>
                  <w:pPr>
                    <w:snapToGrid w:val="0"/>
                    <w:spacing w:line="360" w:lineRule="exact"/>
                    <w:jc w:val="center"/>
                    <w:rPr>
                      <w:b w:val="0"/>
                      <w:bCs w:val="0"/>
                      <w:color w:val="FF0000"/>
                    </w:rPr>
                  </w:pPr>
                  <w:r>
                    <w:rPr>
                      <w:b w:val="0"/>
                      <w:bCs w:val="0"/>
                    </w:rPr>
                    <w:t>废</w:t>
                  </w:r>
                  <w:r>
                    <w:rPr>
                      <w:rFonts w:hint="eastAsia"/>
                      <w:b w:val="0"/>
                      <w:bCs w:val="0"/>
                      <w:lang w:val="en-US" w:eastAsia="zh-CN"/>
                    </w:rPr>
                    <w:t>机</w:t>
                  </w:r>
                  <w:r>
                    <w:rPr>
                      <w:b w:val="0"/>
                      <w:bCs w:val="0"/>
                    </w:rPr>
                    <w:t>油</w:t>
                  </w:r>
                </w:p>
              </w:tc>
              <w:tc>
                <w:tcPr>
                  <w:tcW w:w="798" w:type="pct"/>
                  <w:vMerge w:val="restart"/>
                  <w:tcBorders>
                    <w:tl2br w:val="nil"/>
                    <w:tr2bl w:val="nil"/>
                  </w:tcBorders>
                  <w:vAlign w:val="center"/>
                </w:tcPr>
                <w:p>
                  <w:pPr>
                    <w:snapToGrid w:val="0"/>
                    <w:spacing w:line="360" w:lineRule="exact"/>
                    <w:jc w:val="center"/>
                    <w:rPr>
                      <w:b w:val="0"/>
                      <w:bCs w:val="0"/>
                      <w:color w:val="FF0000"/>
                    </w:rPr>
                  </w:pPr>
                  <w:r>
                    <w:rPr>
                      <w:b w:val="0"/>
                      <w:bCs w:val="0"/>
                    </w:rPr>
                    <w:t>HW08废矿物油与含矿物油废物</w:t>
                  </w:r>
                </w:p>
              </w:tc>
              <w:tc>
                <w:tcPr>
                  <w:tcW w:w="783" w:type="pct"/>
                  <w:tcBorders>
                    <w:tl2br w:val="nil"/>
                    <w:tr2bl w:val="nil"/>
                  </w:tcBorders>
                  <w:vAlign w:val="center"/>
                </w:tcPr>
                <w:p>
                  <w:pPr>
                    <w:snapToGrid w:val="0"/>
                    <w:spacing w:line="360" w:lineRule="exact"/>
                    <w:jc w:val="center"/>
                    <w:rPr>
                      <w:b w:val="0"/>
                      <w:bCs w:val="0"/>
                      <w:color w:val="FF0000"/>
                    </w:rPr>
                  </w:pPr>
                  <w:r>
                    <w:rPr>
                      <w:b w:val="0"/>
                      <w:bCs w:val="0"/>
                    </w:rPr>
                    <w:t>900-2</w:t>
                  </w:r>
                  <w:r>
                    <w:rPr>
                      <w:rFonts w:hint="eastAsia"/>
                      <w:b w:val="0"/>
                      <w:bCs w:val="0"/>
                      <w:lang w:val="en-US" w:eastAsia="zh-CN"/>
                    </w:rPr>
                    <w:t>49</w:t>
                  </w:r>
                  <w:r>
                    <w:rPr>
                      <w:b w:val="0"/>
                      <w:bCs w:val="0"/>
                    </w:rPr>
                    <w:t>-08</w:t>
                  </w:r>
                </w:p>
              </w:tc>
              <w:tc>
                <w:tcPr>
                  <w:tcW w:w="414" w:type="pct"/>
                  <w:vMerge w:val="restart"/>
                  <w:tcBorders>
                    <w:tl2br w:val="nil"/>
                    <w:tr2bl w:val="nil"/>
                  </w:tcBorders>
                  <w:vAlign w:val="center"/>
                </w:tcPr>
                <w:p>
                  <w:pPr>
                    <w:snapToGrid w:val="0"/>
                    <w:spacing w:line="360" w:lineRule="exact"/>
                    <w:jc w:val="center"/>
                    <w:rPr>
                      <w:b w:val="0"/>
                      <w:bCs w:val="0"/>
                      <w:color w:val="FF0000"/>
                      <w:shd w:val="clear" w:color="FFFFFF" w:fill="D9D9D9"/>
                    </w:rPr>
                  </w:pPr>
                  <w:r>
                    <w:rPr>
                      <w:rFonts w:hint="eastAsia"/>
                      <w:b w:val="0"/>
                      <w:bCs w:val="0"/>
                    </w:rPr>
                    <w:t>生产车间内东北侧</w:t>
                  </w:r>
                </w:p>
              </w:tc>
              <w:tc>
                <w:tcPr>
                  <w:tcW w:w="443" w:type="pct"/>
                  <w:vMerge w:val="restart"/>
                  <w:tcBorders>
                    <w:tl2br w:val="nil"/>
                    <w:tr2bl w:val="nil"/>
                  </w:tcBorders>
                  <w:vAlign w:val="center"/>
                </w:tcPr>
                <w:p>
                  <w:pPr>
                    <w:snapToGrid w:val="0"/>
                    <w:spacing w:line="360" w:lineRule="exact"/>
                    <w:jc w:val="center"/>
                    <w:rPr>
                      <w:b w:val="0"/>
                      <w:bCs w:val="0"/>
                      <w:color w:val="FF0000"/>
                    </w:rPr>
                  </w:pPr>
                  <w:r>
                    <w:rPr>
                      <w:rFonts w:hint="eastAsia"/>
                      <w:b w:val="0"/>
                      <w:bCs w:val="0"/>
                    </w:rPr>
                    <w:t>6</w:t>
                  </w:r>
                  <w:r>
                    <w:rPr>
                      <w:b w:val="0"/>
                      <w:bCs w:val="0"/>
                    </w:rPr>
                    <w:t>m</w:t>
                  </w:r>
                  <w:r>
                    <w:rPr>
                      <w:b w:val="0"/>
                      <w:bCs w:val="0"/>
                      <w:vertAlign w:val="superscript"/>
                    </w:rPr>
                    <w:t>2</w:t>
                  </w:r>
                </w:p>
              </w:tc>
              <w:tc>
                <w:tcPr>
                  <w:tcW w:w="583" w:type="pct"/>
                  <w:vMerge w:val="restart"/>
                  <w:tcBorders>
                    <w:tl2br w:val="nil"/>
                    <w:tr2bl w:val="nil"/>
                  </w:tcBorders>
                  <w:vAlign w:val="center"/>
                </w:tcPr>
                <w:p>
                  <w:pPr>
                    <w:snapToGrid w:val="0"/>
                    <w:spacing w:line="360" w:lineRule="exact"/>
                    <w:jc w:val="center"/>
                    <w:rPr>
                      <w:b w:val="0"/>
                      <w:bCs w:val="0"/>
                      <w:color w:val="FF0000"/>
                    </w:rPr>
                  </w:pPr>
                  <w:r>
                    <w:rPr>
                      <w:b w:val="0"/>
                      <w:bCs w:val="0"/>
                    </w:rPr>
                    <w:t>专用容器储存</w:t>
                  </w:r>
                </w:p>
              </w:tc>
              <w:tc>
                <w:tcPr>
                  <w:tcW w:w="424" w:type="pct"/>
                  <w:vMerge w:val="restart"/>
                  <w:tcBorders>
                    <w:tl2br w:val="nil"/>
                    <w:tr2bl w:val="nil"/>
                  </w:tcBorders>
                  <w:vAlign w:val="center"/>
                </w:tcPr>
                <w:p>
                  <w:pPr>
                    <w:snapToGrid w:val="0"/>
                    <w:spacing w:line="360" w:lineRule="exact"/>
                    <w:jc w:val="center"/>
                    <w:rPr>
                      <w:b w:val="0"/>
                      <w:bCs w:val="0"/>
                      <w:color w:val="FF0000"/>
                    </w:rPr>
                  </w:pPr>
                  <w:r>
                    <w:rPr>
                      <w:rFonts w:hint="eastAsia"/>
                      <w:b w:val="0"/>
                      <w:bCs w:val="0"/>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2" w:type="pct"/>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2</w:t>
                  </w:r>
                </w:p>
              </w:tc>
              <w:tc>
                <w:tcPr>
                  <w:tcW w:w="637" w:type="pct"/>
                  <w:vMerge w:val="continue"/>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p>
              </w:tc>
              <w:tc>
                <w:tcPr>
                  <w:tcW w:w="652" w:type="pct"/>
                  <w:tcBorders>
                    <w:tl2br w:val="nil"/>
                    <w:tr2bl w:val="nil"/>
                  </w:tcBorders>
                  <w:vAlign w:val="center"/>
                </w:tcPr>
                <w:p>
                  <w:pPr>
                    <w:snapToGrid w:val="0"/>
                    <w:spacing w:line="360" w:lineRule="exact"/>
                    <w:jc w:val="center"/>
                    <w:rPr>
                      <w:rFonts w:hint="default" w:eastAsia="宋体"/>
                      <w:b w:val="0"/>
                      <w:bCs w:val="0"/>
                      <w:lang w:val="en-US" w:eastAsia="zh-CN"/>
                    </w:rPr>
                  </w:pPr>
                  <w:r>
                    <w:rPr>
                      <w:rFonts w:hint="eastAsia"/>
                      <w:b w:val="0"/>
                      <w:bCs w:val="0"/>
                      <w:lang w:val="en-US" w:eastAsia="zh-CN"/>
                    </w:rPr>
                    <w:t>废液压油</w:t>
                  </w:r>
                </w:p>
              </w:tc>
              <w:tc>
                <w:tcPr>
                  <w:tcW w:w="798" w:type="pct"/>
                  <w:vMerge w:val="continue"/>
                  <w:tcBorders>
                    <w:tl2br w:val="nil"/>
                    <w:tr2bl w:val="nil"/>
                  </w:tcBorders>
                  <w:vAlign w:val="center"/>
                </w:tcPr>
                <w:p>
                  <w:pPr>
                    <w:snapToGrid w:val="0"/>
                    <w:spacing w:line="360" w:lineRule="exact"/>
                    <w:jc w:val="center"/>
                    <w:rPr>
                      <w:b w:val="0"/>
                      <w:bCs w:val="0"/>
                    </w:rPr>
                  </w:pPr>
                </w:p>
              </w:tc>
              <w:tc>
                <w:tcPr>
                  <w:tcW w:w="783" w:type="pct"/>
                  <w:tcBorders>
                    <w:tl2br w:val="nil"/>
                    <w:tr2bl w:val="nil"/>
                  </w:tcBorders>
                  <w:vAlign w:val="center"/>
                </w:tcPr>
                <w:p>
                  <w:pPr>
                    <w:snapToGrid w:val="0"/>
                    <w:spacing w:line="360" w:lineRule="exact"/>
                    <w:jc w:val="center"/>
                    <w:rPr>
                      <w:b w:val="0"/>
                      <w:bCs w:val="0"/>
                    </w:rPr>
                  </w:pPr>
                  <w:r>
                    <w:rPr>
                      <w:b w:val="0"/>
                      <w:bCs w:val="0"/>
                    </w:rPr>
                    <w:t>900-2</w:t>
                  </w:r>
                  <w:r>
                    <w:rPr>
                      <w:rFonts w:hint="eastAsia"/>
                      <w:b w:val="0"/>
                      <w:bCs w:val="0"/>
                      <w:lang w:val="en-US" w:eastAsia="zh-CN"/>
                    </w:rPr>
                    <w:t>18</w:t>
                  </w:r>
                  <w:r>
                    <w:rPr>
                      <w:b w:val="0"/>
                      <w:bCs w:val="0"/>
                    </w:rPr>
                    <w:t>-08</w:t>
                  </w:r>
                </w:p>
              </w:tc>
              <w:tc>
                <w:tcPr>
                  <w:tcW w:w="414" w:type="pct"/>
                  <w:vMerge w:val="continue"/>
                  <w:tcBorders>
                    <w:tl2br w:val="nil"/>
                    <w:tr2bl w:val="nil"/>
                  </w:tcBorders>
                  <w:vAlign w:val="center"/>
                </w:tcPr>
                <w:p>
                  <w:pPr>
                    <w:snapToGrid w:val="0"/>
                    <w:spacing w:line="360" w:lineRule="exact"/>
                    <w:jc w:val="center"/>
                    <w:rPr>
                      <w:rFonts w:hint="eastAsia"/>
                      <w:b w:val="0"/>
                      <w:bCs w:val="0"/>
                    </w:rPr>
                  </w:pPr>
                </w:p>
              </w:tc>
              <w:tc>
                <w:tcPr>
                  <w:tcW w:w="443" w:type="pct"/>
                  <w:vMerge w:val="continue"/>
                  <w:tcBorders>
                    <w:tl2br w:val="nil"/>
                    <w:tr2bl w:val="nil"/>
                  </w:tcBorders>
                  <w:vAlign w:val="center"/>
                </w:tcPr>
                <w:p>
                  <w:pPr>
                    <w:snapToGrid w:val="0"/>
                    <w:spacing w:line="360" w:lineRule="exact"/>
                    <w:jc w:val="center"/>
                    <w:rPr>
                      <w:rFonts w:hint="eastAsia"/>
                      <w:b w:val="0"/>
                      <w:bCs w:val="0"/>
                    </w:rPr>
                  </w:pPr>
                </w:p>
              </w:tc>
              <w:tc>
                <w:tcPr>
                  <w:tcW w:w="583" w:type="pct"/>
                  <w:vMerge w:val="continue"/>
                  <w:tcBorders>
                    <w:tl2br w:val="nil"/>
                    <w:tr2bl w:val="nil"/>
                  </w:tcBorders>
                  <w:vAlign w:val="center"/>
                </w:tcPr>
                <w:p>
                  <w:pPr>
                    <w:snapToGrid w:val="0"/>
                    <w:spacing w:line="360" w:lineRule="exact"/>
                    <w:jc w:val="center"/>
                    <w:rPr>
                      <w:b w:val="0"/>
                      <w:bCs w:val="0"/>
                    </w:rPr>
                  </w:pPr>
                </w:p>
              </w:tc>
              <w:tc>
                <w:tcPr>
                  <w:tcW w:w="424" w:type="pct"/>
                  <w:vMerge w:val="continue"/>
                  <w:tcBorders>
                    <w:tl2br w:val="nil"/>
                    <w:tr2bl w:val="nil"/>
                  </w:tcBorders>
                  <w:vAlign w:val="center"/>
                </w:tcPr>
                <w:p>
                  <w:pPr>
                    <w:snapToGrid w:val="0"/>
                    <w:spacing w:line="360" w:lineRule="exact"/>
                    <w:jc w:val="center"/>
                    <w:rPr>
                      <w:rFonts w:hint="eastAsia"/>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2" w:type="pct"/>
                  <w:tcBorders>
                    <w:tl2br w:val="nil"/>
                    <w:tr2bl w:val="nil"/>
                  </w:tcBorders>
                  <w:vAlign w:val="center"/>
                </w:tcPr>
                <w:p>
                  <w:pPr>
                    <w:snapToGrid w:val="0"/>
                    <w:spacing w:line="360" w:lineRule="exact"/>
                    <w:jc w:val="center"/>
                    <w:rPr>
                      <w:rFonts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b w:val="0"/>
                      <w:bCs w:val="0"/>
                      <w:color w:val="000000" w:themeColor="text1"/>
                      <w14:textFill>
                        <w14:solidFill>
                          <w14:schemeClr w14:val="tx1"/>
                        </w14:solidFill>
                      </w14:textFill>
                    </w:rPr>
                    <w:t>3</w:t>
                  </w:r>
                </w:p>
              </w:tc>
              <w:tc>
                <w:tcPr>
                  <w:tcW w:w="637" w:type="pct"/>
                  <w:vMerge w:val="continue"/>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p>
              </w:tc>
              <w:tc>
                <w:tcPr>
                  <w:tcW w:w="652" w:type="pct"/>
                  <w:tcBorders>
                    <w:tl2br w:val="nil"/>
                    <w:tr2bl w:val="nil"/>
                  </w:tcBorders>
                  <w:vAlign w:val="center"/>
                </w:tcPr>
                <w:p>
                  <w:pPr>
                    <w:snapToGrid w:val="0"/>
                    <w:spacing w:line="360" w:lineRule="exact"/>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14:textFill>
                        <w14:solidFill>
                          <w14:schemeClr w14:val="tx1"/>
                        </w14:solidFill>
                      </w14:textFill>
                    </w:rPr>
                    <w:t>废</w:t>
                  </w:r>
                  <w:r>
                    <w:rPr>
                      <w:rFonts w:hint="eastAsia"/>
                      <w:b w:val="0"/>
                      <w:bCs w:val="0"/>
                      <w:color w:val="000000" w:themeColor="text1"/>
                      <w:lang w:val="en-US" w:eastAsia="zh-CN"/>
                      <w14:textFill>
                        <w14:solidFill>
                          <w14:schemeClr w14:val="tx1"/>
                        </w14:solidFill>
                      </w14:textFill>
                    </w:rPr>
                    <w:t>光氧</w:t>
                  </w:r>
                </w:p>
                <w:p>
                  <w:pPr>
                    <w:snapToGrid w:val="0"/>
                    <w:spacing w:line="360" w:lineRule="exact"/>
                    <w:jc w:val="center"/>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灯管</w:t>
                  </w:r>
                </w:p>
              </w:tc>
              <w:tc>
                <w:tcPr>
                  <w:tcW w:w="798" w:type="pct"/>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r>
                    <w:rPr>
                      <w:b w:val="0"/>
                      <w:bCs w:val="0"/>
                      <w:szCs w:val="21"/>
                    </w:rPr>
                    <w:t>HW</w:t>
                  </w:r>
                  <w:r>
                    <w:rPr>
                      <w:rFonts w:hint="eastAsia"/>
                      <w:b w:val="0"/>
                      <w:bCs w:val="0"/>
                      <w:szCs w:val="21"/>
                    </w:rPr>
                    <w:t>29含汞</w:t>
                  </w:r>
                  <w:r>
                    <w:rPr>
                      <w:b w:val="0"/>
                      <w:bCs w:val="0"/>
                      <w:szCs w:val="21"/>
                    </w:rPr>
                    <w:t>废物</w:t>
                  </w:r>
                </w:p>
              </w:tc>
              <w:tc>
                <w:tcPr>
                  <w:tcW w:w="783" w:type="pct"/>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r>
                    <w:rPr>
                      <w:rFonts w:hint="eastAsia"/>
                      <w:b w:val="0"/>
                      <w:bCs w:val="0"/>
                      <w:color w:val="000000" w:themeColor="text1"/>
                      <w:szCs w:val="21"/>
                      <w14:textFill>
                        <w14:solidFill>
                          <w14:schemeClr w14:val="tx1"/>
                        </w14:solidFill>
                      </w14:textFill>
                    </w:rPr>
                    <w:t>900-023-29</w:t>
                  </w:r>
                </w:p>
              </w:tc>
              <w:tc>
                <w:tcPr>
                  <w:tcW w:w="414" w:type="pct"/>
                  <w:vMerge w:val="continue"/>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p>
              </w:tc>
              <w:tc>
                <w:tcPr>
                  <w:tcW w:w="443" w:type="pct"/>
                  <w:vMerge w:val="continue"/>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p>
              </w:tc>
              <w:tc>
                <w:tcPr>
                  <w:tcW w:w="583" w:type="pct"/>
                  <w:vMerge w:val="restart"/>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设置围堰单独存放</w:t>
                  </w:r>
                </w:p>
              </w:tc>
              <w:tc>
                <w:tcPr>
                  <w:tcW w:w="424" w:type="pct"/>
                  <w:vMerge w:val="continue"/>
                  <w:tcBorders>
                    <w:tl2br w:val="nil"/>
                    <w:tr2bl w:val="nil"/>
                  </w:tcBorders>
                  <w:vAlign w:val="center"/>
                </w:tcPr>
                <w:p>
                  <w:pPr>
                    <w:snapToGrid w:val="0"/>
                    <w:spacing w:line="360" w:lineRule="exact"/>
                    <w:jc w:val="cente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2" w:type="pct"/>
                  <w:tcBorders>
                    <w:tl2br w:val="nil"/>
                    <w:tr2bl w:val="nil"/>
                  </w:tcBorders>
                  <w:vAlign w:val="center"/>
                </w:tcPr>
                <w:p>
                  <w:pPr>
                    <w:snapToGrid w:val="0"/>
                    <w:spacing w:line="360" w:lineRule="exact"/>
                    <w:jc w:val="center"/>
                    <w:rPr>
                      <w:rFonts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pPr>
                  <w:r>
                    <w:rPr>
                      <w:rFonts w:hint="eastAsia"/>
                      <w:b w:val="0"/>
                      <w:bCs w:val="0"/>
                      <w:color w:val="000000" w:themeColor="text1"/>
                      <w14:textFill>
                        <w14:solidFill>
                          <w14:schemeClr w14:val="tx1"/>
                        </w14:solidFill>
                      </w14:textFill>
                    </w:rPr>
                    <w:t>4</w:t>
                  </w:r>
                </w:p>
              </w:tc>
              <w:tc>
                <w:tcPr>
                  <w:tcW w:w="637" w:type="pct"/>
                  <w:vMerge w:val="continue"/>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p>
              </w:tc>
              <w:tc>
                <w:tcPr>
                  <w:tcW w:w="652" w:type="pct"/>
                  <w:tcBorders>
                    <w:tl2br w:val="nil"/>
                    <w:tr2bl w:val="nil"/>
                  </w:tcBorders>
                  <w:vAlign w:val="center"/>
                </w:tcPr>
                <w:p>
                  <w:pPr>
                    <w:snapToGrid w:val="0"/>
                    <w:spacing w:line="360" w:lineRule="exact"/>
                    <w:jc w:val="center"/>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废活性炭</w:t>
                  </w:r>
                </w:p>
              </w:tc>
              <w:tc>
                <w:tcPr>
                  <w:tcW w:w="798" w:type="pct"/>
                  <w:tcBorders>
                    <w:tl2br w:val="nil"/>
                    <w:tr2bl w:val="nil"/>
                  </w:tcBorders>
                  <w:vAlign w:val="center"/>
                </w:tcPr>
                <w:p>
                  <w:pPr>
                    <w:snapToGrid w:val="0"/>
                    <w:spacing w:line="360" w:lineRule="exact"/>
                    <w:jc w:val="center"/>
                    <w:rPr>
                      <w:b w:val="0"/>
                      <w:bCs w:val="0"/>
                    </w:rPr>
                  </w:pPr>
                  <w:r>
                    <w:rPr>
                      <w:b w:val="0"/>
                      <w:bCs w:val="0"/>
                      <w:szCs w:val="21"/>
                    </w:rPr>
                    <w:t>HW49其他废物</w:t>
                  </w:r>
                </w:p>
              </w:tc>
              <w:tc>
                <w:tcPr>
                  <w:tcW w:w="783" w:type="pct"/>
                  <w:tcBorders>
                    <w:tl2br w:val="nil"/>
                    <w:tr2bl w:val="nil"/>
                  </w:tcBorders>
                  <w:vAlign w:val="center"/>
                </w:tcPr>
                <w:p>
                  <w:pPr>
                    <w:snapToGrid w:val="0"/>
                    <w:spacing w:line="360" w:lineRule="exact"/>
                    <w:jc w:val="center"/>
                    <w:rPr>
                      <w:b w:val="0"/>
                      <w:bCs w:val="0"/>
                    </w:rPr>
                  </w:pPr>
                  <w:r>
                    <w:rPr>
                      <w:b w:val="0"/>
                      <w:bCs w:val="0"/>
                      <w:szCs w:val="21"/>
                    </w:rPr>
                    <w:t>900-0</w:t>
                  </w:r>
                  <w:r>
                    <w:rPr>
                      <w:rFonts w:hint="eastAsia"/>
                      <w:b w:val="0"/>
                      <w:bCs w:val="0"/>
                      <w:szCs w:val="21"/>
                    </w:rPr>
                    <w:t>39</w:t>
                  </w:r>
                  <w:r>
                    <w:rPr>
                      <w:b w:val="0"/>
                      <w:bCs w:val="0"/>
                      <w:szCs w:val="21"/>
                    </w:rPr>
                    <w:t>-49</w:t>
                  </w:r>
                </w:p>
              </w:tc>
              <w:tc>
                <w:tcPr>
                  <w:tcW w:w="414" w:type="pct"/>
                  <w:vMerge w:val="continue"/>
                  <w:tcBorders>
                    <w:tl2br w:val="nil"/>
                    <w:tr2bl w:val="nil"/>
                  </w:tcBorders>
                  <w:vAlign w:val="center"/>
                </w:tcPr>
                <w:p>
                  <w:pPr>
                    <w:snapToGrid w:val="0"/>
                    <w:spacing w:line="360" w:lineRule="exact"/>
                    <w:jc w:val="center"/>
                    <w:rPr>
                      <w:b w:val="0"/>
                      <w:bCs w:val="0"/>
                    </w:rPr>
                  </w:pPr>
                </w:p>
              </w:tc>
              <w:tc>
                <w:tcPr>
                  <w:tcW w:w="443" w:type="pct"/>
                  <w:vMerge w:val="continue"/>
                  <w:tcBorders>
                    <w:tl2br w:val="nil"/>
                    <w:tr2bl w:val="nil"/>
                  </w:tcBorders>
                  <w:vAlign w:val="center"/>
                </w:tcPr>
                <w:p>
                  <w:pPr>
                    <w:snapToGrid w:val="0"/>
                    <w:spacing w:line="360" w:lineRule="exact"/>
                    <w:jc w:val="center"/>
                    <w:rPr>
                      <w:b w:val="0"/>
                      <w:bCs w:val="0"/>
                    </w:rPr>
                  </w:pPr>
                </w:p>
              </w:tc>
              <w:tc>
                <w:tcPr>
                  <w:tcW w:w="583" w:type="pct"/>
                  <w:vMerge w:val="continue"/>
                  <w:tcBorders>
                    <w:tl2br w:val="nil"/>
                    <w:tr2bl w:val="nil"/>
                  </w:tcBorders>
                  <w:vAlign w:val="center"/>
                </w:tcPr>
                <w:p>
                  <w:pPr>
                    <w:snapToGrid w:val="0"/>
                    <w:spacing w:line="360" w:lineRule="exact"/>
                    <w:jc w:val="center"/>
                    <w:rPr>
                      <w:b w:val="0"/>
                      <w:bCs w:val="0"/>
                    </w:rPr>
                  </w:pPr>
                </w:p>
              </w:tc>
              <w:tc>
                <w:tcPr>
                  <w:tcW w:w="424" w:type="pct"/>
                  <w:vMerge w:val="continue"/>
                  <w:tcBorders>
                    <w:tl2br w:val="nil"/>
                    <w:tr2bl w:val="nil"/>
                  </w:tcBorders>
                  <w:vAlign w:val="center"/>
                </w:tcPr>
                <w:p>
                  <w:pPr>
                    <w:snapToGrid w:val="0"/>
                    <w:spacing w:line="360" w:lineRule="exact"/>
                    <w:jc w:val="center"/>
                    <w:rPr>
                      <w:b w:val="0"/>
                      <w:bCs w:val="0"/>
                    </w:rPr>
                  </w:pPr>
                </w:p>
              </w:tc>
            </w:tr>
          </w:tbl>
          <w:p>
            <w:pPr>
              <w:spacing w:line="360" w:lineRule="auto"/>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项目产生的</w:t>
            </w:r>
            <w:r>
              <w:rPr>
                <w:rFonts w:hint="eastAsia"/>
                <w:color w:val="000000" w:themeColor="text1"/>
                <w:sz w:val="24"/>
                <w:szCs w:val="32"/>
                <w14:textFill>
                  <w14:solidFill>
                    <w14:schemeClr w14:val="tx1"/>
                  </w14:solidFill>
                </w14:textFill>
              </w:rPr>
              <w:t>固体废物</w:t>
            </w:r>
            <w:r>
              <w:rPr>
                <w:color w:val="000000" w:themeColor="text1"/>
                <w:sz w:val="24"/>
                <w:szCs w:val="32"/>
                <w14:textFill>
                  <w14:solidFill>
                    <w14:schemeClr w14:val="tx1"/>
                  </w14:solidFill>
                </w14:textFill>
              </w:rPr>
              <w:t>采用上述方案后对周围环境影响较小。</w:t>
            </w:r>
          </w:p>
          <w:p>
            <w:pPr>
              <w:pStyle w:val="5"/>
              <w:jc w:val="both"/>
              <w:outlineLvl w:val="0"/>
              <w:rPr>
                <w:rFonts w:hAnsi="宋体"/>
                <w:color w:val="000000" w:themeColor="text1"/>
                <w:sz w:val="24"/>
                <w:szCs w:val="24"/>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5</w:t>
            </w:r>
            <w:r>
              <w:rPr>
                <w:rFonts w:hint="eastAsia" w:hAnsi="宋体"/>
                <w:color w:val="000000" w:themeColor="text1"/>
                <w:sz w:val="24"/>
                <w:szCs w:val="24"/>
                <w14:textFill>
                  <w14:solidFill>
                    <w14:schemeClr w14:val="tx1"/>
                  </w14:solidFill>
                </w14:textFill>
              </w:rPr>
              <w:t>、环保措施及投资估算</w:t>
            </w:r>
          </w:p>
          <w:p>
            <w:pPr>
              <w:pStyle w:val="5"/>
              <w:ind w:firstLine="480" w:firstLineChars="200"/>
              <w:outlineLvl w:val="0"/>
              <w:rPr>
                <w:b w:val="0"/>
                <w:bCs w:val="0"/>
                <w:color w:val="000000" w:themeColor="text1"/>
                <w:sz w:val="24"/>
                <w:szCs w:val="24"/>
                <w14:textFill>
                  <w14:solidFill>
                    <w14:schemeClr w14:val="tx1"/>
                  </w14:solidFill>
                </w14:textFill>
              </w:rPr>
            </w:pPr>
            <w:r>
              <w:rPr>
                <w:rFonts w:hAnsi="宋体"/>
                <w:b w:val="0"/>
                <w:bCs w:val="0"/>
                <w:color w:val="000000" w:themeColor="text1"/>
                <w:sz w:val="24"/>
                <w:szCs w:val="24"/>
                <w14:textFill>
                  <w14:solidFill>
                    <w14:schemeClr w14:val="tx1"/>
                  </w14:solidFill>
                </w14:textFill>
              </w:rPr>
              <w:t>本项目总投</w:t>
            </w:r>
            <w:r>
              <w:rPr>
                <w:rFonts w:hint="eastAsia" w:hAnsi="宋体"/>
                <w:b w:val="0"/>
                <w:bCs w:val="0"/>
                <w:color w:val="000000" w:themeColor="text1"/>
                <w:sz w:val="24"/>
                <w:szCs w:val="24"/>
                <w14:textFill>
                  <w14:solidFill>
                    <w14:schemeClr w14:val="tx1"/>
                  </w14:solidFill>
                </w14:textFill>
              </w:rPr>
              <w:t>资为</w:t>
            </w:r>
            <w:r>
              <w:rPr>
                <w:rFonts w:hint="eastAsia"/>
                <w:b w:val="0"/>
                <w:bCs w:val="0"/>
                <w:color w:val="000000" w:themeColor="text1"/>
                <w:sz w:val="24"/>
                <w:szCs w:val="24"/>
                <w:highlight w:val="none"/>
                <w:shd w:val="clear"/>
                <w:lang w:val="en-US" w:eastAsia="zh-CN"/>
                <w14:textFill>
                  <w14:solidFill>
                    <w14:schemeClr w14:val="tx1"/>
                  </w14:solidFill>
                </w14:textFill>
              </w:rPr>
              <w:t>5</w:t>
            </w:r>
            <w:r>
              <w:rPr>
                <w:rFonts w:hint="eastAsia"/>
                <w:b w:val="0"/>
                <w:bCs w:val="0"/>
                <w:color w:val="000000" w:themeColor="text1"/>
                <w:sz w:val="24"/>
                <w:szCs w:val="24"/>
                <w:highlight w:val="none"/>
                <w:shd w:val="clear"/>
                <w14:textFill>
                  <w14:solidFill>
                    <w14:schemeClr w14:val="tx1"/>
                  </w14:solidFill>
                </w14:textFill>
              </w:rPr>
              <w:t>0</w:t>
            </w:r>
            <w:r>
              <w:rPr>
                <w:rFonts w:hAnsi="宋体"/>
                <w:b w:val="0"/>
                <w:bCs w:val="0"/>
                <w:color w:val="000000" w:themeColor="text1"/>
                <w:sz w:val="24"/>
                <w:szCs w:val="24"/>
                <w:highlight w:val="none"/>
                <w:shd w:val="clear"/>
                <w14:textFill>
                  <w14:solidFill>
                    <w14:schemeClr w14:val="tx1"/>
                  </w14:solidFill>
                </w14:textFill>
              </w:rPr>
              <w:t>万元，</w:t>
            </w:r>
            <w:r>
              <w:rPr>
                <w:rFonts w:hint="eastAsia" w:hAnsi="宋体"/>
                <w:b w:val="0"/>
                <w:bCs w:val="0"/>
                <w:color w:val="000000" w:themeColor="text1"/>
                <w:sz w:val="24"/>
                <w:szCs w:val="24"/>
                <w:highlight w:val="none"/>
                <w:shd w:val="clear"/>
                <w14:textFill>
                  <w14:solidFill>
                    <w14:schemeClr w14:val="tx1"/>
                  </w14:solidFill>
                </w14:textFill>
              </w:rPr>
              <w:t>其中</w:t>
            </w:r>
            <w:r>
              <w:rPr>
                <w:rFonts w:hAnsi="宋体"/>
                <w:b w:val="0"/>
                <w:bCs w:val="0"/>
                <w:color w:val="000000" w:themeColor="text1"/>
                <w:sz w:val="24"/>
                <w:szCs w:val="24"/>
                <w:highlight w:val="none"/>
                <w:shd w:val="clear"/>
                <w14:textFill>
                  <w14:solidFill>
                    <w14:schemeClr w14:val="tx1"/>
                  </w14:solidFill>
                </w14:textFill>
              </w:rPr>
              <w:t>环保投资</w:t>
            </w:r>
            <w:r>
              <w:rPr>
                <w:rFonts w:hint="eastAsia" w:hAnsi="宋体"/>
                <w:b w:val="0"/>
                <w:bCs w:val="0"/>
                <w:color w:val="000000" w:themeColor="text1"/>
                <w:sz w:val="24"/>
                <w:szCs w:val="24"/>
                <w:highlight w:val="none"/>
                <w:shd w:val="clear"/>
                <w14:textFill>
                  <w14:solidFill>
                    <w14:schemeClr w14:val="tx1"/>
                  </w14:solidFill>
                </w14:textFill>
              </w:rPr>
              <w:t>为</w:t>
            </w:r>
            <w:r>
              <w:rPr>
                <w:rFonts w:hint="eastAsia" w:hAnsi="宋体"/>
                <w:b w:val="0"/>
                <w:bCs w:val="0"/>
                <w:color w:val="000000" w:themeColor="text1"/>
                <w:sz w:val="24"/>
                <w:szCs w:val="24"/>
                <w:highlight w:val="none"/>
                <w:shd w:val="clear"/>
                <w:lang w:val="en-US" w:eastAsia="zh-CN"/>
                <w14:textFill>
                  <w14:solidFill>
                    <w14:schemeClr w14:val="tx1"/>
                  </w14:solidFill>
                </w14:textFill>
              </w:rPr>
              <w:t>13</w:t>
            </w:r>
            <w:r>
              <w:rPr>
                <w:rFonts w:hint="eastAsia" w:hAnsi="宋体"/>
                <w:b w:val="0"/>
                <w:bCs w:val="0"/>
                <w:color w:val="000000" w:themeColor="text1"/>
                <w:sz w:val="24"/>
                <w:szCs w:val="24"/>
                <w:highlight w:val="none"/>
                <w:shd w:val="clear"/>
                <w14:textFill>
                  <w14:solidFill>
                    <w14:schemeClr w14:val="tx1"/>
                  </w14:solidFill>
                </w14:textFill>
              </w:rPr>
              <w:t>.7</w:t>
            </w:r>
            <w:r>
              <w:rPr>
                <w:rFonts w:hAnsi="宋体"/>
                <w:b w:val="0"/>
                <w:bCs w:val="0"/>
                <w:color w:val="000000" w:themeColor="text1"/>
                <w:sz w:val="24"/>
                <w:szCs w:val="24"/>
                <w:highlight w:val="none"/>
                <w:shd w:val="clear"/>
                <w14:textFill>
                  <w14:solidFill>
                    <w14:schemeClr w14:val="tx1"/>
                  </w14:solidFill>
                </w14:textFill>
              </w:rPr>
              <w:t>万元，占总投资的</w:t>
            </w:r>
            <w:r>
              <w:rPr>
                <w:rFonts w:hint="eastAsia" w:hAnsi="宋体"/>
                <w:b w:val="0"/>
                <w:bCs w:val="0"/>
                <w:color w:val="000000" w:themeColor="text1"/>
                <w:sz w:val="24"/>
                <w:szCs w:val="24"/>
                <w:highlight w:val="none"/>
                <w:shd w:val="clear"/>
                <w:lang w:val="en-US" w:eastAsia="zh-CN"/>
                <w14:textFill>
                  <w14:solidFill>
                    <w14:schemeClr w14:val="tx1"/>
                  </w14:solidFill>
                </w14:textFill>
              </w:rPr>
              <w:t>27.4</w:t>
            </w:r>
            <w:r>
              <w:rPr>
                <w:rFonts w:hint="eastAsia" w:hAnsi="宋体"/>
                <w:b w:val="0"/>
                <w:bCs w:val="0"/>
                <w:color w:val="000000" w:themeColor="text1"/>
                <w:sz w:val="24"/>
                <w:szCs w:val="24"/>
                <w:highlight w:val="none"/>
                <w:shd w:val="clear"/>
                <w14:textFill>
                  <w14:solidFill>
                    <w14:schemeClr w14:val="tx1"/>
                  </w14:solidFill>
                </w14:textFill>
              </w:rPr>
              <w:t>%，</w:t>
            </w:r>
            <w:r>
              <w:rPr>
                <w:rFonts w:hint="eastAsia" w:hAnsi="宋体"/>
                <w:b w:val="0"/>
                <w:bCs w:val="0"/>
                <w:color w:val="000000" w:themeColor="text1"/>
                <w:sz w:val="24"/>
                <w:szCs w:val="24"/>
                <w14:textFill>
                  <w14:solidFill>
                    <w14:schemeClr w14:val="tx1"/>
                  </w14:solidFill>
                </w14:textFill>
              </w:rPr>
              <w:t>具体环保投资估算见下表。</w:t>
            </w:r>
          </w:p>
          <w:p>
            <w:pPr>
              <w:jc w:val="center"/>
              <w:rPr>
                <w:color w:val="000000" w:themeColor="text1"/>
                <w14:textFill>
                  <w14:solidFill>
                    <w14:schemeClr w14:val="tx1"/>
                  </w14:solidFill>
                </w14:textFill>
              </w:rPr>
            </w:pPr>
            <w:r>
              <w:rPr>
                <w:color w:val="000000" w:themeColor="text1"/>
                <w:sz w:val="24"/>
                <w:szCs w:val="32"/>
                <w14:textFill>
                  <w14:solidFill>
                    <w14:schemeClr w14:val="tx1"/>
                  </w14:solidFill>
                </w14:textFill>
              </w:rPr>
              <w:t>表4-</w:t>
            </w:r>
            <w:r>
              <w:rPr>
                <w:rFonts w:hint="eastAsia"/>
                <w:color w:val="000000" w:themeColor="text1"/>
                <w:sz w:val="24"/>
                <w:szCs w:val="32"/>
                <w14:textFill>
                  <w14:solidFill>
                    <w14:schemeClr w14:val="tx1"/>
                  </w14:solidFill>
                </w14:textFill>
              </w:rPr>
              <w:t>1</w:t>
            </w:r>
            <w:r>
              <w:rPr>
                <w:rFonts w:hint="eastAsia"/>
                <w:color w:val="000000" w:themeColor="text1"/>
                <w:sz w:val="24"/>
                <w:szCs w:val="32"/>
                <w:lang w:val="en-US" w:eastAsia="zh-CN"/>
                <w14:textFill>
                  <w14:solidFill>
                    <w14:schemeClr w14:val="tx1"/>
                  </w14:solidFill>
                </w14:textFill>
              </w:rPr>
              <w:t>2</w:t>
            </w:r>
            <w:r>
              <w:rPr>
                <w:color w:val="000000" w:themeColor="text1"/>
                <w:sz w:val="24"/>
                <w:szCs w:val="32"/>
                <w14:textFill>
                  <w14:solidFill>
                    <w14:schemeClr w14:val="tx1"/>
                  </w14:solidFill>
                </w14:textFill>
              </w:rPr>
              <w:t xml:space="preserve">  </w:t>
            </w:r>
            <w:r>
              <w:rPr>
                <w:rFonts w:hint="eastAsia"/>
                <w:sz w:val="24"/>
                <w:szCs w:val="24"/>
              </w:rPr>
              <w:t>“</w:t>
            </w:r>
            <w:r>
              <w:rPr>
                <w:sz w:val="24"/>
                <w:szCs w:val="24"/>
              </w:rPr>
              <w:t>三同时</w:t>
            </w:r>
            <w:r>
              <w:rPr>
                <w:rFonts w:hint="eastAsia"/>
                <w:sz w:val="24"/>
                <w:szCs w:val="24"/>
              </w:rPr>
              <w:t>”</w:t>
            </w:r>
            <w:r>
              <w:rPr>
                <w:sz w:val="24"/>
                <w:szCs w:val="24"/>
              </w:rPr>
              <w:t>验收</w:t>
            </w:r>
            <w:r>
              <w:rPr>
                <w:rFonts w:hint="eastAsia"/>
                <w:sz w:val="24"/>
                <w:szCs w:val="24"/>
              </w:rPr>
              <w:t>及环保投资</w:t>
            </w:r>
            <w:r>
              <w:rPr>
                <w:sz w:val="24"/>
                <w:szCs w:val="24"/>
              </w:rPr>
              <w:t>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8" w:type="dxa"/>
                <w:left w:w="108" w:type="dxa"/>
                <w:bottom w:w="68" w:type="dxa"/>
                <w:right w:w="108" w:type="dxa"/>
              </w:tblCellMar>
            </w:tblPr>
            <w:tblGrid>
              <w:gridCol w:w="437"/>
              <w:gridCol w:w="759"/>
              <w:gridCol w:w="2427"/>
              <w:gridCol w:w="959"/>
              <w:gridCol w:w="1048"/>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90" w:hRule="atLeast"/>
                <w:jc w:val="center"/>
              </w:trPr>
              <w:tc>
                <w:tcPr>
                  <w:tcW w:w="269" w:type="pct"/>
                  <w:tcBorders>
                    <w:tl2br w:val="nil"/>
                    <w:tr2bl w:val="nil"/>
                  </w:tcBorders>
                  <w:vAlign w:val="center"/>
                </w:tcPr>
                <w:p>
                  <w:pPr>
                    <w:snapToGrid w:val="0"/>
                    <w:spacing w:line="350" w:lineRule="exact"/>
                    <w:jc w:val="center"/>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序号</w:t>
                  </w:r>
                </w:p>
              </w:tc>
              <w:tc>
                <w:tcPr>
                  <w:tcW w:w="467" w:type="pct"/>
                  <w:tcBorders>
                    <w:tl2br w:val="nil"/>
                    <w:tr2bl w:val="nil"/>
                  </w:tcBorders>
                  <w:vAlign w:val="center"/>
                </w:tcPr>
                <w:p>
                  <w:pPr>
                    <w:snapToGrid w:val="0"/>
                    <w:spacing w:line="350" w:lineRule="exact"/>
                    <w:jc w:val="center"/>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污染工序</w:t>
                  </w:r>
                </w:p>
              </w:tc>
              <w:tc>
                <w:tcPr>
                  <w:tcW w:w="1494" w:type="pct"/>
                  <w:tcBorders>
                    <w:tl2br w:val="nil"/>
                    <w:tr2bl w:val="nil"/>
                  </w:tcBorders>
                  <w:vAlign w:val="center"/>
                </w:tcPr>
                <w:p>
                  <w:pPr>
                    <w:snapToGrid w:val="0"/>
                    <w:spacing w:line="350" w:lineRule="exact"/>
                    <w:jc w:val="center"/>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环保</w:t>
                  </w:r>
                  <w:r>
                    <w:rPr>
                      <w:rFonts w:hint="eastAsia"/>
                      <w:b w:val="0"/>
                      <w:bCs w:val="0"/>
                      <w:color w:val="000000" w:themeColor="text1"/>
                      <w14:textFill>
                        <w14:solidFill>
                          <w14:schemeClr w14:val="tx1"/>
                        </w14:solidFill>
                      </w14:textFill>
                    </w:rPr>
                    <w:t>设</w:t>
                  </w:r>
                  <w:r>
                    <w:rPr>
                      <w:b w:val="0"/>
                      <w:bCs w:val="0"/>
                      <w:color w:val="000000" w:themeColor="text1"/>
                      <w14:textFill>
                        <w14:solidFill>
                          <w14:schemeClr w14:val="tx1"/>
                        </w14:solidFill>
                      </w14:textFill>
                    </w:rPr>
                    <w:t>施</w:t>
                  </w:r>
                </w:p>
              </w:tc>
              <w:tc>
                <w:tcPr>
                  <w:tcW w:w="590" w:type="pct"/>
                  <w:tcBorders>
                    <w:tl2br w:val="nil"/>
                    <w:tr2bl w:val="nil"/>
                  </w:tcBorders>
                  <w:vAlign w:val="center"/>
                </w:tcPr>
                <w:p>
                  <w:pPr>
                    <w:snapToGrid w:val="0"/>
                    <w:spacing w:line="350" w:lineRule="exact"/>
                    <w:jc w:val="center"/>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数量</w:t>
                  </w:r>
                </w:p>
              </w:tc>
              <w:tc>
                <w:tcPr>
                  <w:tcW w:w="645" w:type="pct"/>
                  <w:tcBorders>
                    <w:tl2br w:val="nil"/>
                    <w:tr2bl w:val="nil"/>
                  </w:tcBorders>
                  <w:vAlign w:val="center"/>
                </w:tcPr>
                <w:p>
                  <w:pPr>
                    <w:snapToGrid w:val="0"/>
                    <w:spacing w:line="350" w:lineRule="exact"/>
                    <w:jc w:val="center"/>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投资</w:t>
                  </w:r>
                </w:p>
                <w:p>
                  <w:pPr>
                    <w:snapToGrid w:val="0"/>
                    <w:spacing w:line="350" w:lineRule="exact"/>
                    <w:jc w:val="center"/>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（万元）</w:t>
                  </w:r>
                </w:p>
              </w:tc>
              <w:tc>
                <w:tcPr>
                  <w:tcW w:w="1531" w:type="pct"/>
                  <w:tcBorders>
                    <w:tl2br w:val="nil"/>
                    <w:tr2bl w:val="nil"/>
                  </w:tcBorders>
                  <w:vAlign w:val="center"/>
                </w:tcPr>
                <w:p>
                  <w:pPr>
                    <w:snapToGrid w:val="0"/>
                    <w:spacing w:line="350" w:lineRule="exact"/>
                    <w:jc w:val="center"/>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603" w:hRule="atLeast"/>
                <w:jc w:val="center"/>
              </w:trPr>
              <w:tc>
                <w:tcPr>
                  <w:tcW w:w="269" w:type="pct"/>
                  <w:vMerge w:val="restart"/>
                  <w:tcBorders>
                    <w:tl2br w:val="nil"/>
                    <w:tr2bl w:val="nil"/>
                  </w:tcBorders>
                  <w:vAlign w:val="center"/>
                </w:tcPr>
                <w:p>
                  <w:pPr>
                    <w:snapToGrid w:val="0"/>
                    <w:spacing w:line="35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67" w:type="pct"/>
                  <w:vMerge w:val="restart"/>
                  <w:tcBorders>
                    <w:tl2br w:val="nil"/>
                    <w:tr2bl w:val="nil"/>
                  </w:tcBorders>
                  <w:vAlign w:val="center"/>
                </w:tcPr>
                <w:p>
                  <w:pPr>
                    <w:snapToGrid w:val="0"/>
                    <w:spacing w:line="350" w:lineRule="exact"/>
                    <w:jc w:val="center"/>
                    <w:rPr>
                      <w:color w:val="000000" w:themeColor="text1"/>
                      <w14:textFill>
                        <w14:solidFill>
                          <w14:schemeClr w14:val="tx1"/>
                        </w14:solidFill>
                      </w14:textFill>
                    </w:rPr>
                  </w:pPr>
                  <w:r>
                    <w:rPr>
                      <w:color w:val="000000" w:themeColor="text1"/>
                      <w14:textFill>
                        <w14:solidFill>
                          <w14:schemeClr w14:val="tx1"/>
                        </w14:solidFill>
                      </w14:textFill>
                    </w:rPr>
                    <w:t>废气</w:t>
                  </w:r>
                </w:p>
              </w:tc>
              <w:tc>
                <w:tcPr>
                  <w:tcW w:w="1494" w:type="pct"/>
                  <w:tcBorders>
                    <w:tl2br w:val="nil"/>
                    <w:tr2bl w:val="nil"/>
                  </w:tcBorders>
                  <w:vAlign w:val="center"/>
                </w:tcPr>
                <w:p>
                  <w:pPr>
                    <w:snapToGrid w:val="0"/>
                    <w:spacing w:line="350" w:lineRule="exact"/>
                    <w:jc w:val="center"/>
                    <w:rPr>
                      <w:b w:val="0"/>
                      <w:bCs w:val="0"/>
                      <w:color w:val="000000" w:themeColor="text1"/>
                      <w:highlight w:val="none"/>
                      <w:u w:val="none"/>
                      <w14:textFill>
                        <w14:solidFill>
                          <w14:schemeClr w14:val="tx1"/>
                        </w14:solidFill>
                      </w14:textFill>
                    </w:rPr>
                  </w:pPr>
                  <w:r>
                    <w:rPr>
                      <w:rFonts w:hint="eastAsia" w:ascii="Times New Roman" w:hAnsi="Times New Roman" w:eastAsia="宋体" w:cs="Times New Roman"/>
                      <w:spacing w:val="-2"/>
                      <w:sz w:val="21"/>
                      <w:szCs w:val="21"/>
                      <w:highlight w:val="none"/>
                      <w:lang w:val="en-US" w:eastAsia="zh-CN"/>
                    </w:rPr>
                    <w:t>焊接、打磨工序位于封闭的焊接间，焊接、打磨工序设集气罩，激光切割工序设引风管，收集的废气引入袋式除尘器1套处理后由15米高排气筒排放</w:t>
                  </w:r>
                  <w:r>
                    <w:rPr>
                      <w:rFonts w:hint="eastAsia"/>
                      <w:b w:val="0"/>
                      <w:bCs w:val="0"/>
                      <w:color w:val="000000" w:themeColor="text1"/>
                      <w:highlight w:val="none"/>
                      <w:u w:val="none"/>
                      <w14:textFill>
                        <w14:solidFill>
                          <w14:schemeClr w14:val="tx1"/>
                        </w14:solidFill>
                      </w14:textFill>
                    </w:rPr>
                    <w:t>（DA001）</w:t>
                  </w:r>
                </w:p>
              </w:tc>
              <w:tc>
                <w:tcPr>
                  <w:tcW w:w="590" w:type="pct"/>
                  <w:tcBorders>
                    <w:tl2br w:val="nil"/>
                    <w:tr2bl w:val="nil"/>
                  </w:tcBorders>
                  <w:vAlign w:val="center"/>
                </w:tcPr>
                <w:p>
                  <w:pPr>
                    <w:snapToGrid w:val="0"/>
                    <w:spacing w:line="350" w:lineRule="exact"/>
                    <w:jc w:val="center"/>
                    <w:rPr>
                      <w:b w:val="0"/>
                      <w:bCs w:val="0"/>
                      <w:color w:val="000000" w:themeColor="text1"/>
                      <w:highlight w:val="none"/>
                      <w:u w:val="none"/>
                      <w14:textFill>
                        <w14:solidFill>
                          <w14:schemeClr w14:val="tx1"/>
                        </w14:solidFill>
                      </w14:textFill>
                    </w:rPr>
                  </w:pPr>
                  <w:r>
                    <w:rPr>
                      <w:rFonts w:hint="eastAsia"/>
                      <w:b w:val="0"/>
                      <w:bCs w:val="0"/>
                      <w:color w:val="000000" w:themeColor="text1"/>
                      <w:highlight w:val="none"/>
                      <w:u w:val="none"/>
                      <w:lang w:val="en-US" w:eastAsia="zh-CN"/>
                      <w14:textFill>
                        <w14:solidFill>
                          <w14:schemeClr w14:val="tx1"/>
                        </w14:solidFill>
                      </w14:textFill>
                    </w:rPr>
                    <w:t>1</w:t>
                  </w:r>
                  <w:r>
                    <w:rPr>
                      <w:rFonts w:hint="eastAsia"/>
                      <w:b w:val="0"/>
                      <w:bCs w:val="0"/>
                      <w:color w:val="000000" w:themeColor="text1"/>
                      <w:highlight w:val="none"/>
                      <w:u w:val="none"/>
                      <w14:textFill>
                        <w14:solidFill>
                          <w14:schemeClr w14:val="tx1"/>
                        </w14:solidFill>
                      </w14:textFill>
                    </w:rPr>
                    <w:t>套</w:t>
                  </w:r>
                </w:p>
              </w:tc>
              <w:tc>
                <w:tcPr>
                  <w:tcW w:w="645" w:type="pct"/>
                  <w:tcBorders>
                    <w:tl2br w:val="nil"/>
                    <w:tr2bl w:val="nil"/>
                  </w:tcBorders>
                  <w:vAlign w:val="center"/>
                </w:tcPr>
                <w:p>
                  <w:pPr>
                    <w:snapToGrid w:val="0"/>
                    <w:spacing w:line="350" w:lineRule="exact"/>
                    <w:jc w:val="center"/>
                    <w:rPr>
                      <w:b w:val="0"/>
                      <w:bCs w:val="0"/>
                      <w:color w:val="000000" w:themeColor="text1"/>
                      <w:highlight w:val="none"/>
                      <w:u w:val="none"/>
                      <w14:textFill>
                        <w14:solidFill>
                          <w14:schemeClr w14:val="tx1"/>
                        </w14:solidFill>
                      </w14:textFill>
                    </w:rPr>
                  </w:pPr>
                  <w:r>
                    <w:rPr>
                      <w:rFonts w:hint="eastAsia"/>
                      <w:b w:val="0"/>
                      <w:bCs w:val="0"/>
                      <w:color w:val="000000" w:themeColor="text1"/>
                      <w:highlight w:val="none"/>
                      <w:u w:val="none"/>
                      <w:lang w:val="en-US" w:eastAsia="zh-CN"/>
                      <w14:textFill>
                        <w14:solidFill>
                          <w14:schemeClr w14:val="tx1"/>
                        </w14:solidFill>
                      </w14:textFill>
                    </w:rPr>
                    <w:t>5</w:t>
                  </w:r>
                  <w:r>
                    <w:rPr>
                      <w:rFonts w:hint="eastAsia"/>
                      <w:b w:val="0"/>
                      <w:bCs w:val="0"/>
                      <w:color w:val="000000" w:themeColor="text1"/>
                      <w:highlight w:val="none"/>
                      <w:u w:val="none"/>
                      <w14:textFill>
                        <w14:solidFill>
                          <w14:schemeClr w14:val="tx1"/>
                        </w14:solidFill>
                      </w14:textFill>
                    </w:rPr>
                    <w:t>.0</w:t>
                  </w:r>
                </w:p>
              </w:tc>
              <w:tc>
                <w:tcPr>
                  <w:tcW w:w="1531" w:type="pct"/>
                  <w:vMerge w:val="restart"/>
                  <w:tcBorders>
                    <w:tl2br w:val="nil"/>
                    <w:tr2bl w:val="nil"/>
                  </w:tcBorders>
                  <w:vAlign w:val="center"/>
                </w:tcPr>
                <w:p>
                  <w:pPr>
                    <w:snapToGrid w:val="0"/>
                    <w:spacing w:line="350" w:lineRule="exact"/>
                    <w:jc w:val="center"/>
                    <w:rPr>
                      <w:b w:val="0"/>
                      <w:bCs w:val="0"/>
                      <w:color w:val="FF0000"/>
                      <w:highlight w:val="yellow"/>
                      <w:u w:val="none"/>
                    </w:rPr>
                  </w:pPr>
                  <w:r>
                    <w:rPr>
                      <w:rFonts w:hint="default" w:ascii="Times New Roman" w:hAnsi="Times New Roman" w:eastAsia="宋体" w:cs="Times New Roman"/>
                      <w:b w:val="0"/>
                      <w:bCs w:val="0"/>
                      <w:color w:val="000000"/>
                      <w:sz w:val="21"/>
                      <w:szCs w:val="21"/>
                      <w:u w:val="none"/>
                    </w:rPr>
                    <w:t>《大气污染物综合排放标准》（GB16297-1996）表2二级标准。同时满足洛市环〔2021〕47号要求颗粒物10mg/m</w:t>
                  </w:r>
                  <w:r>
                    <w:rPr>
                      <w:rFonts w:hint="default" w:ascii="Times New Roman" w:hAnsi="Times New Roman" w:eastAsia="宋体" w:cs="Times New Roman"/>
                      <w:b w:val="0"/>
                      <w:bCs w:val="0"/>
                      <w:color w:val="000000"/>
                      <w:sz w:val="21"/>
                      <w:szCs w:val="21"/>
                      <w:u w:val="none"/>
                      <w:vertAlign w:val="superscript"/>
                    </w:rPr>
                    <w:t>3</w:t>
                  </w:r>
                  <w:r>
                    <w:rPr>
                      <w:rFonts w:hint="default" w:ascii="Times New Roman" w:hAnsi="Times New Roman" w:eastAsia="宋体" w:cs="Times New Roman"/>
                      <w:b w:val="0"/>
                      <w:bCs w:val="0"/>
                      <w:color w:val="000000"/>
                      <w:sz w:val="21"/>
                      <w:szCs w:val="21"/>
                      <w:u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509" w:hRule="atLeast"/>
                <w:jc w:val="center"/>
              </w:trPr>
              <w:tc>
                <w:tcPr>
                  <w:tcW w:w="269" w:type="pct"/>
                  <w:vMerge w:val="continue"/>
                  <w:tcBorders>
                    <w:tl2br w:val="nil"/>
                    <w:tr2bl w:val="nil"/>
                  </w:tcBorders>
                  <w:vAlign w:val="center"/>
                </w:tcPr>
                <w:p>
                  <w:pPr>
                    <w:snapToGrid w:val="0"/>
                    <w:spacing w:line="350" w:lineRule="exact"/>
                    <w:jc w:val="center"/>
                    <w:rPr>
                      <w:color w:val="000000" w:themeColor="text1"/>
                      <w14:textFill>
                        <w14:solidFill>
                          <w14:schemeClr w14:val="tx1"/>
                        </w14:solidFill>
                      </w14:textFill>
                    </w:rPr>
                  </w:pPr>
                </w:p>
              </w:tc>
              <w:tc>
                <w:tcPr>
                  <w:tcW w:w="467" w:type="pct"/>
                  <w:vMerge w:val="continue"/>
                  <w:tcBorders>
                    <w:tl2br w:val="nil"/>
                    <w:tr2bl w:val="nil"/>
                  </w:tcBorders>
                  <w:vAlign w:val="center"/>
                </w:tcPr>
                <w:p>
                  <w:pPr>
                    <w:snapToGrid w:val="0"/>
                    <w:spacing w:line="350" w:lineRule="exact"/>
                    <w:jc w:val="center"/>
                    <w:rPr>
                      <w:color w:val="000000" w:themeColor="text1"/>
                      <w14:textFill>
                        <w14:solidFill>
                          <w14:schemeClr w14:val="tx1"/>
                        </w14:solidFill>
                      </w14:textFill>
                    </w:rPr>
                  </w:pPr>
                </w:p>
              </w:tc>
              <w:tc>
                <w:tcPr>
                  <w:tcW w:w="1494" w:type="pct"/>
                  <w:tcBorders>
                    <w:tl2br w:val="nil"/>
                    <w:tr2bl w:val="nil"/>
                  </w:tcBorders>
                  <w:vAlign w:val="center"/>
                </w:tcPr>
                <w:p>
                  <w:pPr>
                    <w:snapToGrid w:val="0"/>
                    <w:spacing w:line="350" w:lineRule="exact"/>
                    <w:jc w:val="center"/>
                    <w:rPr>
                      <w:color w:val="000000" w:themeColor="text1"/>
                      <w:highlight w:val="none"/>
                      <w14:textFill>
                        <w14:solidFill>
                          <w14:schemeClr w14:val="tx1"/>
                        </w14:solidFill>
                      </w14:textFill>
                    </w:rPr>
                  </w:pPr>
                  <w:r>
                    <w:rPr>
                      <w:rFonts w:hint="eastAsia" w:ascii="Times New Roman" w:hAnsi="Times New Roman" w:eastAsia="宋体" w:cs="Times New Roman"/>
                      <w:spacing w:val="-2"/>
                      <w:sz w:val="21"/>
                      <w:szCs w:val="21"/>
                      <w:highlight w:val="none"/>
                      <w:lang w:val="en-US" w:eastAsia="zh-CN"/>
                    </w:rPr>
                    <w:t>1套（旋风+滤筒除尘）+15米高排气筒</w:t>
                  </w:r>
                  <w:r>
                    <w:rPr>
                      <w:rFonts w:hint="eastAsia"/>
                      <w:color w:val="000000" w:themeColor="text1"/>
                      <w:highlight w:val="none"/>
                      <w14:textFill>
                        <w14:solidFill>
                          <w14:schemeClr w14:val="tx1"/>
                        </w14:solidFill>
                      </w14:textFill>
                    </w:rPr>
                    <w:t>（DA00</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w:t>
                  </w:r>
                </w:p>
              </w:tc>
              <w:tc>
                <w:tcPr>
                  <w:tcW w:w="590" w:type="pct"/>
                  <w:tcBorders>
                    <w:tl2br w:val="nil"/>
                    <w:tr2bl w:val="nil"/>
                  </w:tcBorders>
                  <w:vAlign w:val="center"/>
                </w:tcPr>
                <w:p>
                  <w:pPr>
                    <w:snapToGrid w:val="0"/>
                    <w:spacing w:line="35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1套</w:t>
                  </w:r>
                </w:p>
              </w:tc>
              <w:tc>
                <w:tcPr>
                  <w:tcW w:w="645" w:type="pct"/>
                  <w:tcBorders>
                    <w:tl2br w:val="nil"/>
                    <w:tr2bl w:val="nil"/>
                  </w:tcBorders>
                  <w:vAlign w:val="center"/>
                </w:tcPr>
                <w:p>
                  <w:pPr>
                    <w:snapToGrid w:val="0"/>
                    <w:spacing w:line="35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w:t>
                  </w:r>
                </w:p>
              </w:tc>
              <w:tc>
                <w:tcPr>
                  <w:tcW w:w="1531" w:type="pct"/>
                  <w:vMerge w:val="continue"/>
                  <w:tcBorders>
                    <w:tl2br w:val="nil"/>
                    <w:tr2bl w:val="nil"/>
                  </w:tcBorders>
                  <w:vAlign w:val="center"/>
                </w:tcPr>
                <w:p>
                  <w:pPr>
                    <w:snapToGrid w:val="0"/>
                    <w:spacing w:line="350" w:lineRule="exact"/>
                    <w:jc w:val="center"/>
                    <w:rPr>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509" w:hRule="atLeast"/>
                <w:jc w:val="center"/>
              </w:trPr>
              <w:tc>
                <w:tcPr>
                  <w:tcW w:w="269" w:type="pct"/>
                  <w:vMerge w:val="continue"/>
                  <w:tcBorders>
                    <w:tl2br w:val="nil"/>
                    <w:tr2bl w:val="nil"/>
                  </w:tcBorders>
                  <w:vAlign w:val="center"/>
                </w:tcPr>
                <w:p>
                  <w:pPr>
                    <w:snapToGrid w:val="0"/>
                    <w:spacing w:line="350" w:lineRule="exact"/>
                    <w:jc w:val="center"/>
                    <w:rPr>
                      <w:color w:val="000000" w:themeColor="text1"/>
                      <w14:textFill>
                        <w14:solidFill>
                          <w14:schemeClr w14:val="tx1"/>
                        </w14:solidFill>
                      </w14:textFill>
                    </w:rPr>
                  </w:pPr>
                </w:p>
              </w:tc>
              <w:tc>
                <w:tcPr>
                  <w:tcW w:w="467" w:type="pct"/>
                  <w:vMerge w:val="continue"/>
                  <w:tcBorders>
                    <w:tl2br w:val="nil"/>
                    <w:tr2bl w:val="nil"/>
                  </w:tcBorders>
                  <w:vAlign w:val="center"/>
                </w:tcPr>
                <w:p>
                  <w:pPr>
                    <w:snapToGrid w:val="0"/>
                    <w:spacing w:line="350" w:lineRule="exact"/>
                    <w:jc w:val="center"/>
                    <w:rPr>
                      <w:color w:val="000000" w:themeColor="text1"/>
                      <w14:textFill>
                        <w14:solidFill>
                          <w14:schemeClr w14:val="tx1"/>
                        </w14:solidFill>
                      </w14:textFill>
                    </w:rPr>
                  </w:pPr>
                </w:p>
              </w:tc>
              <w:tc>
                <w:tcPr>
                  <w:tcW w:w="1494" w:type="pct"/>
                  <w:tcBorders>
                    <w:tl2br w:val="nil"/>
                    <w:tr2bl w:val="nil"/>
                  </w:tcBorders>
                  <w:vAlign w:val="center"/>
                </w:tcPr>
                <w:p>
                  <w:pPr>
                    <w:snapToGrid w:val="0"/>
                    <w:spacing w:line="350" w:lineRule="exact"/>
                    <w:jc w:val="center"/>
                    <w:rPr>
                      <w:color w:val="000000" w:themeColor="text1"/>
                      <w:highlight w:val="none"/>
                      <w14:textFill>
                        <w14:solidFill>
                          <w14:schemeClr w14:val="tx1"/>
                        </w14:solidFill>
                      </w14:textFill>
                    </w:rPr>
                  </w:pPr>
                  <w:r>
                    <w:rPr>
                      <w:rFonts w:hint="eastAsia" w:ascii="Times New Roman" w:hAnsi="Times New Roman" w:eastAsia="宋体" w:cs="Times New Roman"/>
                      <w:spacing w:val="-2"/>
                      <w:sz w:val="21"/>
                      <w:szCs w:val="21"/>
                      <w:highlight w:val="none"/>
                      <w:lang w:val="en-US" w:eastAsia="zh-CN"/>
                    </w:rPr>
                    <w:t>固化工序设单独的密闭间，烘干道出口处设集气罩+UV光氧+活性炭吸附箱1套+15米高排气筒</w:t>
                  </w:r>
                  <w:r>
                    <w:rPr>
                      <w:rFonts w:hint="eastAsia"/>
                      <w:color w:val="000000" w:themeColor="text1"/>
                      <w:highlight w:val="none"/>
                      <w14:textFill>
                        <w14:solidFill>
                          <w14:schemeClr w14:val="tx1"/>
                        </w14:solidFill>
                      </w14:textFill>
                    </w:rPr>
                    <w:t>（DA00</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w:t>
                  </w:r>
                </w:p>
              </w:tc>
              <w:tc>
                <w:tcPr>
                  <w:tcW w:w="590" w:type="pct"/>
                  <w:tcBorders>
                    <w:tl2br w:val="nil"/>
                    <w:tr2bl w:val="nil"/>
                  </w:tcBorders>
                  <w:vAlign w:val="center"/>
                </w:tcPr>
                <w:p>
                  <w:pPr>
                    <w:snapToGrid w:val="0"/>
                    <w:spacing w:line="350" w:lineRule="exact"/>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1套</w:t>
                  </w:r>
                </w:p>
              </w:tc>
              <w:tc>
                <w:tcPr>
                  <w:tcW w:w="645" w:type="pct"/>
                  <w:tcBorders>
                    <w:tl2br w:val="nil"/>
                    <w:tr2bl w:val="nil"/>
                  </w:tcBorders>
                  <w:vAlign w:val="center"/>
                </w:tcPr>
                <w:p>
                  <w:pPr>
                    <w:snapToGrid w:val="0"/>
                    <w:spacing w:line="350" w:lineRule="exact"/>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c>
                <w:tcPr>
                  <w:tcW w:w="1531" w:type="pct"/>
                  <w:tcBorders>
                    <w:tl2br w:val="nil"/>
                    <w:tr2bl w:val="nil"/>
                  </w:tcBorders>
                  <w:vAlign w:val="center"/>
                </w:tcPr>
                <w:p>
                  <w:pPr>
                    <w:snapToGrid w:val="0"/>
                    <w:spacing w:line="350" w:lineRule="exact"/>
                    <w:jc w:val="center"/>
                    <w:rPr>
                      <w:color w:val="000000"/>
                      <w:szCs w:val="21"/>
                      <w:highlight w:val="yellow"/>
                    </w:rPr>
                  </w:pPr>
                  <w:r>
                    <w:rPr>
                      <w:rFonts w:hint="default" w:ascii="Times New Roman" w:hAnsi="Times New Roman" w:eastAsia="宋体" w:cs="Times New Roman"/>
                      <w:b w:val="0"/>
                      <w:bCs w:val="0"/>
                      <w:sz w:val="21"/>
                      <w:szCs w:val="21"/>
                    </w:rPr>
                    <w:t>《工业涂装工序挥发性有机物排放标准》</w:t>
                  </w:r>
                  <w:r>
                    <w:rPr>
                      <w:rFonts w:hint="default"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sz w:val="21"/>
                      <w:szCs w:val="21"/>
                    </w:rPr>
                    <w:t>DB41/ 1951-202</w:t>
                  </w:r>
                  <w:r>
                    <w:rPr>
                      <w:rFonts w:hint="default" w:ascii="Times New Roman" w:hAnsi="Times New Roman" w:eastAsia="宋体" w:cs="Times New Roman"/>
                      <w:b w:val="0"/>
                      <w:bCs w:val="0"/>
                      <w:sz w:val="21"/>
                      <w:szCs w:val="21"/>
                      <w:lang w:val="en-US" w:eastAsia="zh-CN"/>
                    </w:rPr>
                    <w:t>0)、</w:t>
                  </w:r>
                  <w:r>
                    <w:rPr>
                      <w:rFonts w:hint="default" w:ascii="Times New Roman" w:hAnsi="Times New Roman" w:eastAsia="宋体" w:cs="Times New Roman"/>
                      <w:b w:val="0"/>
                      <w:bCs w:val="0"/>
                      <w:sz w:val="21"/>
                      <w:szCs w:val="21"/>
                    </w:rPr>
                    <w:t>《河南省重污染天气通用行业应急减排措施制定技术指南》中绩效分级指标中“涉锅炉/炉窑企业绩效分级指标”A级标准要求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276" w:hRule="atLeast"/>
                <w:jc w:val="center"/>
              </w:trPr>
              <w:tc>
                <w:tcPr>
                  <w:tcW w:w="269" w:type="pct"/>
                  <w:tcBorders>
                    <w:tl2br w:val="nil"/>
                    <w:tr2bl w:val="nil"/>
                  </w:tcBorders>
                  <w:vAlign w:val="center"/>
                </w:tcPr>
                <w:p>
                  <w:pPr>
                    <w:snapToGrid w:val="0"/>
                    <w:spacing w:line="35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467" w:type="pct"/>
                  <w:tcBorders>
                    <w:tl2br w:val="nil"/>
                    <w:tr2bl w:val="nil"/>
                  </w:tcBorders>
                  <w:vAlign w:val="center"/>
                </w:tcPr>
                <w:p>
                  <w:pPr>
                    <w:snapToGrid w:val="0"/>
                    <w:spacing w:line="35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废水</w:t>
                  </w:r>
                </w:p>
              </w:tc>
              <w:tc>
                <w:tcPr>
                  <w:tcW w:w="1494" w:type="pct"/>
                  <w:tcBorders>
                    <w:tl2br w:val="nil"/>
                    <w:tr2bl w:val="nil"/>
                  </w:tcBorders>
                  <w:vAlign w:val="center"/>
                </w:tcPr>
                <w:p>
                  <w:pPr>
                    <w:pStyle w:val="11"/>
                    <w:snapToGrid w:val="0"/>
                    <w:spacing w:line="350" w:lineRule="exact"/>
                    <w:rPr>
                      <w:color w:val="000000" w:themeColor="text1"/>
                      <w14:textFill>
                        <w14:solidFill>
                          <w14:schemeClr w14:val="tx1"/>
                        </w14:solidFill>
                      </w14:textFill>
                    </w:rPr>
                  </w:pPr>
                  <w:r>
                    <w:rPr>
                      <w:color w:val="000000" w:themeColor="text1"/>
                      <w14:textFill>
                        <w14:solidFill>
                          <w14:schemeClr w14:val="tx1"/>
                        </w14:solidFill>
                      </w14:textFill>
                    </w:rPr>
                    <w:t>化粪池</w:t>
                  </w:r>
                </w:p>
              </w:tc>
              <w:tc>
                <w:tcPr>
                  <w:tcW w:w="590" w:type="pct"/>
                  <w:tcBorders>
                    <w:tl2br w:val="nil"/>
                    <w:tr2bl w:val="nil"/>
                  </w:tcBorders>
                  <w:vAlign w:val="center"/>
                </w:tcPr>
                <w:p>
                  <w:pPr>
                    <w:spacing w:line="35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依托原有1个10m</w:t>
                  </w:r>
                  <w:r>
                    <w:rPr>
                      <w:rFonts w:hint="eastAsia"/>
                      <w:color w:val="000000" w:themeColor="text1"/>
                      <w:vertAlign w:val="superscript"/>
                      <w14:textFill>
                        <w14:solidFill>
                          <w14:schemeClr w14:val="tx1"/>
                        </w14:solidFill>
                      </w14:textFill>
                    </w:rPr>
                    <w:t>3</w:t>
                  </w:r>
                </w:p>
              </w:tc>
              <w:tc>
                <w:tcPr>
                  <w:tcW w:w="645" w:type="pct"/>
                  <w:tcBorders>
                    <w:tl2br w:val="nil"/>
                    <w:tr2bl w:val="nil"/>
                  </w:tcBorders>
                  <w:vAlign w:val="center"/>
                </w:tcPr>
                <w:p>
                  <w:pPr>
                    <w:pStyle w:val="11"/>
                    <w:snapToGrid w:val="0"/>
                    <w:spacing w:line="35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531" w:type="pct"/>
                  <w:tcBorders>
                    <w:tl2br w:val="nil"/>
                    <w:tr2bl w:val="nil"/>
                  </w:tcBorders>
                  <w:vAlign w:val="center"/>
                </w:tcPr>
                <w:p>
                  <w:pPr>
                    <w:pStyle w:val="11"/>
                    <w:snapToGrid w:val="0"/>
                    <w:spacing w:line="350" w:lineRule="exact"/>
                    <w:rPr>
                      <w:color w:val="000000" w:themeColor="text1"/>
                      <w14:textFill>
                        <w14:solidFill>
                          <w14:schemeClr w14:val="tx1"/>
                        </w14:solidFill>
                      </w14:textFill>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cantSplit/>
                <w:trHeight w:val="1401" w:hRule="atLeast"/>
                <w:jc w:val="center"/>
              </w:trPr>
              <w:tc>
                <w:tcPr>
                  <w:tcW w:w="269" w:type="pct"/>
                  <w:tcBorders>
                    <w:tl2br w:val="nil"/>
                    <w:tr2bl w:val="nil"/>
                  </w:tcBorders>
                  <w:vAlign w:val="center"/>
                </w:tcPr>
                <w:p>
                  <w:pPr>
                    <w:snapToGrid w:val="0"/>
                    <w:spacing w:line="35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467" w:type="pct"/>
                  <w:tcBorders>
                    <w:tl2br w:val="nil"/>
                    <w:tr2bl w:val="nil"/>
                  </w:tcBorders>
                  <w:vAlign w:val="center"/>
                </w:tcPr>
                <w:p>
                  <w:pPr>
                    <w:snapToGrid w:val="0"/>
                    <w:spacing w:line="350" w:lineRule="exact"/>
                    <w:jc w:val="center"/>
                    <w:rPr>
                      <w:color w:val="000000" w:themeColor="text1"/>
                      <w14:textFill>
                        <w14:solidFill>
                          <w14:schemeClr w14:val="tx1"/>
                        </w14:solidFill>
                      </w14:textFill>
                    </w:rPr>
                  </w:pPr>
                  <w:r>
                    <w:rPr>
                      <w:color w:val="000000" w:themeColor="text1"/>
                      <w14:textFill>
                        <w14:solidFill>
                          <w14:schemeClr w14:val="tx1"/>
                        </w14:solidFill>
                      </w14:textFill>
                    </w:rPr>
                    <w:t>噪声</w:t>
                  </w:r>
                </w:p>
              </w:tc>
              <w:tc>
                <w:tcPr>
                  <w:tcW w:w="1494" w:type="pct"/>
                  <w:tcBorders>
                    <w:tl2br w:val="nil"/>
                    <w:tr2bl w:val="nil"/>
                  </w:tcBorders>
                  <w:vAlign w:val="center"/>
                </w:tcPr>
                <w:p>
                  <w:pPr>
                    <w:snapToGrid w:val="0"/>
                    <w:spacing w:line="35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厂房隔声，距离衰减</w:t>
                  </w:r>
                </w:p>
              </w:tc>
              <w:tc>
                <w:tcPr>
                  <w:tcW w:w="590" w:type="pct"/>
                  <w:tcBorders>
                    <w:tl2br w:val="nil"/>
                    <w:tr2bl w:val="nil"/>
                  </w:tcBorders>
                  <w:vAlign w:val="center"/>
                </w:tcPr>
                <w:p>
                  <w:pPr>
                    <w:pStyle w:val="11"/>
                    <w:snapToGrid w:val="0"/>
                    <w:spacing w:line="350" w:lineRule="exact"/>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645" w:type="pct"/>
                  <w:tcBorders>
                    <w:tl2br w:val="nil"/>
                    <w:tr2bl w:val="nil"/>
                  </w:tcBorders>
                  <w:vAlign w:val="center"/>
                </w:tcPr>
                <w:p>
                  <w:pPr>
                    <w:pStyle w:val="11"/>
                    <w:snapToGrid w:val="0"/>
                    <w:spacing w:line="350" w:lineRule="exact"/>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531" w:type="pct"/>
                  <w:tcBorders>
                    <w:tl2br w:val="nil"/>
                    <w:tr2bl w:val="nil"/>
                  </w:tcBorders>
                  <w:vAlign w:val="center"/>
                </w:tcPr>
                <w:p>
                  <w:pPr>
                    <w:snapToGrid w:val="0"/>
                    <w:spacing w:line="350" w:lineRule="exact"/>
                    <w:ind w:left="-57"/>
                    <w:jc w:val="center"/>
                    <w:rPr>
                      <w:color w:val="000000" w:themeColor="text1"/>
                      <w14:textFill>
                        <w14:solidFill>
                          <w14:schemeClr w14:val="tx1"/>
                        </w14:solidFill>
                      </w14:textFill>
                    </w:rPr>
                  </w:pPr>
                  <w:r>
                    <w:rPr>
                      <w:rFonts w:hAnsi="宋体"/>
                      <w:color w:val="000000" w:themeColor="text1"/>
                      <w:szCs w:val="21"/>
                      <w14:textFill>
                        <w14:solidFill>
                          <w14:schemeClr w14:val="tx1"/>
                        </w14:solidFill>
                      </w14:textFill>
                    </w:rPr>
                    <w:t>《工业企业厂界环境噪声排放标准》（</w:t>
                  </w:r>
                  <w:r>
                    <w:rPr>
                      <w:color w:val="000000" w:themeColor="text1"/>
                      <w:szCs w:val="21"/>
                      <w14:textFill>
                        <w14:solidFill>
                          <w14:schemeClr w14:val="tx1"/>
                        </w14:solidFill>
                      </w14:textFill>
                    </w:rPr>
                    <w:t>GB12348-2008</w:t>
                  </w:r>
                  <w:r>
                    <w:rPr>
                      <w:rFonts w:hAnsi="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2</w:t>
                  </w:r>
                  <w:r>
                    <w:rPr>
                      <w:rFonts w:hint="eastAsia" w:hAnsi="宋体"/>
                      <w:color w:val="000000" w:themeColor="text1"/>
                      <w:szCs w:val="21"/>
                      <w14:textFill>
                        <w14:solidFill>
                          <w14:schemeClr w14:val="tx1"/>
                        </w14:solidFill>
                      </w14:textFill>
                    </w:rPr>
                    <w:t>类</w:t>
                  </w:r>
                  <w:r>
                    <w:rPr>
                      <w:rFonts w:hAnsi="宋体"/>
                      <w:color w:val="000000" w:themeColor="text1"/>
                      <w:szCs w:val="21"/>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cantSplit/>
                <w:trHeight w:val="741" w:hRule="atLeast"/>
                <w:jc w:val="center"/>
              </w:trPr>
              <w:tc>
                <w:tcPr>
                  <w:tcW w:w="269" w:type="pct"/>
                  <w:tcBorders>
                    <w:tl2br w:val="nil"/>
                    <w:tr2bl w:val="nil"/>
                  </w:tcBorders>
                  <w:vAlign w:val="center"/>
                </w:tcPr>
                <w:p>
                  <w:pPr>
                    <w:snapToGrid w:val="0"/>
                    <w:spacing w:line="35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467" w:type="pct"/>
                  <w:tcBorders>
                    <w:tl2br w:val="nil"/>
                    <w:tr2bl w:val="nil"/>
                  </w:tcBorders>
                  <w:vAlign w:val="center"/>
                </w:tcPr>
                <w:p>
                  <w:pPr>
                    <w:snapToGrid w:val="0"/>
                    <w:spacing w:line="35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固废</w:t>
                  </w:r>
                </w:p>
              </w:tc>
              <w:tc>
                <w:tcPr>
                  <w:tcW w:w="1494" w:type="pct"/>
                  <w:tcBorders>
                    <w:tl2br w:val="nil"/>
                    <w:tr2bl w:val="nil"/>
                  </w:tcBorders>
                  <w:vAlign w:val="center"/>
                </w:tcPr>
                <w:p>
                  <w:pPr>
                    <w:snapToGrid w:val="0"/>
                    <w:spacing w:line="350" w:lineRule="exact"/>
                    <w:jc w:val="center"/>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一般固</w:t>
                  </w:r>
                  <w:r>
                    <w:rPr>
                      <w:color w:val="000000" w:themeColor="text1"/>
                      <w14:textFill>
                        <w14:solidFill>
                          <w14:schemeClr w14:val="tx1"/>
                        </w14:solidFill>
                      </w14:textFill>
                    </w:rPr>
                    <w:t>废暂存</w:t>
                  </w:r>
                  <w:r>
                    <w:rPr>
                      <w:rFonts w:hint="eastAsia"/>
                      <w:color w:val="000000" w:themeColor="text1"/>
                      <w:lang w:val="en-US" w:eastAsia="zh-CN"/>
                      <w14:textFill>
                        <w14:solidFill>
                          <w14:schemeClr w14:val="tx1"/>
                        </w14:solidFill>
                      </w14:textFill>
                    </w:rPr>
                    <w:t>间</w:t>
                  </w:r>
                </w:p>
              </w:tc>
              <w:tc>
                <w:tcPr>
                  <w:tcW w:w="590" w:type="pct"/>
                  <w:tcBorders>
                    <w:tl2br w:val="nil"/>
                    <w:tr2bl w:val="nil"/>
                  </w:tcBorders>
                  <w:vAlign w:val="center"/>
                </w:tcPr>
                <w:p>
                  <w:pPr>
                    <w:snapToGrid w:val="0"/>
                    <w:spacing w:line="350" w:lineRule="exact"/>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p>
              </w:tc>
              <w:tc>
                <w:tcPr>
                  <w:tcW w:w="645" w:type="pct"/>
                  <w:tcBorders>
                    <w:tl2br w:val="nil"/>
                    <w:tr2bl w:val="nil"/>
                  </w:tcBorders>
                  <w:vAlign w:val="center"/>
                </w:tcPr>
                <w:p>
                  <w:pPr>
                    <w:snapToGrid w:val="0"/>
                    <w:spacing w:line="350"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25</w:t>
                  </w:r>
                </w:p>
              </w:tc>
              <w:tc>
                <w:tcPr>
                  <w:tcW w:w="1531" w:type="pct"/>
                  <w:tcBorders>
                    <w:tl2br w:val="nil"/>
                    <w:tr2bl w:val="nil"/>
                  </w:tcBorders>
                  <w:vAlign w:val="center"/>
                </w:tcPr>
                <w:p>
                  <w:pPr>
                    <w:snapToGrid w:val="0"/>
                    <w:spacing w:line="350" w:lineRule="exact"/>
                    <w:ind w:left="-57"/>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cantSplit/>
                <w:trHeight w:val="687" w:hRule="atLeast"/>
                <w:jc w:val="center"/>
              </w:trPr>
              <w:tc>
                <w:tcPr>
                  <w:tcW w:w="269" w:type="pct"/>
                  <w:tcBorders>
                    <w:tl2br w:val="nil"/>
                    <w:tr2bl w:val="nil"/>
                  </w:tcBorders>
                  <w:vAlign w:val="center"/>
                </w:tcPr>
                <w:p>
                  <w:pPr>
                    <w:snapToGrid w:val="0"/>
                    <w:spacing w:line="35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467" w:type="pct"/>
                  <w:tcBorders>
                    <w:tl2br w:val="nil"/>
                    <w:tr2bl w:val="nil"/>
                  </w:tcBorders>
                  <w:vAlign w:val="center"/>
                </w:tcPr>
                <w:p>
                  <w:pPr>
                    <w:snapToGrid w:val="0"/>
                    <w:spacing w:line="35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危险废物</w:t>
                  </w:r>
                </w:p>
              </w:tc>
              <w:tc>
                <w:tcPr>
                  <w:tcW w:w="1494" w:type="pct"/>
                  <w:tcBorders>
                    <w:tl2br w:val="nil"/>
                    <w:tr2bl w:val="nil"/>
                  </w:tcBorders>
                  <w:vAlign w:val="center"/>
                </w:tcPr>
                <w:p>
                  <w:pPr>
                    <w:snapToGrid w:val="0"/>
                    <w:spacing w:line="350" w:lineRule="exact"/>
                    <w:jc w:val="center"/>
                    <w:rPr>
                      <w:color w:val="000000" w:themeColor="text1"/>
                      <w14:textFill>
                        <w14:solidFill>
                          <w14:schemeClr w14:val="tx1"/>
                        </w14:solidFill>
                      </w14:textFill>
                    </w:rPr>
                  </w:pPr>
                  <w:r>
                    <w:rPr>
                      <w:color w:val="000000" w:themeColor="text1"/>
                      <w14:textFill>
                        <w14:solidFill>
                          <w14:schemeClr w14:val="tx1"/>
                        </w14:solidFill>
                      </w14:textFill>
                    </w:rPr>
                    <w:t>危废暂存间</w:t>
                  </w:r>
                </w:p>
              </w:tc>
              <w:tc>
                <w:tcPr>
                  <w:tcW w:w="590" w:type="pct"/>
                  <w:tcBorders>
                    <w:tl2br w:val="nil"/>
                    <w:tr2bl w:val="nil"/>
                  </w:tcBorders>
                  <w:vAlign w:val="center"/>
                </w:tcPr>
                <w:p>
                  <w:pPr>
                    <w:pStyle w:val="22"/>
                    <w:snapToGrid w:val="0"/>
                    <w:spacing w:line="35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sz w:val="21"/>
                      <w:szCs w:val="24"/>
                      <w14:textFill>
                        <w14:solidFill>
                          <w14:schemeClr w14:val="tx1"/>
                        </w14:solidFill>
                      </w14:textFill>
                    </w:rPr>
                    <w:t>1座6</w:t>
                  </w:r>
                  <w:r>
                    <w:rPr>
                      <w:rFonts w:ascii="Times New Roman" w:hAnsi="Times New Roman"/>
                      <w:color w:val="000000" w:themeColor="text1"/>
                      <w:sz w:val="21"/>
                      <w:szCs w:val="24"/>
                      <w14:textFill>
                        <w14:solidFill>
                          <w14:schemeClr w14:val="tx1"/>
                        </w14:solidFill>
                      </w14:textFill>
                    </w:rPr>
                    <w:t>m</w:t>
                  </w:r>
                  <w:r>
                    <w:rPr>
                      <w:rFonts w:ascii="Times New Roman" w:hAnsi="Times New Roman"/>
                      <w:color w:val="000000" w:themeColor="text1"/>
                      <w:sz w:val="21"/>
                      <w:szCs w:val="24"/>
                      <w:vertAlign w:val="superscript"/>
                      <w14:textFill>
                        <w14:solidFill>
                          <w14:schemeClr w14:val="tx1"/>
                        </w14:solidFill>
                      </w14:textFill>
                    </w:rPr>
                    <w:t>2</w:t>
                  </w:r>
                </w:p>
              </w:tc>
              <w:tc>
                <w:tcPr>
                  <w:tcW w:w="645" w:type="pct"/>
                  <w:tcBorders>
                    <w:tl2br w:val="nil"/>
                    <w:tr2bl w:val="nil"/>
                  </w:tcBorders>
                  <w:vAlign w:val="center"/>
                </w:tcPr>
                <w:p>
                  <w:pPr>
                    <w:pStyle w:val="22"/>
                    <w:snapToGrid w:val="0"/>
                    <w:spacing w:line="350" w:lineRule="exact"/>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sz w:val="21"/>
                      <w:szCs w:val="24"/>
                      <w:lang w:val="en-US" w:eastAsia="zh-CN"/>
                      <w14:textFill>
                        <w14:solidFill>
                          <w14:schemeClr w14:val="tx1"/>
                        </w14:solidFill>
                      </w14:textFill>
                    </w:rPr>
                    <w:t>0.4</w:t>
                  </w:r>
                </w:p>
              </w:tc>
              <w:tc>
                <w:tcPr>
                  <w:tcW w:w="1531" w:type="pct"/>
                  <w:tcBorders>
                    <w:tl2br w:val="nil"/>
                    <w:tr2bl w:val="nil"/>
                  </w:tcBorders>
                  <w:vAlign w:val="center"/>
                </w:tcPr>
                <w:p>
                  <w:pPr>
                    <w:snapToGrid w:val="0"/>
                    <w:spacing w:line="350" w:lineRule="exact"/>
                    <w:ind w:left="-57"/>
                    <w:jc w:val="center"/>
                    <w:rPr>
                      <w:color w:val="000000" w:themeColor="text1"/>
                      <w14:textFill>
                        <w14:solidFill>
                          <w14:schemeClr w14:val="tx1"/>
                        </w14:solidFill>
                      </w14:textFill>
                    </w:rPr>
                  </w:pPr>
                  <w:r>
                    <w:rPr>
                      <w:rFonts w:hAnsi="宋体"/>
                      <w:color w:val="000000" w:themeColor="text1"/>
                      <w:szCs w:val="21"/>
                      <w14:textFill>
                        <w14:solidFill>
                          <w14:schemeClr w14:val="tx1"/>
                        </w14:solidFill>
                      </w14:textFill>
                    </w:rPr>
                    <w:t>《危险废物贮存污染控制标准》</w:t>
                  </w:r>
                  <w:r>
                    <w:rPr>
                      <w:color w:val="000000" w:themeColor="text1"/>
                      <w:szCs w:val="21"/>
                      <w14:textFill>
                        <w14:solidFill>
                          <w14:schemeClr w14:val="tx1"/>
                        </w14:solidFill>
                      </w14:textFill>
                    </w:rPr>
                    <w:t>(GB18597-20</w:t>
                  </w:r>
                  <w:r>
                    <w:rPr>
                      <w:rFonts w:hint="eastAsia"/>
                      <w:color w:val="000000" w:themeColor="text1"/>
                      <w:szCs w:val="21"/>
                      <w:lang w:val="en-US" w:eastAsia="zh-CN"/>
                      <w14:textFill>
                        <w14:solidFill>
                          <w14:schemeClr w14:val="tx1"/>
                        </w14:solidFill>
                      </w14:textFill>
                    </w:rPr>
                    <w:t>23</w:t>
                  </w: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cantSplit/>
                <w:trHeight w:val="399" w:hRule="atLeast"/>
                <w:jc w:val="center"/>
              </w:trPr>
              <w:tc>
                <w:tcPr>
                  <w:tcW w:w="269" w:type="pct"/>
                  <w:tcBorders>
                    <w:tl2br w:val="nil"/>
                    <w:tr2bl w:val="nil"/>
                  </w:tcBorders>
                  <w:vAlign w:val="center"/>
                </w:tcPr>
                <w:p>
                  <w:pPr>
                    <w:snapToGrid w:val="0"/>
                    <w:spacing w:line="35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467" w:type="pct"/>
                  <w:tcBorders>
                    <w:tl2br w:val="nil"/>
                    <w:tr2bl w:val="nil"/>
                  </w:tcBorders>
                  <w:vAlign w:val="center"/>
                </w:tcPr>
                <w:p>
                  <w:pPr>
                    <w:snapToGrid w:val="0"/>
                    <w:spacing w:line="35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职工生活垃圾</w:t>
                  </w:r>
                </w:p>
              </w:tc>
              <w:tc>
                <w:tcPr>
                  <w:tcW w:w="1494" w:type="pct"/>
                  <w:tcBorders>
                    <w:tl2br w:val="nil"/>
                    <w:tr2bl w:val="nil"/>
                  </w:tcBorders>
                  <w:vAlign w:val="center"/>
                </w:tcPr>
                <w:p>
                  <w:pPr>
                    <w:snapToGrid w:val="0"/>
                    <w:spacing w:line="350" w:lineRule="exact"/>
                    <w:jc w:val="center"/>
                    <w:rPr>
                      <w:color w:val="000000" w:themeColor="text1"/>
                      <w14:textFill>
                        <w14:solidFill>
                          <w14:schemeClr w14:val="tx1"/>
                        </w14:solidFill>
                      </w14:textFill>
                    </w:rPr>
                  </w:pPr>
                  <w:r>
                    <w:rPr>
                      <w:color w:val="000000" w:themeColor="text1"/>
                      <w14:textFill>
                        <w14:solidFill>
                          <w14:schemeClr w14:val="tx1"/>
                        </w14:solidFill>
                      </w14:textFill>
                    </w:rPr>
                    <w:t>设置生活垃圾桶若干</w:t>
                  </w:r>
                </w:p>
              </w:tc>
              <w:tc>
                <w:tcPr>
                  <w:tcW w:w="590" w:type="pct"/>
                  <w:tcBorders>
                    <w:tl2br w:val="nil"/>
                    <w:tr2bl w:val="nil"/>
                  </w:tcBorders>
                  <w:vAlign w:val="center"/>
                </w:tcPr>
                <w:p>
                  <w:pPr>
                    <w:pStyle w:val="22"/>
                    <w:snapToGrid w:val="0"/>
                    <w:spacing w:line="350" w:lineRule="exact"/>
                    <w:jc w:val="center"/>
                    <w:rPr>
                      <w:rFonts w:ascii="Times New Roman" w:hAnsi="Times New Roman"/>
                      <w:color w:val="000000" w:themeColor="text1"/>
                      <w:sz w:val="21"/>
                      <w:szCs w:val="24"/>
                      <w14:textFill>
                        <w14:solidFill>
                          <w14:schemeClr w14:val="tx1"/>
                        </w14:solidFill>
                      </w14:textFill>
                    </w:rPr>
                  </w:pPr>
                  <w:r>
                    <w:rPr>
                      <w:rFonts w:hint="eastAsia" w:ascii="Times New Roman" w:hAnsi="Times New Roman"/>
                      <w:color w:val="000000" w:themeColor="text1"/>
                      <w:sz w:val="21"/>
                      <w:szCs w:val="24"/>
                      <w14:textFill>
                        <w14:solidFill>
                          <w14:schemeClr w14:val="tx1"/>
                        </w14:solidFill>
                      </w14:textFill>
                    </w:rPr>
                    <w:t>若干</w:t>
                  </w:r>
                </w:p>
              </w:tc>
              <w:tc>
                <w:tcPr>
                  <w:tcW w:w="645" w:type="pct"/>
                  <w:tcBorders>
                    <w:tl2br w:val="nil"/>
                    <w:tr2bl w:val="nil"/>
                  </w:tcBorders>
                  <w:vAlign w:val="center"/>
                </w:tcPr>
                <w:p>
                  <w:pPr>
                    <w:pStyle w:val="22"/>
                    <w:snapToGrid w:val="0"/>
                    <w:spacing w:line="350" w:lineRule="exact"/>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sz w:val="21"/>
                      <w:szCs w:val="24"/>
                      <w14:textFill>
                        <w14:solidFill>
                          <w14:schemeClr w14:val="tx1"/>
                        </w14:solidFill>
                      </w14:textFill>
                    </w:rPr>
                    <w:t>0.</w:t>
                  </w:r>
                  <w:r>
                    <w:rPr>
                      <w:rFonts w:hint="eastAsia" w:ascii="Times New Roman" w:hAnsi="Times New Roman"/>
                      <w:color w:val="000000" w:themeColor="text1"/>
                      <w:sz w:val="21"/>
                      <w:szCs w:val="24"/>
                      <w:lang w:val="en-US" w:eastAsia="zh-CN"/>
                      <w14:textFill>
                        <w14:solidFill>
                          <w14:schemeClr w14:val="tx1"/>
                        </w14:solidFill>
                      </w14:textFill>
                    </w:rPr>
                    <w:t>05</w:t>
                  </w:r>
                </w:p>
              </w:tc>
              <w:tc>
                <w:tcPr>
                  <w:tcW w:w="1531" w:type="pct"/>
                  <w:tcBorders>
                    <w:tl2br w:val="nil"/>
                    <w:tr2bl w:val="nil"/>
                  </w:tcBorders>
                  <w:vAlign w:val="center"/>
                </w:tcPr>
                <w:p>
                  <w:pPr>
                    <w:pStyle w:val="22"/>
                    <w:snapToGrid w:val="0"/>
                    <w:spacing w:line="35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cantSplit/>
                <w:trHeight w:val="399" w:hRule="atLeast"/>
                <w:jc w:val="center"/>
              </w:trPr>
              <w:tc>
                <w:tcPr>
                  <w:tcW w:w="269" w:type="pct"/>
                  <w:tcBorders>
                    <w:tl2br w:val="nil"/>
                    <w:tr2bl w:val="nil"/>
                  </w:tcBorders>
                  <w:vAlign w:val="center"/>
                </w:tcPr>
                <w:p>
                  <w:pPr>
                    <w:snapToGrid w:val="0"/>
                    <w:spacing w:line="35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467" w:type="pct"/>
                  <w:tcBorders>
                    <w:tl2br w:val="nil"/>
                    <w:tr2bl w:val="nil"/>
                  </w:tcBorders>
                  <w:vAlign w:val="center"/>
                </w:tcPr>
                <w:p>
                  <w:pPr>
                    <w:snapToGrid w:val="0"/>
                    <w:spacing w:line="35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c>
                <w:tcPr>
                  <w:tcW w:w="1494" w:type="pct"/>
                  <w:tcBorders>
                    <w:tl2br w:val="nil"/>
                    <w:tr2bl w:val="nil"/>
                  </w:tcBorders>
                  <w:vAlign w:val="center"/>
                </w:tcPr>
                <w:p>
                  <w:pPr>
                    <w:snapToGrid w:val="0"/>
                    <w:spacing w:line="35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90" w:type="pct"/>
                  <w:tcBorders>
                    <w:tl2br w:val="nil"/>
                    <w:tr2bl w:val="nil"/>
                  </w:tcBorders>
                  <w:vAlign w:val="center"/>
                </w:tcPr>
                <w:p>
                  <w:pPr>
                    <w:pStyle w:val="22"/>
                    <w:snapToGrid w:val="0"/>
                    <w:spacing w:line="350" w:lineRule="exact"/>
                    <w:jc w:val="center"/>
                    <w:rPr>
                      <w:rFonts w:ascii="Times New Roman" w:hAnsi="Times New Roman"/>
                      <w:color w:val="000000" w:themeColor="text1"/>
                      <w:sz w:val="21"/>
                      <w:szCs w:val="24"/>
                      <w14:textFill>
                        <w14:solidFill>
                          <w14:schemeClr w14:val="tx1"/>
                        </w14:solidFill>
                      </w14:textFill>
                    </w:rPr>
                  </w:pPr>
                  <w:r>
                    <w:rPr>
                      <w:rFonts w:hint="eastAsia" w:ascii="Times New Roman" w:hAnsi="Times New Roman"/>
                      <w:color w:val="000000" w:themeColor="text1"/>
                      <w:sz w:val="21"/>
                      <w:szCs w:val="24"/>
                      <w14:textFill>
                        <w14:solidFill>
                          <w14:schemeClr w14:val="tx1"/>
                        </w14:solidFill>
                      </w14:textFill>
                    </w:rPr>
                    <w:t>/</w:t>
                  </w:r>
                </w:p>
              </w:tc>
              <w:tc>
                <w:tcPr>
                  <w:tcW w:w="645" w:type="pct"/>
                  <w:tcBorders>
                    <w:tl2br w:val="nil"/>
                    <w:tr2bl w:val="nil"/>
                  </w:tcBorders>
                  <w:vAlign w:val="center"/>
                </w:tcPr>
                <w:p>
                  <w:pPr>
                    <w:pStyle w:val="22"/>
                    <w:snapToGrid w:val="0"/>
                    <w:spacing w:line="350" w:lineRule="exact"/>
                    <w:jc w:val="center"/>
                    <w:rPr>
                      <w:rFonts w:ascii="Times New Roman" w:hAnsi="Times New Roman"/>
                      <w:color w:val="000000" w:themeColor="text1"/>
                      <w:sz w:val="21"/>
                      <w:szCs w:val="24"/>
                      <w14:textFill>
                        <w14:solidFill>
                          <w14:schemeClr w14:val="tx1"/>
                        </w14:solidFill>
                      </w14:textFill>
                    </w:rPr>
                  </w:pPr>
                  <w:r>
                    <w:rPr>
                      <w:rFonts w:hint="eastAsia" w:ascii="Times New Roman" w:hAnsi="Times New Roman"/>
                      <w:color w:val="000000" w:themeColor="text1"/>
                      <w:sz w:val="21"/>
                      <w:szCs w:val="24"/>
                      <w:lang w:val="en-US" w:eastAsia="zh-CN"/>
                      <w14:textFill>
                        <w14:solidFill>
                          <w14:schemeClr w14:val="tx1"/>
                        </w14:solidFill>
                      </w14:textFill>
                    </w:rPr>
                    <w:t>13</w:t>
                  </w:r>
                  <w:r>
                    <w:rPr>
                      <w:rFonts w:hint="eastAsia" w:ascii="Times New Roman" w:hAnsi="Times New Roman"/>
                      <w:color w:val="000000" w:themeColor="text1"/>
                      <w:sz w:val="21"/>
                      <w:szCs w:val="24"/>
                      <w14:textFill>
                        <w14:solidFill>
                          <w14:schemeClr w14:val="tx1"/>
                        </w14:solidFill>
                      </w14:textFill>
                    </w:rPr>
                    <w:t>.7</w:t>
                  </w:r>
                </w:p>
              </w:tc>
              <w:tc>
                <w:tcPr>
                  <w:tcW w:w="1531" w:type="pct"/>
                  <w:tcBorders>
                    <w:tl2br w:val="nil"/>
                    <w:tr2bl w:val="nil"/>
                  </w:tcBorders>
                  <w:vAlign w:val="center"/>
                </w:tcPr>
                <w:p>
                  <w:pPr>
                    <w:pStyle w:val="22"/>
                    <w:snapToGrid w:val="0"/>
                    <w:spacing w:line="35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eastAsia="宋体"/>
                <w:lang w:eastAsia="zh-CN"/>
              </w:rPr>
            </w:pPr>
          </w:p>
        </w:tc>
      </w:tr>
    </w:tbl>
    <w:p>
      <w:p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3"/>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五、</w:t>
      </w:r>
      <w:bookmarkStart w:id="1" w:name="_Hlk54167917"/>
      <w:r>
        <w:rPr>
          <w:rFonts w:ascii="Times New Roman" w:hAnsi="Times New Roman" w:eastAsia="黑体"/>
          <w:snapToGrid w:val="0"/>
          <w:color w:val="000000" w:themeColor="text1"/>
          <w:sz w:val="30"/>
          <w:szCs w:val="30"/>
          <w14:textFill>
            <w14:solidFill>
              <w14:schemeClr w14:val="tx1"/>
            </w14:solidFill>
          </w14:textFill>
        </w:rPr>
        <w:t>环境保护措施监督检查清单</w:t>
      </w:r>
      <w:bookmarkEnd w:id="1"/>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655"/>
        <w:gridCol w:w="1100"/>
        <w:gridCol w:w="2025"/>
        <w:gridCol w:w="29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1103" w:type="dxa"/>
            <w:tcBorders>
              <w:tl2br w:val="single" w:color="auto" w:sz="4" w:space="0"/>
            </w:tcBorders>
          </w:tcPr>
          <w:p>
            <w:pPr>
              <w:adjustRightInd w:val="0"/>
              <w:snapToGrid w:val="0"/>
              <w:ind w:firstLine="241" w:firstLineChars="100"/>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内容</w:t>
            </w:r>
          </w:p>
          <w:p>
            <w:pPr>
              <w:adjustRightInd w:val="0"/>
              <w:snapToGrid w:val="0"/>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要素</w:t>
            </w:r>
          </w:p>
        </w:tc>
        <w:tc>
          <w:tcPr>
            <w:tcW w:w="1655" w:type="dxa"/>
            <w:vAlign w:val="center"/>
          </w:tcPr>
          <w:p>
            <w:pPr>
              <w:adjustRightInd w:val="0"/>
              <w:snapToGrid w:val="0"/>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排放口(编号、</w:t>
            </w:r>
          </w:p>
          <w:p>
            <w:pPr>
              <w:adjustRightInd w:val="0"/>
              <w:snapToGrid w:val="0"/>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名称)/污染源</w:t>
            </w:r>
          </w:p>
        </w:tc>
        <w:tc>
          <w:tcPr>
            <w:tcW w:w="1100" w:type="dxa"/>
            <w:vAlign w:val="center"/>
          </w:tcPr>
          <w:p>
            <w:pPr>
              <w:adjustRightInd w:val="0"/>
              <w:snapToGrid w:val="0"/>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污染物项目</w:t>
            </w:r>
          </w:p>
        </w:tc>
        <w:tc>
          <w:tcPr>
            <w:tcW w:w="2025" w:type="dxa"/>
            <w:vAlign w:val="center"/>
          </w:tcPr>
          <w:p>
            <w:pPr>
              <w:adjustRightInd w:val="0"/>
              <w:snapToGrid w:val="0"/>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环境保护措施</w:t>
            </w:r>
          </w:p>
        </w:tc>
        <w:tc>
          <w:tcPr>
            <w:tcW w:w="2917" w:type="dxa"/>
            <w:vAlign w:val="center"/>
          </w:tcPr>
          <w:p>
            <w:pPr>
              <w:adjustRightInd w:val="0"/>
              <w:snapToGrid w:val="0"/>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103" w:type="dxa"/>
            <w:vMerge w:val="restart"/>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大气环境</w:t>
            </w:r>
          </w:p>
        </w:tc>
        <w:tc>
          <w:tcPr>
            <w:tcW w:w="1655" w:type="dxa"/>
            <w:vAlign w:val="center"/>
          </w:tcPr>
          <w:p>
            <w:pPr>
              <w:pStyle w:val="23"/>
              <w:keepNext w:val="0"/>
              <w:keepLines w:val="0"/>
              <w:pageBreakBefore w:val="0"/>
              <w:kinsoku/>
              <w:wordWrap/>
              <w:overflowPunct/>
              <w:topLinePunct w:val="0"/>
              <w:autoSpaceDE/>
              <w:autoSpaceDN/>
              <w:bidi w:val="0"/>
              <w:spacing w:before="0" w:beforeAutospacing="0" w:after="0" w:afterAutospacing="0" w:line="360" w:lineRule="exact"/>
              <w:jc w:val="center"/>
              <w:textAlignment w:val="auto"/>
              <w:outlineLvl w:val="0"/>
              <w:rPr>
                <w:rFonts w:ascii="Times New Roman" w:hAnsi="Times New Roman"/>
                <w:color w:val="000000"/>
                <w:sz w:val="24"/>
                <w:szCs w:val="24"/>
                <w:highlight w:val="none"/>
              </w:rPr>
            </w:pPr>
            <w:r>
              <w:rPr>
                <w:rFonts w:ascii="Times New Roman" w:hAnsi="Times New Roman"/>
                <w:color w:val="000000"/>
                <w:sz w:val="24"/>
                <w:szCs w:val="24"/>
                <w:highlight w:val="none"/>
              </w:rPr>
              <w:t>DA001</w:t>
            </w:r>
          </w:p>
          <w:p>
            <w:pPr>
              <w:pStyle w:val="23"/>
              <w:keepNext w:val="0"/>
              <w:keepLines w:val="0"/>
              <w:pageBreakBefore w:val="0"/>
              <w:kinsoku/>
              <w:wordWrap/>
              <w:overflowPunct/>
              <w:topLinePunct w:val="0"/>
              <w:autoSpaceDE/>
              <w:autoSpaceDN/>
              <w:bidi w:val="0"/>
              <w:spacing w:before="0" w:beforeAutospacing="0" w:after="0" w:afterAutospacing="0" w:line="360" w:lineRule="exact"/>
              <w:jc w:val="center"/>
              <w:textAlignment w:val="auto"/>
              <w:outlineLvl w:val="0"/>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切割焊接打磨废气排放口</w:t>
            </w:r>
          </w:p>
        </w:tc>
        <w:tc>
          <w:tcPr>
            <w:tcW w:w="1100"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颗粒物</w:t>
            </w:r>
          </w:p>
        </w:tc>
        <w:tc>
          <w:tcPr>
            <w:tcW w:w="2025"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集气罩</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袋式除尘器</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15m高排气筒</w:t>
            </w:r>
          </w:p>
        </w:tc>
        <w:tc>
          <w:tcPr>
            <w:tcW w:w="2917"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color w:val="FF0000"/>
                <w:sz w:val="24"/>
                <w:szCs w:val="24"/>
                <w:highlight w:val="none"/>
              </w:rPr>
            </w:pPr>
            <w:r>
              <w:rPr>
                <w:rFonts w:hint="default" w:ascii="Times New Roman" w:hAnsi="Times New Roman" w:eastAsia="宋体" w:cs="Times New Roman"/>
                <w:b w:val="0"/>
                <w:bCs w:val="0"/>
                <w:color w:val="000000"/>
                <w:sz w:val="24"/>
                <w:szCs w:val="24"/>
                <w:u w:val="none"/>
              </w:rPr>
              <w:t>《大气污染物综合排放标准》（GB16297-1996）表2二级标准。同时满足洛市环〔2021〕47号要求颗粒物10mg/m</w:t>
            </w:r>
            <w:r>
              <w:rPr>
                <w:rFonts w:hint="default" w:ascii="Times New Roman" w:hAnsi="Times New Roman" w:eastAsia="宋体" w:cs="Times New Roman"/>
                <w:b w:val="0"/>
                <w:bCs w:val="0"/>
                <w:color w:val="000000"/>
                <w:sz w:val="24"/>
                <w:szCs w:val="24"/>
                <w:u w:val="none"/>
                <w:vertAlign w:val="superscript"/>
              </w:rPr>
              <w:t>3</w:t>
            </w:r>
            <w:r>
              <w:rPr>
                <w:rFonts w:hint="default" w:ascii="Times New Roman" w:hAnsi="Times New Roman" w:eastAsia="宋体" w:cs="Times New Roman"/>
                <w:b w:val="0"/>
                <w:bCs w:val="0"/>
                <w:color w:val="000000"/>
                <w:sz w:val="24"/>
                <w:szCs w:val="24"/>
                <w:u w:val="none"/>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103" w:type="dxa"/>
            <w:vMerge w:val="continue"/>
            <w:vAlign w:val="center"/>
          </w:tcPr>
          <w:p>
            <w:pPr>
              <w:adjustRightInd w:val="0"/>
              <w:snapToGrid w:val="0"/>
              <w:jc w:val="center"/>
              <w:rPr>
                <w:color w:val="000000" w:themeColor="text1"/>
                <w:sz w:val="24"/>
                <w:szCs w:val="24"/>
                <w14:textFill>
                  <w14:solidFill>
                    <w14:schemeClr w14:val="tx1"/>
                  </w14:solidFill>
                </w14:textFill>
              </w:rPr>
            </w:pPr>
          </w:p>
        </w:tc>
        <w:tc>
          <w:tcPr>
            <w:tcW w:w="1655" w:type="dxa"/>
            <w:vAlign w:val="center"/>
          </w:tcPr>
          <w:p>
            <w:pPr>
              <w:pStyle w:val="23"/>
              <w:keepNext w:val="0"/>
              <w:keepLines w:val="0"/>
              <w:pageBreakBefore w:val="0"/>
              <w:kinsoku/>
              <w:wordWrap/>
              <w:overflowPunct/>
              <w:topLinePunct w:val="0"/>
              <w:autoSpaceDE/>
              <w:autoSpaceDN/>
              <w:bidi w:val="0"/>
              <w:spacing w:before="0" w:beforeAutospacing="0" w:after="0" w:afterAutospacing="0" w:line="360" w:lineRule="exact"/>
              <w:jc w:val="center"/>
              <w:textAlignment w:val="auto"/>
              <w:outlineLvl w:val="0"/>
              <w:rPr>
                <w:rFonts w:ascii="Times New Roman" w:hAnsi="Times New Roman"/>
                <w:color w:val="000000"/>
                <w:sz w:val="24"/>
                <w:szCs w:val="24"/>
                <w:highlight w:val="none"/>
              </w:rPr>
            </w:pPr>
            <w:r>
              <w:rPr>
                <w:rFonts w:ascii="Times New Roman" w:hAnsi="Times New Roman"/>
                <w:color w:val="000000"/>
                <w:sz w:val="24"/>
                <w:szCs w:val="24"/>
                <w:highlight w:val="none"/>
              </w:rPr>
              <w:t>DA00</w:t>
            </w:r>
            <w:r>
              <w:rPr>
                <w:rFonts w:hint="eastAsia" w:ascii="Times New Roman" w:hAnsi="Times New Roman"/>
                <w:color w:val="000000"/>
                <w:sz w:val="24"/>
                <w:szCs w:val="24"/>
                <w:highlight w:val="none"/>
              </w:rPr>
              <w:t>2</w:t>
            </w:r>
          </w:p>
          <w:p>
            <w:pPr>
              <w:pStyle w:val="23"/>
              <w:keepNext w:val="0"/>
              <w:keepLines w:val="0"/>
              <w:pageBreakBefore w:val="0"/>
              <w:kinsoku/>
              <w:wordWrap/>
              <w:overflowPunct/>
              <w:topLinePunct w:val="0"/>
              <w:autoSpaceDE/>
              <w:autoSpaceDN/>
              <w:bidi w:val="0"/>
              <w:spacing w:before="0" w:beforeAutospacing="0" w:after="0" w:afterAutospacing="0" w:line="360" w:lineRule="exact"/>
              <w:jc w:val="center"/>
              <w:textAlignment w:val="auto"/>
              <w:outlineLvl w:val="0"/>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喷塑废气排放口</w:t>
            </w:r>
          </w:p>
        </w:tc>
        <w:tc>
          <w:tcPr>
            <w:tcW w:w="1100"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颗粒物</w:t>
            </w:r>
          </w:p>
        </w:tc>
        <w:tc>
          <w:tcPr>
            <w:tcW w:w="2025"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集气管道</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旋风除尘</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滤筒除尘器</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15m高排气筒</w:t>
            </w:r>
          </w:p>
        </w:tc>
        <w:tc>
          <w:tcPr>
            <w:tcW w:w="2917"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103" w:type="dxa"/>
            <w:vMerge w:val="continue"/>
            <w:vAlign w:val="center"/>
          </w:tcPr>
          <w:p>
            <w:pPr>
              <w:adjustRightInd w:val="0"/>
              <w:snapToGrid w:val="0"/>
              <w:jc w:val="center"/>
              <w:rPr>
                <w:color w:val="000000" w:themeColor="text1"/>
                <w:sz w:val="24"/>
                <w:szCs w:val="24"/>
                <w14:textFill>
                  <w14:solidFill>
                    <w14:schemeClr w14:val="tx1"/>
                  </w14:solidFill>
                </w14:textFill>
              </w:rPr>
            </w:pPr>
          </w:p>
        </w:tc>
        <w:tc>
          <w:tcPr>
            <w:tcW w:w="1655" w:type="dxa"/>
            <w:vAlign w:val="center"/>
          </w:tcPr>
          <w:p>
            <w:pPr>
              <w:pStyle w:val="23"/>
              <w:keepNext w:val="0"/>
              <w:keepLines w:val="0"/>
              <w:pageBreakBefore w:val="0"/>
              <w:kinsoku/>
              <w:wordWrap/>
              <w:overflowPunct/>
              <w:topLinePunct w:val="0"/>
              <w:autoSpaceDE/>
              <w:autoSpaceDN/>
              <w:bidi w:val="0"/>
              <w:spacing w:before="0" w:beforeAutospacing="0" w:after="0" w:afterAutospacing="0" w:line="360" w:lineRule="exact"/>
              <w:jc w:val="center"/>
              <w:textAlignment w:val="auto"/>
              <w:outlineLvl w:val="0"/>
              <w:rPr>
                <w:rFonts w:hint="default"/>
                <w:color w:val="000000" w:themeColor="text1"/>
                <w:sz w:val="24"/>
                <w:szCs w:val="24"/>
                <w:highlight w:val="none"/>
                <w:lang w:val="en-US"/>
                <w14:textFill>
                  <w14:solidFill>
                    <w14:schemeClr w14:val="tx1"/>
                  </w14:solidFill>
                </w14:textFill>
              </w:rPr>
            </w:pPr>
            <w:r>
              <w:rPr>
                <w:rFonts w:hint="eastAsia" w:ascii="Times New Roman" w:hAnsi="Times New Roman"/>
                <w:color w:val="000000"/>
                <w:sz w:val="24"/>
                <w:szCs w:val="24"/>
                <w:highlight w:val="none"/>
                <w:lang w:bidi="ar"/>
              </w:rPr>
              <w:t>DA00</w:t>
            </w:r>
            <w:r>
              <w:rPr>
                <w:rFonts w:hint="eastAsia" w:ascii="Times New Roman" w:hAnsi="Times New Roman"/>
                <w:color w:val="000000"/>
                <w:sz w:val="24"/>
                <w:szCs w:val="24"/>
                <w:highlight w:val="none"/>
                <w:lang w:val="en-US" w:eastAsia="zh-CN" w:bidi="ar"/>
              </w:rPr>
              <w:t>3固化及液化石油气燃烧废气排放口</w:t>
            </w:r>
          </w:p>
        </w:tc>
        <w:tc>
          <w:tcPr>
            <w:tcW w:w="1100"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非甲烷总烃、</w:t>
            </w:r>
            <w:r>
              <w:rPr>
                <w:rFonts w:hint="eastAsia"/>
                <w:color w:val="000000" w:themeColor="text1"/>
                <w:sz w:val="24"/>
                <w:szCs w:val="24"/>
                <w:highlight w:val="none"/>
                <w14:textFill>
                  <w14:solidFill>
                    <w14:schemeClr w14:val="tx1"/>
                  </w14:solidFill>
                </w14:textFill>
              </w:rPr>
              <w:t>颗粒物、SO</w:t>
            </w:r>
            <w:r>
              <w:rPr>
                <w:rFonts w:hint="eastAsia"/>
                <w:color w:val="000000" w:themeColor="text1"/>
                <w:sz w:val="24"/>
                <w:szCs w:val="24"/>
                <w:highlight w:val="none"/>
                <w:vertAlign w:val="subscript"/>
                <w14:textFill>
                  <w14:solidFill>
                    <w14:schemeClr w14:val="tx1"/>
                  </w14:solidFill>
                </w14:textFill>
              </w:rPr>
              <w:t>2</w:t>
            </w:r>
            <w:r>
              <w:rPr>
                <w:rFonts w:hint="eastAsia"/>
                <w:color w:val="000000" w:themeColor="text1"/>
                <w:sz w:val="24"/>
                <w:szCs w:val="24"/>
                <w:highlight w:val="none"/>
                <w14:textFill>
                  <w14:solidFill>
                    <w14:schemeClr w14:val="tx1"/>
                  </w14:solidFill>
                </w14:textFill>
              </w:rPr>
              <w:t>、NOx</w:t>
            </w:r>
          </w:p>
        </w:tc>
        <w:tc>
          <w:tcPr>
            <w:tcW w:w="2025"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集气罩+UV光氧催化+活性炭吸附</w:t>
            </w:r>
            <w:r>
              <w:rPr>
                <w:rFonts w:hint="eastAsia"/>
                <w:color w:val="000000" w:themeColor="text1"/>
                <w:sz w:val="24"/>
                <w:szCs w:val="24"/>
                <w:highlight w:val="none"/>
                <w14:textFill>
                  <w14:solidFill>
                    <w14:schemeClr w14:val="tx1"/>
                  </w14:solidFill>
                </w14:textFill>
              </w:rPr>
              <w:t>+15m高排气筒</w:t>
            </w:r>
          </w:p>
        </w:tc>
        <w:tc>
          <w:tcPr>
            <w:tcW w:w="2917"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sz w:val="24"/>
                <w:szCs w:val="24"/>
                <w:highlight w:val="none"/>
              </w:rPr>
            </w:pPr>
            <w:r>
              <w:rPr>
                <w:rFonts w:hint="eastAsia"/>
                <w:sz w:val="24"/>
                <w:szCs w:val="24"/>
                <w:highlight w:val="none"/>
              </w:rPr>
              <w:t>《工业炉窑大气污染物排放标准》（DB41/1066-2020）及《河南省重污染天气通用行业应急减排措施制定技术指南》中绩效分级指标中“涉锅炉/炉窑企业绩效分级指标”A级标准要求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03" w:type="dxa"/>
            <w:vMerge w:val="continue"/>
            <w:vAlign w:val="center"/>
          </w:tcPr>
          <w:p>
            <w:pPr>
              <w:adjustRightInd w:val="0"/>
              <w:snapToGrid w:val="0"/>
              <w:jc w:val="center"/>
              <w:rPr>
                <w:color w:val="000000" w:themeColor="text1"/>
                <w:sz w:val="24"/>
                <w:szCs w:val="24"/>
                <w14:textFill>
                  <w14:solidFill>
                    <w14:schemeClr w14:val="tx1"/>
                  </w14:solidFill>
                </w14:textFill>
              </w:rPr>
            </w:pPr>
          </w:p>
        </w:tc>
        <w:tc>
          <w:tcPr>
            <w:tcW w:w="1655"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无组织</w:t>
            </w:r>
          </w:p>
        </w:tc>
        <w:tc>
          <w:tcPr>
            <w:tcW w:w="1100"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非甲烷总烃</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颗粒物</w:t>
            </w:r>
          </w:p>
        </w:tc>
        <w:tc>
          <w:tcPr>
            <w:tcW w:w="2025"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车间封闭</w:t>
            </w:r>
          </w:p>
        </w:tc>
        <w:tc>
          <w:tcPr>
            <w:tcW w:w="2917"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sz w:val="24"/>
                <w:szCs w:val="24"/>
                <w:u w:val="none"/>
              </w:rPr>
              <w:t>《大气污染物综合排放标准》（GB16297-1996）</w:t>
            </w:r>
            <w:r>
              <w:rPr>
                <w:rFonts w:hint="eastAsia" w:ascii="Times New Roman" w:hAnsi="Times New Roman" w:eastAsia="宋体" w:cs="Times New Roman"/>
                <w:b w:val="0"/>
                <w:bCs w:val="0"/>
                <w:color w:val="000000"/>
                <w:sz w:val="24"/>
                <w:szCs w:val="24"/>
                <w:u w:val="none"/>
                <w:lang w:eastAsia="zh-CN"/>
              </w:rPr>
              <w:t>、</w:t>
            </w:r>
            <w:r>
              <w:rPr>
                <w:rFonts w:hint="default" w:ascii="Times New Roman" w:hAnsi="Times New Roman" w:eastAsia="宋体" w:cs="Times New Roman"/>
                <w:b w:val="0"/>
                <w:bCs w:val="0"/>
                <w:color w:val="000000"/>
                <w:sz w:val="24"/>
                <w:szCs w:val="24"/>
              </w:rPr>
              <w:t>《关于全省开展工业企业挥发性有机物专项治理工作中排放建议值的通知》（豫环攻坚办【2017】162号）：其他行业有机废气排放要求。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10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声环境</w:t>
            </w:r>
          </w:p>
        </w:tc>
        <w:tc>
          <w:tcPr>
            <w:tcW w:w="1655"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厂界</w:t>
            </w:r>
          </w:p>
        </w:tc>
        <w:tc>
          <w:tcPr>
            <w:tcW w:w="1100"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噪声</w:t>
            </w:r>
          </w:p>
        </w:tc>
        <w:tc>
          <w:tcPr>
            <w:tcW w:w="2025"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厂房隔声，距离衰减</w:t>
            </w:r>
          </w:p>
        </w:tc>
        <w:tc>
          <w:tcPr>
            <w:tcW w:w="2917"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东、北厂界满足</w:t>
            </w:r>
            <w:r>
              <w:rPr>
                <w:color w:val="000000" w:themeColor="text1"/>
                <w:sz w:val="24"/>
                <w:szCs w:val="24"/>
                <w:highlight w:val="none"/>
                <w14:textFill>
                  <w14:solidFill>
                    <w14:schemeClr w14:val="tx1"/>
                  </w14:solidFill>
                </w14:textFill>
              </w:rPr>
              <w:t>《工业企业厂界环境噪声排放标准》（GB12348-2008）</w:t>
            </w:r>
            <w:r>
              <w:rPr>
                <w:rFonts w:hint="eastAsia"/>
                <w:color w:val="000000" w:themeColor="text1"/>
                <w:sz w:val="24"/>
                <w:szCs w:val="24"/>
                <w:highlight w:val="none"/>
                <w14:textFill>
                  <w14:solidFill>
                    <w14:schemeClr w14:val="tx1"/>
                  </w14:solidFill>
                </w14:textFill>
              </w:rPr>
              <w:t>3</w:t>
            </w:r>
            <w:r>
              <w:rPr>
                <w:color w:val="000000" w:themeColor="text1"/>
                <w:sz w:val="24"/>
                <w:szCs w:val="24"/>
                <w:highlight w:val="none"/>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03" w:type="dxa"/>
            <w:vAlign w:val="center"/>
          </w:tcPr>
          <w:p>
            <w:pPr>
              <w:adjustRightInd w:val="0"/>
              <w:snapToGrid w:val="0"/>
              <w:jc w:val="center"/>
              <w:rPr>
                <w:color w:val="FF0000"/>
                <w:sz w:val="24"/>
                <w:szCs w:val="24"/>
              </w:rPr>
            </w:pPr>
            <w:r>
              <w:rPr>
                <w:color w:val="000000" w:themeColor="text1"/>
                <w:sz w:val="24"/>
                <w:szCs w:val="24"/>
                <w14:textFill>
                  <w14:solidFill>
                    <w14:schemeClr w14:val="tx1"/>
                  </w14:solidFill>
                </w14:textFill>
              </w:rPr>
              <w:t>固体废物</w:t>
            </w:r>
          </w:p>
        </w:tc>
        <w:tc>
          <w:tcPr>
            <w:tcW w:w="7697" w:type="dxa"/>
            <w:gridSpan w:val="4"/>
            <w:vAlign w:val="center"/>
          </w:tcPr>
          <w:p>
            <w:pPr>
              <w:adjustRightInd w:val="0"/>
              <w:snapToGrid w:val="0"/>
              <w:spacing w:line="360" w:lineRule="auto"/>
              <w:ind w:firstLine="480" w:firstLineChars="200"/>
              <w:rPr>
                <w:color w:val="FF0000"/>
                <w:sz w:val="24"/>
                <w:szCs w:val="24"/>
              </w:rPr>
            </w:pPr>
            <w:r>
              <w:rPr>
                <w:rFonts w:hint="eastAsia"/>
                <w:color w:val="000000" w:themeColor="text1"/>
                <w:sz w:val="24"/>
                <w:szCs w:val="24"/>
                <w:highlight w:val="none"/>
                <w:lang w:val="en-US" w:eastAsia="zh-CN"/>
                <w14:textFill>
                  <w14:solidFill>
                    <w14:schemeClr w14:val="tx1"/>
                  </w14:solidFill>
                </w14:textFill>
              </w:rPr>
              <w:t>本项目</w:t>
            </w:r>
            <w:r>
              <w:rPr>
                <w:rFonts w:hint="eastAsia"/>
                <w:color w:val="000000" w:themeColor="text1"/>
                <w:sz w:val="24"/>
                <w:szCs w:val="24"/>
                <w:highlight w:val="none"/>
                <w14:textFill>
                  <w14:solidFill>
                    <w14:schemeClr w14:val="tx1"/>
                  </w14:solidFill>
                </w14:textFill>
              </w:rPr>
              <w:t>废边角料（包含焊接打磨工序袋式除尘器收集的金属废屑）</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废纸箱</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废挂钩</w:t>
            </w:r>
            <w:r>
              <w:rPr>
                <w:rFonts w:hint="eastAsia"/>
                <w:color w:val="000000" w:themeColor="text1"/>
                <w:sz w:val="24"/>
                <w:szCs w:val="24"/>
                <w:highlight w:val="none"/>
                <w:lang w:val="en-US" w:eastAsia="zh-CN"/>
                <w14:textFill>
                  <w14:solidFill>
                    <w14:schemeClr w14:val="tx1"/>
                  </w14:solidFill>
                </w14:textFill>
              </w:rPr>
              <w:t>于</w:t>
            </w:r>
            <w:r>
              <w:rPr>
                <w:rFonts w:hint="eastAsia"/>
                <w:color w:val="000000" w:themeColor="text1"/>
                <w:sz w:val="24"/>
                <w:szCs w:val="24"/>
                <w:highlight w:val="none"/>
                <w14:textFill>
                  <w14:solidFill>
                    <w14:schemeClr w14:val="tx1"/>
                  </w14:solidFill>
                </w14:textFill>
              </w:rPr>
              <w:t>一般固废暂存间</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14:textFill>
                  <w14:solidFill>
                    <w14:schemeClr w14:val="tx1"/>
                  </w14:solidFill>
                </w14:textFill>
              </w:rPr>
              <w:t>m</w:t>
            </w:r>
            <w:r>
              <w:rPr>
                <w:rFonts w:hint="eastAsia"/>
                <w:color w:val="000000" w:themeColor="text1"/>
                <w:sz w:val="24"/>
                <w:szCs w:val="24"/>
                <w:highlight w:val="none"/>
                <w:vertAlign w:val="superscript"/>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暂存，定期外售；废滤芯</w:t>
            </w:r>
            <w:r>
              <w:rPr>
                <w:rFonts w:hint="eastAsia"/>
                <w:color w:val="000000" w:themeColor="text1"/>
                <w:sz w:val="24"/>
                <w:szCs w:val="24"/>
                <w:highlight w:val="none"/>
                <w:lang w:val="en-US" w:eastAsia="zh-CN"/>
                <w14:textFill>
                  <w14:solidFill>
                    <w14:schemeClr w14:val="tx1"/>
                  </w14:solidFill>
                </w14:textFill>
              </w:rPr>
              <w:t>厂区一般固废暂存间暂存后，由</w:t>
            </w:r>
            <w:r>
              <w:rPr>
                <w:rFonts w:hint="eastAsia"/>
                <w:color w:val="000000" w:themeColor="text1"/>
                <w:sz w:val="24"/>
                <w:szCs w:val="24"/>
                <w:highlight w:val="none"/>
                <w14:textFill>
                  <w14:solidFill>
                    <w14:schemeClr w14:val="tx1"/>
                  </w14:solidFill>
                </w14:textFill>
              </w:rPr>
              <w:t>厂家回收；除尘器收集的塑粉回用于生产</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生活垃圾由环卫部门定期清运</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废</w:t>
            </w:r>
            <w:r>
              <w:rPr>
                <w:rFonts w:hint="eastAsia"/>
                <w:color w:val="000000" w:themeColor="text1"/>
                <w:sz w:val="24"/>
                <w:szCs w:val="24"/>
                <w:highlight w:val="none"/>
                <w:lang w:val="en-US" w:eastAsia="zh-CN"/>
                <w14:textFill>
                  <w14:solidFill>
                    <w14:schemeClr w14:val="tx1"/>
                  </w14:solidFill>
                </w14:textFill>
              </w:rPr>
              <w:t>机油、废液压油</w:t>
            </w:r>
            <w:r>
              <w:rPr>
                <w:rFonts w:hint="eastAsia"/>
                <w:color w:val="000000" w:themeColor="text1"/>
                <w:sz w:val="24"/>
                <w:szCs w:val="24"/>
                <w:highlight w:val="none"/>
                <w14:textFill>
                  <w14:solidFill>
                    <w14:schemeClr w14:val="tx1"/>
                  </w14:solidFill>
                </w14:textFill>
              </w:rPr>
              <w:t>、废UV灯管、废活性炭于危险暂存间暂存（6m</w:t>
            </w:r>
            <w:r>
              <w:rPr>
                <w:rFonts w:hint="eastAsia"/>
                <w:color w:val="000000" w:themeColor="text1"/>
                <w:sz w:val="24"/>
                <w:szCs w:val="24"/>
                <w:highlight w:val="none"/>
                <w:vertAlign w:val="superscript"/>
                <w14:textFill>
                  <w14:solidFill>
                    <w14:schemeClr w14:val="tx1"/>
                  </w14:solidFill>
                </w14:textFill>
              </w:rPr>
              <w:t>2</w:t>
            </w:r>
            <w:r>
              <w:rPr>
                <w:rFonts w:hint="eastAsia"/>
                <w:color w:val="000000" w:themeColor="text1"/>
                <w:sz w:val="24"/>
                <w:szCs w:val="24"/>
                <w:highlight w:val="none"/>
                <w14:textFill>
                  <w14:solidFill>
                    <w14:schemeClr w14:val="tx1"/>
                  </w14:solidFill>
                </w14:textFill>
              </w:rPr>
              <w:t>），定期委托有资质的单位处置。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0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生态保护措施</w:t>
            </w:r>
          </w:p>
        </w:tc>
        <w:tc>
          <w:tcPr>
            <w:tcW w:w="7697" w:type="dxa"/>
            <w:gridSpan w:val="4"/>
            <w:vAlign w:val="center"/>
          </w:tcPr>
          <w:p>
            <w:pPr>
              <w:adjustRightInd w:val="0"/>
              <w:snapToGrid w:val="0"/>
              <w:spacing w:line="3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3" w:hRule="atLeast"/>
          <w:jc w:val="center"/>
        </w:trPr>
        <w:tc>
          <w:tcPr>
            <w:tcW w:w="1103" w:type="dxa"/>
            <w:vAlign w:val="center"/>
          </w:tcPr>
          <w:p>
            <w:pPr>
              <w:adjustRightInd w:val="0"/>
              <w:snapToGrid w:val="0"/>
              <w:jc w:val="center"/>
              <w:rPr>
                <w:color w:val="000000" w:themeColor="text1"/>
                <w:spacing w:val="-8"/>
                <w:sz w:val="24"/>
                <w:szCs w:val="24"/>
                <w14:textFill>
                  <w14:solidFill>
                    <w14:schemeClr w14:val="tx1"/>
                  </w14:solidFill>
                </w14:textFill>
              </w:rPr>
            </w:pPr>
            <w:r>
              <w:rPr>
                <w:color w:val="000000" w:themeColor="text1"/>
                <w:spacing w:val="-8"/>
                <w:sz w:val="24"/>
                <w:szCs w:val="24"/>
                <w14:textFill>
                  <w14:solidFill>
                    <w14:schemeClr w14:val="tx1"/>
                  </w14:solidFill>
                </w14:textFill>
              </w:rPr>
              <w:t>其他环境管理要求</w:t>
            </w:r>
          </w:p>
        </w:tc>
        <w:tc>
          <w:tcPr>
            <w:tcW w:w="7697" w:type="dxa"/>
            <w:gridSpan w:val="4"/>
          </w:tcPr>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（1）项目建设过程中主体工程、环保设施应同时设计、同时施工、同时投产运行；</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（2）项目建成后按照《排污许可管理条例》（2021年1月24日公布，自2021年3月1日起施行）、《建设项目竣工环境保护验收暂行办法》（国环规环评[2017] 4号）要求申报排污许可并开展项目竣工环境保护验收工作；</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（3）台账记录：①生产设施运行管理信息（生产时间、运行负荷、产品产量等）；②废气污染治理设施运行管理信息；③监测记录信息（主要污染排放口废气排放记录等）；④主要原辅材料消耗记录等；</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（4）加强环保治理设施管理，确保治理设施正常运行，污染物稳定达标排放；</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（5）排放口规范化设置，粘贴标识牌；</w:t>
            </w:r>
          </w:p>
          <w:p>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（6）落实当地管理部门制定的重污染天气管控政策和减排指标。</w:t>
            </w:r>
          </w:p>
          <w:p>
            <w:pPr>
              <w:adjustRightInd w:val="0"/>
              <w:snapToGrid w:val="0"/>
              <w:spacing w:line="360" w:lineRule="exact"/>
              <w:rPr>
                <w:rFonts w:hint="eastAsia"/>
                <w:color w:val="000000" w:themeColor="text1"/>
                <w:sz w:val="24"/>
                <w:szCs w:val="24"/>
                <w14:textFill>
                  <w14:solidFill>
                    <w14:schemeClr w14:val="tx1"/>
                  </w14:solidFill>
                </w14:textFill>
              </w:rPr>
            </w:pPr>
          </w:p>
          <w:p>
            <w:pPr>
              <w:adjustRightInd w:val="0"/>
              <w:snapToGrid w:val="0"/>
              <w:spacing w:line="360" w:lineRule="exact"/>
              <w:rPr>
                <w:rFonts w:hint="eastAsia"/>
                <w:color w:val="000000" w:themeColor="text1"/>
                <w:sz w:val="24"/>
                <w:szCs w:val="24"/>
                <w14:textFill>
                  <w14:solidFill>
                    <w14:schemeClr w14:val="tx1"/>
                  </w14:solidFill>
                </w14:textFill>
              </w:rPr>
            </w:pPr>
          </w:p>
          <w:p>
            <w:pPr>
              <w:adjustRightInd w:val="0"/>
              <w:snapToGrid w:val="0"/>
              <w:spacing w:line="360" w:lineRule="exact"/>
              <w:rPr>
                <w:rFonts w:hint="eastAsia"/>
                <w:color w:val="000000" w:themeColor="text1"/>
                <w:sz w:val="24"/>
                <w:szCs w:val="24"/>
                <w14:textFill>
                  <w14:solidFill>
                    <w14:schemeClr w14:val="tx1"/>
                  </w14:solidFill>
                </w14:textFill>
              </w:rPr>
            </w:pPr>
          </w:p>
          <w:p>
            <w:pPr>
              <w:adjustRightInd w:val="0"/>
              <w:snapToGrid w:val="0"/>
              <w:spacing w:line="360" w:lineRule="exact"/>
              <w:rPr>
                <w:rFonts w:hint="eastAsia"/>
                <w:color w:val="000000" w:themeColor="text1"/>
                <w:sz w:val="24"/>
                <w:szCs w:val="24"/>
                <w14:textFill>
                  <w14:solidFill>
                    <w14:schemeClr w14:val="tx1"/>
                  </w14:solidFill>
                </w14:textFill>
              </w:rPr>
            </w:pPr>
          </w:p>
          <w:p>
            <w:pPr>
              <w:adjustRightInd w:val="0"/>
              <w:snapToGrid w:val="0"/>
              <w:spacing w:line="360" w:lineRule="exact"/>
              <w:rPr>
                <w:rFonts w:hint="eastAsia"/>
                <w:color w:val="000000" w:themeColor="text1"/>
                <w:sz w:val="24"/>
                <w:szCs w:val="24"/>
                <w14:textFill>
                  <w14:solidFill>
                    <w14:schemeClr w14:val="tx1"/>
                  </w14:solidFill>
                </w14:textFill>
              </w:rPr>
            </w:pPr>
          </w:p>
          <w:p>
            <w:pPr>
              <w:adjustRightInd w:val="0"/>
              <w:snapToGrid w:val="0"/>
              <w:spacing w:line="360" w:lineRule="exact"/>
              <w:rPr>
                <w:rFonts w:hint="eastAsia"/>
                <w:color w:val="000000" w:themeColor="text1"/>
                <w:sz w:val="24"/>
                <w:szCs w:val="24"/>
                <w14:textFill>
                  <w14:solidFill>
                    <w14:schemeClr w14:val="tx1"/>
                  </w14:solidFill>
                </w14:textFill>
              </w:rPr>
            </w:pPr>
          </w:p>
          <w:p>
            <w:pPr>
              <w:adjustRightInd w:val="0"/>
              <w:snapToGrid w:val="0"/>
              <w:spacing w:line="360" w:lineRule="exact"/>
              <w:rPr>
                <w:rFonts w:hint="eastAsia"/>
                <w:color w:val="000000" w:themeColor="text1"/>
                <w:sz w:val="24"/>
                <w:szCs w:val="24"/>
                <w14:textFill>
                  <w14:solidFill>
                    <w14:schemeClr w14:val="tx1"/>
                  </w14:solidFill>
                </w14:textFill>
              </w:rPr>
            </w:pPr>
          </w:p>
          <w:p>
            <w:pPr>
              <w:adjustRightInd w:val="0"/>
              <w:snapToGrid w:val="0"/>
              <w:spacing w:line="360" w:lineRule="exact"/>
              <w:rPr>
                <w:rFonts w:hint="eastAsia"/>
                <w:color w:val="000000" w:themeColor="text1"/>
                <w:sz w:val="24"/>
                <w:szCs w:val="24"/>
                <w14:textFill>
                  <w14:solidFill>
                    <w14:schemeClr w14:val="tx1"/>
                  </w14:solidFill>
                </w14:textFill>
              </w:rPr>
            </w:pPr>
          </w:p>
          <w:p>
            <w:pPr>
              <w:adjustRightInd w:val="0"/>
              <w:snapToGrid w:val="0"/>
              <w:spacing w:line="360" w:lineRule="exact"/>
              <w:rPr>
                <w:rFonts w:hint="eastAsia"/>
                <w:color w:val="000000" w:themeColor="text1"/>
                <w:sz w:val="24"/>
                <w:szCs w:val="24"/>
                <w14:textFill>
                  <w14:solidFill>
                    <w14:schemeClr w14:val="tx1"/>
                  </w14:solidFill>
                </w14:textFill>
              </w:rPr>
            </w:pPr>
          </w:p>
          <w:p>
            <w:pPr>
              <w:adjustRightInd w:val="0"/>
              <w:snapToGrid w:val="0"/>
              <w:spacing w:line="360" w:lineRule="exact"/>
              <w:rPr>
                <w:rFonts w:hint="eastAsia"/>
                <w:color w:val="000000" w:themeColor="text1"/>
                <w:sz w:val="24"/>
                <w:szCs w:val="24"/>
                <w14:textFill>
                  <w14:solidFill>
                    <w14:schemeClr w14:val="tx1"/>
                  </w14:solidFill>
                </w14:textFill>
              </w:rPr>
            </w:pPr>
          </w:p>
          <w:p>
            <w:pPr>
              <w:adjustRightInd w:val="0"/>
              <w:snapToGrid w:val="0"/>
              <w:spacing w:line="360" w:lineRule="exact"/>
              <w:rPr>
                <w:rFonts w:hint="eastAsia"/>
                <w:color w:val="000000" w:themeColor="text1"/>
                <w:sz w:val="24"/>
                <w:szCs w:val="24"/>
                <w14:textFill>
                  <w14:solidFill>
                    <w14:schemeClr w14:val="tx1"/>
                  </w14:solidFill>
                </w14:textFill>
              </w:rPr>
            </w:pPr>
          </w:p>
          <w:p>
            <w:pPr>
              <w:adjustRightInd w:val="0"/>
              <w:snapToGrid w:val="0"/>
              <w:spacing w:line="360" w:lineRule="exact"/>
              <w:rPr>
                <w:rFonts w:hint="eastAsia"/>
                <w:color w:val="000000" w:themeColor="text1"/>
                <w:sz w:val="24"/>
                <w:szCs w:val="24"/>
                <w14:textFill>
                  <w14:solidFill>
                    <w14:schemeClr w14:val="tx1"/>
                  </w14:solidFill>
                </w14:textFill>
              </w:rPr>
            </w:pPr>
          </w:p>
          <w:p>
            <w:pPr>
              <w:adjustRightInd w:val="0"/>
              <w:snapToGrid w:val="0"/>
              <w:spacing w:line="360" w:lineRule="exact"/>
              <w:rPr>
                <w:rFonts w:hint="eastAsia"/>
                <w:color w:val="000000" w:themeColor="text1"/>
                <w:sz w:val="24"/>
                <w:szCs w:val="24"/>
                <w14:textFill>
                  <w14:solidFill>
                    <w14:schemeClr w14:val="tx1"/>
                  </w14:solidFill>
                </w14:textFill>
              </w:rPr>
            </w:pPr>
          </w:p>
          <w:p>
            <w:pPr>
              <w:adjustRightInd w:val="0"/>
              <w:snapToGrid w:val="0"/>
              <w:spacing w:line="360" w:lineRule="exact"/>
              <w:rPr>
                <w:rFonts w:hint="eastAsia"/>
                <w:color w:val="000000" w:themeColor="text1"/>
                <w:sz w:val="24"/>
                <w:szCs w:val="24"/>
                <w:lang w:eastAsia="zh-CN"/>
                <w14:textFill>
                  <w14:solidFill>
                    <w14:schemeClr w14:val="tx1"/>
                  </w14:solidFill>
                </w14:textFill>
              </w:rPr>
            </w:pPr>
          </w:p>
          <w:p>
            <w:pPr>
              <w:adjustRightInd w:val="0"/>
              <w:snapToGrid w:val="0"/>
              <w:spacing w:line="360" w:lineRule="exact"/>
              <w:rPr>
                <w:rFonts w:hint="eastAsia"/>
                <w:color w:val="000000" w:themeColor="text1"/>
                <w:sz w:val="24"/>
                <w:szCs w:val="24"/>
                <w:lang w:eastAsia="zh-CN"/>
                <w14:textFill>
                  <w14:solidFill>
                    <w14:schemeClr w14:val="tx1"/>
                  </w14:solidFill>
                </w14:textFill>
              </w:rPr>
            </w:pPr>
          </w:p>
          <w:p>
            <w:pPr>
              <w:adjustRightInd w:val="0"/>
              <w:snapToGrid w:val="0"/>
              <w:spacing w:line="360" w:lineRule="exact"/>
              <w:rPr>
                <w:rFonts w:hint="eastAsia" w:eastAsia="宋体"/>
                <w:color w:val="000000" w:themeColor="text1"/>
                <w:sz w:val="24"/>
                <w:szCs w:val="24"/>
                <w:lang w:eastAsia="zh-CN"/>
                <w14:textFill>
                  <w14:solidFill>
                    <w14:schemeClr w14:val="tx1"/>
                  </w14:solidFill>
                </w14:textFill>
              </w:rPr>
            </w:pPr>
          </w:p>
        </w:tc>
      </w:tr>
    </w:tbl>
    <w:p>
      <w:pPr>
        <w:pStyle w:val="23"/>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snapToGrid w:val="0"/>
          <w:color w:val="FF0000"/>
        </w:rPr>
        <w:br w:type="page"/>
      </w:r>
      <w:r>
        <w:rPr>
          <w:rFonts w:ascii="Times New Roman" w:hAnsi="Times New Roman" w:eastAsia="黑体"/>
          <w:snapToGrid w:val="0"/>
          <w:color w:val="000000" w:themeColor="text1"/>
          <w:sz w:val="30"/>
          <w:szCs w:val="30"/>
          <w14:textFill>
            <w14:solidFill>
              <w14:schemeClr w14:val="tx1"/>
            </w14:solidFill>
          </w14:textFill>
        </w:rPr>
        <w:t>六、结论</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261" w:hRule="atLeast"/>
          <w:jc w:val="center"/>
        </w:trPr>
        <w:tc>
          <w:tcPr>
            <w:tcW w:w="8865" w:type="dxa"/>
          </w:tcPr>
          <w:p>
            <w:pPr>
              <w:spacing w:line="360" w:lineRule="auto"/>
              <w:ind w:left="316" w:hanging="361" w:hangingChars="150"/>
              <w:rPr>
                <w:b/>
                <w:bCs/>
                <w:color w:val="000000" w:themeColor="text1"/>
                <w:sz w:val="24"/>
                <w:szCs w:val="32"/>
                <w14:textFill>
                  <w14:solidFill>
                    <w14:schemeClr w14:val="tx1"/>
                  </w14:solidFill>
                </w14:textFill>
              </w:rPr>
            </w:pPr>
            <w:r>
              <w:rPr>
                <w:b/>
                <w:bCs/>
                <w:color w:val="000000" w:themeColor="text1"/>
                <w:sz w:val="24"/>
                <w:szCs w:val="32"/>
                <w14:textFill>
                  <w14:solidFill>
                    <w14:schemeClr w14:val="tx1"/>
                  </w14:solidFill>
                </w14:textFill>
              </w:rPr>
              <w:t>1、评价总结论</w:t>
            </w:r>
          </w:p>
          <w:p>
            <w:pPr>
              <w:spacing w:line="360" w:lineRule="auto"/>
              <w:ind w:firstLine="480" w:firstLineChars="200"/>
              <w:rPr>
                <w:color w:val="000000" w:themeColor="text1"/>
                <w:sz w:val="24"/>
                <w:szCs w:val="32"/>
                <w14:textFill>
                  <w14:solidFill>
                    <w14:schemeClr w14:val="tx1"/>
                  </w14:solidFill>
                </w14:textFill>
              </w:rPr>
            </w:pPr>
            <w:r>
              <w:rPr>
                <w:rFonts w:hint="eastAsia"/>
                <w:color w:val="000000" w:themeColor="text1"/>
                <w:sz w:val="24"/>
                <w:szCs w:val="24"/>
                <w:shd w:val="clear"/>
                <w:lang w:val="en-US" w:eastAsia="zh-CN"/>
                <w14:textFill>
                  <w14:solidFill>
                    <w14:schemeClr w14:val="tx1"/>
                  </w14:solidFill>
                </w14:textFill>
              </w:rPr>
              <w:t>河南豫德玛医疗器械有限公司年产1.5万套医疗器械项目</w:t>
            </w:r>
            <w:r>
              <w:rPr>
                <w:rFonts w:hint="eastAsia"/>
                <w:color w:val="000000" w:themeColor="text1"/>
                <w:sz w:val="24"/>
                <w:szCs w:val="24"/>
                <w14:textFill>
                  <w14:solidFill>
                    <w14:schemeClr w14:val="tx1"/>
                  </w14:solidFill>
                </w14:textFill>
              </w:rPr>
              <w:t>，</w:t>
            </w:r>
            <w:r>
              <w:rPr>
                <w:color w:val="000000" w:themeColor="text1"/>
                <w:sz w:val="24"/>
                <w:szCs w:val="32"/>
                <w14:textFill>
                  <w14:solidFill>
                    <w14:schemeClr w14:val="tx1"/>
                  </w14:solidFill>
                </w14:textFill>
              </w:rPr>
              <w:t>符合</w:t>
            </w:r>
            <w:r>
              <w:rPr>
                <w:rFonts w:hint="eastAsia"/>
                <w:color w:val="000000" w:themeColor="text1"/>
                <w:sz w:val="24"/>
                <w:szCs w:val="32"/>
                <w14:textFill>
                  <w14:solidFill>
                    <w14:schemeClr w14:val="tx1"/>
                  </w14:solidFill>
                </w14:textFill>
              </w:rPr>
              <w:t>当前</w:t>
            </w:r>
            <w:r>
              <w:rPr>
                <w:color w:val="000000" w:themeColor="text1"/>
                <w:sz w:val="24"/>
                <w:szCs w:val="32"/>
                <w14:textFill>
                  <w14:solidFill>
                    <w14:schemeClr w14:val="tx1"/>
                  </w14:solidFill>
                </w14:textFill>
              </w:rPr>
              <w:t>国家产业政策，选址合理，拟采取的污染防治措施可行，各类污染物均能满足达标排放、合理处置和总量控制要求，对环境影响较小。在加强生产管理及监督、保证各项环保措施正常运行的前提下，从环境保护的角度分析，本项目建设是可行的。</w:t>
            </w:r>
          </w:p>
          <w:p>
            <w:pPr>
              <w:widowControl/>
              <w:snapToGrid w:val="0"/>
              <w:spacing w:line="360" w:lineRule="auto"/>
              <w:ind w:firstLine="422" w:firstLineChars="200"/>
              <w:jc w:val="left"/>
              <w:rPr>
                <w:b/>
                <w:bCs/>
              </w:rPr>
            </w:pPr>
          </w:p>
          <w:p>
            <w:pPr>
              <w:widowControl/>
              <w:snapToGrid w:val="0"/>
              <w:spacing w:line="360" w:lineRule="auto"/>
              <w:ind w:firstLine="422" w:firstLineChars="200"/>
              <w:jc w:val="left"/>
              <w:rPr>
                <w:b/>
                <w:bCs/>
              </w:rPr>
            </w:pPr>
          </w:p>
          <w:p>
            <w:pPr>
              <w:widowControl/>
              <w:snapToGrid w:val="0"/>
              <w:spacing w:line="360" w:lineRule="auto"/>
              <w:ind w:firstLine="422" w:firstLineChars="200"/>
              <w:jc w:val="left"/>
              <w:rPr>
                <w:b/>
                <w:bCs/>
              </w:rPr>
            </w:pPr>
          </w:p>
          <w:p>
            <w:pPr>
              <w:spacing w:line="440" w:lineRule="exact"/>
              <w:jc w:val="left"/>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61" w:hRule="atLeast"/>
          <w:jc w:val="center"/>
        </w:trPr>
        <w:tc>
          <w:tcPr>
            <w:tcW w:w="8865" w:type="dxa"/>
          </w:tcPr>
          <w:p>
            <w:pPr>
              <w:widowControl/>
              <w:snapToGrid w:val="0"/>
              <w:spacing w:line="360" w:lineRule="auto"/>
              <w:ind w:firstLine="422" w:firstLineChars="200"/>
              <w:jc w:val="left"/>
              <w:rPr>
                <w:b/>
                <w:bCs/>
              </w:rPr>
            </w:pPr>
          </w:p>
          <w:p>
            <w:pPr>
              <w:widowControl/>
              <w:snapToGrid w:val="0"/>
              <w:spacing w:line="360" w:lineRule="auto"/>
              <w:ind w:firstLine="482" w:firstLineChars="200"/>
              <w:jc w:val="left"/>
              <w:rPr>
                <w:b/>
                <w:bCs/>
                <w:sz w:val="24"/>
                <w:szCs w:val="32"/>
              </w:rPr>
            </w:pPr>
          </w:p>
          <w:p>
            <w:pPr>
              <w:widowControl/>
              <w:snapToGrid w:val="0"/>
              <w:spacing w:line="360" w:lineRule="auto"/>
              <w:jc w:val="left"/>
              <w:rPr>
                <w:b/>
                <w:bCs/>
                <w:sz w:val="24"/>
                <w:szCs w:val="32"/>
              </w:rPr>
            </w:pPr>
            <w:r>
              <w:rPr>
                <w:b/>
                <w:bCs/>
                <w:sz w:val="24"/>
                <w:szCs w:val="32"/>
              </w:rPr>
              <w:t>本报告包含以下附图、附件</w:t>
            </w:r>
          </w:p>
          <w:p>
            <w:pPr>
              <w:widowControl/>
              <w:snapToGrid w:val="0"/>
              <w:spacing w:line="360" w:lineRule="auto"/>
              <w:ind w:firstLine="480" w:firstLineChars="200"/>
              <w:jc w:val="left"/>
              <w:rPr>
                <w:sz w:val="24"/>
                <w:szCs w:val="32"/>
              </w:rPr>
            </w:pPr>
            <w:r>
              <w:rPr>
                <w:sz w:val="24"/>
                <w:szCs w:val="32"/>
              </w:rPr>
              <w:t>附图1    项目地理位置图</w:t>
            </w:r>
          </w:p>
          <w:p>
            <w:pPr>
              <w:widowControl/>
              <w:snapToGrid w:val="0"/>
              <w:spacing w:line="360" w:lineRule="auto"/>
              <w:ind w:firstLine="480" w:firstLineChars="200"/>
              <w:jc w:val="left"/>
              <w:rPr>
                <w:sz w:val="24"/>
                <w:szCs w:val="32"/>
              </w:rPr>
            </w:pPr>
            <w:r>
              <w:rPr>
                <w:sz w:val="24"/>
                <w:szCs w:val="32"/>
              </w:rPr>
              <w:t xml:space="preserve">附图2 </w:t>
            </w:r>
            <w:r>
              <w:rPr>
                <w:rFonts w:hint="eastAsia"/>
                <w:sz w:val="24"/>
                <w:szCs w:val="32"/>
              </w:rPr>
              <w:t xml:space="preserve"> </w:t>
            </w:r>
            <w:r>
              <w:rPr>
                <w:rFonts w:hint="eastAsia"/>
                <w:sz w:val="24"/>
                <w:szCs w:val="32"/>
                <w:lang w:val="en-US" w:eastAsia="zh-CN"/>
              </w:rPr>
              <w:t xml:space="preserve">  </w:t>
            </w:r>
            <w:r>
              <w:rPr>
                <w:rFonts w:hint="eastAsia"/>
                <w:sz w:val="24"/>
                <w:szCs w:val="32"/>
              </w:rPr>
              <w:t>项目平面</w:t>
            </w:r>
            <w:r>
              <w:rPr>
                <w:rFonts w:hint="eastAsia"/>
                <w:sz w:val="24"/>
                <w:szCs w:val="32"/>
                <w:lang w:val="en-US" w:eastAsia="zh-CN"/>
              </w:rPr>
              <w:t>布置</w:t>
            </w:r>
            <w:r>
              <w:rPr>
                <w:rFonts w:hint="eastAsia"/>
                <w:sz w:val="24"/>
                <w:szCs w:val="32"/>
              </w:rPr>
              <w:t>图</w:t>
            </w:r>
          </w:p>
          <w:p>
            <w:pPr>
              <w:widowControl/>
              <w:snapToGrid w:val="0"/>
              <w:spacing w:line="360" w:lineRule="auto"/>
              <w:ind w:firstLine="480" w:firstLineChars="200"/>
              <w:rPr>
                <w:rFonts w:hint="eastAsia" w:eastAsia="宋体"/>
                <w:sz w:val="24"/>
                <w:szCs w:val="32"/>
                <w:lang w:val="en-US" w:eastAsia="zh-CN"/>
              </w:rPr>
            </w:pPr>
            <w:r>
              <w:rPr>
                <w:sz w:val="24"/>
                <w:szCs w:val="32"/>
              </w:rPr>
              <w:t xml:space="preserve">附图3    </w:t>
            </w:r>
            <w:r>
              <w:rPr>
                <w:rFonts w:hint="eastAsia" w:ascii="Times New Roman" w:hAnsi="Times New Roman" w:eastAsia="宋体" w:cs="Times New Roman"/>
                <w:sz w:val="24"/>
                <w:szCs w:val="32"/>
              </w:rPr>
              <w:t>项目</w:t>
            </w:r>
            <w:r>
              <w:rPr>
                <w:rFonts w:hint="eastAsia" w:ascii="Times New Roman" w:hAnsi="Times New Roman" w:eastAsia="宋体" w:cs="Times New Roman"/>
                <w:sz w:val="24"/>
                <w:szCs w:val="32"/>
                <w:lang w:val="en-US" w:eastAsia="zh-CN"/>
              </w:rPr>
              <w:t>与艾科堡公司位置关系图</w:t>
            </w:r>
          </w:p>
          <w:p>
            <w:pPr>
              <w:widowControl/>
              <w:snapToGrid w:val="0"/>
              <w:spacing w:line="360" w:lineRule="auto"/>
              <w:ind w:firstLine="480" w:firstLineChars="200"/>
              <w:rPr>
                <w:rFonts w:hint="eastAsia"/>
                <w:sz w:val="24"/>
                <w:szCs w:val="32"/>
                <w:lang w:val="en-US" w:eastAsia="zh-CN"/>
              </w:rPr>
            </w:pPr>
            <w:r>
              <w:rPr>
                <w:sz w:val="24"/>
                <w:szCs w:val="32"/>
              </w:rPr>
              <w:t>附图</w:t>
            </w:r>
            <w:r>
              <w:rPr>
                <w:rFonts w:hint="eastAsia"/>
                <w:sz w:val="24"/>
                <w:szCs w:val="32"/>
              </w:rPr>
              <w:t>4</w:t>
            </w:r>
            <w:r>
              <w:rPr>
                <w:sz w:val="24"/>
                <w:szCs w:val="32"/>
              </w:rPr>
              <w:t xml:space="preserve">    </w:t>
            </w:r>
            <w:r>
              <w:rPr>
                <w:rFonts w:hint="eastAsia"/>
                <w:sz w:val="24"/>
                <w:szCs w:val="32"/>
                <w:lang w:val="en-US" w:eastAsia="zh-CN"/>
              </w:rPr>
              <w:t>项目周边敏感点及周边环境示意图</w:t>
            </w:r>
          </w:p>
          <w:p>
            <w:pPr>
              <w:widowControl/>
              <w:snapToGrid w:val="0"/>
              <w:spacing w:line="360" w:lineRule="auto"/>
              <w:ind w:firstLine="480" w:firstLineChars="200"/>
              <w:rPr>
                <w:sz w:val="24"/>
                <w:szCs w:val="32"/>
              </w:rPr>
            </w:pPr>
            <w:r>
              <w:rPr>
                <w:rFonts w:hint="eastAsia"/>
                <w:sz w:val="24"/>
                <w:szCs w:val="32"/>
                <w:lang w:val="en-US" w:eastAsia="zh-CN"/>
              </w:rPr>
              <w:t xml:space="preserve">附图5    </w:t>
            </w:r>
            <w:r>
              <w:rPr>
                <w:sz w:val="24"/>
                <w:szCs w:val="32"/>
              </w:rPr>
              <w:t>项目</w:t>
            </w:r>
            <w:r>
              <w:rPr>
                <w:rFonts w:hint="eastAsia"/>
                <w:sz w:val="24"/>
                <w:szCs w:val="32"/>
              </w:rPr>
              <w:t>现场照片</w:t>
            </w:r>
          </w:p>
          <w:p>
            <w:pPr>
              <w:widowControl/>
              <w:snapToGrid w:val="0"/>
              <w:spacing w:line="360" w:lineRule="auto"/>
              <w:ind w:firstLine="480" w:firstLineChars="200"/>
              <w:rPr>
                <w:rFonts w:hint="eastAsia"/>
                <w:sz w:val="24"/>
                <w:szCs w:val="32"/>
              </w:rPr>
            </w:pPr>
            <w:r>
              <w:rPr>
                <w:rFonts w:hint="eastAsia"/>
                <w:sz w:val="24"/>
                <w:szCs w:val="32"/>
              </w:rPr>
              <w:t>附图</w:t>
            </w:r>
            <w:r>
              <w:rPr>
                <w:rFonts w:hint="eastAsia"/>
                <w:sz w:val="24"/>
                <w:szCs w:val="32"/>
                <w:lang w:val="en-US" w:eastAsia="zh-CN"/>
              </w:rPr>
              <w:t>6</w:t>
            </w:r>
            <w:r>
              <w:rPr>
                <w:rFonts w:hint="eastAsia"/>
                <w:sz w:val="24"/>
                <w:szCs w:val="32"/>
              </w:rPr>
              <w:t xml:space="preserve">    项目</w:t>
            </w:r>
            <w:r>
              <w:rPr>
                <w:rFonts w:hint="eastAsia"/>
                <w:sz w:val="24"/>
                <w:szCs w:val="32"/>
                <w:lang w:val="en-US" w:eastAsia="zh-CN"/>
              </w:rPr>
              <w:t>选址</w:t>
            </w:r>
            <w:r>
              <w:rPr>
                <w:rFonts w:hint="eastAsia"/>
                <w:sz w:val="24"/>
                <w:szCs w:val="32"/>
              </w:rPr>
              <w:t>与饮用水源</w:t>
            </w:r>
            <w:r>
              <w:rPr>
                <w:rFonts w:hint="eastAsia"/>
                <w:sz w:val="24"/>
                <w:szCs w:val="32"/>
                <w:lang w:eastAsia="zh-CN"/>
              </w:rPr>
              <w:t>的</w:t>
            </w:r>
            <w:r>
              <w:rPr>
                <w:rFonts w:hint="eastAsia"/>
                <w:sz w:val="24"/>
                <w:szCs w:val="32"/>
              </w:rPr>
              <w:t>位置关系图</w:t>
            </w:r>
          </w:p>
          <w:p>
            <w:pPr>
              <w:widowControl/>
              <w:snapToGrid w:val="0"/>
              <w:spacing w:line="360" w:lineRule="auto"/>
              <w:ind w:firstLine="480" w:firstLineChars="200"/>
              <w:rPr>
                <w:sz w:val="24"/>
                <w:szCs w:val="32"/>
              </w:rPr>
            </w:pPr>
            <w:r>
              <w:rPr>
                <w:rFonts w:hint="eastAsia"/>
                <w:sz w:val="24"/>
                <w:szCs w:val="32"/>
              </w:rPr>
              <w:t>附图</w:t>
            </w:r>
            <w:r>
              <w:rPr>
                <w:rFonts w:hint="eastAsia"/>
                <w:sz w:val="24"/>
                <w:szCs w:val="32"/>
                <w:lang w:val="en-US" w:eastAsia="zh-CN"/>
              </w:rPr>
              <w:t xml:space="preserve">7    </w:t>
            </w:r>
            <w:r>
              <w:rPr>
                <w:rFonts w:hint="eastAsia"/>
                <w:sz w:val="24"/>
                <w:szCs w:val="32"/>
              </w:rPr>
              <w:t>项目与大遗址保护区位置关系图</w:t>
            </w:r>
          </w:p>
          <w:p>
            <w:pPr>
              <w:widowControl/>
              <w:snapToGrid w:val="0"/>
              <w:spacing w:line="360" w:lineRule="auto"/>
              <w:ind w:firstLine="480" w:firstLineChars="200"/>
              <w:rPr>
                <w:sz w:val="24"/>
                <w:szCs w:val="32"/>
              </w:rPr>
            </w:pPr>
            <w:r>
              <w:rPr>
                <w:rFonts w:hint="eastAsia"/>
                <w:sz w:val="24"/>
                <w:szCs w:val="32"/>
              </w:rPr>
              <w:t>附图</w:t>
            </w:r>
            <w:r>
              <w:rPr>
                <w:rFonts w:hint="eastAsia"/>
                <w:sz w:val="24"/>
                <w:szCs w:val="32"/>
                <w:lang w:val="en-US" w:eastAsia="zh-CN"/>
              </w:rPr>
              <w:t xml:space="preserve">8 </w:t>
            </w:r>
            <w:r>
              <w:rPr>
                <w:rFonts w:hint="eastAsia"/>
                <w:sz w:val="24"/>
                <w:szCs w:val="32"/>
              </w:rPr>
              <w:t xml:space="preserve">   洛阳环境管控单元分布图</w:t>
            </w:r>
          </w:p>
          <w:p>
            <w:pPr>
              <w:widowControl/>
              <w:snapToGrid w:val="0"/>
              <w:spacing w:line="360" w:lineRule="auto"/>
              <w:ind w:firstLine="480" w:firstLineChars="200"/>
              <w:rPr>
                <w:sz w:val="24"/>
                <w:szCs w:val="32"/>
              </w:rPr>
            </w:pPr>
            <w:r>
              <w:rPr>
                <w:rFonts w:hint="eastAsia"/>
                <w:sz w:val="24"/>
                <w:szCs w:val="32"/>
              </w:rPr>
              <w:t>附图</w:t>
            </w:r>
            <w:r>
              <w:rPr>
                <w:rFonts w:hint="eastAsia"/>
                <w:sz w:val="24"/>
                <w:szCs w:val="32"/>
                <w:lang w:val="en-US" w:eastAsia="zh-CN"/>
              </w:rPr>
              <w:t>9</w:t>
            </w:r>
            <w:r>
              <w:rPr>
                <w:rFonts w:hint="eastAsia"/>
                <w:sz w:val="24"/>
                <w:szCs w:val="32"/>
              </w:rPr>
              <w:t xml:space="preserve"> </w:t>
            </w:r>
            <w:r>
              <w:rPr>
                <w:rFonts w:hint="eastAsia"/>
                <w:sz w:val="24"/>
                <w:szCs w:val="32"/>
                <w:lang w:val="en-US" w:eastAsia="zh-CN"/>
              </w:rPr>
              <w:t xml:space="preserve"> </w:t>
            </w:r>
            <w:r>
              <w:rPr>
                <w:rFonts w:hint="eastAsia"/>
                <w:sz w:val="24"/>
                <w:szCs w:val="32"/>
              </w:rPr>
              <w:t xml:space="preserve">  洛阳市生态保护红线分类管控图</w:t>
            </w:r>
          </w:p>
          <w:p>
            <w:pPr>
              <w:widowControl/>
              <w:snapToGrid w:val="0"/>
              <w:spacing w:line="360" w:lineRule="auto"/>
              <w:ind w:firstLine="480" w:firstLineChars="200"/>
              <w:rPr>
                <w:sz w:val="24"/>
                <w:szCs w:val="32"/>
              </w:rPr>
            </w:pPr>
            <w:r>
              <w:rPr>
                <w:rFonts w:hint="eastAsia"/>
                <w:sz w:val="24"/>
                <w:szCs w:val="32"/>
              </w:rPr>
              <w:t xml:space="preserve">  </w:t>
            </w:r>
          </w:p>
          <w:p>
            <w:pPr>
              <w:widowControl/>
              <w:snapToGrid w:val="0"/>
              <w:spacing w:line="360" w:lineRule="auto"/>
              <w:ind w:firstLine="480" w:firstLineChars="200"/>
              <w:rPr>
                <w:sz w:val="24"/>
                <w:szCs w:val="32"/>
              </w:rPr>
            </w:pPr>
            <w:r>
              <w:rPr>
                <w:sz w:val="24"/>
                <w:szCs w:val="32"/>
              </w:rPr>
              <w:t>附件1    委托书</w:t>
            </w:r>
          </w:p>
          <w:p>
            <w:pPr>
              <w:widowControl/>
              <w:spacing w:line="360" w:lineRule="auto"/>
              <w:ind w:firstLine="480" w:firstLineChars="200"/>
              <w:jc w:val="left"/>
              <w:rPr>
                <w:sz w:val="24"/>
                <w:szCs w:val="32"/>
              </w:rPr>
            </w:pPr>
            <w:r>
              <w:rPr>
                <w:sz w:val="24"/>
                <w:szCs w:val="32"/>
              </w:rPr>
              <w:t>附件2    备案证明</w:t>
            </w:r>
          </w:p>
          <w:p>
            <w:pPr>
              <w:widowControl/>
              <w:spacing w:line="360" w:lineRule="auto"/>
              <w:ind w:firstLine="480" w:firstLineChars="200"/>
              <w:jc w:val="left"/>
              <w:rPr>
                <w:sz w:val="24"/>
                <w:szCs w:val="32"/>
              </w:rPr>
            </w:pPr>
            <w:r>
              <w:rPr>
                <w:sz w:val="24"/>
                <w:szCs w:val="32"/>
              </w:rPr>
              <w:t xml:space="preserve">附件3    </w:t>
            </w:r>
            <w:r>
              <w:rPr>
                <w:rFonts w:hint="eastAsia"/>
                <w:sz w:val="24"/>
                <w:szCs w:val="32"/>
              </w:rPr>
              <w:t>厂房租赁合同</w:t>
            </w:r>
          </w:p>
          <w:p>
            <w:pPr>
              <w:widowControl/>
              <w:spacing w:line="360" w:lineRule="auto"/>
              <w:ind w:firstLine="480" w:firstLineChars="200"/>
              <w:jc w:val="left"/>
              <w:rPr>
                <w:rFonts w:hint="default" w:eastAsia="宋体"/>
                <w:sz w:val="24"/>
                <w:szCs w:val="32"/>
                <w:lang w:val="en-US" w:eastAsia="zh-CN"/>
              </w:rPr>
            </w:pPr>
            <w:r>
              <w:rPr>
                <w:rFonts w:hint="eastAsia"/>
                <w:sz w:val="24"/>
                <w:szCs w:val="32"/>
              </w:rPr>
              <w:t>附件4    土地证明</w:t>
            </w:r>
          </w:p>
          <w:p>
            <w:pPr>
              <w:widowControl/>
              <w:spacing w:line="360" w:lineRule="auto"/>
              <w:ind w:left="479" w:leftChars="228" w:firstLine="0" w:firstLineChars="0"/>
              <w:jc w:val="left"/>
              <w:rPr>
                <w:rFonts w:hint="default" w:eastAsia="宋体"/>
                <w:sz w:val="24"/>
                <w:szCs w:val="32"/>
                <w:lang w:val="en-US" w:eastAsia="zh-CN"/>
              </w:rPr>
            </w:pPr>
            <w:r>
              <w:rPr>
                <w:sz w:val="24"/>
                <w:szCs w:val="32"/>
              </w:rPr>
              <w:t>附件</w:t>
            </w:r>
            <w:r>
              <w:rPr>
                <w:rFonts w:hint="eastAsia"/>
                <w:sz w:val="24"/>
                <w:szCs w:val="32"/>
              </w:rPr>
              <w:t xml:space="preserve">5    </w:t>
            </w:r>
            <w:r>
              <w:rPr>
                <w:rFonts w:hint="eastAsia"/>
                <w:sz w:val="24"/>
                <w:szCs w:val="32"/>
                <w:lang w:eastAsia="zh-CN"/>
              </w:rPr>
              <w:t>文物证明</w:t>
            </w:r>
            <w:r>
              <w:rPr>
                <w:rFonts w:hint="eastAsia"/>
                <w:sz w:val="24"/>
                <w:szCs w:val="32"/>
                <w:lang w:eastAsia="zh-CN"/>
              </w:rPr>
              <w:br w:type="textWrapping"/>
            </w:r>
            <w:r>
              <w:rPr>
                <w:rFonts w:hint="eastAsia"/>
                <w:sz w:val="24"/>
                <w:szCs w:val="32"/>
                <w:lang w:val="en-US" w:eastAsia="zh-CN"/>
              </w:rPr>
              <w:t>附件6    艾科堡环评批复</w:t>
            </w:r>
          </w:p>
          <w:p>
            <w:pPr>
              <w:spacing w:line="360" w:lineRule="auto"/>
              <w:ind w:firstLine="480" w:firstLineChars="200"/>
              <w:jc w:val="left"/>
              <w:rPr>
                <w:rFonts w:hint="eastAsia"/>
                <w:sz w:val="24"/>
                <w:szCs w:val="32"/>
                <w:lang w:val="en-US" w:eastAsia="zh-CN"/>
              </w:rPr>
            </w:pPr>
            <w:r>
              <w:rPr>
                <w:rFonts w:hint="eastAsia"/>
                <w:sz w:val="24"/>
                <w:szCs w:val="32"/>
                <w:lang w:val="en-US" w:eastAsia="zh-CN"/>
              </w:rPr>
              <w:t>附件7    艾科堡排污许可登记回执</w:t>
            </w:r>
          </w:p>
          <w:p>
            <w:pPr>
              <w:spacing w:line="360" w:lineRule="auto"/>
              <w:ind w:firstLine="480" w:firstLineChars="200"/>
              <w:jc w:val="left"/>
              <w:rPr>
                <w:rFonts w:hint="eastAsia"/>
                <w:color w:val="FF0000"/>
                <w:lang w:eastAsia="zh-CN"/>
              </w:rPr>
            </w:pPr>
            <w:r>
              <w:rPr>
                <w:rFonts w:hint="eastAsia"/>
                <w:sz w:val="24"/>
                <w:szCs w:val="32"/>
                <w:lang w:val="en-US" w:eastAsia="zh-CN"/>
              </w:rPr>
              <w:t>附件8    营业执照</w:t>
            </w:r>
          </w:p>
          <w:p>
            <w:pPr>
              <w:spacing w:line="440" w:lineRule="exact"/>
              <w:jc w:val="left"/>
              <w:rPr>
                <w:rFonts w:hint="eastAsia"/>
                <w:color w:val="FF0000"/>
                <w:lang w:eastAsia="zh-CN"/>
              </w:rPr>
            </w:pPr>
          </w:p>
          <w:p>
            <w:pPr>
              <w:spacing w:line="440" w:lineRule="exact"/>
              <w:jc w:val="left"/>
              <w:rPr>
                <w:rFonts w:hint="eastAsia"/>
                <w:color w:val="FF0000"/>
                <w:lang w:eastAsia="zh-CN"/>
              </w:rPr>
            </w:pPr>
          </w:p>
          <w:p>
            <w:pPr>
              <w:spacing w:line="440" w:lineRule="exact"/>
              <w:jc w:val="left"/>
              <w:rPr>
                <w:rFonts w:hint="eastAsia"/>
                <w:color w:val="FF0000"/>
                <w:lang w:eastAsia="zh-CN"/>
              </w:rPr>
            </w:pPr>
          </w:p>
          <w:p>
            <w:pPr>
              <w:spacing w:line="440" w:lineRule="exact"/>
              <w:jc w:val="left"/>
              <w:rPr>
                <w:rFonts w:hint="eastAsia"/>
                <w:color w:val="FF0000"/>
                <w:lang w:eastAsia="zh-CN"/>
              </w:rPr>
            </w:pPr>
          </w:p>
          <w:p>
            <w:pPr>
              <w:spacing w:line="440" w:lineRule="exact"/>
              <w:jc w:val="left"/>
              <w:rPr>
                <w:rFonts w:hint="eastAsia"/>
                <w:color w:val="FF0000"/>
                <w:lang w:eastAsia="zh-CN"/>
              </w:rPr>
            </w:pPr>
          </w:p>
          <w:p>
            <w:pPr>
              <w:spacing w:line="440" w:lineRule="exact"/>
              <w:jc w:val="left"/>
              <w:rPr>
                <w:rFonts w:hint="eastAsia"/>
                <w:color w:val="FF0000"/>
                <w:lang w:eastAsia="zh-CN"/>
              </w:rPr>
            </w:pPr>
          </w:p>
          <w:p>
            <w:pPr>
              <w:spacing w:line="440" w:lineRule="exact"/>
              <w:jc w:val="left"/>
              <w:rPr>
                <w:rFonts w:hint="eastAsia" w:eastAsia="宋体"/>
                <w:color w:val="FF0000"/>
                <w:lang w:eastAsia="zh-CN"/>
              </w:rPr>
            </w:pPr>
          </w:p>
        </w:tc>
      </w:tr>
    </w:tbl>
    <w:p>
      <w:pPr>
        <w:rPr>
          <w:color w:val="FF0000"/>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3"/>
        <w:adjustRightInd w:val="0"/>
        <w:snapToGrid w:val="0"/>
        <w:spacing w:before="0" w:beforeAutospacing="0" w:after="0" w:afterAutospacing="0"/>
        <w:outlineLvl w:val="0"/>
        <w:rPr>
          <w:rFonts w:ascii="Times New Roman" w:hAnsi="Times New Roman" w:eastAsia="黑体"/>
          <w:snapToGrid w:val="0"/>
          <w:color w:val="000000" w:themeColor="text1"/>
          <w:sz w:val="32"/>
          <w:szCs w:val="32"/>
          <w14:textFill>
            <w14:solidFill>
              <w14:schemeClr w14:val="tx1"/>
            </w14:solidFill>
          </w14:textFill>
        </w:rPr>
      </w:pPr>
      <w:r>
        <w:rPr>
          <w:rFonts w:ascii="Times New Roman" w:hAnsi="Times New Roman" w:eastAsia="黑体"/>
          <w:snapToGrid w:val="0"/>
          <w:color w:val="000000" w:themeColor="text1"/>
          <w:sz w:val="32"/>
          <w:szCs w:val="32"/>
          <w14:textFill>
            <w14:solidFill>
              <w14:schemeClr w14:val="tx1"/>
            </w14:solidFill>
          </w14:textFill>
        </w:rPr>
        <w:t>附表</w:t>
      </w:r>
    </w:p>
    <w:p>
      <w:pPr>
        <w:pStyle w:val="23"/>
        <w:adjustRightInd w:val="0"/>
        <w:snapToGrid w:val="0"/>
        <w:spacing w:before="0" w:beforeAutospacing="0" w:after="0" w:afterAutospacing="0"/>
        <w:jc w:val="center"/>
        <w:outlineLvl w:val="0"/>
        <w:rPr>
          <w:rFonts w:ascii="Times New Roman" w:hAnsi="Times New Roman" w:eastAsia="方正小标宋_GBK"/>
          <w:snapToGrid w:val="0"/>
          <w:color w:val="000000" w:themeColor="text1"/>
          <w:sz w:val="38"/>
          <w:szCs w:val="38"/>
          <w14:textFill>
            <w14:solidFill>
              <w14:schemeClr w14:val="tx1"/>
            </w14:solidFill>
          </w14:textFill>
        </w:rPr>
      </w:pPr>
      <w:r>
        <w:rPr>
          <w:rFonts w:ascii="Times New Roman" w:hAnsi="Times New Roman" w:eastAsia="方正小标宋_GBK"/>
          <w:snapToGrid w:val="0"/>
          <w:color w:val="000000" w:themeColor="text1"/>
          <w:sz w:val="38"/>
          <w:szCs w:val="38"/>
          <w14:textFill>
            <w14:solidFill>
              <w14:schemeClr w14:val="tx1"/>
            </w14:solidFill>
          </w14:textFill>
        </w:rPr>
        <w:t>建设项目污染物排放量汇总表</w:t>
      </w:r>
    </w:p>
    <w:tbl>
      <w:tblPr>
        <w:tblStyle w:val="26"/>
        <w:tblW w:w="1361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539"/>
        <w:gridCol w:w="1541"/>
        <w:gridCol w:w="1259"/>
        <w:gridCol w:w="1680"/>
        <w:gridCol w:w="1540"/>
        <w:gridCol w:w="1739"/>
        <w:gridCol w:w="1597"/>
        <w:gridCol w:w="11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569" w:type="dxa"/>
            <w:tcBorders>
              <w:tl2br w:val="single" w:color="auto" w:sz="4" w:space="0"/>
            </w:tcBorders>
            <w:tcMar>
              <w:left w:w="28" w:type="dxa"/>
              <w:right w:w="28" w:type="dxa"/>
            </w:tcMar>
            <w:vAlign w:val="center"/>
          </w:tcPr>
          <w:p>
            <w:pPr>
              <w:pStyle w:val="34"/>
              <w:spacing w:beforeLines="0" w:afterLines="0" w:line="240" w:lineRule="auto"/>
              <w:jc w:val="right"/>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项目</w:t>
            </w:r>
          </w:p>
          <w:p>
            <w:pPr>
              <w:pStyle w:val="34"/>
              <w:spacing w:beforeLines="0" w:afterLines="0" w:line="240" w:lineRule="auto"/>
              <w:jc w:val="left"/>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分类</w:t>
            </w:r>
          </w:p>
        </w:tc>
        <w:tc>
          <w:tcPr>
            <w:tcW w:w="1539" w:type="dxa"/>
            <w:tcMar>
              <w:left w:w="28" w:type="dxa"/>
              <w:right w:w="28" w:type="dxa"/>
            </w:tcMar>
            <w:vAlign w:val="center"/>
          </w:tcPr>
          <w:p>
            <w:pPr>
              <w:pStyle w:val="34"/>
              <w:spacing w:beforeLines="0" w:afterLines="0" w:line="240" w:lineRule="auto"/>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污染物名称</w:t>
            </w:r>
          </w:p>
        </w:tc>
        <w:tc>
          <w:tcPr>
            <w:tcW w:w="1541" w:type="dxa"/>
            <w:tcMar>
              <w:left w:w="28" w:type="dxa"/>
              <w:right w:w="28" w:type="dxa"/>
            </w:tcMar>
            <w:vAlign w:val="center"/>
          </w:tcPr>
          <w:p>
            <w:pPr>
              <w:pStyle w:val="34"/>
              <w:spacing w:beforeLines="0" w:afterLines="0" w:line="240" w:lineRule="auto"/>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现有工程</w:t>
            </w:r>
          </w:p>
          <w:p>
            <w:pPr>
              <w:pStyle w:val="34"/>
              <w:spacing w:beforeLines="0" w:afterLines="0" w:line="240" w:lineRule="auto"/>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排放量（固体废物产生量）</w:t>
            </w:r>
            <w:r>
              <w:rPr>
                <w:rFonts w:ascii="Times New Roman" w:eastAsia="黑体"/>
                <w:snapToGrid w:val="0"/>
                <w:color w:val="000000" w:themeColor="text1"/>
                <w:spacing w:val="-6"/>
                <w:kern w:val="21"/>
                <w:sz w:val="21"/>
                <w:szCs w:val="21"/>
                <w14:textFill>
                  <w14:solidFill>
                    <w14:schemeClr w14:val="tx1"/>
                  </w14:solidFill>
                </w14:textFill>
              </w:rPr>
              <w:fldChar w:fldCharType="begin"/>
            </w:r>
            <w:r>
              <w:rPr>
                <w:rFonts w:ascii="Times New Roman" w:eastAsia="黑体"/>
                <w:snapToGrid w:val="0"/>
                <w:color w:val="000000" w:themeColor="text1"/>
                <w:spacing w:val="-6"/>
                <w:kern w:val="21"/>
                <w:sz w:val="21"/>
                <w:szCs w:val="21"/>
                <w14:textFill>
                  <w14:solidFill>
                    <w14:schemeClr w14:val="tx1"/>
                  </w14:solidFill>
                </w14:textFill>
              </w:rPr>
              <w:instrText xml:space="preserve"> = 1 \* GB3 \* MERGEFORMAT </w:instrText>
            </w:r>
            <w:r>
              <w:rPr>
                <w:rFonts w:ascii="Times New Roman" w:eastAsia="黑体"/>
                <w:snapToGrid w:val="0"/>
                <w:color w:val="000000" w:themeColor="text1"/>
                <w:spacing w:val="-6"/>
                <w:kern w:val="21"/>
                <w:sz w:val="21"/>
                <w:szCs w:val="21"/>
                <w14:textFill>
                  <w14:solidFill>
                    <w14:schemeClr w14:val="tx1"/>
                  </w14:solidFill>
                </w14:textFill>
              </w:rPr>
              <w:fldChar w:fldCharType="separate"/>
            </w:r>
            <w:r>
              <w:rPr>
                <w:rFonts w:ascii="Times New Roman" w:eastAsia="黑体"/>
                <w:color w:val="000000" w:themeColor="text1"/>
                <w:kern w:val="2"/>
                <w:sz w:val="21"/>
                <w:szCs w:val="21"/>
                <w14:textFill>
                  <w14:solidFill>
                    <w14:schemeClr w14:val="tx1"/>
                  </w14:solidFill>
                </w14:textFill>
              </w:rPr>
              <w:t>①</w:t>
            </w:r>
            <w:r>
              <w:rPr>
                <w:rFonts w:ascii="Times New Roman" w:eastAsia="黑体"/>
                <w:snapToGrid w:val="0"/>
                <w:color w:val="000000" w:themeColor="text1"/>
                <w:spacing w:val="-6"/>
                <w:kern w:val="21"/>
                <w:sz w:val="21"/>
                <w:szCs w:val="21"/>
                <w14:textFill>
                  <w14:solidFill>
                    <w14:schemeClr w14:val="tx1"/>
                  </w14:solidFill>
                </w14:textFill>
              </w:rPr>
              <w:fldChar w:fldCharType="end"/>
            </w:r>
          </w:p>
        </w:tc>
        <w:tc>
          <w:tcPr>
            <w:tcW w:w="1259" w:type="dxa"/>
            <w:tcMar>
              <w:left w:w="28" w:type="dxa"/>
              <w:right w:w="28" w:type="dxa"/>
            </w:tcMar>
            <w:vAlign w:val="center"/>
          </w:tcPr>
          <w:p>
            <w:pPr>
              <w:pStyle w:val="34"/>
              <w:spacing w:beforeLines="0" w:afterLines="0" w:line="240" w:lineRule="auto"/>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现有工程</w:t>
            </w:r>
          </w:p>
          <w:p>
            <w:pPr>
              <w:pStyle w:val="34"/>
              <w:spacing w:beforeLines="0" w:afterLines="0" w:line="240" w:lineRule="auto"/>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许可排放量</w:t>
            </w:r>
          </w:p>
          <w:p>
            <w:pPr>
              <w:pStyle w:val="34"/>
              <w:spacing w:beforeLines="0" w:afterLines="0"/>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fldChar w:fldCharType="begin"/>
            </w:r>
            <w:r>
              <w:rPr>
                <w:rFonts w:ascii="Times New Roman" w:eastAsia="黑体"/>
                <w:snapToGrid w:val="0"/>
                <w:color w:val="000000" w:themeColor="text1"/>
                <w:spacing w:val="-6"/>
                <w:kern w:val="21"/>
                <w:sz w:val="21"/>
                <w:szCs w:val="21"/>
                <w14:textFill>
                  <w14:solidFill>
                    <w14:schemeClr w14:val="tx1"/>
                  </w14:solidFill>
                </w14:textFill>
              </w:rPr>
              <w:instrText xml:space="preserve"> = 2 \* GB3 \* MERGEFORMAT </w:instrText>
            </w:r>
            <w:r>
              <w:rPr>
                <w:rFonts w:ascii="Times New Roman" w:eastAsia="黑体"/>
                <w:snapToGrid w:val="0"/>
                <w:color w:val="000000" w:themeColor="text1"/>
                <w:spacing w:val="-6"/>
                <w:kern w:val="21"/>
                <w:sz w:val="21"/>
                <w:szCs w:val="21"/>
                <w14:textFill>
                  <w14:solidFill>
                    <w14:schemeClr w14:val="tx1"/>
                  </w14:solidFill>
                </w14:textFill>
              </w:rPr>
              <w:fldChar w:fldCharType="separate"/>
            </w:r>
            <w:r>
              <w:rPr>
                <w:rFonts w:ascii="Times New Roman" w:eastAsia="黑体"/>
                <w:snapToGrid w:val="0"/>
                <w:color w:val="000000" w:themeColor="text1"/>
                <w:spacing w:val="-6"/>
                <w:kern w:val="21"/>
                <w:sz w:val="21"/>
                <w:szCs w:val="21"/>
                <w14:textFill>
                  <w14:solidFill>
                    <w14:schemeClr w14:val="tx1"/>
                  </w14:solidFill>
                </w14:textFill>
              </w:rPr>
              <w:t>②</w:t>
            </w:r>
            <w:r>
              <w:rPr>
                <w:rFonts w:ascii="Times New Roman" w:eastAsia="黑体"/>
                <w:snapToGrid w:val="0"/>
                <w:color w:val="000000" w:themeColor="text1"/>
                <w:spacing w:val="-6"/>
                <w:kern w:val="21"/>
                <w:sz w:val="21"/>
                <w:szCs w:val="21"/>
                <w14:textFill>
                  <w14:solidFill>
                    <w14:schemeClr w14:val="tx1"/>
                  </w14:solidFill>
                </w14:textFill>
              </w:rPr>
              <w:fldChar w:fldCharType="end"/>
            </w:r>
          </w:p>
        </w:tc>
        <w:tc>
          <w:tcPr>
            <w:tcW w:w="1680" w:type="dxa"/>
            <w:tcMar>
              <w:left w:w="28" w:type="dxa"/>
              <w:right w:w="28" w:type="dxa"/>
            </w:tcMar>
            <w:vAlign w:val="center"/>
          </w:tcPr>
          <w:p>
            <w:pPr>
              <w:pStyle w:val="34"/>
              <w:spacing w:beforeLines="0" w:afterLines="0" w:line="240" w:lineRule="auto"/>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在建工程</w:t>
            </w:r>
          </w:p>
          <w:p>
            <w:pPr>
              <w:pStyle w:val="34"/>
              <w:spacing w:beforeLines="0" w:afterLines="0" w:line="240" w:lineRule="auto"/>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排放量（固体废物产生量）</w:t>
            </w:r>
            <w:r>
              <w:rPr>
                <w:rFonts w:ascii="Times New Roman" w:eastAsia="黑体"/>
                <w:snapToGrid w:val="0"/>
                <w:color w:val="000000" w:themeColor="text1"/>
                <w:spacing w:val="-6"/>
                <w:kern w:val="21"/>
                <w:sz w:val="21"/>
                <w:szCs w:val="21"/>
                <w14:textFill>
                  <w14:solidFill>
                    <w14:schemeClr w14:val="tx1"/>
                  </w14:solidFill>
                </w14:textFill>
              </w:rPr>
              <w:fldChar w:fldCharType="begin"/>
            </w:r>
            <w:r>
              <w:rPr>
                <w:rFonts w:ascii="Times New Roman" w:eastAsia="黑体"/>
                <w:snapToGrid w:val="0"/>
                <w:color w:val="000000" w:themeColor="text1"/>
                <w:spacing w:val="-6"/>
                <w:kern w:val="21"/>
                <w:sz w:val="21"/>
                <w:szCs w:val="21"/>
                <w14:textFill>
                  <w14:solidFill>
                    <w14:schemeClr w14:val="tx1"/>
                  </w14:solidFill>
                </w14:textFill>
              </w:rPr>
              <w:instrText xml:space="preserve"> = 3 \* GB3 \* MERGEFORMAT </w:instrText>
            </w:r>
            <w:r>
              <w:rPr>
                <w:rFonts w:ascii="Times New Roman" w:eastAsia="黑体"/>
                <w:snapToGrid w:val="0"/>
                <w:color w:val="000000" w:themeColor="text1"/>
                <w:spacing w:val="-6"/>
                <w:kern w:val="21"/>
                <w:sz w:val="21"/>
                <w:szCs w:val="21"/>
                <w14:textFill>
                  <w14:solidFill>
                    <w14:schemeClr w14:val="tx1"/>
                  </w14:solidFill>
                </w14:textFill>
              </w:rPr>
              <w:fldChar w:fldCharType="separate"/>
            </w:r>
            <w:r>
              <w:rPr>
                <w:rFonts w:ascii="Times New Roman" w:eastAsia="黑体"/>
                <w:color w:val="000000" w:themeColor="text1"/>
                <w:kern w:val="2"/>
                <w:sz w:val="21"/>
                <w:szCs w:val="21"/>
                <w14:textFill>
                  <w14:solidFill>
                    <w14:schemeClr w14:val="tx1"/>
                  </w14:solidFill>
                </w14:textFill>
              </w:rPr>
              <w:t>③</w:t>
            </w:r>
            <w:r>
              <w:rPr>
                <w:rFonts w:ascii="Times New Roman" w:eastAsia="黑体"/>
                <w:snapToGrid w:val="0"/>
                <w:color w:val="000000" w:themeColor="text1"/>
                <w:spacing w:val="-6"/>
                <w:kern w:val="21"/>
                <w:sz w:val="21"/>
                <w:szCs w:val="21"/>
                <w14:textFill>
                  <w14:solidFill>
                    <w14:schemeClr w14:val="tx1"/>
                  </w14:solidFill>
                </w14:textFill>
              </w:rPr>
              <w:fldChar w:fldCharType="end"/>
            </w:r>
          </w:p>
        </w:tc>
        <w:tc>
          <w:tcPr>
            <w:tcW w:w="1540" w:type="dxa"/>
            <w:tcMar>
              <w:left w:w="28" w:type="dxa"/>
              <w:right w:w="28" w:type="dxa"/>
            </w:tcMar>
            <w:vAlign w:val="center"/>
          </w:tcPr>
          <w:p>
            <w:pPr>
              <w:pStyle w:val="34"/>
              <w:spacing w:beforeLines="0" w:afterLines="0" w:line="240" w:lineRule="auto"/>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本项目</w:t>
            </w:r>
          </w:p>
          <w:p>
            <w:pPr>
              <w:pStyle w:val="34"/>
              <w:spacing w:beforeLines="0" w:afterLines="0" w:line="240" w:lineRule="auto"/>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排放量（固体废物产生量）</w:t>
            </w:r>
            <w:r>
              <w:rPr>
                <w:rFonts w:ascii="Times New Roman" w:eastAsia="黑体"/>
                <w:snapToGrid w:val="0"/>
                <w:color w:val="000000" w:themeColor="text1"/>
                <w:spacing w:val="-6"/>
                <w:kern w:val="21"/>
                <w:sz w:val="21"/>
                <w:szCs w:val="21"/>
                <w14:textFill>
                  <w14:solidFill>
                    <w14:schemeClr w14:val="tx1"/>
                  </w14:solidFill>
                </w14:textFill>
              </w:rPr>
              <w:fldChar w:fldCharType="begin"/>
            </w:r>
            <w:r>
              <w:rPr>
                <w:rFonts w:ascii="Times New Roman" w:eastAsia="黑体"/>
                <w:snapToGrid w:val="0"/>
                <w:color w:val="000000" w:themeColor="text1"/>
                <w:spacing w:val="-6"/>
                <w:kern w:val="21"/>
                <w:sz w:val="21"/>
                <w:szCs w:val="21"/>
                <w14:textFill>
                  <w14:solidFill>
                    <w14:schemeClr w14:val="tx1"/>
                  </w14:solidFill>
                </w14:textFill>
              </w:rPr>
              <w:instrText xml:space="preserve"> = 4 \* GB3 \* MERGEFORMAT </w:instrText>
            </w:r>
            <w:r>
              <w:rPr>
                <w:rFonts w:ascii="Times New Roman" w:eastAsia="黑体"/>
                <w:snapToGrid w:val="0"/>
                <w:color w:val="000000" w:themeColor="text1"/>
                <w:spacing w:val="-6"/>
                <w:kern w:val="21"/>
                <w:sz w:val="21"/>
                <w:szCs w:val="21"/>
                <w14:textFill>
                  <w14:solidFill>
                    <w14:schemeClr w14:val="tx1"/>
                  </w14:solidFill>
                </w14:textFill>
              </w:rPr>
              <w:fldChar w:fldCharType="separate"/>
            </w:r>
            <w:r>
              <w:rPr>
                <w:rFonts w:ascii="Times New Roman" w:eastAsia="黑体"/>
                <w:color w:val="000000" w:themeColor="text1"/>
                <w:kern w:val="2"/>
                <w:sz w:val="21"/>
                <w:szCs w:val="21"/>
                <w14:textFill>
                  <w14:solidFill>
                    <w14:schemeClr w14:val="tx1"/>
                  </w14:solidFill>
                </w14:textFill>
              </w:rPr>
              <w:t>④</w:t>
            </w:r>
            <w:r>
              <w:rPr>
                <w:rFonts w:ascii="Times New Roman" w:eastAsia="黑体"/>
                <w:snapToGrid w:val="0"/>
                <w:color w:val="000000" w:themeColor="text1"/>
                <w:spacing w:val="-6"/>
                <w:kern w:val="21"/>
                <w:sz w:val="21"/>
                <w:szCs w:val="21"/>
                <w14:textFill>
                  <w14:solidFill>
                    <w14:schemeClr w14:val="tx1"/>
                  </w14:solidFill>
                </w14:textFill>
              </w:rPr>
              <w:fldChar w:fldCharType="end"/>
            </w:r>
            <w:r>
              <w:rPr>
                <w:rFonts w:hint="eastAsia" w:ascii="Times New Roman" w:eastAsia="黑体"/>
                <w:snapToGrid w:val="0"/>
                <w:color w:val="000000" w:themeColor="text1"/>
                <w:spacing w:val="-6"/>
                <w:kern w:val="21"/>
                <w:sz w:val="21"/>
                <w:szCs w:val="21"/>
                <w14:textFill>
                  <w14:solidFill>
                    <w14:schemeClr w14:val="tx1"/>
                  </w14:solidFill>
                </w14:textFill>
              </w:rPr>
              <w:t>（</w:t>
            </w:r>
            <w:r>
              <w:rPr>
                <w:rFonts w:ascii="Times New Roman"/>
                <w:snapToGrid w:val="0"/>
                <w:color w:val="000000" w:themeColor="text1"/>
                <w:kern w:val="21"/>
                <w:sz w:val="21"/>
                <w:szCs w:val="21"/>
                <w14:textFill>
                  <w14:solidFill>
                    <w14:schemeClr w14:val="tx1"/>
                  </w14:solidFill>
                </w14:textFill>
              </w:rPr>
              <w:t>t/a</w:t>
            </w:r>
            <w:r>
              <w:rPr>
                <w:rFonts w:hint="eastAsia" w:ascii="Times New Roman" w:eastAsia="黑体"/>
                <w:snapToGrid w:val="0"/>
                <w:color w:val="000000" w:themeColor="text1"/>
                <w:spacing w:val="-6"/>
                <w:kern w:val="21"/>
                <w:sz w:val="21"/>
                <w:szCs w:val="21"/>
                <w14:textFill>
                  <w14:solidFill>
                    <w14:schemeClr w14:val="tx1"/>
                  </w14:solidFill>
                </w14:textFill>
              </w:rPr>
              <w:t>）</w:t>
            </w:r>
          </w:p>
        </w:tc>
        <w:tc>
          <w:tcPr>
            <w:tcW w:w="1739" w:type="dxa"/>
            <w:tcMar>
              <w:left w:w="28" w:type="dxa"/>
              <w:right w:w="28" w:type="dxa"/>
            </w:tcMar>
            <w:vAlign w:val="center"/>
          </w:tcPr>
          <w:p>
            <w:pPr>
              <w:pStyle w:val="34"/>
              <w:spacing w:beforeLines="0" w:afterLines="0" w:line="240" w:lineRule="auto"/>
              <w:rPr>
                <w:rFonts w:ascii="Times New Roman" w:eastAsia="黑体"/>
                <w:snapToGrid w:val="0"/>
                <w:color w:val="000000" w:themeColor="text1"/>
                <w:spacing w:val="-16"/>
                <w:kern w:val="21"/>
                <w:sz w:val="21"/>
                <w:szCs w:val="21"/>
                <w14:textFill>
                  <w14:solidFill>
                    <w14:schemeClr w14:val="tx1"/>
                  </w14:solidFill>
                </w14:textFill>
              </w:rPr>
            </w:pPr>
            <w:r>
              <w:rPr>
                <w:rFonts w:ascii="Times New Roman" w:eastAsia="黑体"/>
                <w:snapToGrid w:val="0"/>
                <w:color w:val="000000" w:themeColor="text1"/>
                <w:spacing w:val="-16"/>
                <w:kern w:val="21"/>
                <w:sz w:val="21"/>
                <w:szCs w:val="21"/>
                <w14:textFill>
                  <w14:solidFill>
                    <w14:schemeClr w14:val="tx1"/>
                  </w14:solidFill>
                </w14:textFill>
              </w:rPr>
              <w:t>以新带老削减量</w:t>
            </w:r>
          </w:p>
          <w:p>
            <w:pPr>
              <w:pStyle w:val="34"/>
              <w:spacing w:beforeLines="0" w:afterLines="0" w:line="240" w:lineRule="auto"/>
              <w:rPr>
                <w:rFonts w:ascii="Times New Roman" w:eastAsia="黑体"/>
                <w:snapToGrid w:val="0"/>
                <w:color w:val="000000" w:themeColor="text1"/>
                <w:spacing w:val="-16"/>
                <w:kern w:val="21"/>
                <w:sz w:val="21"/>
                <w:szCs w:val="21"/>
                <w14:textFill>
                  <w14:solidFill>
                    <w14:schemeClr w14:val="tx1"/>
                  </w14:solidFill>
                </w14:textFill>
              </w:rPr>
            </w:pPr>
            <w:r>
              <w:rPr>
                <w:rFonts w:ascii="Times New Roman" w:eastAsia="黑体"/>
                <w:snapToGrid w:val="0"/>
                <w:color w:val="000000" w:themeColor="text1"/>
                <w:spacing w:val="-16"/>
                <w:kern w:val="21"/>
                <w:sz w:val="21"/>
                <w:szCs w:val="21"/>
                <w14:textFill>
                  <w14:solidFill>
                    <w14:schemeClr w14:val="tx1"/>
                  </w14:solidFill>
                </w14:textFill>
              </w:rPr>
              <w:t>（新建项目不填）</w:t>
            </w:r>
            <w:r>
              <w:rPr>
                <w:rFonts w:ascii="Times New Roman" w:eastAsia="黑体"/>
                <w:snapToGrid w:val="0"/>
                <w:color w:val="000000" w:themeColor="text1"/>
                <w:spacing w:val="-16"/>
                <w:kern w:val="21"/>
                <w:sz w:val="21"/>
                <w:szCs w:val="21"/>
                <w14:textFill>
                  <w14:solidFill>
                    <w14:schemeClr w14:val="tx1"/>
                  </w14:solidFill>
                </w14:textFill>
              </w:rPr>
              <w:fldChar w:fldCharType="begin"/>
            </w:r>
            <w:r>
              <w:rPr>
                <w:rFonts w:ascii="Times New Roman" w:eastAsia="黑体"/>
                <w:snapToGrid w:val="0"/>
                <w:color w:val="000000" w:themeColor="text1"/>
                <w:spacing w:val="-16"/>
                <w:kern w:val="21"/>
                <w:sz w:val="21"/>
                <w:szCs w:val="21"/>
                <w14:textFill>
                  <w14:solidFill>
                    <w14:schemeClr w14:val="tx1"/>
                  </w14:solidFill>
                </w14:textFill>
              </w:rPr>
              <w:instrText xml:space="preserve"> = 5 \* GB3 \* MERGEFORMAT </w:instrText>
            </w:r>
            <w:r>
              <w:rPr>
                <w:rFonts w:ascii="Times New Roman" w:eastAsia="黑体"/>
                <w:snapToGrid w:val="0"/>
                <w:color w:val="000000" w:themeColor="text1"/>
                <w:spacing w:val="-16"/>
                <w:kern w:val="21"/>
                <w:sz w:val="21"/>
                <w:szCs w:val="21"/>
                <w14:textFill>
                  <w14:solidFill>
                    <w14:schemeClr w14:val="tx1"/>
                  </w14:solidFill>
                </w14:textFill>
              </w:rPr>
              <w:fldChar w:fldCharType="separate"/>
            </w:r>
            <w:r>
              <w:rPr>
                <w:rFonts w:ascii="Times New Roman" w:eastAsia="黑体"/>
                <w:color w:val="000000" w:themeColor="text1"/>
                <w:kern w:val="2"/>
                <w:sz w:val="21"/>
                <w:szCs w:val="21"/>
                <w14:textFill>
                  <w14:solidFill>
                    <w14:schemeClr w14:val="tx1"/>
                  </w14:solidFill>
                </w14:textFill>
              </w:rPr>
              <w:t>⑤</w:t>
            </w:r>
            <w:r>
              <w:rPr>
                <w:rFonts w:ascii="Times New Roman" w:eastAsia="黑体"/>
                <w:snapToGrid w:val="0"/>
                <w:color w:val="000000" w:themeColor="text1"/>
                <w:spacing w:val="-16"/>
                <w:kern w:val="21"/>
                <w:sz w:val="21"/>
                <w:szCs w:val="21"/>
                <w14:textFill>
                  <w14:solidFill>
                    <w14:schemeClr w14:val="tx1"/>
                  </w14:solidFill>
                </w14:textFill>
              </w:rPr>
              <w:fldChar w:fldCharType="end"/>
            </w:r>
          </w:p>
        </w:tc>
        <w:tc>
          <w:tcPr>
            <w:tcW w:w="1597" w:type="dxa"/>
            <w:tcMar>
              <w:left w:w="28" w:type="dxa"/>
              <w:right w:w="28" w:type="dxa"/>
            </w:tcMar>
            <w:vAlign w:val="center"/>
          </w:tcPr>
          <w:p>
            <w:pPr>
              <w:pStyle w:val="34"/>
              <w:spacing w:beforeLines="0" w:afterLines="0" w:line="240" w:lineRule="auto"/>
              <w:rPr>
                <w:rFonts w:ascii="Times New Roman" w:eastAsia="黑体"/>
                <w:snapToGrid w:val="0"/>
                <w:color w:val="000000" w:themeColor="text1"/>
                <w:spacing w:val="-16"/>
                <w:kern w:val="21"/>
                <w:sz w:val="21"/>
                <w:szCs w:val="21"/>
                <w14:textFill>
                  <w14:solidFill>
                    <w14:schemeClr w14:val="tx1"/>
                  </w14:solidFill>
                </w14:textFill>
              </w:rPr>
            </w:pPr>
            <w:r>
              <w:rPr>
                <w:rFonts w:ascii="Times New Roman" w:eastAsia="黑体"/>
                <w:snapToGrid w:val="0"/>
                <w:color w:val="000000" w:themeColor="text1"/>
                <w:spacing w:val="-16"/>
                <w:kern w:val="21"/>
                <w:sz w:val="21"/>
                <w:szCs w:val="21"/>
                <w14:textFill>
                  <w14:solidFill>
                    <w14:schemeClr w14:val="tx1"/>
                  </w14:solidFill>
                </w14:textFill>
              </w:rPr>
              <w:t>本项目建成后</w:t>
            </w:r>
          </w:p>
          <w:p>
            <w:pPr>
              <w:pStyle w:val="34"/>
              <w:spacing w:beforeLines="0" w:afterLines="0" w:line="240" w:lineRule="auto"/>
              <w:rPr>
                <w:rFonts w:ascii="Times New Roman" w:eastAsia="黑体"/>
                <w:snapToGrid w:val="0"/>
                <w:color w:val="000000" w:themeColor="text1"/>
                <w:spacing w:val="-16"/>
                <w:kern w:val="21"/>
                <w:sz w:val="21"/>
                <w:szCs w:val="21"/>
                <w14:textFill>
                  <w14:solidFill>
                    <w14:schemeClr w14:val="tx1"/>
                  </w14:solidFill>
                </w14:textFill>
              </w:rPr>
            </w:pPr>
            <w:r>
              <w:rPr>
                <w:rFonts w:ascii="Times New Roman" w:eastAsia="黑体"/>
                <w:snapToGrid w:val="0"/>
                <w:color w:val="000000" w:themeColor="text1"/>
                <w:spacing w:val="-16"/>
                <w:kern w:val="21"/>
                <w:sz w:val="21"/>
                <w:szCs w:val="21"/>
                <w14:textFill>
                  <w14:solidFill>
                    <w14:schemeClr w14:val="tx1"/>
                  </w14:solidFill>
                </w14:textFill>
              </w:rPr>
              <w:t>全厂排放量（固体废物产生量）</w:t>
            </w:r>
            <w:r>
              <w:rPr>
                <w:rFonts w:ascii="Times New Roman" w:eastAsia="黑体"/>
                <w:snapToGrid w:val="0"/>
                <w:color w:val="000000" w:themeColor="text1"/>
                <w:spacing w:val="-16"/>
                <w:kern w:val="21"/>
                <w:sz w:val="21"/>
                <w:szCs w:val="21"/>
                <w14:textFill>
                  <w14:solidFill>
                    <w14:schemeClr w14:val="tx1"/>
                  </w14:solidFill>
                </w14:textFill>
              </w:rPr>
              <w:fldChar w:fldCharType="begin"/>
            </w:r>
            <w:r>
              <w:rPr>
                <w:rFonts w:ascii="Times New Roman" w:eastAsia="黑体"/>
                <w:snapToGrid w:val="0"/>
                <w:color w:val="000000" w:themeColor="text1"/>
                <w:spacing w:val="-16"/>
                <w:kern w:val="21"/>
                <w:sz w:val="21"/>
                <w:szCs w:val="21"/>
                <w14:textFill>
                  <w14:solidFill>
                    <w14:schemeClr w14:val="tx1"/>
                  </w14:solidFill>
                </w14:textFill>
              </w:rPr>
              <w:instrText xml:space="preserve"> = 6 \* GB3 \* MERGEFORMAT </w:instrText>
            </w:r>
            <w:r>
              <w:rPr>
                <w:rFonts w:ascii="Times New Roman" w:eastAsia="黑体"/>
                <w:snapToGrid w:val="0"/>
                <w:color w:val="000000" w:themeColor="text1"/>
                <w:spacing w:val="-16"/>
                <w:kern w:val="21"/>
                <w:sz w:val="21"/>
                <w:szCs w:val="21"/>
                <w14:textFill>
                  <w14:solidFill>
                    <w14:schemeClr w14:val="tx1"/>
                  </w14:solidFill>
                </w14:textFill>
              </w:rPr>
              <w:fldChar w:fldCharType="separate"/>
            </w:r>
            <w:r>
              <w:rPr>
                <w:rFonts w:ascii="Times New Roman" w:eastAsia="黑体"/>
                <w:color w:val="000000" w:themeColor="text1"/>
                <w:kern w:val="2"/>
                <w:sz w:val="21"/>
                <w:szCs w:val="21"/>
                <w14:textFill>
                  <w14:solidFill>
                    <w14:schemeClr w14:val="tx1"/>
                  </w14:solidFill>
                </w14:textFill>
              </w:rPr>
              <w:t>⑥</w:t>
            </w:r>
            <w:r>
              <w:rPr>
                <w:rFonts w:ascii="Times New Roman" w:eastAsia="黑体"/>
                <w:snapToGrid w:val="0"/>
                <w:color w:val="000000" w:themeColor="text1"/>
                <w:spacing w:val="-16"/>
                <w:kern w:val="21"/>
                <w:sz w:val="21"/>
                <w:szCs w:val="21"/>
                <w14:textFill>
                  <w14:solidFill>
                    <w14:schemeClr w14:val="tx1"/>
                  </w14:solidFill>
                </w14:textFill>
              </w:rPr>
              <w:fldChar w:fldCharType="end"/>
            </w:r>
            <w:r>
              <w:rPr>
                <w:rFonts w:hint="eastAsia" w:ascii="Times New Roman" w:eastAsia="黑体"/>
                <w:snapToGrid w:val="0"/>
                <w:color w:val="000000" w:themeColor="text1"/>
                <w:spacing w:val="-6"/>
                <w:kern w:val="21"/>
                <w:sz w:val="21"/>
                <w:szCs w:val="21"/>
                <w14:textFill>
                  <w14:solidFill>
                    <w14:schemeClr w14:val="tx1"/>
                  </w14:solidFill>
                </w14:textFill>
              </w:rPr>
              <w:t>（</w:t>
            </w:r>
            <w:r>
              <w:rPr>
                <w:rFonts w:ascii="Times New Roman"/>
                <w:snapToGrid w:val="0"/>
                <w:color w:val="000000" w:themeColor="text1"/>
                <w:kern w:val="21"/>
                <w:sz w:val="21"/>
                <w:szCs w:val="21"/>
                <w14:textFill>
                  <w14:solidFill>
                    <w14:schemeClr w14:val="tx1"/>
                  </w14:solidFill>
                </w14:textFill>
              </w:rPr>
              <w:t>t/a</w:t>
            </w:r>
            <w:r>
              <w:rPr>
                <w:rFonts w:hint="eastAsia" w:ascii="Times New Roman" w:eastAsia="黑体"/>
                <w:snapToGrid w:val="0"/>
                <w:color w:val="000000" w:themeColor="text1"/>
                <w:spacing w:val="-6"/>
                <w:kern w:val="21"/>
                <w:sz w:val="21"/>
                <w:szCs w:val="21"/>
                <w14:textFill>
                  <w14:solidFill>
                    <w14:schemeClr w14:val="tx1"/>
                  </w14:solidFill>
                </w14:textFill>
              </w:rPr>
              <w:t>）</w:t>
            </w:r>
          </w:p>
        </w:tc>
        <w:tc>
          <w:tcPr>
            <w:tcW w:w="1153" w:type="dxa"/>
            <w:tcMar>
              <w:left w:w="28" w:type="dxa"/>
              <w:right w:w="28" w:type="dxa"/>
            </w:tcMar>
            <w:vAlign w:val="center"/>
          </w:tcPr>
          <w:p>
            <w:pPr>
              <w:pStyle w:val="34"/>
              <w:spacing w:beforeLines="0" w:afterLines="0" w:line="240" w:lineRule="auto"/>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t>变化量</w:t>
            </w:r>
          </w:p>
          <w:p>
            <w:pPr>
              <w:pStyle w:val="34"/>
              <w:spacing w:beforeLines="0" w:afterLines="0" w:line="240" w:lineRule="auto"/>
              <w:rPr>
                <w:rFonts w:ascii="Times New Roman" w:eastAsia="黑体"/>
                <w:snapToGrid w:val="0"/>
                <w:color w:val="000000" w:themeColor="text1"/>
                <w:spacing w:val="-6"/>
                <w:kern w:val="21"/>
                <w:sz w:val="21"/>
                <w:szCs w:val="21"/>
                <w14:textFill>
                  <w14:solidFill>
                    <w14:schemeClr w14:val="tx1"/>
                  </w14:solidFill>
                </w14:textFill>
              </w:rPr>
            </w:pPr>
            <w:r>
              <w:rPr>
                <w:rFonts w:ascii="Times New Roman" w:eastAsia="黑体"/>
                <w:snapToGrid w:val="0"/>
                <w:color w:val="000000" w:themeColor="text1"/>
                <w:spacing w:val="-6"/>
                <w:kern w:val="21"/>
                <w:sz w:val="21"/>
                <w:szCs w:val="21"/>
                <w14:textFill>
                  <w14:solidFill>
                    <w14:schemeClr w14:val="tx1"/>
                  </w14:solidFill>
                </w14:textFill>
              </w:rPr>
              <w:fldChar w:fldCharType="begin"/>
            </w:r>
            <w:r>
              <w:rPr>
                <w:rFonts w:ascii="Times New Roman" w:eastAsia="黑体"/>
                <w:snapToGrid w:val="0"/>
                <w:color w:val="000000" w:themeColor="text1"/>
                <w:spacing w:val="-6"/>
                <w:kern w:val="21"/>
                <w:sz w:val="21"/>
                <w:szCs w:val="21"/>
                <w14:textFill>
                  <w14:solidFill>
                    <w14:schemeClr w14:val="tx1"/>
                  </w14:solidFill>
                </w14:textFill>
              </w:rPr>
              <w:instrText xml:space="preserve"> = 7 \* GB3 \* MERGEFORMAT </w:instrText>
            </w:r>
            <w:r>
              <w:rPr>
                <w:rFonts w:ascii="Times New Roman" w:eastAsia="黑体"/>
                <w:snapToGrid w:val="0"/>
                <w:color w:val="000000" w:themeColor="text1"/>
                <w:spacing w:val="-6"/>
                <w:kern w:val="21"/>
                <w:sz w:val="21"/>
                <w:szCs w:val="21"/>
                <w14:textFill>
                  <w14:solidFill>
                    <w14:schemeClr w14:val="tx1"/>
                  </w14:solidFill>
                </w14:textFill>
              </w:rPr>
              <w:fldChar w:fldCharType="separate"/>
            </w:r>
            <w:r>
              <w:rPr>
                <w:rFonts w:ascii="Times New Roman" w:eastAsia="黑体"/>
                <w:color w:val="000000" w:themeColor="text1"/>
                <w:kern w:val="2"/>
                <w:sz w:val="21"/>
                <w:szCs w:val="21"/>
                <w14:textFill>
                  <w14:solidFill>
                    <w14:schemeClr w14:val="tx1"/>
                  </w14:solidFill>
                </w14:textFill>
              </w:rPr>
              <w:t>⑦</w:t>
            </w:r>
            <w:r>
              <w:rPr>
                <w:rFonts w:ascii="Times New Roman" w:eastAsia="黑体"/>
                <w:snapToGrid w:val="0"/>
                <w:color w:val="000000" w:themeColor="text1"/>
                <w:spacing w:val="-6"/>
                <w:kern w:val="21"/>
                <w:sz w:val="21"/>
                <w:szCs w:val="21"/>
                <w14:textFill>
                  <w14:solidFill>
                    <w14:schemeClr w14:val="tx1"/>
                  </w14:solidFill>
                </w14:textFill>
              </w:rPr>
              <w:fldChar w:fldCharType="end"/>
            </w:r>
            <w:r>
              <w:rPr>
                <w:rFonts w:hint="eastAsia" w:ascii="Times New Roman" w:eastAsia="黑体"/>
                <w:snapToGrid w:val="0"/>
                <w:color w:val="000000" w:themeColor="text1"/>
                <w:spacing w:val="-6"/>
                <w:kern w:val="21"/>
                <w:sz w:val="21"/>
                <w:szCs w:val="21"/>
                <w14:textFill>
                  <w14:solidFill>
                    <w14:schemeClr w14:val="tx1"/>
                  </w14:solidFill>
                </w14:textFill>
              </w:rPr>
              <w:t>（</w:t>
            </w:r>
            <w:r>
              <w:rPr>
                <w:rFonts w:ascii="Times New Roman"/>
                <w:snapToGrid w:val="0"/>
                <w:color w:val="000000" w:themeColor="text1"/>
                <w:kern w:val="21"/>
                <w:sz w:val="21"/>
                <w:szCs w:val="21"/>
                <w14:textFill>
                  <w14:solidFill>
                    <w14:schemeClr w14:val="tx1"/>
                  </w14:solidFill>
                </w14:textFill>
              </w:rPr>
              <w:t>t/a</w:t>
            </w:r>
            <w:r>
              <w:rPr>
                <w:rFonts w:hint="eastAsia" w:ascii="Times New Roman" w:eastAsia="黑体"/>
                <w:snapToGrid w:val="0"/>
                <w:color w:val="000000" w:themeColor="text1"/>
                <w:spacing w:val="-6"/>
                <w:kern w:val="2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569" w:type="dxa"/>
            <w:vMerge w:val="restart"/>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r>
              <w:rPr>
                <w:rFonts w:ascii="Times New Roman"/>
                <w:snapToGrid w:val="0"/>
                <w:color w:val="000000" w:themeColor="text1"/>
                <w:kern w:val="21"/>
                <w:sz w:val="21"/>
                <w:szCs w:val="21"/>
                <w14:textFill>
                  <w14:solidFill>
                    <w14:schemeClr w14:val="tx1"/>
                  </w14:solidFill>
                </w14:textFill>
              </w:rPr>
              <w:t>废气</w:t>
            </w:r>
          </w:p>
        </w:tc>
        <w:tc>
          <w:tcPr>
            <w:tcW w:w="1539" w:type="dxa"/>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r>
              <w:rPr>
                <w:rFonts w:hint="eastAsia" w:ascii="Times New Roman"/>
                <w:snapToGrid w:val="0"/>
                <w:color w:val="000000" w:themeColor="text1"/>
                <w:kern w:val="21"/>
                <w:sz w:val="21"/>
                <w:szCs w:val="21"/>
                <w14:textFill>
                  <w14:solidFill>
                    <w14:schemeClr w14:val="tx1"/>
                  </w14:solidFill>
                </w14:textFill>
              </w:rPr>
              <w:t>非甲烷总烃</w:t>
            </w:r>
          </w:p>
        </w:tc>
        <w:tc>
          <w:tcPr>
            <w:tcW w:w="1541" w:type="dxa"/>
            <w:vAlign w:val="center"/>
          </w:tcPr>
          <w:p>
            <w:pPr>
              <w:pStyle w:val="34"/>
              <w:spacing w:beforeLines="0" w:afterLines="0" w:line="240" w:lineRule="auto"/>
              <w:rPr>
                <w:rFonts w:ascii="Times New Roman"/>
                <w:snapToGrid w:val="0"/>
                <w:color w:val="FF0000"/>
                <w:kern w:val="21"/>
                <w:sz w:val="21"/>
                <w:szCs w:val="21"/>
              </w:rPr>
            </w:pPr>
          </w:p>
        </w:tc>
        <w:tc>
          <w:tcPr>
            <w:tcW w:w="1259" w:type="dxa"/>
            <w:vAlign w:val="center"/>
          </w:tcPr>
          <w:p>
            <w:pPr>
              <w:pStyle w:val="34"/>
              <w:spacing w:beforeLines="0" w:afterLines="0" w:line="240" w:lineRule="auto"/>
              <w:rPr>
                <w:rFonts w:ascii="Times New Roman"/>
                <w:snapToGrid w:val="0"/>
                <w:color w:val="FF0000"/>
                <w:kern w:val="21"/>
                <w:sz w:val="21"/>
                <w:szCs w:val="21"/>
              </w:rPr>
            </w:pPr>
          </w:p>
        </w:tc>
        <w:tc>
          <w:tcPr>
            <w:tcW w:w="1680" w:type="dxa"/>
            <w:vAlign w:val="center"/>
          </w:tcPr>
          <w:p>
            <w:pPr>
              <w:pStyle w:val="34"/>
              <w:spacing w:beforeLines="0" w:afterLines="0" w:line="240" w:lineRule="auto"/>
              <w:rPr>
                <w:rFonts w:ascii="Times New Roman"/>
                <w:snapToGrid w:val="0"/>
                <w:color w:val="FF0000"/>
                <w:kern w:val="21"/>
                <w:sz w:val="21"/>
                <w:szCs w:val="21"/>
              </w:rPr>
            </w:pPr>
          </w:p>
        </w:tc>
        <w:tc>
          <w:tcPr>
            <w:tcW w:w="1540" w:type="dxa"/>
            <w:vAlign w:val="center"/>
          </w:tcPr>
          <w:p>
            <w:pPr>
              <w:pStyle w:val="34"/>
              <w:spacing w:beforeLines="0" w:afterLines="0" w:line="240" w:lineRule="auto"/>
              <w:rPr>
                <w:rFonts w:hint="default" w:ascii="Times New Roman" w:eastAsia="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r>
              <w:rPr>
                <w:rFonts w:hint="eastAsia" w:ascii="Times New Roman"/>
                <w:snapToGrid w:val="0"/>
                <w:color w:val="000000" w:themeColor="text1"/>
                <w:kern w:val="21"/>
                <w:sz w:val="21"/>
                <w:szCs w:val="21"/>
                <w:highlight w:val="none"/>
                <w:lang w:val="en-US" w:eastAsia="zh-CN"/>
                <w14:textFill>
                  <w14:solidFill>
                    <w14:schemeClr w14:val="tx1"/>
                  </w14:solidFill>
                </w14:textFill>
              </w:rPr>
              <w:t>0068</w:t>
            </w:r>
          </w:p>
        </w:tc>
        <w:tc>
          <w:tcPr>
            <w:tcW w:w="1739" w:type="dxa"/>
            <w:vAlign w:val="center"/>
          </w:tcPr>
          <w:p>
            <w:pPr>
              <w:pStyle w:val="34"/>
              <w:spacing w:beforeLines="0" w:afterLines="0" w:line="240" w:lineRule="auto"/>
              <w:rPr>
                <w:rFonts w:ascii="Times New Roman"/>
                <w:snapToGrid w:val="0"/>
                <w:color w:val="000000" w:themeColor="text1"/>
                <w:kern w:val="21"/>
                <w:sz w:val="21"/>
                <w:szCs w:val="21"/>
                <w:highlight w:val="none"/>
                <w14:textFill>
                  <w14:solidFill>
                    <w14:schemeClr w14:val="tx1"/>
                  </w14:solidFill>
                </w14:textFill>
              </w:rPr>
            </w:pPr>
          </w:p>
        </w:tc>
        <w:tc>
          <w:tcPr>
            <w:tcW w:w="1597" w:type="dxa"/>
            <w:vAlign w:val="center"/>
          </w:tcPr>
          <w:p>
            <w:pPr>
              <w:pStyle w:val="34"/>
              <w:spacing w:beforeLines="0" w:afterLines="0" w:line="240" w:lineRule="auto"/>
              <w:rPr>
                <w:snapToGrid w:val="0"/>
                <w:color w:val="000000" w:themeColor="text1"/>
                <w:kern w:val="2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r>
              <w:rPr>
                <w:rFonts w:hint="eastAsia" w:ascii="Times New Roman"/>
                <w:snapToGrid w:val="0"/>
                <w:color w:val="000000" w:themeColor="text1"/>
                <w:kern w:val="21"/>
                <w:sz w:val="21"/>
                <w:szCs w:val="21"/>
                <w:highlight w:val="none"/>
                <w:lang w:val="en-US" w:eastAsia="zh-CN"/>
                <w14:textFill>
                  <w14:solidFill>
                    <w14:schemeClr w14:val="tx1"/>
                  </w14:solidFill>
                </w14:textFill>
              </w:rPr>
              <w:t>0068</w:t>
            </w:r>
          </w:p>
        </w:tc>
        <w:tc>
          <w:tcPr>
            <w:tcW w:w="1153" w:type="dxa"/>
            <w:vAlign w:val="center"/>
          </w:tcPr>
          <w:p>
            <w:pPr>
              <w:jc w:val="center"/>
              <w:rPr>
                <w:rFonts w:hint="default" w:eastAsia="宋体"/>
                <w:snapToGrid w:val="0"/>
                <w:color w:val="000000" w:themeColor="text1"/>
                <w:kern w:val="21"/>
                <w:sz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14:textFill>
                  <w14:solidFill>
                    <w14:schemeClr w14:val="tx1"/>
                  </w14:solidFill>
                </w14:textFill>
              </w:rPr>
              <w:t>+0.</w:t>
            </w:r>
            <w:r>
              <w:rPr>
                <w:rFonts w:hint="eastAsia"/>
                <w:snapToGrid w:val="0"/>
                <w:color w:val="000000" w:themeColor="text1"/>
                <w:kern w:val="21"/>
                <w:sz w:val="21"/>
                <w:szCs w:val="21"/>
                <w:highlight w:val="none"/>
                <w:lang w:val="en-US" w:eastAsia="zh-CN"/>
                <w14:textFill>
                  <w14:solidFill>
                    <w14:schemeClr w14:val="tx1"/>
                  </w14:solidFill>
                </w14:textFill>
              </w:rPr>
              <w:t>0068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569" w:type="dxa"/>
            <w:vMerge w:val="continue"/>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p>
        </w:tc>
        <w:tc>
          <w:tcPr>
            <w:tcW w:w="1539" w:type="dxa"/>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r>
              <w:rPr>
                <w:rFonts w:hint="eastAsia" w:ascii="Times New Roman"/>
                <w:snapToGrid w:val="0"/>
                <w:color w:val="000000" w:themeColor="text1"/>
                <w:kern w:val="21"/>
                <w:sz w:val="21"/>
                <w:szCs w:val="21"/>
                <w14:textFill>
                  <w14:solidFill>
                    <w14:schemeClr w14:val="tx1"/>
                  </w14:solidFill>
                </w14:textFill>
              </w:rPr>
              <w:t>颗粒物</w:t>
            </w:r>
          </w:p>
        </w:tc>
        <w:tc>
          <w:tcPr>
            <w:tcW w:w="1541" w:type="dxa"/>
            <w:vAlign w:val="center"/>
          </w:tcPr>
          <w:p>
            <w:pPr>
              <w:pStyle w:val="34"/>
              <w:spacing w:beforeLines="0" w:afterLines="0" w:line="240" w:lineRule="auto"/>
              <w:rPr>
                <w:rFonts w:ascii="Times New Roman"/>
                <w:snapToGrid w:val="0"/>
                <w:color w:val="FF0000"/>
                <w:kern w:val="21"/>
                <w:sz w:val="21"/>
                <w:szCs w:val="21"/>
              </w:rPr>
            </w:pPr>
          </w:p>
        </w:tc>
        <w:tc>
          <w:tcPr>
            <w:tcW w:w="1259" w:type="dxa"/>
            <w:vAlign w:val="center"/>
          </w:tcPr>
          <w:p>
            <w:pPr>
              <w:pStyle w:val="34"/>
              <w:spacing w:beforeLines="0" w:afterLines="0" w:line="240" w:lineRule="auto"/>
              <w:rPr>
                <w:rFonts w:ascii="Times New Roman"/>
                <w:snapToGrid w:val="0"/>
                <w:color w:val="FF0000"/>
                <w:kern w:val="21"/>
                <w:sz w:val="21"/>
                <w:szCs w:val="21"/>
              </w:rPr>
            </w:pPr>
          </w:p>
        </w:tc>
        <w:tc>
          <w:tcPr>
            <w:tcW w:w="1680" w:type="dxa"/>
            <w:vAlign w:val="center"/>
          </w:tcPr>
          <w:p>
            <w:pPr>
              <w:pStyle w:val="34"/>
              <w:spacing w:beforeLines="0" w:afterLines="0" w:line="240" w:lineRule="auto"/>
              <w:rPr>
                <w:rFonts w:ascii="Times New Roman"/>
                <w:snapToGrid w:val="0"/>
                <w:color w:val="FF0000"/>
                <w:kern w:val="21"/>
                <w:sz w:val="21"/>
                <w:szCs w:val="21"/>
              </w:rPr>
            </w:pPr>
          </w:p>
        </w:tc>
        <w:tc>
          <w:tcPr>
            <w:tcW w:w="1540" w:type="dxa"/>
            <w:vAlign w:val="center"/>
          </w:tcPr>
          <w:p>
            <w:pPr>
              <w:pStyle w:val="34"/>
              <w:spacing w:beforeLines="0" w:afterLines="0" w:line="240" w:lineRule="auto"/>
              <w:rPr>
                <w:rFonts w:hint="default" w:ascii="Times New Roman" w:eastAsia="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lang w:val="en-US" w:eastAsia="zh-CN"/>
                <w14:textFill>
                  <w14:solidFill>
                    <w14:schemeClr w14:val="tx1"/>
                  </w14:solidFill>
                </w14:textFill>
              </w:rPr>
              <w:t>0.2945</w:t>
            </w:r>
          </w:p>
        </w:tc>
        <w:tc>
          <w:tcPr>
            <w:tcW w:w="1739" w:type="dxa"/>
            <w:vAlign w:val="center"/>
          </w:tcPr>
          <w:p>
            <w:pPr>
              <w:pStyle w:val="34"/>
              <w:spacing w:beforeLines="0" w:afterLines="0" w:line="240" w:lineRule="auto"/>
              <w:rPr>
                <w:rFonts w:ascii="Times New Roman"/>
                <w:snapToGrid w:val="0"/>
                <w:color w:val="000000" w:themeColor="text1"/>
                <w:kern w:val="21"/>
                <w:sz w:val="21"/>
                <w:szCs w:val="21"/>
                <w:highlight w:val="none"/>
                <w14:textFill>
                  <w14:solidFill>
                    <w14:schemeClr w14:val="tx1"/>
                  </w14:solidFill>
                </w14:textFill>
              </w:rPr>
            </w:pPr>
          </w:p>
        </w:tc>
        <w:tc>
          <w:tcPr>
            <w:tcW w:w="1597" w:type="dxa"/>
            <w:vAlign w:val="center"/>
          </w:tcPr>
          <w:p>
            <w:pPr>
              <w:pStyle w:val="34"/>
              <w:spacing w:beforeLines="0" w:afterLines="0" w:line="240" w:lineRule="auto"/>
              <w:rPr>
                <w:rFonts w:hint="default" w:eastAsia="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lang w:val="en-US" w:eastAsia="zh-CN"/>
                <w14:textFill>
                  <w14:solidFill>
                    <w14:schemeClr w14:val="tx1"/>
                  </w14:solidFill>
                </w14:textFill>
              </w:rPr>
              <w:t>0.2945</w:t>
            </w:r>
          </w:p>
        </w:tc>
        <w:tc>
          <w:tcPr>
            <w:tcW w:w="1153" w:type="dxa"/>
            <w:vAlign w:val="center"/>
          </w:tcPr>
          <w:p>
            <w:pPr>
              <w:jc w:val="center"/>
              <w:rPr>
                <w:rFonts w:hint="default" w:eastAsia="宋体"/>
                <w:snapToGrid w:val="0"/>
                <w:color w:val="000000" w:themeColor="text1"/>
                <w:kern w:val="21"/>
                <w:sz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14:textFill>
                  <w14:solidFill>
                    <w14:schemeClr w14:val="tx1"/>
                  </w14:solidFill>
                </w14:textFill>
              </w:rPr>
              <w:t>+0.</w:t>
            </w:r>
            <w:r>
              <w:rPr>
                <w:rFonts w:hint="eastAsia"/>
                <w:snapToGrid w:val="0"/>
                <w:color w:val="000000" w:themeColor="text1"/>
                <w:kern w:val="21"/>
                <w:sz w:val="21"/>
                <w:szCs w:val="21"/>
                <w:highlight w:val="none"/>
                <w:lang w:val="en-US" w:eastAsia="zh-CN"/>
                <w14:textFill>
                  <w14:solidFill>
                    <w14:schemeClr w14:val="tx1"/>
                  </w14:solidFill>
                </w14:textFill>
              </w:rPr>
              <w:t>2945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9" w:type="dxa"/>
            <w:vMerge w:val="continue"/>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p>
        </w:tc>
        <w:tc>
          <w:tcPr>
            <w:tcW w:w="1539" w:type="dxa"/>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r>
              <w:rPr>
                <w:rFonts w:hint="eastAsia" w:ascii="Times New Roman"/>
                <w:snapToGrid w:val="0"/>
                <w:color w:val="000000" w:themeColor="text1"/>
                <w:kern w:val="21"/>
                <w:sz w:val="21"/>
                <w:szCs w:val="21"/>
                <w14:textFill>
                  <w14:solidFill>
                    <w14:schemeClr w14:val="tx1"/>
                  </w14:solidFill>
                </w14:textFill>
              </w:rPr>
              <w:t>SO</w:t>
            </w:r>
            <w:r>
              <w:rPr>
                <w:rFonts w:hint="eastAsia" w:ascii="Times New Roman"/>
                <w:snapToGrid w:val="0"/>
                <w:color w:val="000000" w:themeColor="text1"/>
                <w:kern w:val="21"/>
                <w:sz w:val="21"/>
                <w:szCs w:val="21"/>
                <w:vertAlign w:val="subscript"/>
                <w14:textFill>
                  <w14:solidFill>
                    <w14:schemeClr w14:val="tx1"/>
                  </w14:solidFill>
                </w14:textFill>
              </w:rPr>
              <w:t>2</w:t>
            </w:r>
          </w:p>
        </w:tc>
        <w:tc>
          <w:tcPr>
            <w:tcW w:w="1541" w:type="dxa"/>
            <w:vAlign w:val="center"/>
          </w:tcPr>
          <w:p>
            <w:pPr>
              <w:pStyle w:val="34"/>
              <w:spacing w:beforeLines="0" w:afterLines="0" w:line="240" w:lineRule="auto"/>
              <w:rPr>
                <w:rFonts w:ascii="Times New Roman"/>
                <w:snapToGrid w:val="0"/>
                <w:color w:val="FF0000"/>
                <w:kern w:val="21"/>
                <w:sz w:val="21"/>
                <w:szCs w:val="21"/>
              </w:rPr>
            </w:pPr>
          </w:p>
        </w:tc>
        <w:tc>
          <w:tcPr>
            <w:tcW w:w="1259" w:type="dxa"/>
            <w:vAlign w:val="center"/>
          </w:tcPr>
          <w:p>
            <w:pPr>
              <w:pStyle w:val="34"/>
              <w:spacing w:beforeLines="0" w:afterLines="0" w:line="240" w:lineRule="auto"/>
              <w:rPr>
                <w:rFonts w:ascii="Times New Roman"/>
                <w:snapToGrid w:val="0"/>
                <w:color w:val="FF0000"/>
                <w:kern w:val="21"/>
                <w:sz w:val="21"/>
                <w:szCs w:val="21"/>
              </w:rPr>
            </w:pPr>
          </w:p>
        </w:tc>
        <w:tc>
          <w:tcPr>
            <w:tcW w:w="1680" w:type="dxa"/>
            <w:vAlign w:val="center"/>
          </w:tcPr>
          <w:p>
            <w:pPr>
              <w:pStyle w:val="34"/>
              <w:spacing w:beforeLines="0" w:afterLines="0" w:line="240" w:lineRule="auto"/>
              <w:rPr>
                <w:rFonts w:ascii="Times New Roman"/>
                <w:snapToGrid w:val="0"/>
                <w:color w:val="FF0000"/>
                <w:kern w:val="21"/>
                <w:sz w:val="21"/>
                <w:szCs w:val="21"/>
              </w:rPr>
            </w:pPr>
          </w:p>
        </w:tc>
        <w:tc>
          <w:tcPr>
            <w:tcW w:w="1540" w:type="dxa"/>
            <w:vAlign w:val="center"/>
          </w:tcPr>
          <w:p>
            <w:pPr>
              <w:pStyle w:val="34"/>
              <w:spacing w:beforeLines="0" w:afterLines="0" w:line="240" w:lineRule="auto"/>
              <w:rPr>
                <w:rFonts w:hint="default" w:ascii="Times New Roman" w:eastAsia="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r>
              <w:rPr>
                <w:rFonts w:hint="eastAsia" w:ascii="Times New Roman"/>
                <w:snapToGrid w:val="0"/>
                <w:color w:val="000000" w:themeColor="text1"/>
                <w:kern w:val="21"/>
                <w:sz w:val="21"/>
                <w:szCs w:val="21"/>
                <w:highlight w:val="none"/>
                <w:lang w:val="en-US" w:eastAsia="zh-CN"/>
                <w14:textFill>
                  <w14:solidFill>
                    <w14:schemeClr w14:val="tx1"/>
                  </w14:solidFill>
                </w14:textFill>
              </w:rPr>
              <w:t>0105</w:t>
            </w:r>
          </w:p>
        </w:tc>
        <w:tc>
          <w:tcPr>
            <w:tcW w:w="1739" w:type="dxa"/>
            <w:vAlign w:val="center"/>
          </w:tcPr>
          <w:p>
            <w:pPr>
              <w:pStyle w:val="34"/>
              <w:spacing w:beforeLines="0" w:afterLines="0" w:line="240" w:lineRule="auto"/>
              <w:rPr>
                <w:rFonts w:ascii="Times New Roman"/>
                <w:snapToGrid w:val="0"/>
                <w:color w:val="000000" w:themeColor="text1"/>
                <w:kern w:val="21"/>
                <w:sz w:val="21"/>
                <w:szCs w:val="21"/>
                <w:highlight w:val="none"/>
                <w14:textFill>
                  <w14:solidFill>
                    <w14:schemeClr w14:val="tx1"/>
                  </w14:solidFill>
                </w14:textFill>
              </w:rPr>
            </w:pPr>
          </w:p>
        </w:tc>
        <w:tc>
          <w:tcPr>
            <w:tcW w:w="1597" w:type="dxa"/>
            <w:vAlign w:val="center"/>
          </w:tcPr>
          <w:p>
            <w:pPr>
              <w:pStyle w:val="34"/>
              <w:spacing w:beforeLines="0" w:afterLines="0" w:line="240" w:lineRule="auto"/>
              <w:rPr>
                <w:snapToGrid w:val="0"/>
                <w:color w:val="000000" w:themeColor="text1"/>
                <w:kern w:val="2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r>
              <w:rPr>
                <w:rFonts w:hint="eastAsia" w:ascii="Times New Roman"/>
                <w:snapToGrid w:val="0"/>
                <w:color w:val="000000" w:themeColor="text1"/>
                <w:kern w:val="21"/>
                <w:sz w:val="21"/>
                <w:szCs w:val="21"/>
                <w:highlight w:val="none"/>
                <w:lang w:val="en-US" w:eastAsia="zh-CN"/>
                <w14:textFill>
                  <w14:solidFill>
                    <w14:schemeClr w14:val="tx1"/>
                  </w14:solidFill>
                </w14:textFill>
              </w:rPr>
              <w:t>0105</w:t>
            </w:r>
          </w:p>
        </w:tc>
        <w:tc>
          <w:tcPr>
            <w:tcW w:w="1153" w:type="dxa"/>
            <w:vAlign w:val="center"/>
          </w:tcPr>
          <w:p>
            <w:pPr>
              <w:jc w:val="center"/>
              <w:rPr>
                <w:rFonts w:hint="default" w:eastAsia="宋体"/>
                <w:snapToGrid w:val="0"/>
                <w:color w:val="000000" w:themeColor="text1"/>
                <w:kern w:val="21"/>
                <w:sz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14:textFill>
                  <w14:solidFill>
                    <w14:schemeClr w14:val="tx1"/>
                  </w14:solidFill>
                </w14:textFill>
              </w:rPr>
              <w:t>+0.0</w:t>
            </w:r>
            <w:r>
              <w:rPr>
                <w:rFonts w:hint="eastAsia"/>
                <w:snapToGrid w:val="0"/>
                <w:color w:val="000000" w:themeColor="text1"/>
                <w:kern w:val="21"/>
                <w:sz w:val="21"/>
                <w:szCs w:val="21"/>
                <w:highlight w:val="none"/>
                <w:lang w:val="en-US" w:eastAsia="zh-CN"/>
                <w14:textFill>
                  <w14:solidFill>
                    <w14:schemeClr w14:val="tx1"/>
                  </w14:solidFill>
                </w14:textFill>
              </w:rPr>
              <w:t>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9" w:type="dxa"/>
            <w:vMerge w:val="continue"/>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p>
        </w:tc>
        <w:tc>
          <w:tcPr>
            <w:tcW w:w="1539" w:type="dxa"/>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r>
              <w:rPr>
                <w:rFonts w:hint="eastAsia" w:ascii="Times New Roman"/>
                <w:snapToGrid w:val="0"/>
                <w:color w:val="000000" w:themeColor="text1"/>
                <w:kern w:val="21"/>
                <w:sz w:val="21"/>
                <w:szCs w:val="21"/>
                <w14:textFill>
                  <w14:solidFill>
                    <w14:schemeClr w14:val="tx1"/>
                  </w14:solidFill>
                </w14:textFill>
              </w:rPr>
              <w:t>NOx</w:t>
            </w:r>
          </w:p>
        </w:tc>
        <w:tc>
          <w:tcPr>
            <w:tcW w:w="1541" w:type="dxa"/>
            <w:vAlign w:val="center"/>
          </w:tcPr>
          <w:p>
            <w:pPr>
              <w:pStyle w:val="34"/>
              <w:spacing w:beforeLines="0" w:afterLines="0" w:line="240" w:lineRule="auto"/>
              <w:rPr>
                <w:rFonts w:ascii="Times New Roman"/>
                <w:snapToGrid w:val="0"/>
                <w:color w:val="FF0000"/>
                <w:kern w:val="21"/>
                <w:sz w:val="21"/>
                <w:szCs w:val="21"/>
              </w:rPr>
            </w:pPr>
          </w:p>
        </w:tc>
        <w:tc>
          <w:tcPr>
            <w:tcW w:w="1259" w:type="dxa"/>
            <w:vAlign w:val="center"/>
          </w:tcPr>
          <w:p>
            <w:pPr>
              <w:pStyle w:val="34"/>
              <w:spacing w:beforeLines="0" w:afterLines="0" w:line="240" w:lineRule="auto"/>
              <w:rPr>
                <w:rFonts w:ascii="Times New Roman"/>
                <w:snapToGrid w:val="0"/>
                <w:color w:val="FF0000"/>
                <w:kern w:val="21"/>
                <w:sz w:val="21"/>
                <w:szCs w:val="21"/>
              </w:rPr>
            </w:pPr>
          </w:p>
        </w:tc>
        <w:tc>
          <w:tcPr>
            <w:tcW w:w="1680" w:type="dxa"/>
            <w:vAlign w:val="center"/>
          </w:tcPr>
          <w:p>
            <w:pPr>
              <w:pStyle w:val="34"/>
              <w:spacing w:beforeLines="0" w:afterLines="0" w:line="240" w:lineRule="auto"/>
              <w:rPr>
                <w:rFonts w:ascii="Times New Roman"/>
                <w:snapToGrid w:val="0"/>
                <w:color w:val="FF0000"/>
                <w:kern w:val="21"/>
                <w:sz w:val="21"/>
                <w:szCs w:val="21"/>
              </w:rPr>
            </w:pPr>
          </w:p>
        </w:tc>
        <w:tc>
          <w:tcPr>
            <w:tcW w:w="1540" w:type="dxa"/>
            <w:vAlign w:val="center"/>
          </w:tcPr>
          <w:p>
            <w:pPr>
              <w:pStyle w:val="34"/>
              <w:spacing w:beforeLines="0" w:afterLines="0" w:line="240" w:lineRule="auto"/>
              <w:rPr>
                <w:rFonts w:hint="default" w:ascii="Times New Roman" w:eastAsia="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r>
              <w:rPr>
                <w:rFonts w:hint="eastAsia" w:ascii="Times New Roman"/>
                <w:snapToGrid w:val="0"/>
                <w:color w:val="000000" w:themeColor="text1"/>
                <w:kern w:val="21"/>
                <w:sz w:val="21"/>
                <w:szCs w:val="21"/>
                <w:highlight w:val="none"/>
                <w:lang w:val="en-US" w:eastAsia="zh-CN"/>
                <w14:textFill>
                  <w14:solidFill>
                    <w14:schemeClr w14:val="tx1"/>
                  </w14:solidFill>
                </w14:textFill>
              </w:rPr>
              <w:t>1579</w:t>
            </w:r>
          </w:p>
        </w:tc>
        <w:tc>
          <w:tcPr>
            <w:tcW w:w="1739" w:type="dxa"/>
            <w:vAlign w:val="center"/>
          </w:tcPr>
          <w:p>
            <w:pPr>
              <w:pStyle w:val="34"/>
              <w:spacing w:beforeLines="0" w:afterLines="0" w:line="240" w:lineRule="auto"/>
              <w:rPr>
                <w:rFonts w:ascii="Times New Roman"/>
                <w:snapToGrid w:val="0"/>
                <w:color w:val="000000" w:themeColor="text1"/>
                <w:kern w:val="21"/>
                <w:sz w:val="21"/>
                <w:szCs w:val="21"/>
                <w:highlight w:val="none"/>
                <w14:textFill>
                  <w14:solidFill>
                    <w14:schemeClr w14:val="tx1"/>
                  </w14:solidFill>
                </w14:textFill>
              </w:rPr>
            </w:pPr>
          </w:p>
        </w:tc>
        <w:tc>
          <w:tcPr>
            <w:tcW w:w="1597" w:type="dxa"/>
            <w:vAlign w:val="center"/>
          </w:tcPr>
          <w:p>
            <w:pPr>
              <w:pStyle w:val="34"/>
              <w:spacing w:beforeLines="0" w:afterLines="0" w:line="240" w:lineRule="auto"/>
              <w:rPr>
                <w:snapToGrid w:val="0"/>
                <w:color w:val="000000" w:themeColor="text1"/>
                <w:kern w:val="2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r>
              <w:rPr>
                <w:rFonts w:hint="eastAsia" w:ascii="Times New Roman"/>
                <w:snapToGrid w:val="0"/>
                <w:color w:val="000000" w:themeColor="text1"/>
                <w:kern w:val="21"/>
                <w:sz w:val="21"/>
                <w:szCs w:val="21"/>
                <w:highlight w:val="none"/>
                <w:lang w:val="en-US" w:eastAsia="zh-CN"/>
                <w14:textFill>
                  <w14:solidFill>
                    <w14:schemeClr w14:val="tx1"/>
                  </w14:solidFill>
                </w14:textFill>
              </w:rPr>
              <w:t>1579</w:t>
            </w:r>
          </w:p>
        </w:tc>
        <w:tc>
          <w:tcPr>
            <w:tcW w:w="1153" w:type="dxa"/>
            <w:vAlign w:val="center"/>
          </w:tcPr>
          <w:p>
            <w:pPr>
              <w:jc w:val="center"/>
              <w:rPr>
                <w:rFonts w:hint="default" w:eastAsia="宋体"/>
                <w:snapToGrid w:val="0"/>
                <w:color w:val="000000" w:themeColor="text1"/>
                <w:kern w:val="21"/>
                <w:sz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14:textFill>
                  <w14:solidFill>
                    <w14:schemeClr w14:val="tx1"/>
                  </w14:solidFill>
                </w14:textFill>
              </w:rPr>
              <w:t>+0.1</w:t>
            </w:r>
            <w:r>
              <w:rPr>
                <w:rFonts w:hint="eastAsia"/>
                <w:snapToGrid w:val="0"/>
                <w:color w:val="000000" w:themeColor="text1"/>
                <w:kern w:val="21"/>
                <w:sz w:val="21"/>
                <w:szCs w:val="21"/>
                <w:highlight w:val="none"/>
                <w:lang w:val="en-US" w:eastAsia="zh-CN"/>
                <w14:textFill>
                  <w14:solidFill>
                    <w14:schemeClr w14:val="tx1"/>
                  </w14:solidFill>
                </w14:textFill>
              </w:rPr>
              <w:t>579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69" w:type="dxa"/>
            <w:vMerge w:val="restart"/>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r>
              <w:rPr>
                <w:rFonts w:ascii="Times New Roman"/>
                <w:snapToGrid w:val="0"/>
                <w:color w:val="000000" w:themeColor="text1"/>
                <w:kern w:val="21"/>
                <w:sz w:val="21"/>
                <w:szCs w:val="21"/>
                <w14:textFill>
                  <w14:solidFill>
                    <w14:schemeClr w14:val="tx1"/>
                  </w14:solidFill>
                </w14:textFill>
              </w:rPr>
              <w:t>废水</w:t>
            </w:r>
          </w:p>
        </w:tc>
        <w:tc>
          <w:tcPr>
            <w:tcW w:w="1539" w:type="dxa"/>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r>
              <w:rPr>
                <w:rFonts w:ascii="Times New Roman"/>
                <w:snapToGrid w:val="0"/>
                <w:color w:val="000000" w:themeColor="text1"/>
                <w:kern w:val="21"/>
                <w:sz w:val="21"/>
                <w:szCs w:val="21"/>
                <w14:textFill>
                  <w14:solidFill>
                    <w14:schemeClr w14:val="tx1"/>
                  </w14:solidFill>
                </w14:textFill>
              </w:rPr>
              <w:t>化学需氧量</w:t>
            </w:r>
          </w:p>
        </w:tc>
        <w:tc>
          <w:tcPr>
            <w:tcW w:w="1541" w:type="dxa"/>
            <w:vAlign w:val="center"/>
          </w:tcPr>
          <w:p>
            <w:pPr>
              <w:pStyle w:val="34"/>
              <w:spacing w:beforeLines="0" w:afterLines="0" w:line="240" w:lineRule="auto"/>
              <w:rPr>
                <w:rFonts w:ascii="Times New Roman"/>
                <w:snapToGrid w:val="0"/>
                <w:color w:val="FF0000"/>
                <w:kern w:val="21"/>
                <w:sz w:val="21"/>
                <w:szCs w:val="21"/>
              </w:rPr>
            </w:pPr>
          </w:p>
        </w:tc>
        <w:tc>
          <w:tcPr>
            <w:tcW w:w="1259" w:type="dxa"/>
            <w:vAlign w:val="center"/>
          </w:tcPr>
          <w:p>
            <w:pPr>
              <w:pStyle w:val="34"/>
              <w:spacing w:beforeLines="0" w:afterLines="0" w:line="240" w:lineRule="auto"/>
              <w:rPr>
                <w:rFonts w:ascii="Times New Roman"/>
                <w:snapToGrid w:val="0"/>
                <w:color w:val="FF0000"/>
                <w:kern w:val="21"/>
                <w:sz w:val="21"/>
                <w:szCs w:val="21"/>
              </w:rPr>
            </w:pPr>
          </w:p>
        </w:tc>
        <w:tc>
          <w:tcPr>
            <w:tcW w:w="1680" w:type="dxa"/>
            <w:vAlign w:val="center"/>
          </w:tcPr>
          <w:p>
            <w:pPr>
              <w:pStyle w:val="34"/>
              <w:spacing w:beforeLines="0" w:afterLines="0" w:line="240" w:lineRule="auto"/>
              <w:rPr>
                <w:rFonts w:ascii="Times New Roman"/>
                <w:snapToGrid w:val="0"/>
                <w:color w:val="FF0000"/>
                <w:kern w:val="21"/>
                <w:sz w:val="21"/>
                <w:szCs w:val="21"/>
              </w:rPr>
            </w:pPr>
          </w:p>
        </w:tc>
        <w:tc>
          <w:tcPr>
            <w:tcW w:w="1540" w:type="dxa"/>
            <w:vAlign w:val="center"/>
          </w:tcPr>
          <w:p>
            <w:pPr>
              <w:spacing w:line="36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0.0538</w:t>
            </w:r>
          </w:p>
        </w:tc>
        <w:tc>
          <w:tcPr>
            <w:tcW w:w="1739" w:type="dxa"/>
            <w:vAlign w:val="center"/>
          </w:tcPr>
          <w:p>
            <w:pPr>
              <w:spacing w:line="360" w:lineRule="exact"/>
              <w:jc w:val="center"/>
              <w:rPr>
                <w:color w:val="000000" w:themeColor="text1"/>
                <w:sz w:val="21"/>
                <w:szCs w:val="21"/>
                <w:highlight w:val="none"/>
                <w14:textFill>
                  <w14:solidFill>
                    <w14:schemeClr w14:val="tx1"/>
                  </w14:solidFill>
                </w14:textFill>
              </w:rPr>
            </w:pPr>
          </w:p>
        </w:tc>
        <w:tc>
          <w:tcPr>
            <w:tcW w:w="1597" w:type="dxa"/>
            <w:vAlign w:val="center"/>
          </w:tcPr>
          <w:p>
            <w:pPr>
              <w:spacing w:line="36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0.0538</w:t>
            </w:r>
          </w:p>
        </w:tc>
        <w:tc>
          <w:tcPr>
            <w:tcW w:w="1153" w:type="dxa"/>
            <w:vAlign w:val="center"/>
          </w:tcPr>
          <w:p>
            <w:pPr>
              <w:pStyle w:val="34"/>
              <w:spacing w:beforeLines="0" w:afterLines="0" w:line="240" w:lineRule="auto"/>
              <w:rPr>
                <w:rFonts w:ascii="Times New Roman"/>
                <w:snapToGrid w:val="0"/>
                <w:color w:val="000000" w:themeColor="text1"/>
                <w:kern w:val="2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+0.0538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569" w:type="dxa"/>
            <w:vMerge w:val="continue"/>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p>
        </w:tc>
        <w:tc>
          <w:tcPr>
            <w:tcW w:w="1539" w:type="dxa"/>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r>
              <w:rPr>
                <w:rFonts w:ascii="Times New Roman"/>
                <w:snapToGrid w:val="0"/>
                <w:color w:val="000000" w:themeColor="text1"/>
                <w:kern w:val="21"/>
                <w:sz w:val="21"/>
                <w:szCs w:val="21"/>
                <w14:textFill>
                  <w14:solidFill>
                    <w14:schemeClr w14:val="tx1"/>
                  </w14:solidFill>
                </w14:textFill>
              </w:rPr>
              <w:t>氨氮</w:t>
            </w:r>
          </w:p>
        </w:tc>
        <w:tc>
          <w:tcPr>
            <w:tcW w:w="1541" w:type="dxa"/>
            <w:vAlign w:val="center"/>
          </w:tcPr>
          <w:p>
            <w:pPr>
              <w:pStyle w:val="34"/>
              <w:spacing w:beforeLines="0" w:afterLines="0" w:line="240" w:lineRule="auto"/>
              <w:rPr>
                <w:rFonts w:ascii="Times New Roman"/>
                <w:snapToGrid w:val="0"/>
                <w:color w:val="FF0000"/>
                <w:kern w:val="21"/>
                <w:sz w:val="21"/>
                <w:szCs w:val="21"/>
              </w:rPr>
            </w:pPr>
          </w:p>
        </w:tc>
        <w:tc>
          <w:tcPr>
            <w:tcW w:w="1259" w:type="dxa"/>
            <w:vAlign w:val="center"/>
          </w:tcPr>
          <w:p>
            <w:pPr>
              <w:pStyle w:val="34"/>
              <w:spacing w:beforeLines="0" w:afterLines="0" w:line="240" w:lineRule="auto"/>
              <w:rPr>
                <w:rFonts w:ascii="Times New Roman"/>
                <w:snapToGrid w:val="0"/>
                <w:color w:val="FF0000"/>
                <w:kern w:val="21"/>
                <w:sz w:val="21"/>
                <w:szCs w:val="21"/>
              </w:rPr>
            </w:pPr>
          </w:p>
        </w:tc>
        <w:tc>
          <w:tcPr>
            <w:tcW w:w="1680" w:type="dxa"/>
            <w:vAlign w:val="center"/>
          </w:tcPr>
          <w:p>
            <w:pPr>
              <w:pStyle w:val="34"/>
              <w:spacing w:beforeLines="0" w:afterLines="0" w:line="240" w:lineRule="auto"/>
              <w:rPr>
                <w:rFonts w:ascii="Times New Roman"/>
                <w:snapToGrid w:val="0"/>
                <w:color w:val="FF0000"/>
                <w:kern w:val="21"/>
                <w:sz w:val="21"/>
                <w:szCs w:val="21"/>
              </w:rPr>
            </w:pPr>
          </w:p>
        </w:tc>
        <w:tc>
          <w:tcPr>
            <w:tcW w:w="1540" w:type="dxa"/>
            <w:vAlign w:val="center"/>
          </w:tcPr>
          <w:p>
            <w:pPr>
              <w:pStyle w:val="34"/>
              <w:spacing w:beforeLines="0" w:afterLines="0" w:line="240" w:lineRule="auto"/>
              <w:rPr>
                <w:rFonts w:ascii="Times New Roman"/>
                <w:snapToGrid w:val="0"/>
                <w:color w:val="FF0000"/>
                <w:kern w:val="21"/>
                <w:sz w:val="21"/>
                <w:szCs w:val="21"/>
                <w:highlight w:val="none"/>
              </w:rPr>
            </w:pPr>
            <w:r>
              <w:rPr>
                <w:rFonts w:hint="eastAsia" w:ascii="Times New Roman"/>
                <w:color w:val="000000" w:themeColor="text1"/>
                <w:sz w:val="21"/>
                <w:szCs w:val="21"/>
                <w:highlight w:val="none"/>
                <w14:textFill>
                  <w14:solidFill>
                    <w14:schemeClr w14:val="tx1"/>
                  </w14:solidFill>
                </w14:textFill>
              </w:rPr>
              <w:t>0.0056</w:t>
            </w:r>
          </w:p>
        </w:tc>
        <w:tc>
          <w:tcPr>
            <w:tcW w:w="1739" w:type="dxa"/>
            <w:vAlign w:val="center"/>
          </w:tcPr>
          <w:p>
            <w:pPr>
              <w:pStyle w:val="34"/>
              <w:spacing w:beforeLines="0" w:afterLines="0" w:line="240" w:lineRule="auto"/>
              <w:rPr>
                <w:rFonts w:ascii="Times New Roman"/>
                <w:snapToGrid w:val="0"/>
                <w:color w:val="FF0000"/>
                <w:kern w:val="21"/>
                <w:sz w:val="21"/>
                <w:szCs w:val="21"/>
                <w:highlight w:val="none"/>
              </w:rPr>
            </w:pPr>
          </w:p>
        </w:tc>
        <w:tc>
          <w:tcPr>
            <w:tcW w:w="1597" w:type="dxa"/>
            <w:vAlign w:val="center"/>
          </w:tcPr>
          <w:p>
            <w:pPr>
              <w:pStyle w:val="34"/>
              <w:spacing w:beforeLines="0" w:afterLines="0" w:line="240" w:lineRule="auto"/>
              <w:rPr>
                <w:rFonts w:ascii="Times New Roman"/>
                <w:snapToGrid w:val="0"/>
                <w:color w:val="FF0000"/>
                <w:kern w:val="21"/>
                <w:sz w:val="21"/>
                <w:szCs w:val="21"/>
                <w:highlight w:val="none"/>
              </w:rPr>
            </w:pPr>
            <w:r>
              <w:rPr>
                <w:rFonts w:hint="eastAsia" w:ascii="Times New Roman"/>
                <w:color w:val="000000" w:themeColor="text1"/>
                <w:sz w:val="21"/>
                <w:szCs w:val="21"/>
                <w:highlight w:val="none"/>
                <w14:textFill>
                  <w14:solidFill>
                    <w14:schemeClr w14:val="tx1"/>
                  </w14:solidFill>
                </w14:textFill>
              </w:rPr>
              <w:t>0.0056</w:t>
            </w:r>
          </w:p>
        </w:tc>
        <w:tc>
          <w:tcPr>
            <w:tcW w:w="1153" w:type="dxa"/>
            <w:vAlign w:val="center"/>
          </w:tcPr>
          <w:p>
            <w:pPr>
              <w:pStyle w:val="34"/>
              <w:spacing w:beforeLines="0" w:afterLines="0" w:line="240" w:lineRule="auto"/>
              <w:rPr>
                <w:rFonts w:ascii="Times New Roman"/>
                <w:snapToGrid w:val="0"/>
                <w:color w:val="000000" w:themeColor="text1"/>
                <w:kern w:val="2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+0.0056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69" w:type="dxa"/>
            <w:vMerge w:val="restart"/>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r>
              <w:rPr>
                <w:rFonts w:ascii="Times New Roman"/>
                <w:snapToGrid w:val="0"/>
                <w:color w:val="000000" w:themeColor="text1"/>
                <w:kern w:val="21"/>
                <w:sz w:val="21"/>
                <w:szCs w:val="21"/>
                <w14:textFill>
                  <w14:solidFill>
                    <w14:schemeClr w14:val="tx1"/>
                  </w14:solidFill>
                </w14:textFill>
              </w:rPr>
              <w:t>一般工业</w:t>
            </w:r>
          </w:p>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r>
              <w:rPr>
                <w:rFonts w:ascii="Times New Roman"/>
                <w:snapToGrid w:val="0"/>
                <w:color w:val="000000" w:themeColor="text1"/>
                <w:kern w:val="21"/>
                <w:sz w:val="21"/>
                <w:szCs w:val="21"/>
                <w14:textFill>
                  <w14:solidFill>
                    <w14:schemeClr w14:val="tx1"/>
                  </w14:solidFill>
                </w14:textFill>
              </w:rPr>
              <w:t>固体废物</w:t>
            </w:r>
          </w:p>
        </w:tc>
        <w:tc>
          <w:tcPr>
            <w:tcW w:w="1539" w:type="dxa"/>
            <w:vAlign w:val="center"/>
          </w:tcPr>
          <w:p>
            <w:pPr>
              <w:spacing w:line="360" w:lineRule="exact"/>
              <w:jc w:val="cente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t>废纸箱</w:t>
            </w:r>
          </w:p>
        </w:tc>
        <w:tc>
          <w:tcPr>
            <w:tcW w:w="1541" w:type="dxa"/>
            <w:vAlign w:val="center"/>
          </w:tcPr>
          <w:p>
            <w:pPr>
              <w:pStyle w:val="34"/>
              <w:spacing w:beforeLines="0" w:afterLines="0" w:line="240" w:lineRule="auto"/>
              <w:rPr>
                <w:rFonts w:ascii="Times New Roman"/>
                <w:snapToGrid w:val="0"/>
                <w:color w:val="FF0000"/>
                <w:kern w:val="21"/>
                <w:sz w:val="21"/>
                <w:szCs w:val="21"/>
              </w:rPr>
            </w:pPr>
          </w:p>
        </w:tc>
        <w:tc>
          <w:tcPr>
            <w:tcW w:w="1259" w:type="dxa"/>
            <w:vAlign w:val="center"/>
          </w:tcPr>
          <w:p>
            <w:pPr>
              <w:pStyle w:val="34"/>
              <w:spacing w:beforeLines="0" w:afterLines="0" w:line="240" w:lineRule="auto"/>
              <w:rPr>
                <w:rFonts w:ascii="Times New Roman"/>
                <w:snapToGrid w:val="0"/>
                <w:color w:val="FF0000"/>
                <w:kern w:val="21"/>
                <w:sz w:val="21"/>
                <w:szCs w:val="21"/>
              </w:rPr>
            </w:pPr>
          </w:p>
        </w:tc>
        <w:tc>
          <w:tcPr>
            <w:tcW w:w="1680" w:type="dxa"/>
            <w:vAlign w:val="center"/>
          </w:tcPr>
          <w:p>
            <w:pPr>
              <w:pStyle w:val="34"/>
              <w:spacing w:beforeLines="0" w:afterLines="0" w:line="240" w:lineRule="auto"/>
              <w:rPr>
                <w:rFonts w:ascii="Times New Roman"/>
                <w:snapToGrid w:val="0"/>
                <w:color w:val="FF0000"/>
                <w:kern w:val="21"/>
                <w:sz w:val="21"/>
                <w:szCs w:val="21"/>
              </w:rPr>
            </w:pPr>
          </w:p>
        </w:tc>
        <w:tc>
          <w:tcPr>
            <w:tcW w:w="1540" w:type="dxa"/>
            <w:vAlign w:val="center"/>
          </w:tcPr>
          <w:p>
            <w:pPr>
              <w:spacing w:line="360" w:lineRule="exact"/>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0.4</w:t>
            </w:r>
          </w:p>
        </w:tc>
        <w:tc>
          <w:tcPr>
            <w:tcW w:w="1739" w:type="dxa"/>
            <w:vAlign w:val="center"/>
          </w:tcPr>
          <w:p>
            <w:pPr>
              <w:pStyle w:val="34"/>
              <w:spacing w:beforeLines="0" w:afterLines="0" w:line="240" w:lineRule="auto"/>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1597" w:type="dxa"/>
            <w:vAlign w:val="center"/>
          </w:tcPr>
          <w:p>
            <w:pPr>
              <w:spacing w:line="360" w:lineRule="exact"/>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0.4</w:t>
            </w:r>
          </w:p>
        </w:tc>
        <w:tc>
          <w:tcPr>
            <w:tcW w:w="1153" w:type="dxa"/>
            <w:vAlign w:val="center"/>
          </w:tcPr>
          <w:p>
            <w:pPr>
              <w:pStyle w:val="34"/>
              <w:spacing w:beforeLines="0" w:afterLines="0" w:line="240" w:lineRule="auto"/>
              <w:rPr>
                <w:rFonts w:hint="default" w:ascii="Times New Roman" w:eastAsia="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w:t>
            </w:r>
            <w:r>
              <w:rPr>
                <w:rFonts w:hint="eastAsia" w:ascii="Times New Roman"/>
                <w:snapToGrid w:val="0"/>
                <w:color w:val="000000" w:themeColor="text1"/>
                <w:kern w:val="21"/>
                <w:sz w:val="21"/>
                <w:szCs w:val="21"/>
                <w:highlight w:val="none"/>
                <w:lang w:val="en-US" w:eastAsia="zh-CN"/>
                <w14:textFill>
                  <w14:solidFill>
                    <w14:schemeClr w14:val="tx1"/>
                  </w14:solidFill>
                </w14:textFill>
              </w:rPr>
              <w:t>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69" w:type="dxa"/>
            <w:vMerge w:val="continue"/>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p>
        </w:tc>
        <w:tc>
          <w:tcPr>
            <w:tcW w:w="1539" w:type="dxa"/>
            <w:vAlign w:val="center"/>
          </w:tcPr>
          <w:p>
            <w:pPr>
              <w:spacing w:line="360" w:lineRule="exact"/>
              <w:jc w:val="center"/>
              <w:rPr>
                <w:rFonts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t>废边角料</w:t>
            </w:r>
          </w:p>
        </w:tc>
        <w:tc>
          <w:tcPr>
            <w:tcW w:w="1541" w:type="dxa"/>
            <w:vAlign w:val="center"/>
          </w:tcPr>
          <w:p>
            <w:pPr>
              <w:pStyle w:val="34"/>
              <w:spacing w:beforeLines="0" w:afterLines="0" w:line="240" w:lineRule="auto"/>
              <w:rPr>
                <w:rFonts w:ascii="Times New Roman"/>
                <w:snapToGrid w:val="0"/>
                <w:color w:val="FF0000"/>
                <w:kern w:val="21"/>
                <w:sz w:val="21"/>
                <w:szCs w:val="21"/>
              </w:rPr>
            </w:pPr>
          </w:p>
        </w:tc>
        <w:tc>
          <w:tcPr>
            <w:tcW w:w="1259" w:type="dxa"/>
            <w:vAlign w:val="center"/>
          </w:tcPr>
          <w:p>
            <w:pPr>
              <w:pStyle w:val="34"/>
              <w:spacing w:beforeLines="0" w:afterLines="0" w:line="240" w:lineRule="auto"/>
              <w:rPr>
                <w:rFonts w:ascii="Times New Roman"/>
                <w:snapToGrid w:val="0"/>
                <w:color w:val="FF0000"/>
                <w:kern w:val="21"/>
                <w:sz w:val="21"/>
                <w:szCs w:val="21"/>
              </w:rPr>
            </w:pPr>
          </w:p>
        </w:tc>
        <w:tc>
          <w:tcPr>
            <w:tcW w:w="1680" w:type="dxa"/>
            <w:vAlign w:val="center"/>
          </w:tcPr>
          <w:p>
            <w:pPr>
              <w:pStyle w:val="34"/>
              <w:spacing w:beforeLines="0" w:afterLines="0" w:line="240" w:lineRule="auto"/>
              <w:rPr>
                <w:rFonts w:ascii="Times New Roman"/>
                <w:snapToGrid w:val="0"/>
                <w:color w:val="FF0000"/>
                <w:kern w:val="21"/>
                <w:sz w:val="21"/>
                <w:szCs w:val="21"/>
              </w:rPr>
            </w:pPr>
          </w:p>
        </w:tc>
        <w:tc>
          <w:tcPr>
            <w:tcW w:w="1540" w:type="dxa"/>
            <w:vAlign w:val="center"/>
          </w:tcPr>
          <w:p>
            <w:pPr>
              <w:spacing w:line="360" w:lineRule="exact"/>
              <w:jc w:val="center"/>
              <w:rPr>
                <w:rFonts w:hint="default" w:eastAsia="宋体"/>
                <w:snapToGrid w:val="0"/>
                <w:color w:val="000000" w:themeColor="text1"/>
                <w:kern w:val="21"/>
                <w:sz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16</w:t>
            </w:r>
          </w:p>
        </w:tc>
        <w:tc>
          <w:tcPr>
            <w:tcW w:w="1739" w:type="dxa"/>
            <w:vAlign w:val="center"/>
          </w:tcPr>
          <w:p>
            <w:pPr>
              <w:jc w:val="center"/>
              <w:rPr>
                <w:snapToGrid w:val="0"/>
                <w:color w:val="000000" w:themeColor="text1"/>
                <w:kern w:val="21"/>
                <w:sz w:val="21"/>
                <w:szCs w:val="21"/>
                <w:highlight w:val="none"/>
                <w14:textFill>
                  <w14:solidFill>
                    <w14:schemeClr w14:val="tx1"/>
                  </w14:solidFill>
                </w14:textFill>
              </w:rPr>
            </w:pPr>
          </w:p>
        </w:tc>
        <w:tc>
          <w:tcPr>
            <w:tcW w:w="1597" w:type="dxa"/>
            <w:vAlign w:val="center"/>
          </w:tcPr>
          <w:p>
            <w:pPr>
              <w:spacing w:line="360" w:lineRule="exact"/>
              <w:jc w:val="center"/>
              <w:rPr>
                <w:snapToGrid w:val="0"/>
                <w:color w:val="000000" w:themeColor="text1"/>
                <w:kern w:val="21"/>
                <w:sz w:val="21"/>
                <w:szCs w:val="21"/>
                <w:highlight w:val="none"/>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16</w:t>
            </w:r>
          </w:p>
        </w:tc>
        <w:tc>
          <w:tcPr>
            <w:tcW w:w="1153" w:type="dxa"/>
            <w:vAlign w:val="center"/>
          </w:tcPr>
          <w:p>
            <w:pPr>
              <w:jc w:val="center"/>
              <w:rPr>
                <w:rFonts w:hint="default" w:eastAsia="宋体"/>
                <w:snapToGrid w:val="0"/>
                <w:color w:val="000000" w:themeColor="text1"/>
                <w:kern w:val="2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69" w:type="dxa"/>
            <w:vMerge w:val="continue"/>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p>
        </w:tc>
        <w:tc>
          <w:tcPr>
            <w:tcW w:w="1539" w:type="dxa"/>
            <w:vAlign w:val="center"/>
          </w:tcPr>
          <w:p>
            <w:pPr>
              <w:spacing w:line="360" w:lineRule="exact"/>
              <w:jc w:val="cente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t>废挂钩</w:t>
            </w:r>
          </w:p>
        </w:tc>
        <w:tc>
          <w:tcPr>
            <w:tcW w:w="1541" w:type="dxa"/>
            <w:vAlign w:val="center"/>
          </w:tcPr>
          <w:p>
            <w:pPr>
              <w:pStyle w:val="34"/>
              <w:spacing w:beforeLines="0" w:afterLines="0" w:line="240" w:lineRule="auto"/>
              <w:rPr>
                <w:rFonts w:ascii="Times New Roman"/>
                <w:snapToGrid w:val="0"/>
                <w:color w:val="FF0000"/>
                <w:kern w:val="21"/>
                <w:sz w:val="21"/>
                <w:szCs w:val="21"/>
              </w:rPr>
            </w:pPr>
          </w:p>
        </w:tc>
        <w:tc>
          <w:tcPr>
            <w:tcW w:w="1259" w:type="dxa"/>
            <w:vAlign w:val="center"/>
          </w:tcPr>
          <w:p>
            <w:pPr>
              <w:pStyle w:val="34"/>
              <w:spacing w:beforeLines="0" w:afterLines="0" w:line="240" w:lineRule="auto"/>
              <w:rPr>
                <w:rFonts w:ascii="Times New Roman"/>
                <w:snapToGrid w:val="0"/>
                <w:color w:val="FF0000"/>
                <w:kern w:val="21"/>
                <w:sz w:val="21"/>
                <w:szCs w:val="21"/>
              </w:rPr>
            </w:pPr>
          </w:p>
        </w:tc>
        <w:tc>
          <w:tcPr>
            <w:tcW w:w="1680" w:type="dxa"/>
            <w:vAlign w:val="center"/>
          </w:tcPr>
          <w:p>
            <w:pPr>
              <w:pStyle w:val="34"/>
              <w:spacing w:beforeLines="0" w:afterLines="0" w:line="240" w:lineRule="auto"/>
              <w:rPr>
                <w:rFonts w:ascii="Times New Roman"/>
                <w:snapToGrid w:val="0"/>
                <w:color w:val="FF0000"/>
                <w:kern w:val="21"/>
                <w:sz w:val="21"/>
                <w:szCs w:val="21"/>
              </w:rPr>
            </w:pPr>
          </w:p>
        </w:tc>
        <w:tc>
          <w:tcPr>
            <w:tcW w:w="1540" w:type="dxa"/>
            <w:vAlign w:val="center"/>
          </w:tcPr>
          <w:p>
            <w:pPr>
              <w:spacing w:line="360" w:lineRule="exact"/>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0.1</w:t>
            </w:r>
          </w:p>
        </w:tc>
        <w:tc>
          <w:tcPr>
            <w:tcW w:w="1739" w:type="dxa"/>
            <w:vAlign w:val="center"/>
          </w:tcPr>
          <w:p>
            <w:pPr>
              <w:jc w:val="center"/>
              <w:rPr>
                <w:snapToGrid w:val="0"/>
                <w:color w:val="000000" w:themeColor="text1"/>
                <w:kern w:val="21"/>
                <w:sz w:val="21"/>
                <w:szCs w:val="21"/>
                <w:highlight w:val="none"/>
                <w14:textFill>
                  <w14:solidFill>
                    <w14:schemeClr w14:val="tx1"/>
                  </w14:solidFill>
                </w14:textFill>
              </w:rPr>
            </w:pPr>
          </w:p>
        </w:tc>
        <w:tc>
          <w:tcPr>
            <w:tcW w:w="1597" w:type="dxa"/>
            <w:vAlign w:val="center"/>
          </w:tcPr>
          <w:p>
            <w:pPr>
              <w:spacing w:line="360" w:lineRule="exact"/>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0.1</w:t>
            </w:r>
          </w:p>
        </w:tc>
        <w:tc>
          <w:tcPr>
            <w:tcW w:w="1153" w:type="dxa"/>
            <w:vAlign w:val="center"/>
          </w:tcPr>
          <w:p>
            <w:pPr>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569" w:type="dxa"/>
            <w:vMerge w:val="continue"/>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p>
        </w:tc>
        <w:tc>
          <w:tcPr>
            <w:tcW w:w="1539" w:type="dxa"/>
            <w:vAlign w:val="center"/>
          </w:tcPr>
          <w:p>
            <w:pPr>
              <w:spacing w:line="360" w:lineRule="exact"/>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t>废滤芯</w:t>
            </w:r>
          </w:p>
        </w:tc>
        <w:tc>
          <w:tcPr>
            <w:tcW w:w="1541" w:type="dxa"/>
            <w:vAlign w:val="center"/>
          </w:tcPr>
          <w:p>
            <w:pPr>
              <w:pStyle w:val="34"/>
              <w:spacing w:beforeLines="0" w:afterLines="0" w:line="240" w:lineRule="auto"/>
              <w:rPr>
                <w:rFonts w:ascii="Times New Roman"/>
                <w:snapToGrid w:val="0"/>
                <w:color w:val="FF0000"/>
                <w:kern w:val="21"/>
                <w:sz w:val="21"/>
                <w:szCs w:val="21"/>
              </w:rPr>
            </w:pPr>
          </w:p>
        </w:tc>
        <w:tc>
          <w:tcPr>
            <w:tcW w:w="1259" w:type="dxa"/>
            <w:vAlign w:val="center"/>
          </w:tcPr>
          <w:p>
            <w:pPr>
              <w:pStyle w:val="34"/>
              <w:spacing w:beforeLines="0" w:afterLines="0" w:line="240" w:lineRule="auto"/>
              <w:rPr>
                <w:rFonts w:ascii="Times New Roman"/>
                <w:snapToGrid w:val="0"/>
                <w:color w:val="FF0000"/>
                <w:kern w:val="21"/>
                <w:sz w:val="21"/>
                <w:szCs w:val="21"/>
              </w:rPr>
            </w:pPr>
          </w:p>
        </w:tc>
        <w:tc>
          <w:tcPr>
            <w:tcW w:w="1680" w:type="dxa"/>
            <w:vAlign w:val="center"/>
          </w:tcPr>
          <w:p>
            <w:pPr>
              <w:pStyle w:val="34"/>
              <w:spacing w:beforeLines="0" w:afterLines="0" w:line="240" w:lineRule="auto"/>
              <w:rPr>
                <w:rFonts w:ascii="Times New Roman"/>
                <w:snapToGrid w:val="0"/>
                <w:color w:val="FF0000"/>
                <w:kern w:val="21"/>
                <w:sz w:val="21"/>
                <w:szCs w:val="21"/>
              </w:rPr>
            </w:pPr>
          </w:p>
        </w:tc>
        <w:tc>
          <w:tcPr>
            <w:tcW w:w="1540" w:type="dxa"/>
            <w:vAlign w:val="center"/>
          </w:tcPr>
          <w:p>
            <w:pPr>
              <w:spacing w:line="360" w:lineRule="exact"/>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36个</w:t>
            </w:r>
          </w:p>
        </w:tc>
        <w:tc>
          <w:tcPr>
            <w:tcW w:w="1739" w:type="dxa"/>
            <w:vAlign w:val="center"/>
          </w:tcPr>
          <w:p>
            <w:pPr>
              <w:jc w:val="center"/>
              <w:rPr>
                <w:snapToGrid w:val="0"/>
                <w:color w:val="000000" w:themeColor="text1"/>
                <w:kern w:val="21"/>
                <w:sz w:val="21"/>
                <w:szCs w:val="21"/>
                <w:highlight w:val="none"/>
                <w14:textFill>
                  <w14:solidFill>
                    <w14:schemeClr w14:val="tx1"/>
                  </w14:solidFill>
                </w14:textFill>
              </w:rPr>
            </w:pPr>
          </w:p>
        </w:tc>
        <w:tc>
          <w:tcPr>
            <w:tcW w:w="1597" w:type="dxa"/>
            <w:vAlign w:val="center"/>
          </w:tcPr>
          <w:p>
            <w:pPr>
              <w:spacing w:line="360" w:lineRule="exact"/>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36个</w:t>
            </w:r>
          </w:p>
        </w:tc>
        <w:tc>
          <w:tcPr>
            <w:tcW w:w="1153" w:type="dxa"/>
            <w:vAlign w:val="center"/>
          </w:tcPr>
          <w:p>
            <w:pPr>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+36个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69" w:type="dxa"/>
            <w:vMerge w:val="continue"/>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p>
        </w:tc>
        <w:tc>
          <w:tcPr>
            <w:tcW w:w="1539" w:type="dxa"/>
            <w:vAlign w:val="center"/>
          </w:tcPr>
          <w:p>
            <w:pPr>
              <w:spacing w:line="360" w:lineRule="exact"/>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t>除尘器收集的塑粉</w:t>
            </w:r>
          </w:p>
        </w:tc>
        <w:tc>
          <w:tcPr>
            <w:tcW w:w="1541" w:type="dxa"/>
            <w:vAlign w:val="center"/>
          </w:tcPr>
          <w:p>
            <w:pPr>
              <w:pStyle w:val="34"/>
              <w:spacing w:beforeLines="0" w:afterLines="0" w:line="240" w:lineRule="auto"/>
              <w:rPr>
                <w:rFonts w:ascii="Times New Roman"/>
                <w:snapToGrid w:val="0"/>
                <w:color w:val="FF0000"/>
                <w:kern w:val="21"/>
                <w:sz w:val="21"/>
                <w:szCs w:val="21"/>
              </w:rPr>
            </w:pPr>
          </w:p>
        </w:tc>
        <w:tc>
          <w:tcPr>
            <w:tcW w:w="1259" w:type="dxa"/>
            <w:vAlign w:val="center"/>
          </w:tcPr>
          <w:p>
            <w:pPr>
              <w:pStyle w:val="34"/>
              <w:spacing w:beforeLines="0" w:afterLines="0" w:line="240" w:lineRule="auto"/>
              <w:rPr>
                <w:rFonts w:ascii="Times New Roman"/>
                <w:snapToGrid w:val="0"/>
                <w:color w:val="FF0000"/>
                <w:kern w:val="21"/>
                <w:sz w:val="21"/>
                <w:szCs w:val="21"/>
              </w:rPr>
            </w:pPr>
          </w:p>
        </w:tc>
        <w:tc>
          <w:tcPr>
            <w:tcW w:w="1680" w:type="dxa"/>
            <w:vAlign w:val="center"/>
          </w:tcPr>
          <w:p>
            <w:pPr>
              <w:pStyle w:val="34"/>
              <w:spacing w:beforeLines="0" w:afterLines="0" w:line="240" w:lineRule="auto"/>
              <w:rPr>
                <w:rFonts w:ascii="Times New Roman"/>
                <w:snapToGrid w:val="0"/>
                <w:color w:val="FF0000"/>
                <w:kern w:val="21"/>
                <w:sz w:val="21"/>
                <w:szCs w:val="21"/>
              </w:rPr>
            </w:pPr>
          </w:p>
        </w:tc>
        <w:tc>
          <w:tcPr>
            <w:tcW w:w="1540" w:type="dxa"/>
            <w:vAlign w:val="center"/>
          </w:tcPr>
          <w:p>
            <w:pPr>
              <w:spacing w:line="360" w:lineRule="exact"/>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7.13</w:t>
            </w:r>
          </w:p>
        </w:tc>
        <w:tc>
          <w:tcPr>
            <w:tcW w:w="1739" w:type="dxa"/>
            <w:vAlign w:val="center"/>
          </w:tcPr>
          <w:p>
            <w:pPr>
              <w:jc w:val="center"/>
              <w:rPr>
                <w:snapToGrid w:val="0"/>
                <w:color w:val="000000" w:themeColor="text1"/>
                <w:kern w:val="21"/>
                <w:sz w:val="21"/>
                <w:szCs w:val="21"/>
                <w:highlight w:val="none"/>
                <w14:textFill>
                  <w14:solidFill>
                    <w14:schemeClr w14:val="tx1"/>
                  </w14:solidFill>
                </w14:textFill>
              </w:rPr>
            </w:pPr>
          </w:p>
        </w:tc>
        <w:tc>
          <w:tcPr>
            <w:tcW w:w="1597" w:type="dxa"/>
            <w:vAlign w:val="center"/>
          </w:tcPr>
          <w:p>
            <w:pPr>
              <w:spacing w:line="360" w:lineRule="exact"/>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7.13</w:t>
            </w:r>
          </w:p>
        </w:tc>
        <w:tc>
          <w:tcPr>
            <w:tcW w:w="1153" w:type="dxa"/>
            <w:vAlign w:val="center"/>
          </w:tcPr>
          <w:p>
            <w:pPr>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+7.13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69" w:type="dxa"/>
            <w:vMerge w:val="continue"/>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p>
        </w:tc>
        <w:tc>
          <w:tcPr>
            <w:tcW w:w="1539" w:type="dxa"/>
            <w:vAlign w:val="center"/>
          </w:tcPr>
          <w:p>
            <w:pPr>
              <w:spacing w:line="360" w:lineRule="exact"/>
              <w:jc w:val="center"/>
              <w:rPr>
                <w:rFonts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t>员工生活垃圾</w:t>
            </w:r>
          </w:p>
        </w:tc>
        <w:tc>
          <w:tcPr>
            <w:tcW w:w="1541" w:type="dxa"/>
            <w:vAlign w:val="center"/>
          </w:tcPr>
          <w:p>
            <w:pPr>
              <w:pStyle w:val="34"/>
              <w:spacing w:beforeLines="0" w:afterLines="0" w:line="240" w:lineRule="auto"/>
              <w:rPr>
                <w:rFonts w:ascii="Times New Roman"/>
                <w:snapToGrid w:val="0"/>
                <w:color w:val="FF0000"/>
                <w:kern w:val="21"/>
                <w:sz w:val="21"/>
                <w:szCs w:val="21"/>
              </w:rPr>
            </w:pPr>
          </w:p>
        </w:tc>
        <w:tc>
          <w:tcPr>
            <w:tcW w:w="1259" w:type="dxa"/>
            <w:vAlign w:val="center"/>
          </w:tcPr>
          <w:p>
            <w:pPr>
              <w:pStyle w:val="34"/>
              <w:spacing w:beforeLines="0" w:afterLines="0" w:line="240" w:lineRule="auto"/>
              <w:rPr>
                <w:rFonts w:ascii="Times New Roman"/>
                <w:snapToGrid w:val="0"/>
                <w:color w:val="FF0000"/>
                <w:kern w:val="21"/>
                <w:sz w:val="21"/>
                <w:szCs w:val="21"/>
              </w:rPr>
            </w:pPr>
          </w:p>
        </w:tc>
        <w:tc>
          <w:tcPr>
            <w:tcW w:w="1680" w:type="dxa"/>
            <w:vAlign w:val="center"/>
          </w:tcPr>
          <w:p>
            <w:pPr>
              <w:pStyle w:val="34"/>
              <w:spacing w:beforeLines="0" w:afterLines="0" w:line="240" w:lineRule="auto"/>
              <w:rPr>
                <w:rFonts w:ascii="Times New Roman"/>
                <w:snapToGrid w:val="0"/>
                <w:color w:val="FF0000"/>
                <w:kern w:val="21"/>
                <w:sz w:val="21"/>
                <w:szCs w:val="21"/>
              </w:rPr>
            </w:pPr>
          </w:p>
        </w:tc>
        <w:tc>
          <w:tcPr>
            <w:tcW w:w="1540" w:type="dxa"/>
            <w:vAlign w:val="center"/>
          </w:tcPr>
          <w:p>
            <w:pPr>
              <w:spacing w:line="360" w:lineRule="exact"/>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p>
        </w:tc>
        <w:tc>
          <w:tcPr>
            <w:tcW w:w="1739" w:type="dxa"/>
            <w:vAlign w:val="center"/>
          </w:tcPr>
          <w:p>
            <w:pPr>
              <w:pStyle w:val="34"/>
              <w:spacing w:beforeLines="0" w:afterLines="0" w:line="240" w:lineRule="auto"/>
              <w:rPr>
                <w:rFonts w:ascii="Times New Roman"/>
                <w:snapToGrid w:val="0"/>
                <w:color w:val="000000" w:themeColor="text1"/>
                <w:kern w:val="21"/>
                <w:sz w:val="21"/>
                <w:szCs w:val="21"/>
                <w:highlight w:val="none"/>
                <w14:textFill>
                  <w14:solidFill>
                    <w14:schemeClr w14:val="tx1"/>
                  </w14:solidFill>
                </w14:textFill>
              </w:rPr>
            </w:pPr>
          </w:p>
        </w:tc>
        <w:tc>
          <w:tcPr>
            <w:tcW w:w="1597" w:type="dxa"/>
            <w:vAlign w:val="center"/>
          </w:tcPr>
          <w:p>
            <w:pPr>
              <w:spacing w:line="360" w:lineRule="exact"/>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p>
        </w:tc>
        <w:tc>
          <w:tcPr>
            <w:tcW w:w="1153" w:type="dxa"/>
            <w:vAlign w:val="center"/>
          </w:tcPr>
          <w:p>
            <w:pPr>
              <w:pStyle w:val="34"/>
              <w:spacing w:beforeLines="0" w:afterLines="0" w:line="240" w:lineRule="auto"/>
              <w:rPr>
                <w:rFonts w:ascii="Times New Roman"/>
                <w:snapToGrid w:val="0"/>
                <w:color w:val="000000" w:themeColor="text1"/>
                <w:kern w:val="2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69" w:type="dxa"/>
            <w:vMerge w:val="restart"/>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r>
              <w:rPr>
                <w:rFonts w:hint="eastAsia" w:ascii="Times New Roman"/>
                <w:snapToGrid w:val="0"/>
                <w:color w:val="000000" w:themeColor="text1"/>
                <w:kern w:val="21"/>
                <w:sz w:val="21"/>
                <w:szCs w:val="21"/>
                <w14:textFill>
                  <w14:solidFill>
                    <w14:schemeClr w14:val="tx1"/>
                  </w14:solidFill>
                </w14:textFill>
              </w:rPr>
              <w:t>危险废物</w:t>
            </w:r>
          </w:p>
        </w:tc>
        <w:tc>
          <w:tcPr>
            <w:tcW w:w="1539" w:type="dxa"/>
            <w:vAlign w:val="center"/>
          </w:tcPr>
          <w:p>
            <w:pPr>
              <w:spacing w:line="360" w:lineRule="exact"/>
              <w:jc w:val="cente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t>废机油</w:t>
            </w:r>
          </w:p>
        </w:tc>
        <w:tc>
          <w:tcPr>
            <w:tcW w:w="1541" w:type="dxa"/>
            <w:vAlign w:val="center"/>
          </w:tcPr>
          <w:p>
            <w:pPr>
              <w:pStyle w:val="34"/>
              <w:spacing w:beforeLines="0" w:afterLines="0" w:line="240" w:lineRule="auto"/>
              <w:rPr>
                <w:rFonts w:ascii="Times New Roman"/>
                <w:snapToGrid w:val="0"/>
                <w:color w:val="FF0000"/>
                <w:kern w:val="21"/>
                <w:sz w:val="21"/>
                <w:szCs w:val="21"/>
              </w:rPr>
            </w:pPr>
          </w:p>
        </w:tc>
        <w:tc>
          <w:tcPr>
            <w:tcW w:w="1259" w:type="dxa"/>
            <w:vAlign w:val="center"/>
          </w:tcPr>
          <w:p>
            <w:pPr>
              <w:pStyle w:val="34"/>
              <w:spacing w:beforeLines="0" w:afterLines="0" w:line="240" w:lineRule="auto"/>
              <w:rPr>
                <w:rFonts w:ascii="Times New Roman"/>
                <w:snapToGrid w:val="0"/>
                <w:color w:val="FF0000"/>
                <w:kern w:val="21"/>
                <w:sz w:val="21"/>
                <w:szCs w:val="21"/>
              </w:rPr>
            </w:pPr>
          </w:p>
        </w:tc>
        <w:tc>
          <w:tcPr>
            <w:tcW w:w="1680" w:type="dxa"/>
            <w:vAlign w:val="center"/>
          </w:tcPr>
          <w:p>
            <w:pPr>
              <w:pStyle w:val="34"/>
              <w:spacing w:beforeLines="0" w:afterLines="0" w:line="240" w:lineRule="auto"/>
              <w:rPr>
                <w:rFonts w:ascii="Times New Roman"/>
                <w:snapToGrid w:val="0"/>
                <w:color w:val="FF0000"/>
                <w:kern w:val="21"/>
                <w:sz w:val="21"/>
                <w:szCs w:val="21"/>
              </w:rPr>
            </w:pPr>
          </w:p>
        </w:tc>
        <w:tc>
          <w:tcPr>
            <w:tcW w:w="1540" w:type="dxa"/>
            <w:vAlign w:val="center"/>
          </w:tcPr>
          <w:p>
            <w:pPr>
              <w:spacing w:line="360" w:lineRule="exact"/>
              <w:jc w:val="center"/>
              <w:rPr>
                <w:rFonts w:hint="default" w:eastAsia="宋体"/>
                <w:snapToGrid w:val="0"/>
                <w:color w:val="000000" w:themeColor="text1"/>
                <w:kern w:val="21"/>
                <w:sz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0.1</w:t>
            </w:r>
          </w:p>
        </w:tc>
        <w:tc>
          <w:tcPr>
            <w:tcW w:w="1739" w:type="dxa"/>
            <w:vAlign w:val="center"/>
          </w:tcPr>
          <w:p>
            <w:pPr>
              <w:pStyle w:val="34"/>
              <w:spacing w:beforeLines="0" w:afterLines="0" w:line="240" w:lineRule="auto"/>
              <w:rPr>
                <w:rFonts w:ascii="Times New Roman"/>
                <w:snapToGrid w:val="0"/>
                <w:color w:val="000000" w:themeColor="text1"/>
                <w:kern w:val="21"/>
                <w:sz w:val="21"/>
                <w:szCs w:val="21"/>
                <w:highlight w:val="none"/>
                <w14:textFill>
                  <w14:solidFill>
                    <w14:schemeClr w14:val="tx1"/>
                  </w14:solidFill>
                </w14:textFill>
              </w:rPr>
            </w:pPr>
          </w:p>
        </w:tc>
        <w:tc>
          <w:tcPr>
            <w:tcW w:w="1597" w:type="dxa"/>
            <w:vAlign w:val="center"/>
          </w:tcPr>
          <w:p>
            <w:pPr>
              <w:spacing w:line="360" w:lineRule="exact"/>
              <w:jc w:val="center"/>
              <w:rPr>
                <w:snapToGrid w:val="0"/>
                <w:color w:val="000000" w:themeColor="text1"/>
                <w:kern w:val="21"/>
                <w:sz w:val="21"/>
                <w:szCs w:val="21"/>
                <w:highlight w:val="none"/>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0.1</w:t>
            </w:r>
          </w:p>
        </w:tc>
        <w:tc>
          <w:tcPr>
            <w:tcW w:w="1153" w:type="dxa"/>
            <w:vAlign w:val="center"/>
          </w:tcPr>
          <w:p>
            <w:pPr>
              <w:pStyle w:val="34"/>
              <w:spacing w:beforeLines="0" w:afterLines="0" w:line="240" w:lineRule="auto"/>
              <w:rPr>
                <w:rFonts w:hint="default" w:ascii="Times New Roman" w:eastAsia="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lang w:val="en-US" w:eastAsia="zh-CN"/>
                <w14:textFill>
                  <w14:solidFill>
                    <w14:schemeClr w14:val="tx1"/>
                  </w14:solidFill>
                </w14:textFill>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569" w:type="dxa"/>
            <w:vMerge w:val="continue"/>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p>
        </w:tc>
        <w:tc>
          <w:tcPr>
            <w:tcW w:w="1539" w:type="dxa"/>
            <w:vAlign w:val="center"/>
          </w:tcPr>
          <w:p>
            <w:pPr>
              <w:pStyle w:val="34"/>
              <w:spacing w:beforeLines="0" w:afterLines="0" w:line="240" w:lineRule="auto"/>
              <w:rPr>
                <w:rFonts w:hint="eastAsia" w:ascii="Times New Roman" w:eastAsia="宋体"/>
                <w:snapToGrid w:val="0"/>
                <w:color w:val="000000" w:themeColor="text1"/>
                <w:kern w:val="21"/>
                <w:sz w:val="21"/>
                <w:szCs w:val="21"/>
                <w:lang w:val="en-US" w:eastAsia="zh-CN"/>
                <w14:textFill>
                  <w14:solidFill>
                    <w14:schemeClr w14:val="tx1"/>
                  </w14:solidFill>
                </w14:textFill>
              </w:rPr>
            </w:pPr>
            <w:r>
              <w:rPr>
                <w:rFonts w:hint="eastAsia" w:ascii="Times New Roman"/>
                <w:snapToGrid w:val="0"/>
                <w:color w:val="000000" w:themeColor="text1"/>
                <w:kern w:val="21"/>
                <w:sz w:val="21"/>
                <w:szCs w:val="21"/>
                <w14:textFill>
                  <w14:solidFill>
                    <w14:schemeClr w14:val="tx1"/>
                  </w14:solidFill>
                </w14:textFill>
              </w:rPr>
              <w:t>废</w:t>
            </w:r>
            <w:r>
              <w:rPr>
                <w:rFonts w:hint="eastAsia" w:ascii="Times New Roman"/>
                <w:snapToGrid w:val="0"/>
                <w:color w:val="000000" w:themeColor="text1"/>
                <w:kern w:val="21"/>
                <w:sz w:val="21"/>
                <w:szCs w:val="21"/>
                <w:lang w:val="en-US" w:eastAsia="zh-CN"/>
                <w14:textFill>
                  <w14:solidFill>
                    <w14:schemeClr w14:val="tx1"/>
                  </w14:solidFill>
                </w14:textFill>
              </w:rPr>
              <w:t>液压油</w:t>
            </w:r>
          </w:p>
        </w:tc>
        <w:tc>
          <w:tcPr>
            <w:tcW w:w="1541" w:type="dxa"/>
            <w:vAlign w:val="center"/>
          </w:tcPr>
          <w:p>
            <w:pPr>
              <w:pStyle w:val="34"/>
              <w:spacing w:beforeLines="0" w:afterLines="0" w:line="240" w:lineRule="auto"/>
              <w:rPr>
                <w:rFonts w:ascii="Times New Roman"/>
                <w:snapToGrid w:val="0"/>
                <w:color w:val="FF0000"/>
                <w:kern w:val="21"/>
                <w:sz w:val="21"/>
                <w:szCs w:val="21"/>
              </w:rPr>
            </w:pPr>
          </w:p>
        </w:tc>
        <w:tc>
          <w:tcPr>
            <w:tcW w:w="1259" w:type="dxa"/>
            <w:vAlign w:val="center"/>
          </w:tcPr>
          <w:p>
            <w:pPr>
              <w:pStyle w:val="34"/>
              <w:spacing w:beforeLines="0" w:afterLines="0" w:line="240" w:lineRule="auto"/>
              <w:rPr>
                <w:rFonts w:ascii="Times New Roman"/>
                <w:snapToGrid w:val="0"/>
                <w:color w:val="FF0000"/>
                <w:kern w:val="21"/>
                <w:sz w:val="21"/>
                <w:szCs w:val="21"/>
              </w:rPr>
            </w:pPr>
          </w:p>
        </w:tc>
        <w:tc>
          <w:tcPr>
            <w:tcW w:w="1680" w:type="dxa"/>
            <w:vAlign w:val="center"/>
          </w:tcPr>
          <w:p>
            <w:pPr>
              <w:pStyle w:val="34"/>
              <w:spacing w:beforeLines="0" w:afterLines="0" w:line="240" w:lineRule="auto"/>
              <w:rPr>
                <w:rFonts w:ascii="Times New Roman"/>
                <w:snapToGrid w:val="0"/>
                <w:color w:val="FF0000"/>
                <w:kern w:val="21"/>
                <w:sz w:val="21"/>
                <w:szCs w:val="21"/>
              </w:rPr>
            </w:pPr>
          </w:p>
        </w:tc>
        <w:tc>
          <w:tcPr>
            <w:tcW w:w="1540" w:type="dxa"/>
            <w:vAlign w:val="center"/>
          </w:tcPr>
          <w:p>
            <w:pPr>
              <w:pStyle w:val="34"/>
              <w:spacing w:beforeLines="0" w:afterLines="0" w:line="240" w:lineRule="auto"/>
              <w:rPr>
                <w:rFonts w:hint="default" w:ascii="Times New Roman" w:eastAsia="宋体"/>
                <w:color w:val="000000" w:themeColor="text1"/>
                <w:kern w:val="2"/>
                <w:sz w:val="21"/>
                <w:szCs w:val="21"/>
                <w:highlight w:val="none"/>
                <w:lang w:val="en-US" w:eastAsia="zh-CN"/>
                <w14:textFill>
                  <w14:solidFill>
                    <w14:schemeClr w14:val="tx1"/>
                  </w14:solidFill>
                </w14:textFill>
              </w:rPr>
            </w:pPr>
            <w:r>
              <w:rPr>
                <w:rFonts w:hint="eastAsia" w:ascii="Times New Roman"/>
                <w:color w:val="000000" w:themeColor="text1"/>
                <w:kern w:val="2"/>
                <w:sz w:val="21"/>
                <w:szCs w:val="21"/>
                <w:highlight w:val="none"/>
                <w:lang w:val="en-US" w:eastAsia="zh-CN"/>
                <w14:textFill>
                  <w14:solidFill>
                    <w14:schemeClr w14:val="tx1"/>
                  </w14:solidFill>
                </w14:textFill>
              </w:rPr>
              <w:t>0.1</w:t>
            </w:r>
          </w:p>
        </w:tc>
        <w:tc>
          <w:tcPr>
            <w:tcW w:w="1739" w:type="dxa"/>
            <w:vAlign w:val="center"/>
          </w:tcPr>
          <w:p>
            <w:pPr>
              <w:pStyle w:val="34"/>
              <w:spacing w:beforeLines="0" w:afterLines="0" w:line="240" w:lineRule="auto"/>
              <w:rPr>
                <w:rFonts w:ascii="Times New Roman"/>
                <w:color w:val="000000" w:themeColor="text1"/>
                <w:kern w:val="2"/>
                <w:sz w:val="21"/>
                <w:szCs w:val="21"/>
                <w:highlight w:val="none"/>
                <w14:textFill>
                  <w14:solidFill>
                    <w14:schemeClr w14:val="tx1"/>
                  </w14:solidFill>
                </w14:textFill>
              </w:rPr>
            </w:pPr>
          </w:p>
        </w:tc>
        <w:tc>
          <w:tcPr>
            <w:tcW w:w="1597" w:type="dxa"/>
            <w:vAlign w:val="center"/>
          </w:tcPr>
          <w:p>
            <w:pPr>
              <w:pStyle w:val="34"/>
              <w:spacing w:beforeLines="0" w:afterLines="0" w:line="240" w:lineRule="auto"/>
              <w:rPr>
                <w:rFonts w:ascii="Times New Roman"/>
                <w:color w:val="000000" w:themeColor="text1"/>
                <w:kern w:val="2"/>
                <w:sz w:val="21"/>
                <w:szCs w:val="21"/>
                <w:highlight w:val="none"/>
                <w14:textFill>
                  <w14:solidFill>
                    <w14:schemeClr w14:val="tx1"/>
                  </w14:solidFill>
                </w14:textFill>
              </w:rPr>
            </w:pPr>
            <w:r>
              <w:rPr>
                <w:rFonts w:hint="eastAsia" w:ascii="Times New Roman"/>
                <w:color w:val="000000" w:themeColor="text1"/>
                <w:kern w:val="2"/>
                <w:sz w:val="21"/>
                <w:szCs w:val="21"/>
                <w:highlight w:val="none"/>
                <w:lang w:val="en-US" w:eastAsia="zh-CN"/>
                <w14:textFill>
                  <w14:solidFill>
                    <w14:schemeClr w14:val="tx1"/>
                  </w14:solidFill>
                </w14:textFill>
              </w:rPr>
              <w:t>0.1</w:t>
            </w:r>
          </w:p>
        </w:tc>
        <w:tc>
          <w:tcPr>
            <w:tcW w:w="1153" w:type="dxa"/>
            <w:vAlign w:val="center"/>
          </w:tcPr>
          <w:p>
            <w:pPr>
              <w:pStyle w:val="34"/>
              <w:spacing w:beforeLines="0" w:afterLines="0" w:line="240" w:lineRule="auto"/>
              <w:rPr>
                <w:rFonts w:hint="eastAsia" w:ascii="Times New Roman" w:eastAsia="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r>
              <w:rPr>
                <w:rFonts w:hint="eastAsia" w:ascii="Times New Roman"/>
                <w:snapToGrid w:val="0"/>
                <w:color w:val="000000" w:themeColor="text1"/>
                <w:kern w:val="21"/>
                <w:sz w:val="21"/>
                <w:szCs w:val="21"/>
                <w:highlight w:val="none"/>
                <w:lang w:val="en-US" w:eastAsia="zh-CN"/>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569" w:type="dxa"/>
            <w:vMerge w:val="continue"/>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p>
        </w:tc>
        <w:tc>
          <w:tcPr>
            <w:tcW w:w="1539" w:type="dxa"/>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r>
              <w:rPr>
                <w:rFonts w:hint="eastAsia" w:ascii="Times New Roman"/>
                <w:snapToGrid w:val="0"/>
                <w:color w:val="000000" w:themeColor="text1"/>
                <w:kern w:val="21"/>
                <w:sz w:val="21"/>
                <w:szCs w:val="21"/>
                <w14:textFill>
                  <w14:solidFill>
                    <w14:schemeClr w14:val="tx1"/>
                  </w14:solidFill>
                </w14:textFill>
              </w:rPr>
              <w:t>废UV灯管</w:t>
            </w:r>
          </w:p>
        </w:tc>
        <w:tc>
          <w:tcPr>
            <w:tcW w:w="1541" w:type="dxa"/>
            <w:vAlign w:val="center"/>
          </w:tcPr>
          <w:p>
            <w:pPr>
              <w:pStyle w:val="34"/>
              <w:spacing w:beforeLines="0" w:afterLines="0" w:line="240" w:lineRule="auto"/>
              <w:rPr>
                <w:rFonts w:ascii="Times New Roman"/>
                <w:snapToGrid w:val="0"/>
                <w:color w:val="FF0000"/>
                <w:kern w:val="21"/>
                <w:sz w:val="21"/>
                <w:szCs w:val="21"/>
              </w:rPr>
            </w:pPr>
          </w:p>
        </w:tc>
        <w:tc>
          <w:tcPr>
            <w:tcW w:w="1259" w:type="dxa"/>
            <w:vAlign w:val="center"/>
          </w:tcPr>
          <w:p>
            <w:pPr>
              <w:pStyle w:val="34"/>
              <w:spacing w:beforeLines="0" w:afterLines="0" w:line="240" w:lineRule="auto"/>
              <w:rPr>
                <w:rFonts w:ascii="Times New Roman"/>
                <w:snapToGrid w:val="0"/>
                <w:color w:val="FF0000"/>
                <w:kern w:val="21"/>
                <w:sz w:val="21"/>
                <w:szCs w:val="21"/>
              </w:rPr>
            </w:pPr>
          </w:p>
        </w:tc>
        <w:tc>
          <w:tcPr>
            <w:tcW w:w="1680" w:type="dxa"/>
            <w:vAlign w:val="center"/>
          </w:tcPr>
          <w:p>
            <w:pPr>
              <w:pStyle w:val="34"/>
              <w:spacing w:beforeLines="0" w:afterLines="0" w:line="240" w:lineRule="auto"/>
              <w:rPr>
                <w:rFonts w:ascii="Times New Roman"/>
                <w:snapToGrid w:val="0"/>
                <w:color w:val="FF0000"/>
                <w:kern w:val="21"/>
                <w:sz w:val="21"/>
                <w:szCs w:val="21"/>
              </w:rPr>
            </w:pPr>
          </w:p>
        </w:tc>
        <w:tc>
          <w:tcPr>
            <w:tcW w:w="1540" w:type="dxa"/>
            <w:vAlign w:val="center"/>
          </w:tcPr>
          <w:p>
            <w:pPr>
              <w:pStyle w:val="34"/>
              <w:spacing w:beforeLines="0" w:afterLines="0" w:line="240" w:lineRule="auto"/>
              <w:rPr>
                <w:rFonts w:hint="default" w:ascii="Times New Roman" w:eastAsia="宋体"/>
                <w:color w:val="000000" w:themeColor="text1"/>
                <w:kern w:val="2"/>
                <w:sz w:val="21"/>
                <w:szCs w:val="21"/>
                <w:highlight w:val="none"/>
                <w:lang w:val="en-US" w:eastAsia="zh-CN"/>
                <w14:textFill>
                  <w14:solidFill>
                    <w14:schemeClr w14:val="tx1"/>
                  </w14:solidFill>
                </w14:textFill>
              </w:rPr>
            </w:pPr>
            <w:r>
              <w:rPr>
                <w:rFonts w:hint="eastAsia" w:ascii="Times New Roman"/>
                <w:color w:val="000000" w:themeColor="text1"/>
                <w:kern w:val="2"/>
                <w:sz w:val="21"/>
                <w:szCs w:val="21"/>
                <w:highlight w:val="none"/>
                <w:lang w:val="en-US" w:eastAsia="zh-CN"/>
                <w14:textFill>
                  <w14:solidFill>
                    <w14:schemeClr w14:val="tx1"/>
                  </w14:solidFill>
                </w14:textFill>
              </w:rPr>
              <w:t>5根</w:t>
            </w:r>
          </w:p>
        </w:tc>
        <w:tc>
          <w:tcPr>
            <w:tcW w:w="1739" w:type="dxa"/>
            <w:vAlign w:val="center"/>
          </w:tcPr>
          <w:p>
            <w:pPr>
              <w:pStyle w:val="34"/>
              <w:spacing w:beforeLines="0" w:afterLines="0" w:line="240" w:lineRule="auto"/>
              <w:rPr>
                <w:rFonts w:ascii="Times New Roman"/>
                <w:color w:val="000000" w:themeColor="text1"/>
                <w:kern w:val="2"/>
                <w:sz w:val="21"/>
                <w:szCs w:val="21"/>
                <w:highlight w:val="none"/>
                <w14:textFill>
                  <w14:solidFill>
                    <w14:schemeClr w14:val="tx1"/>
                  </w14:solidFill>
                </w14:textFill>
              </w:rPr>
            </w:pPr>
          </w:p>
        </w:tc>
        <w:tc>
          <w:tcPr>
            <w:tcW w:w="1597" w:type="dxa"/>
            <w:vAlign w:val="center"/>
          </w:tcPr>
          <w:p>
            <w:pPr>
              <w:pStyle w:val="34"/>
              <w:spacing w:beforeLines="0" w:afterLines="0" w:line="240" w:lineRule="auto"/>
              <w:rPr>
                <w:rFonts w:ascii="Times New Roman"/>
                <w:color w:val="000000" w:themeColor="text1"/>
                <w:kern w:val="2"/>
                <w:sz w:val="21"/>
                <w:szCs w:val="21"/>
                <w:highlight w:val="none"/>
                <w14:textFill>
                  <w14:solidFill>
                    <w14:schemeClr w14:val="tx1"/>
                  </w14:solidFill>
                </w14:textFill>
              </w:rPr>
            </w:pPr>
            <w:r>
              <w:rPr>
                <w:rFonts w:hint="eastAsia" w:ascii="Times New Roman"/>
                <w:color w:val="000000" w:themeColor="text1"/>
                <w:kern w:val="2"/>
                <w:sz w:val="21"/>
                <w:szCs w:val="21"/>
                <w:highlight w:val="none"/>
                <w:lang w:val="en-US" w:eastAsia="zh-CN"/>
                <w14:textFill>
                  <w14:solidFill>
                    <w14:schemeClr w14:val="tx1"/>
                  </w14:solidFill>
                </w14:textFill>
              </w:rPr>
              <w:t>5根</w:t>
            </w:r>
          </w:p>
        </w:tc>
        <w:tc>
          <w:tcPr>
            <w:tcW w:w="1153" w:type="dxa"/>
            <w:vAlign w:val="center"/>
          </w:tcPr>
          <w:p>
            <w:pPr>
              <w:pStyle w:val="34"/>
              <w:spacing w:beforeLines="0" w:afterLines="0" w:line="240" w:lineRule="auto"/>
              <w:rPr>
                <w:rFonts w:hint="default" w:ascii="Times New Roman" w:eastAsia="宋体"/>
                <w:snapToGrid w:val="0"/>
                <w:color w:val="000000" w:themeColor="text1"/>
                <w:kern w:val="21"/>
                <w:sz w:val="21"/>
                <w:szCs w:val="21"/>
                <w:highlight w:val="none"/>
                <w:lang w:val="en-US" w:eastAsia="zh-CN"/>
                <w14:textFill>
                  <w14:solidFill>
                    <w14:schemeClr w14:val="tx1"/>
                  </w14:solidFill>
                </w14:textFill>
              </w:rPr>
            </w:pPr>
            <w:r>
              <w:rPr>
                <w:rFonts w:ascii="Times New Roman"/>
                <w:color w:val="000000" w:themeColor="text1"/>
                <w:kern w:val="2"/>
                <w:sz w:val="21"/>
                <w:szCs w:val="21"/>
                <w:highlight w:val="none"/>
                <w14:textFill>
                  <w14:solidFill>
                    <w14:schemeClr w14:val="tx1"/>
                  </w14:solidFill>
                </w14:textFill>
              </w:rPr>
              <w:t>+</w:t>
            </w:r>
            <w:r>
              <w:rPr>
                <w:rFonts w:hint="eastAsia" w:ascii="Times New Roman"/>
                <w:color w:val="000000" w:themeColor="text1"/>
                <w:kern w:val="2"/>
                <w:sz w:val="21"/>
                <w:szCs w:val="21"/>
                <w:highlight w:val="none"/>
                <w:lang w:val="en-US" w:eastAsia="zh-CN"/>
                <w14:textFill>
                  <w14:solidFill>
                    <w14:schemeClr w14:val="tx1"/>
                  </w14:solidFill>
                </w14:textFill>
              </w:rPr>
              <w:t>5根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569" w:type="dxa"/>
            <w:vMerge w:val="continue"/>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p>
        </w:tc>
        <w:tc>
          <w:tcPr>
            <w:tcW w:w="1539" w:type="dxa"/>
            <w:vAlign w:val="center"/>
          </w:tcPr>
          <w:p>
            <w:pPr>
              <w:pStyle w:val="34"/>
              <w:spacing w:beforeLines="0" w:afterLines="0" w:line="240" w:lineRule="auto"/>
              <w:rPr>
                <w:rFonts w:ascii="Times New Roman"/>
                <w:snapToGrid w:val="0"/>
                <w:color w:val="000000" w:themeColor="text1"/>
                <w:kern w:val="21"/>
                <w:sz w:val="21"/>
                <w:szCs w:val="21"/>
                <w14:textFill>
                  <w14:solidFill>
                    <w14:schemeClr w14:val="tx1"/>
                  </w14:solidFill>
                </w14:textFill>
              </w:rPr>
            </w:pPr>
            <w:r>
              <w:rPr>
                <w:rFonts w:hint="eastAsia" w:ascii="Times New Roman"/>
                <w:snapToGrid w:val="0"/>
                <w:color w:val="000000" w:themeColor="text1"/>
                <w:kern w:val="21"/>
                <w:sz w:val="21"/>
                <w:szCs w:val="21"/>
                <w14:textFill>
                  <w14:solidFill>
                    <w14:schemeClr w14:val="tx1"/>
                  </w14:solidFill>
                </w14:textFill>
              </w:rPr>
              <w:t>废活性炭</w:t>
            </w:r>
          </w:p>
        </w:tc>
        <w:tc>
          <w:tcPr>
            <w:tcW w:w="1541" w:type="dxa"/>
            <w:vAlign w:val="center"/>
          </w:tcPr>
          <w:p>
            <w:pPr>
              <w:pStyle w:val="34"/>
              <w:spacing w:beforeLines="0" w:afterLines="0" w:line="240" w:lineRule="auto"/>
              <w:rPr>
                <w:rFonts w:ascii="Times New Roman"/>
                <w:snapToGrid w:val="0"/>
                <w:color w:val="FF0000"/>
                <w:kern w:val="21"/>
                <w:sz w:val="21"/>
                <w:szCs w:val="21"/>
              </w:rPr>
            </w:pPr>
          </w:p>
        </w:tc>
        <w:tc>
          <w:tcPr>
            <w:tcW w:w="1259" w:type="dxa"/>
            <w:vAlign w:val="center"/>
          </w:tcPr>
          <w:p>
            <w:pPr>
              <w:pStyle w:val="34"/>
              <w:spacing w:beforeLines="0" w:afterLines="0" w:line="240" w:lineRule="auto"/>
              <w:rPr>
                <w:rFonts w:ascii="Times New Roman"/>
                <w:snapToGrid w:val="0"/>
                <w:color w:val="FF0000"/>
                <w:kern w:val="21"/>
                <w:sz w:val="21"/>
                <w:szCs w:val="21"/>
              </w:rPr>
            </w:pPr>
          </w:p>
        </w:tc>
        <w:tc>
          <w:tcPr>
            <w:tcW w:w="1680" w:type="dxa"/>
            <w:vAlign w:val="center"/>
          </w:tcPr>
          <w:p>
            <w:pPr>
              <w:pStyle w:val="34"/>
              <w:spacing w:beforeLines="0" w:afterLines="0" w:line="240" w:lineRule="auto"/>
              <w:rPr>
                <w:rFonts w:ascii="Times New Roman"/>
                <w:snapToGrid w:val="0"/>
                <w:color w:val="FF0000"/>
                <w:kern w:val="21"/>
                <w:sz w:val="21"/>
                <w:szCs w:val="21"/>
              </w:rPr>
            </w:pPr>
          </w:p>
        </w:tc>
        <w:tc>
          <w:tcPr>
            <w:tcW w:w="1540" w:type="dxa"/>
            <w:vAlign w:val="center"/>
          </w:tcPr>
          <w:p>
            <w:pPr>
              <w:pStyle w:val="34"/>
              <w:spacing w:beforeLines="0" w:afterLines="0" w:line="240" w:lineRule="auto"/>
              <w:rPr>
                <w:rFonts w:hint="default" w:ascii="Times New Roman" w:eastAsia="宋体"/>
                <w:color w:val="000000" w:themeColor="text1"/>
                <w:kern w:val="2"/>
                <w:sz w:val="21"/>
                <w:szCs w:val="21"/>
                <w:highlight w:val="none"/>
                <w:lang w:val="en-US" w:eastAsia="zh-CN"/>
                <w14:textFill>
                  <w14:solidFill>
                    <w14:schemeClr w14:val="tx1"/>
                  </w14:solidFill>
                </w14:textFill>
              </w:rPr>
            </w:pPr>
            <w:r>
              <w:rPr>
                <w:rFonts w:hint="eastAsia" w:ascii="Times New Roman"/>
                <w:color w:val="000000" w:themeColor="text1"/>
                <w:kern w:val="2"/>
                <w:sz w:val="21"/>
                <w:szCs w:val="21"/>
                <w:highlight w:val="none"/>
                <w:lang w:val="en-US" w:eastAsia="zh-CN"/>
                <w14:textFill>
                  <w14:solidFill>
                    <w14:schemeClr w14:val="tx1"/>
                  </w14:solidFill>
                </w14:textFill>
              </w:rPr>
              <w:t>0.11</w:t>
            </w:r>
          </w:p>
        </w:tc>
        <w:tc>
          <w:tcPr>
            <w:tcW w:w="1739" w:type="dxa"/>
            <w:vAlign w:val="center"/>
          </w:tcPr>
          <w:p>
            <w:pPr>
              <w:pStyle w:val="34"/>
              <w:spacing w:beforeLines="0" w:afterLines="0" w:line="240" w:lineRule="auto"/>
              <w:rPr>
                <w:rFonts w:ascii="Times New Roman"/>
                <w:color w:val="000000" w:themeColor="text1"/>
                <w:kern w:val="2"/>
                <w:sz w:val="21"/>
                <w:szCs w:val="21"/>
                <w:highlight w:val="none"/>
                <w14:textFill>
                  <w14:solidFill>
                    <w14:schemeClr w14:val="tx1"/>
                  </w14:solidFill>
                </w14:textFill>
              </w:rPr>
            </w:pPr>
          </w:p>
        </w:tc>
        <w:tc>
          <w:tcPr>
            <w:tcW w:w="1597" w:type="dxa"/>
            <w:vAlign w:val="center"/>
          </w:tcPr>
          <w:p>
            <w:pPr>
              <w:pStyle w:val="34"/>
              <w:spacing w:beforeLines="0" w:afterLines="0" w:line="240" w:lineRule="auto"/>
              <w:rPr>
                <w:rFonts w:ascii="Times New Roman"/>
                <w:color w:val="000000" w:themeColor="text1"/>
                <w:kern w:val="2"/>
                <w:sz w:val="21"/>
                <w:szCs w:val="21"/>
                <w:highlight w:val="none"/>
                <w14:textFill>
                  <w14:solidFill>
                    <w14:schemeClr w14:val="tx1"/>
                  </w14:solidFill>
                </w14:textFill>
              </w:rPr>
            </w:pPr>
            <w:r>
              <w:rPr>
                <w:rFonts w:hint="eastAsia" w:ascii="Times New Roman"/>
                <w:color w:val="000000" w:themeColor="text1"/>
                <w:kern w:val="2"/>
                <w:sz w:val="21"/>
                <w:szCs w:val="21"/>
                <w:highlight w:val="none"/>
                <w:lang w:val="en-US" w:eastAsia="zh-CN"/>
                <w14:textFill>
                  <w14:solidFill>
                    <w14:schemeClr w14:val="tx1"/>
                  </w14:solidFill>
                </w14:textFill>
              </w:rPr>
              <w:t>0.11</w:t>
            </w:r>
          </w:p>
        </w:tc>
        <w:tc>
          <w:tcPr>
            <w:tcW w:w="1153" w:type="dxa"/>
            <w:vAlign w:val="center"/>
          </w:tcPr>
          <w:p>
            <w:pPr>
              <w:pStyle w:val="34"/>
              <w:spacing w:beforeLines="0" w:afterLines="0" w:line="240" w:lineRule="auto"/>
              <w:rPr>
                <w:rFonts w:hint="default" w:ascii="Times New Roman" w:eastAsia="宋体"/>
                <w:color w:val="000000" w:themeColor="text1"/>
                <w:kern w:val="2"/>
                <w:sz w:val="21"/>
                <w:szCs w:val="21"/>
                <w:highlight w:val="none"/>
                <w:lang w:val="en-US" w:eastAsia="zh-CN"/>
                <w14:textFill>
                  <w14:solidFill>
                    <w14:schemeClr w14:val="tx1"/>
                  </w14:solidFill>
                </w14:textFill>
              </w:rPr>
            </w:pPr>
            <w:r>
              <w:rPr>
                <w:rFonts w:hint="eastAsia" w:ascii="Times New Roman"/>
                <w:color w:val="000000" w:themeColor="text1"/>
                <w:kern w:val="2"/>
                <w:sz w:val="21"/>
                <w:szCs w:val="21"/>
                <w:highlight w:val="none"/>
                <w14:textFill>
                  <w14:solidFill>
                    <w14:schemeClr w14:val="tx1"/>
                  </w14:solidFill>
                </w14:textFill>
              </w:rPr>
              <w:t>+</w:t>
            </w:r>
            <w:r>
              <w:rPr>
                <w:rFonts w:hint="eastAsia" w:ascii="Times New Roman"/>
                <w:color w:val="000000" w:themeColor="text1"/>
                <w:kern w:val="2"/>
                <w:sz w:val="21"/>
                <w:szCs w:val="21"/>
                <w:highlight w:val="none"/>
                <w:lang w:val="en-US" w:eastAsia="zh-CN"/>
                <w14:textFill>
                  <w14:solidFill>
                    <w14:schemeClr w14:val="tx1"/>
                  </w14:solidFill>
                </w14:textFill>
              </w:rPr>
              <w:t>0.11</w:t>
            </w:r>
          </w:p>
        </w:tc>
      </w:tr>
    </w:tbl>
    <w:p>
      <w:pPr>
        <w:pStyle w:val="34"/>
        <w:spacing w:before="192" w:beforeLines="80" w:after="24"/>
        <w:jc w:val="left"/>
        <w:rPr>
          <w:color w:val="FF0000"/>
        </w:rPr>
      </w:pPr>
      <w:r>
        <w:rPr>
          <w:rFonts w:ascii="Times New Roman"/>
          <w:snapToGrid w:val="0"/>
          <w:color w:val="000000" w:themeColor="text1"/>
          <w:kern w:val="21"/>
          <w:szCs w:val="21"/>
          <w14:textFill>
            <w14:solidFill>
              <w14:schemeClr w14:val="tx1"/>
            </w14:solidFill>
          </w14:textFill>
        </w:rPr>
        <w:t>注：</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ascii="Times New Roman"/>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ascii="Times New Roman"/>
          <w:color w:val="000000" w:themeColor="text1"/>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3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ascii="Times New Roman"/>
          <w:color w:val="000000" w:themeColor="text1"/>
          <w:szCs w:val="21"/>
          <w14:textFill>
            <w14:solidFill>
              <w14:schemeClr w14:val="tx1"/>
            </w14:solidFill>
          </w14:textFill>
        </w:rPr>
        <w:t>③</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4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ascii="Times New Roman"/>
          <w:color w:val="000000" w:themeColor="text1"/>
          <w:szCs w:val="21"/>
          <w14:textFill>
            <w14:solidFill>
              <w14:schemeClr w14:val="tx1"/>
            </w14:solidFill>
          </w14:textFill>
        </w:rPr>
        <w:t>④</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5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ascii="Times New Roman"/>
          <w:color w:val="000000" w:themeColor="text1"/>
          <w:szCs w:val="21"/>
          <w14:textFill>
            <w14:solidFill>
              <w14:schemeClr w14:val="tx1"/>
            </w14:solidFill>
          </w14:textFill>
        </w:rPr>
        <w:t>⑤</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7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ascii="Times New Roman"/>
          <w:color w:val="000000" w:themeColor="text1"/>
          <w:szCs w:val="21"/>
          <w14:textFill>
            <w14:solidFill>
              <w14:schemeClr w14:val="tx1"/>
            </w14:solidFill>
          </w14:textFill>
        </w:rPr>
        <w:t>⑦</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ascii="Times New Roman"/>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ascii="Times New Roman"/>
          <w:color w:val="000000" w:themeColor="text1"/>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p>
    <w:sectPr>
      <w:footerReference r:id="rId5" w:type="default"/>
      <w:pgSz w:w="16838" w:h="11906" w:orient="landscape"/>
      <w:pgMar w:top="1304" w:right="1701" w:bottom="1247"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6718"/>
        <w:tab w:val="clear" w:pos="4153"/>
      </w:tabs>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C7E0"/>
    <w:multiLevelType w:val="singleLevel"/>
    <w:tmpl w:val="8186C7E0"/>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1">
    <w:nsid w:val="BAE078A9"/>
    <w:multiLevelType w:val="singleLevel"/>
    <w:tmpl w:val="BAE078A9"/>
    <w:lvl w:ilvl="0" w:tentative="0">
      <w:start w:val="6"/>
      <w:numFmt w:val="decimal"/>
      <w:suff w:val="nothing"/>
      <w:lvlText w:val="%1、"/>
      <w:lvlJc w:val="left"/>
    </w:lvl>
  </w:abstractNum>
  <w:abstractNum w:abstractNumId="2">
    <w:nsid w:val="CC2AAF74"/>
    <w:multiLevelType w:val="singleLevel"/>
    <w:tmpl w:val="CC2AAF74"/>
    <w:lvl w:ilvl="0" w:tentative="0">
      <w:start w:val="1"/>
      <w:numFmt w:val="decimal"/>
      <w:suff w:val="nothing"/>
      <w:lvlText w:val="%1、"/>
      <w:lvlJc w:val="left"/>
    </w:lvl>
  </w:abstractNum>
  <w:abstractNum w:abstractNumId="3">
    <w:nsid w:val="16A6187F"/>
    <w:multiLevelType w:val="singleLevel"/>
    <w:tmpl w:val="16A6187F"/>
    <w:lvl w:ilvl="0" w:tentative="0">
      <w:start w:val="3"/>
      <w:numFmt w:val="decimal"/>
      <w:suff w:val="nothing"/>
      <w:lvlText w:val="%1、"/>
      <w:lvlJc w:val="left"/>
    </w:lvl>
  </w:abstractNum>
  <w:abstractNum w:abstractNumId="4">
    <w:nsid w:val="42041405"/>
    <w:multiLevelType w:val="singleLevel"/>
    <w:tmpl w:val="42041405"/>
    <w:lvl w:ilvl="0" w:tentative="0">
      <w:start w:val="3"/>
      <w:numFmt w:val="decimal"/>
      <w:suff w:val="nothing"/>
      <w:lvlText w:val="（%1）"/>
      <w:lvlJc w:val="left"/>
    </w:lvl>
  </w:abstractNum>
  <w:abstractNum w:abstractNumId="5">
    <w:nsid w:val="7038B96B"/>
    <w:multiLevelType w:val="singleLevel"/>
    <w:tmpl w:val="7038B96B"/>
    <w:lvl w:ilvl="0" w:tentative="0">
      <w:start w:val="1"/>
      <w:numFmt w:val="decimal"/>
      <w:suff w:val="nothing"/>
      <w:lvlText w:val="%1、"/>
      <w:lvlJc w:val="left"/>
    </w:lvl>
  </w:abstractNum>
  <w:abstractNum w:abstractNumId="6">
    <w:nsid w:val="7CA6A7EE"/>
    <w:multiLevelType w:val="singleLevel"/>
    <w:tmpl w:val="7CA6A7EE"/>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MDY2YjVmZWE0YzY5NjJlOTU5MGZkMWFiNDc1MzEifQ=="/>
  </w:docVars>
  <w:rsids>
    <w:rsidRoot w:val="23C065F1"/>
    <w:rsid w:val="00014117"/>
    <w:rsid w:val="00086115"/>
    <w:rsid w:val="00105A25"/>
    <w:rsid w:val="00113E74"/>
    <w:rsid w:val="00183AC5"/>
    <w:rsid w:val="00184321"/>
    <w:rsid w:val="001C21E2"/>
    <w:rsid w:val="001E04A0"/>
    <w:rsid w:val="002079B0"/>
    <w:rsid w:val="002536EB"/>
    <w:rsid w:val="002545E1"/>
    <w:rsid w:val="002C18EF"/>
    <w:rsid w:val="00311A5F"/>
    <w:rsid w:val="00384854"/>
    <w:rsid w:val="003D28C8"/>
    <w:rsid w:val="00405308"/>
    <w:rsid w:val="00407EE1"/>
    <w:rsid w:val="004139EE"/>
    <w:rsid w:val="00416F0A"/>
    <w:rsid w:val="004205A3"/>
    <w:rsid w:val="00445969"/>
    <w:rsid w:val="00492352"/>
    <w:rsid w:val="004D338B"/>
    <w:rsid w:val="004E32D5"/>
    <w:rsid w:val="00505388"/>
    <w:rsid w:val="00521E21"/>
    <w:rsid w:val="0055075C"/>
    <w:rsid w:val="00554BF3"/>
    <w:rsid w:val="00556D35"/>
    <w:rsid w:val="00570D1F"/>
    <w:rsid w:val="00574F92"/>
    <w:rsid w:val="005843A2"/>
    <w:rsid w:val="005C7D5C"/>
    <w:rsid w:val="0062492C"/>
    <w:rsid w:val="00672C45"/>
    <w:rsid w:val="00691CD6"/>
    <w:rsid w:val="006D01C1"/>
    <w:rsid w:val="006D3028"/>
    <w:rsid w:val="006D5116"/>
    <w:rsid w:val="006F2357"/>
    <w:rsid w:val="006F32CA"/>
    <w:rsid w:val="00707C31"/>
    <w:rsid w:val="0072593E"/>
    <w:rsid w:val="00745635"/>
    <w:rsid w:val="00757BFA"/>
    <w:rsid w:val="00787228"/>
    <w:rsid w:val="007B0DC4"/>
    <w:rsid w:val="007E5AE8"/>
    <w:rsid w:val="007F7B31"/>
    <w:rsid w:val="00834383"/>
    <w:rsid w:val="00877E9A"/>
    <w:rsid w:val="008A483F"/>
    <w:rsid w:val="008B1D23"/>
    <w:rsid w:val="008B5E62"/>
    <w:rsid w:val="008C0C60"/>
    <w:rsid w:val="008F1611"/>
    <w:rsid w:val="00951A38"/>
    <w:rsid w:val="00951A76"/>
    <w:rsid w:val="009618AA"/>
    <w:rsid w:val="00995CEA"/>
    <w:rsid w:val="009B3EFE"/>
    <w:rsid w:val="009B4466"/>
    <w:rsid w:val="009D0268"/>
    <w:rsid w:val="009E0491"/>
    <w:rsid w:val="00A17176"/>
    <w:rsid w:val="00A329A4"/>
    <w:rsid w:val="00AC23F5"/>
    <w:rsid w:val="00AD002F"/>
    <w:rsid w:val="00AD6F28"/>
    <w:rsid w:val="00AE66A5"/>
    <w:rsid w:val="00AF38F9"/>
    <w:rsid w:val="00B57DC2"/>
    <w:rsid w:val="00B67A34"/>
    <w:rsid w:val="00BE39A3"/>
    <w:rsid w:val="00C135E6"/>
    <w:rsid w:val="00C9713D"/>
    <w:rsid w:val="00CA51BD"/>
    <w:rsid w:val="00CF29AD"/>
    <w:rsid w:val="00D35E11"/>
    <w:rsid w:val="00DA692C"/>
    <w:rsid w:val="00E342D8"/>
    <w:rsid w:val="00E51789"/>
    <w:rsid w:val="00E61467"/>
    <w:rsid w:val="00E75E28"/>
    <w:rsid w:val="00E814EF"/>
    <w:rsid w:val="00E96E35"/>
    <w:rsid w:val="00ED4293"/>
    <w:rsid w:val="00F35F1D"/>
    <w:rsid w:val="00F66150"/>
    <w:rsid w:val="00F90A33"/>
    <w:rsid w:val="00FC60EE"/>
    <w:rsid w:val="00FD00CB"/>
    <w:rsid w:val="00FE0548"/>
    <w:rsid w:val="00FE4F74"/>
    <w:rsid w:val="0100136A"/>
    <w:rsid w:val="01017C57"/>
    <w:rsid w:val="01042CD0"/>
    <w:rsid w:val="01051F85"/>
    <w:rsid w:val="0106049E"/>
    <w:rsid w:val="0106181E"/>
    <w:rsid w:val="01067704"/>
    <w:rsid w:val="0107202F"/>
    <w:rsid w:val="010A19A8"/>
    <w:rsid w:val="010F2046"/>
    <w:rsid w:val="011002EF"/>
    <w:rsid w:val="01102F0B"/>
    <w:rsid w:val="01130082"/>
    <w:rsid w:val="011A03DA"/>
    <w:rsid w:val="011B3E33"/>
    <w:rsid w:val="0123134C"/>
    <w:rsid w:val="01250E9E"/>
    <w:rsid w:val="01260E98"/>
    <w:rsid w:val="01272B91"/>
    <w:rsid w:val="012C7F3E"/>
    <w:rsid w:val="012F56BC"/>
    <w:rsid w:val="01393E5D"/>
    <w:rsid w:val="01397116"/>
    <w:rsid w:val="01397798"/>
    <w:rsid w:val="013C5CE0"/>
    <w:rsid w:val="01445069"/>
    <w:rsid w:val="0144629A"/>
    <w:rsid w:val="014771F1"/>
    <w:rsid w:val="014E412F"/>
    <w:rsid w:val="01560270"/>
    <w:rsid w:val="015B26CA"/>
    <w:rsid w:val="015D2604"/>
    <w:rsid w:val="015E1784"/>
    <w:rsid w:val="015F21D1"/>
    <w:rsid w:val="01606723"/>
    <w:rsid w:val="01631F5B"/>
    <w:rsid w:val="01634C39"/>
    <w:rsid w:val="016F2CF2"/>
    <w:rsid w:val="017122D1"/>
    <w:rsid w:val="01724F2D"/>
    <w:rsid w:val="017527CA"/>
    <w:rsid w:val="017B2FD4"/>
    <w:rsid w:val="017B3DF0"/>
    <w:rsid w:val="0187443D"/>
    <w:rsid w:val="018F5FB4"/>
    <w:rsid w:val="01914568"/>
    <w:rsid w:val="01915065"/>
    <w:rsid w:val="0197403F"/>
    <w:rsid w:val="019C21AE"/>
    <w:rsid w:val="01A2438F"/>
    <w:rsid w:val="01A4589E"/>
    <w:rsid w:val="01A70666"/>
    <w:rsid w:val="01AB5119"/>
    <w:rsid w:val="01AD00E2"/>
    <w:rsid w:val="01AE2BF7"/>
    <w:rsid w:val="01AF190C"/>
    <w:rsid w:val="01B45BC8"/>
    <w:rsid w:val="01BC366C"/>
    <w:rsid w:val="01C00040"/>
    <w:rsid w:val="01C3615F"/>
    <w:rsid w:val="01C63BF2"/>
    <w:rsid w:val="01CD0ABB"/>
    <w:rsid w:val="01CF7E76"/>
    <w:rsid w:val="01D04B7C"/>
    <w:rsid w:val="01D44BBB"/>
    <w:rsid w:val="01D52601"/>
    <w:rsid w:val="01D57FBE"/>
    <w:rsid w:val="01D678B3"/>
    <w:rsid w:val="01DA43A0"/>
    <w:rsid w:val="01DD2936"/>
    <w:rsid w:val="01DD3C4D"/>
    <w:rsid w:val="01DD3F3B"/>
    <w:rsid w:val="01E04B9F"/>
    <w:rsid w:val="01E274B5"/>
    <w:rsid w:val="01EC25BD"/>
    <w:rsid w:val="01EE3879"/>
    <w:rsid w:val="01EF099F"/>
    <w:rsid w:val="01F71500"/>
    <w:rsid w:val="01FC79CB"/>
    <w:rsid w:val="01FD4EBE"/>
    <w:rsid w:val="01FF503A"/>
    <w:rsid w:val="02060155"/>
    <w:rsid w:val="02083F16"/>
    <w:rsid w:val="020E2BFC"/>
    <w:rsid w:val="02147EA2"/>
    <w:rsid w:val="02161685"/>
    <w:rsid w:val="0216467E"/>
    <w:rsid w:val="021A706B"/>
    <w:rsid w:val="021D359B"/>
    <w:rsid w:val="022036FD"/>
    <w:rsid w:val="02205297"/>
    <w:rsid w:val="022809FA"/>
    <w:rsid w:val="022C7140"/>
    <w:rsid w:val="022E4C9F"/>
    <w:rsid w:val="02310EF4"/>
    <w:rsid w:val="02391020"/>
    <w:rsid w:val="023B44BD"/>
    <w:rsid w:val="023C2195"/>
    <w:rsid w:val="02474A49"/>
    <w:rsid w:val="024A0BB7"/>
    <w:rsid w:val="024C0B42"/>
    <w:rsid w:val="025233CA"/>
    <w:rsid w:val="02537356"/>
    <w:rsid w:val="02544A20"/>
    <w:rsid w:val="02546582"/>
    <w:rsid w:val="025769D0"/>
    <w:rsid w:val="025F2F74"/>
    <w:rsid w:val="02625B7B"/>
    <w:rsid w:val="026838A4"/>
    <w:rsid w:val="026868A0"/>
    <w:rsid w:val="026A79B7"/>
    <w:rsid w:val="027341AE"/>
    <w:rsid w:val="0276762E"/>
    <w:rsid w:val="027871A1"/>
    <w:rsid w:val="027B05F1"/>
    <w:rsid w:val="027B34CB"/>
    <w:rsid w:val="027C613E"/>
    <w:rsid w:val="027E1596"/>
    <w:rsid w:val="027E5CC8"/>
    <w:rsid w:val="02801282"/>
    <w:rsid w:val="02801CD2"/>
    <w:rsid w:val="02804322"/>
    <w:rsid w:val="028905CC"/>
    <w:rsid w:val="028D375A"/>
    <w:rsid w:val="028D3E33"/>
    <w:rsid w:val="028F1E23"/>
    <w:rsid w:val="029054A8"/>
    <w:rsid w:val="029072B9"/>
    <w:rsid w:val="02907D4D"/>
    <w:rsid w:val="0292753A"/>
    <w:rsid w:val="029341CA"/>
    <w:rsid w:val="029720E7"/>
    <w:rsid w:val="029C26FF"/>
    <w:rsid w:val="02A112FD"/>
    <w:rsid w:val="02A32730"/>
    <w:rsid w:val="02A46B9E"/>
    <w:rsid w:val="02A74A59"/>
    <w:rsid w:val="02AA64F7"/>
    <w:rsid w:val="02B87BC3"/>
    <w:rsid w:val="02B95F46"/>
    <w:rsid w:val="02BC2F9E"/>
    <w:rsid w:val="02BD1615"/>
    <w:rsid w:val="02C4064D"/>
    <w:rsid w:val="02CC0AC0"/>
    <w:rsid w:val="02D06640"/>
    <w:rsid w:val="02D624A3"/>
    <w:rsid w:val="02DA33F7"/>
    <w:rsid w:val="02E0368B"/>
    <w:rsid w:val="02E0416C"/>
    <w:rsid w:val="02E324C5"/>
    <w:rsid w:val="02E44052"/>
    <w:rsid w:val="02E46824"/>
    <w:rsid w:val="02E73D70"/>
    <w:rsid w:val="02E802FC"/>
    <w:rsid w:val="02E81380"/>
    <w:rsid w:val="02E872F7"/>
    <w:rsid w:val="02EB3EA0"/>
    <w:rsid w:val="02EF05C3"/>
    <w:rsid w:val="02EF14D2"/>
    <w:rsid w:val="02F26DBA"/>
    <w:rsid w:val="02F31BBC"/>
    <w:rsid w:val="02F32DB0"/>
    <w:rsid w:val="02F45144"/>
    <w:rsid w:val="02FB5AD6"/>
    <w:rsid w:val="02FC3AE7"/>
    <w:rsid w:val="030248EC"/>
    <w:rsid w:val="03047C09"/>
    <w:rsid w:val="03073584"/>
    <w:rsid w:val="03084E11"/>
    <w:rsid w:val="030A0C62"/>
    <w:rsid w:val="031349A6"/>
    <w:rsid w:val="0317140A"/>
    <w:rsid w:val="031913D8"/>
    <w:rsid w:val="0324373A"/>
    <w:rsid w:val="03293589"/>
    <w:rsid w:val="03296C7A"/>
    <w:rsid w:val="032D0AC4"/>
    <w:rsid w:val="032E3F96"/>
    <w:rsid w:val="033412E3"/>
    <w:rsid w:val="033663BB"/>
    <w:rsid w:val="033F0B63"/>
    <w:rsid w:val="033F4FAB"/>
    <w:rsid w:val="033F582F"/>
    <w:rsid w:val="03407271"/>
    <w:rsid w:val="034541D4"/>
    <w:rsid w:val="03492241"/>
    <w:rsid w:val="034D66AF"/>
    <w:rsid w:val="034F5ED7"/>
    <w:rsid w:val="0350290B"/>
    <w:rsid w:val="03526D5D"/>
    <w:rsid w:val="03526DC6"/>
    <w:rsid w:val="0352779B"/>
    <w:rsid w:val="03580866"/>
    <w:rsid w:val="0358297C"/>
    <w:rsid w:val="0361440A"/>
    <w:rsid w:val="036752B8"/>
    <w:rsid w:val="036E6B33"/>
    <w:rsid w:val="03731D9B"/>
    <w:rsid w:val="037329B1"/>
    <w:rsid w:val="037329FD"/>
    <w:rsid w:val="03735DD3"/>
    <w:rsid w:val="037557C9"/>
    <w:rsid w:val="03755E31"/>
    <w:rsid w:val="037B3C4E"/>
    <w:rsid w:val="037C3F55"/>
    <w:rsid w:val="03866ACA"/>
    <w:rsid w:val="038D2019"/>
    <w:rsid w:val="038E0CE8"/>
    <w:rsid w:val="038F0FC9"/>
    <w:rsid w:val="038F1881"/>
    <w:rsid w:val="03932B0A"/>
    <w:rsid w:val="03962305"/>
    <w:rsid w:val="039A62DF"/>
    <w:rsid w:val="039C19A9"/>
    <w:rsid w:val="03A575AD"/>
    <w:rsid w:val="03AB364C"/>
    <w:rsid w:val="03AD23C9"/>
    <w:rsid w:val="03AF786B"/>
    <w:rsid w:val="03B31CA2"/>
    <w:rsid w:val="03B57384"/>
    <w:rsid w:val="03B809CD"/>
    <w:rsid w:val="03BA2CF9"/>
    <w:rsid w:val="03BC6430"/>
    <w:rsid w:val="03BE71A0"/>
    <w:rsid w:val="03C2167A"/>
    <w:rsid w:val="03C22D80"/>
    <w:rsid w:val="03C3761C"/>
    <w:rsid w:val="03C741B4"/>
    <w:rsid w:val="03C94648"/>
    <w:rsid w:val="03CE1515"/>
    <w:rsid w:val="03D10C12"/>
    <w:rsid w:val="03D31328"/>
    <w:rsid w:val="03D36506"/>
    <w:rsid w:val="03D952AD"/>
    <w:rsid w:val="03DA08BC"/>
    <w:rsid w:val="03DA45D2"/>
    <w:rsid w:val="03E2748F"/>
    <w:rsid w:val="03E46251"/>
    <w:rsid w:val="03E66AD6"/>
    <w:rsid w:val="03E8607A"/>
    <w:rsid w:val="03EC461B"/>
    <w:rsid w:val="03EE415D"/>
    <w:rsid w:val="03EE492B"/>
    <w:rsid w:val="03EF79DF"/>
    <w:rsid w:val="03FB6726"/>
    <w:rsid w:val="0406673E"/>
    <w:rsid w:val="04066D58"/>
    <w:rsid w:val="040C7696"/>
    <w:rsid w:val="040E4BC1"/>
    <w:rsid w:val="040F34F0"/>
    <w:rsid w:val="04113ED7"/>
    <w:rsid w:val="041A1548"/>
    <w:rsid w:val="041B7BE1"/>
    <w:rsid w:val="04227E04"/>
    <w:rsid w:val="0423289B"/>
    <w:rsid w:val="042B3C75"/>
    <w:rsid w:val="042F6E44"/>
    <w:rsid w:val="04360A42"/>
    <w:rsid w:val="0440687D"/>
    <w:rsid w:val="044A3225"/>
    <w:rsid w:val="044C1C50"/>
    <w:rsid w:val="04505CB1"/>
    <w:rsid w:val="045626CC"/>
    <w:rsid w:val="045712DF"/>
    <w:rsid w:val="045D0E71"/>
    <w:rsid w:val="045D1984"/>
    <w:rsid w:val="045D4EE1"/>
    <w:rsid w:val="04615CAE"/>
    <w:rsid w:val="0467122C"/>
    <w:rsid w:val="04677633"/>
    <w:rsid w:val="04693643"/>
    <w:rsid w:val="04703782"/>
    <w:rsid w:val="0472775E"/>
    <w:rsid w:val="047561E0"/>
    <w:rsid w:val="047660EF"/>
    <w:rsid w:val="04780397"/>
    <w:rsid w:val="047C27C9"/>
    <w:rsid w:val="04847AE8"/>
    <w:rsid w:val="04854800"/>
    <w:rsid w:val="048B52A1"/>
    <w:rsid w:val="048C3991"/>
    <w:rsid w:val="048E381C"/>
    <w:rsid w:val="048E5976"/>
    <w:rsid w:val="0493379D"/>
    <w:rsid w:val="049577CD"/>
    <w:rsid w:val="049707E4"/>
    <w:rsid w:val="0497417B"/>
    <w:rsid w:val="0499182F"/>
    <w:rsid w:val="049B1919"/>
    <w:rsid w:val="049E5ED4"/>
    <w:rsid w:val="04A068CD"/>
    <w:rsid w:val="04A3557D"/>
    <w:rsid w:val="04A973BD"/>
    <w:rsid w:val="04AA168C"/>
    <w:rsid w:val="04AB6D3C"/>
    <w:rsid w:val="04AC3CD8"/>
    <w:rsid w:val="04AE67B1"/>
    <w:rsid w:val="04AF7592"/>
    <w:rsid w:val="04B04101"/>
    <w:rsid w:val="04BE5DE3"/>
    <w:rsid w:val="04C11F58"/>
    <w:rsid w:val="04C5227D"/>
    <w:rsid w:val="04C52E5D"/>
    <w:rsid w:val="04C670E0"/>
    <w:rsid w:val="04C700F5"/>
    <w:rsid w:val="04C728A0"/>
    <w:rsid w:val="04C87066"/>
    <w:rsid w:val="04CD2341"/>
    <w:rsid w:val="04CE484B"/>
    <w:rsid w:val="04D01847"/>
    <w:rsid w:val="04D30D7F"/>
    <w:rsid w:val="04D60206"/>
    <w:rsid w:val="04DB58FD"/>
    <w:rsid w:val="04DC190A"/>
    <w:rsid w:val="04E14DC9"/>
    <w:rsid w:val="04E25070"/>
    <w:rsid w:val="04E26B5C"/>
    <w:rsid w:val="04E442A3"/>
    <w:rsid w:val="04E62A69"/>
    <w:rsid w:val="04E95B4B"/>
    <w:rsid w:val="04EA4C44"/>
    <w:rsid w:val="04EF6087"/>
    <w:rsid w:val="04F014F7"/>
    <w:rsid w:val="04FE5BF1"/>
    <w:rsid w:val="0500351C"/>
    <w:rsid w:val="05004F4A"/>
    <w:rsid w:val="05006821"/>
    <w:rsid w:val="0505666F"/>
    <w:rsid w:val="05063C3D"/>
    <w:rsid w:val="05097F81"/>
    <w:rsid w:val="050A4893"/>
    <w:rsid w:val="050B6C67"/>
    <w:rsid w:val="05111B10"/>
    <w:rsid w:val="051142A4"/>
    <w:rsid w:val="051175BF"/>
    <w:rsid w:val="051649B6"/>
    <w:rsid w:val="05172669"/>
    <w:rsid w:val="05184CDE"/>
    <w:rsid w:val="05263D94"/>
    <w:rsid w:val="0529535C"/>
    <w:rsid w:val="052D7E71"/>
    <w:rsid w:val="05314A9A"/>
    <w:rsid w:val="05332759"/>
    <w:rsid w:val="05351D76"/>
    <w:rsid w:val="05395DC1"/>
    <w:rsid w:val="053E433B"/>
    <w:rsid w:val="053F29E1"/>
    <w:rsid w:val="053F6E24"/>
    <w:rsid w:val="05411701"/>
    <w:rsid w:val="05430E99"/>
    <w:rsid w:val="05464E8C"/>
    <w:rsid w:val="055D6225"/>
    <w:rsid w:val="05623FA9"/>
    <w:rsid w:val="05684306"/>
    <w:rsid w:val="056A1575"/>
    <w:rsid w:val="056A253B"/>
    <w:rsid w:val="056D0168"/>
    <w:rsid w:val="05715BB1"/>
    <w:rsid w:val="057428C9"/>
    <w:rsid w:val="05754BC1"/>
    <w:rsid w:val="0577732E"/>
    <w:rsid w:val="057B44E0"/>
    <w:rsid w:val="057F4B93"/>
    <w:rsid w:val="058150AF"/>
    <w:rsid w:val="058B118A"/>
    <w:rsid w:val="058B29A1"/>
    <w:rsid w:val="058E6615"/>
    <w:rsid w:val="058E6EE0"/>
    <w:rsid w:val="05927542"/>
    <w:rsid w:val="05996AA0"/>
    <w:rsid w:val="05A1222A"/>
    <w:rsid w:val="05A25383"/>
    <w:rsid w:val="05A81D60"/>
    <w:rsid w:val="05A977A8"/>
    <w:rsid w:val="05AC2A22"/>
    <w:rsid w:val="05AD25E4"/>
    <w:rsid w:val="05B04764"/>
    <w:rsid w:val="05BA3BFE"/>
    <w:rsid w:val="05BA7C63"/>
    <w:rsid w:val="05BC1579"/>
    <w:rsid w:val="05C07B0D"/>
    <w:rsid w:val="05C31453"/>
    <w:rsid w:val="05CA54FD"/>
    <w:rsid w:val="05CC3D8D"/>
    <w:rsid w:val="05CD1CDF"/>
    <w:rsid w:val="05CD620C"/>
    <w:rsid w:val="05CF2854"/>
    <w:rsid w:val="05D62AD9"/>
    <w:rsid w:val="05DC332B"/>
    <w:rsid w:val="05DD246D"/>
    <w:rsid w:val="05DF2492"/>
    <w:rsid w:val="05E1091D"/>
    <w:rsid w:val="05E1132E"/>
    <w:rsid w:val="05E2332A"/>
    <w:rsid w:val="05E350A5"/>
    <w:rsid w:val="05F31A4D"/>
    <w:rsid w:val="05F6176A"/>
    <w:rsid w:val="05FA2DAF"/>
    <w:rsid w:val="05FC3FC0"/>
    <w:rsid w:val="060A1AE6"/>
    <w:rsid w:val="060A25D5"/>
    <w:rsid w:val="060A4871"/>
    <w:rsid w:val="060A4D0F"/>
    <w:rsid w:val="060A7BA0"/>
    <w:rsid w:val="060D52D4"/>
    <w:rsid w:val="060F3C6F"/>
    <w:rsid w:val="06103DC1"/>
    <w:rsid w:val="06161759"/>
    <w:rsid w:val="06163BD1"/>
    <w:rsid w:val="06184494"/>
    <w:rsid w:val="061B5875"/>
    <w:rsid w:val="061C72CD"/>
    <w:rsid w:val="061D4C8A"/>
    <w:rsid w:val="0627162C"/>
    <w:rsid w:val="06282760"/>
    <w:rsid w:val="06291395"/>
    <w:rsid w:val="062B459D"/>
    <w:rsid w:val="062F0A38"/>
    <w:rsid w:val="06316D60"/>
    <w:rsid w:val="0635567E"/>
    <w:rsid w:val="0638704E"/>
    <w:rsid w:val="06394FCE"/>
    <w:rsid w:val="063D12D0"/>
    <w:rsid w:val="063D3DA0"/>
    <w:rsid w:val="063F273D"/>
    <w:rsid w:val="06425D43"/>
    <w:rsid w:val="06440C88"/>
    <w:rsid w:val="064468E4"/>
    <w:rsid w:val="06457D5F"/>
    <w:rsid w:val="06463C4F"/>
    <w:rsid w:val="064918B1"/>
    <w:rsid w:val="064921F1"/>
    <w:rsid w:val="064D63C8"/>
    <w:rsid w:val="064F6CC2"/>
    <w:rsid w:val="065362FE"/>
    <w:rsid w:val="06585F98"/>
    <w:rsid w:val="0659292C"/>
    <w:rsid w:val="065971E9"/>
    <w:rsid w:val="065A704A"/>
    <w:rsid w:val="065E03CC"/>
    <w:rsid w:val="065E47D3"/>
    <w:rsid w:val="06651446"/>
    <w:rsid w:val="066975ED"/>
    <w:rsid w:val="066B3B6F"/>
    <w:rsid w:val="06703DE7"/>
    <w:rsid w:val="06734BC6"/>
    <w:rsid w:val="06736DDF"/>
    <w:rsid w:val="06786746"/>
    <w:rsid w:val="067C52F4"/>
    <w:rsid w:val="067C5E08"/>
    <w:rsid w:val="067E5D4D"/>
    <w:rsid w:val="067F1978"/>
    <w:rsid w:val="06814739"/>
    <w:rsid w:val="0684146E"/>
    <w:rsid w:val="068667D7"/>
    <w:rsid w:val="068C4781"/>
    <w:rsid w:val="068C6809"/>
    <w:rsid w:val="068D3E04"/>
    <w:rsid w:val="068E3768"/>
    <w:rsid w:val="068E766D"/>
    <w:rsid w:val="068F4902"/>
    <w:rsid w:val="069055B1"/>
    <w:rsid w:val="06911054"/>
    <w:rsid w:val="06913E3A"/>
    <w:rsid w:val="06945849"/>
    <w:rsid w:val="06946FE7"/>
    <w:rsid w:val="06973818"/>
    <w:rsid w:val="06983DB7"/>
    <w:rsid w:val="069A0CB5"/>
    <w:rsid w:val="069A16AA"/>
    <w:rsid w:val="069B5EF3"/>
    <w:rsid w:val="069E605E"/>
    <w:rsid w:val="06A73852"/>
    <w:rsid w:val="06AC1E40"/>
    <w:rsid w:val="06AD06F2"/>
    <w:rsid w:val="06AF7A97"/>
    <w:rsid w:val="06B178BB"/>
    <w:rsid w:val="06B257B5"/>
    <w:rsid w:val="06B519F0"/>
    <w:rsid w:val="06B60033"/>
    <w:rsid w:val="06BE0AC3"/>
    <w:rsid w:val="06BE31B6"/>
    <w:rsid w:val="06BE6445"/>
    <w:rsid w:val="06C56EF0"/>
    <w:rsid w:val="06C62019"/>
    <w:rsid w:val="06C62F02"/>
    <w:rsid w:val="06C64B20"/>
    <w:rsid w:val="06C940E6"/>
    <w:rsid w:val="06CD3B15"/>
    <w:rsid w:val="06CE44A1"/>
    <w:rsid w:val="06D05620"/>
    <w:rsid w:val="06D4113B"/>
    <w:rsid w:val="06D531A3"/>
    <w:rsid w:val="06D60ECA"/>
    <w:rsid w:val="06DB5361"/>
    <w:rsid w:val="06E16963"/>
    <w:rsid w:val="06E211A7"/>
    <w:rsid w:val="06E2378F"/>
    <w:rsid w:val="06E80104"/>
    <w:rsid w:val="06E84BCB"/>
    <w:rsid w:val="06EA1DEF"/>
    <w:rsid w:val="06ED29E9"/>
    <w:rsid w:val="06F430DA"/>
    <w:rsid w:val="06F567F6"/>
    <w:rsid w:val="06FA5C2B"/>
    <w:rsid w:val="070529E3"/>
    <w:rsid w:val="07065291"/>
    <w:rsid w:val="0708306B"/>
    <w:rsid w:val="070E160B"/>
    <w:rsid w:val="0712210C"/>
    <w:rsid w:val="07125A46"/>
    <w:rsid w:val="07134592"/>
    <w:rsid w:val="071422AF"/>
    <w:rsid w:val="071971A3"/>
    <w:rsid w:val="071A3EA5"/>
    <w:rsid w:val="071B5010"/>
    <w:rsid w:val="071B5C0F"/>
    <w:rsid w:val="071C027D"/>
    <w:rsid w:val="071D4388"/>
    <w:rsid w:val="071F54B6"/>
    <w:rsid w:val="0721735F"/>
    <w:rsid w:val="07297CC8"/>
    <w:rsid w:val="072A266A"/>
    <w:rsid w:val="073837BB"/>
    <w:rsid w:val="07417D18"/>
    <w:rsid w:val="074E4774"/>
    <w:rsid w:val="0750098F"/>
    <w:rsid w:val="07544D32"/>
    <w:rsid w:val="07560B9E"/>
    <w:rsid w:val="07574EE9"/>
    <w:rsid w:val="075A3D6F"/>
    <w:rsid w:val="076203C9"/>
    <w:rsid w:val="07636EE1"/>
    <w:rsid w:val="076D03AB"/>
    <w:rsid w:val="076F3F71"/>
    <w:rsid w:val="07711903"/>
    <w:rsid w:val="07712A3D"/>
    <w:rsid w:val="07736BC0"/>
    <w:rsid w:val="07777739"/>
    <w:rsid w:val="077A1AC4"/>
    <w:rsid w:val="077A37E9"/>
    <w:rsid w:val="077C578D"/>
    <w:rsid w:val="0785040F"/>
    <w:rsid w:val="0786414F"/>
    <w:rsid w:val="0786454B"/>
    <w:rsid w:val="07871621"/>
    <w:rsid w:val="07883068"/>
    <w:rsid w:val="078E3A49"/>
    <w:rsid w:val="0791263C"/>
    <w:rsid w:val="07920563"/>
    <w:rsid w:val="07940C58"/>
    <w:rsid w:val="079A6050"/>
    <w:rsid w:val="079D61C4"/>
    <w:rsid w:val="07A31730"/>
    <w:rsid w:val="07A45A0C"/>
    <w:rsid w:val="07A627C2"/>
    <w:rsid w:val="07AA6B33"/>
    <w:rsid w:val="07AB7E2A"/>
    <w:rsid w:val="07B20D6D"/>
    <w:rsid w:val="07B43F26"/>
    <w:rsid w:val="07B61AB0"/>
    <w:rsid w:val="07B61ADF"/>
    <w:rsid w:val="07B825B9"/>
    <w:rsid w:val="07B860CA"/>
    <w:rsid w:val="07B863AD"/>
    <w:rsid w:val="07BC5749"/>
    <w:rsid w:val="07BF16B3"/>
    <w:rsid w:val="07C40BB8"/>
    <w:rsid w:val="07C73739"/>
    <w:rsid w:val="07CC19DE"/>
    <w:rsid w:val="07CD7B4D"/>
    <w:rsid w:val="07D070F0"/>
    <w:rsid w:val="07D13BF8"/>
    <w:rsid w:val="07D3296A"/>
    <w:rsid w:val="07D44B22"/>
    <w:rsid w:val="07D71715"/>
    <w:rsid w:val="07D7191F"/>
    <w:rsid w:val="07DC326E"/>
    <w:rsid w:val="07DF14A2"/>
    <w:rsid w:val="07E13836"/>
    <w:rsid w:val="07E51F63"/>
    <w:rsid w:val="07E55172"/>
    <w:rsid w:val="07E9130D"/>
    <w:rsid w:val="07E917F0"/>
    <w:rsid w:val="07ED49BB"/>
    <w:rsid w:val="07F04EDA"/>
    <w:rsid w:val="07F0789F"/>
    <w:rsid w:val="07F619D4"/>
    <w:rsid w:val="07F622D1"/>
    <w:rsid w:val="07F67928"/>
    <w:rsid w:val="07FE5289"/>
    <w:rsid w:val="08056FE7"/>
    <w:rsid w:val="08080ADB"/>
    <w:rsid w:val="080C581A"/>
    <w:rsid w:val="08113AC8"/>
    <w:rsid w:val="08127211"/>
    <w:rsid w:val="08183C31"/>
    <w:rsid w:val="081F1E48"/>
    <w:rsid w:val="081F4F79"/>
    <w:rsid w:val="081F6DA8"/>
    <w:rsid w:val="08220BE6"/>
    <w:rsid w:val="0829526F"/>
    <w:rsid w:val="082F08EC"/>
    <w:rsid w:val="08362E18"/>
    <w:rsid w:val="083707D4"/>
    <w:rsid w:val="0837610F"/>
    <w:rsid w:val="08391E19"/>
    <w:rsid w:val="083A1AB8"/>
    <w:rsid w:val="083D78C2"/>
    <w:rsid w:val="084069D0"/>
    <w:rsid w:val="08482A46"/>
    <w:rsid w:val="084A6AAF"/>
    <w:rsid w:val="084B541D"/>
    <w:rsid w:val="084C14C8"/>
    <w:rsid w:val="08510B48"/>
    <w:rsid w:val="08560283"/>
    <w:rsid w:val="085B70C2"/>
    <w:rsid w:val="086046A5"/>
    <w:rsid w:val="0862479E"/>
    <w:rsid w:val="08647ED9"/>
    <w:rsid w:val="0866614D"/>
    <w:rsid w:val="086A641E"/>
    <w:rsid w:val="086C2477"/>
    <w:rsid w:val="086C7AD9"/>
    <w:rsid w:val="086E7B27"/>
    <w:rsid w:val="08723E92"/>
    <w:rsid w:val="087442C8"/>
    <w:rsid w:val="08780DC0"/>
    <w:rsid w:val="08783DE7"/>
    <w:rsid w:val="08823EEF"/>
    <w:rsid w:val="088322C8"/>
    <w:rsid w:val="088F35AC"/>
    <w:rsid w:val="08911067"/>
    <w:rsid w:val="089265F6"/>
    <w:rsid w:val="0898234E"/>
    <w:rsid w:val="089C4C53"/>
    <w:rsid w:val="089C600D"/>
    <w:rsid w:val="089D7C13"/>
    <w:rsid w:val="089E703D"/>
    <w:rsid w:val="08A10105"/>
    <w:rsid w:val="08A22F90"/>
    <w:rsid w:val="08A9464F"/>
    <w:rsid w:val="08AB66C0"/>
    <w:rsid w:val="08AC3A51"/>
    <w:rsid w:val="08AD0381"/>
    <w:rsid w:val="08AD4789"/>
    <w:rsid w:val="08BA2646"/>
    <w:rsid w:val="08BD1964"/>
    <w:rsid w:val="08CE77A4"/>
    <w:rsid w:val="08D13FDE"/>
    <w:rsid w:val="08D8127C"/>
    <w:rsid w:val="08D9729C"/>
    <w:rsid w:val="08E12E59"/>
    <w:rsid w:val="08EA693D"/>
    <w:rsid w:val="08ED2076"/>
    <w:rsid w:val="08F35BEC"/>
    <w:rsid w:val="08F550B0"/>
    <w:rsid w:val="08F679C7"/>
    <w:rsid w:val="08F77999"/>
    <w:rsid w:val="08F8136C"/>
    <w:rsid w:val="08FB4C55"/>
    <w:rsid w:val="09017A08"/>
    <w:rsid w:val="09023641"/>
    <w:rsid w:val="09030A93"/>
    <w:rsid w:val="0904568D"/>
    <w:rsid w:val="090F55FB"/>
    <w:rsid w:val="091526F7"/>
    <w:rsid w:val="09190C84"/>
    <w:rsid w:val="091C0B52"/>
    <w:rsid w:val="091C4808"/>
    <w:rsid w:val="09212A1A"/>
    <w:rsid w:val="09231DFA"/>
    <w:rsid w:val="092A0FDB"/>
    <w:rsid w:val="092E7043"/>
    <w:rsid w:val="09317675"/>
    <w:rsid w:val="09321517"/>
    <w:rsid w:val="09330B7D"/>
    <w:rsid w:val="09352AD1"/>
    <w:rsid w:val="093551DD"/>
    <w:rsid w:val="0935611C"/>
    <w:rsid w:val="0936537E"/>
    <w:rsid w:val="093A0E34"/>
    <w:rsid w:val="093D2893"/>
    <w:rsid w:val="094340E1"/>
    <w:rsid w:val="0946032A"/>
    <w:rsid w:val="094A72E0"/>
    <w:rsid w:val="094B4857"/>
    <w:rsid w:val="094C0DC5"/>
    <w:rsid w:val="094F1992"/>
    <w:rsid w:val="09503BF8"/>
    <w:rsid w:val="0950615C"/>
    <w:rsid w:val="09531925"/>
    <w:rsid w:val="095D718E"/>
    <w:rsid w:val="09655534"/>
    <w:rsid w:val="096E5B63"/>
    <w:rsid w:val="096F7CC6"/>
    <w:rsid w:val="09730B10"/>
    <w:rsid w:val="097656A3"/>
    <w:rsid w:val="097963DB"/>
    <w:rsid w:val="097D00B8"/>
    <w:rsid w:val="097E4E27"/>
    <w:rsid w:val="098033FD"/>
    <w:rsid w:val="09842878"/>
    <w:rsid w:val="098B7AF0"/>
    <w:rsid w:val="098D722C"/>
    <w:rsid w:val="0996170D"/>
    <w:rsid w:val="09975FF5"/>
    <w:rsid w:val="09983FC1"/>
    <w:rsid w:val="099948FD"/>
    <w:rsid w:val="099A4546"/>
    <w:rsid w:val="099B4791"/>
    <w:rsid w:val="099E08D0"/>
    <w:rsid w:val="09A43B74"/>
    <w:rsid w:val="09A63206"/>
    <w:rsid w:val="09A727B4"/>
    <w:rsid w:val="09A76B57"/>
    <w:rsid w:val="09AB7C04"/>
    <w:rsid w:val="09AF15F8"/>
    <w:rsid w:val="09B51661"/>
    <w:rsid w:val="09BC36CD"/>
    <w:rsid w:val="09C1610C"/>
    <w:rsid w:val="09CA2D09"/>
    <w:rsid w:val="09D82C0A"/>
    <w:rsid w:val="09D94DFF"/>
    <w:rsid w:val="09E03708"/>
    <w:rsid w:val="09E03EF4"/>
    <w:rsid w:val="09E073F9"/>
    <w:rsid w:val="09E13C78"/>
    <w:rsid w:val="09E244A1"/>
    <w:rsid w:val="09E54D70"/>
    <w:rsid w:val="09EF52BA"/>
    <w:rsid w:val="09EF7740"/>
    <w:rsid w:val="09F0379B"/>
    <w:rsid w:val="09F0501C"/>
    <w:rsid w:val="09F338E2"/>
    <w:rsid w:val="09F63425"/>
    <w:rsid w:val="09F821B3"/>
    <w:rsid w:val="09F96BC2"/>
    <w:rsid w:val="09FB0FDD"/>
    <w:rsid w:val="09FD1A23"/>
    <w:rsid w:val="09FD31E6"/>
    <w:rsid w:val="0A0414CE"/>
    <w:rsid w:val="0A055262"/>
    <w:rsid w:val="0A063C2C"/>
    <w:rsid w:val="0A0700DD"/>
    <w:rsid w:val="0A084EEA"/>
    <w:rsid w:val="0A0B4111"/>
    <w:rsid w:val="0A0C4442"/>
    <w:rsid w:val="0A0E4376"/>
    <w:rsid w:val="0A19162E"/>
    <w:rsid w:val="0A1A600A"/>
    <w:rsid w:val="0A1F39A7"/>
    <w:rsid w:val="0A220E87"/>
    <w:rsid w:val="0A291F94"/>
    <w:rsid w:val="0A2943EE"/>
    <w:rsid w:val="0A2977B3"/>
    <w:rsid w:val="0A2D1CE8"/>
    <w:rsid w:val="0A387981"/>
    <w:rsid w:val="0A3C6B1B"/>
    <w:rsid w:val="0A3F3775"/>
    <w:rsid w:val="0A400003"/>
    <w:rsid w:val="0A47106E"/>
    <w:rsid w:val="0A4A21A1"/>
    <w:rsid w:val="0A4D637C"/>
    <w:rsid w:val="0A500B8B"/>
    <w:rsid w:val="0A554F7B"/>
    <w:rsid w:val="0A585DDD"/>
    <w:rsid w:val="0A610A28"/>
    <w:rsid w:val="0A682522"/>
    <w:rsid w:val="0A6B6719"/>
    <w:rsid w:val="0A6C6E3C"/>
    <w:rsid w:val="0A720459"/>
    <w:rsid w:val="0A7321A8"/>
    <w:rsid w:val="0A737093"/>
    <w:rsid w:val="0A787FF3"/>
    <w:rsid w:val="0A7A520B"/>
    <w:rsid w:val="0A7E3A94"/>
    <w:rsid w:val="0A81541B"/>
    <w:rsid w:val="0A82750E"/>
    <w:rsid w:val="0A83427D"/>
    <w:rsid w:val="0A855425"/>
    <w:rsid w:val="0A883B2F"/>
    <w:rsid w:val="0A8862B5"/>
    <w:rsid w:val="0A896A9F"/>
    <w:rsid w:val="0A8A2DCF"/>
    <w:rsid w:val="0A8C6526"/>
    <w:rsid w:val="0A8D69B4"/>
    <w:rsid w:val="0A9531A7"/>
    <w:rsid w:val="0A954647"/>
    <w:rsid w:val="0A984320"/>
    <w:rsid w:val="0AA17AE6"/>
    <w:rsid w:val="0AA55609"/>
    <w:rsid w:val="0AA5692C"/>
    <w:rsid w:val="0AAA204D"/>
    <w:rsid w:val="0AAA54B3"/>
    <w:rsid w:val="0AB13654"/>
    <w:rsid w:val="0AB17FBF"/>
    <w:rsid w:val="0AB21F41"/>
    <w:rsid w:val="0AB543D9"/>
    <w:rsid w:val="0AB8363B"/>
    <w:rsid w:val="0ABA3AF0"/>
    <w:rsid w:val="0ABB783A"/>
    <w:rsid w:val="0AC006BF"/>
    <w:rsid w:val="0AC45AB6"/>
    <w:rsid w:val="0AC5580F"/>
    <w:rsid w:val="0AC9376F"/>
    <w:rsid w:val="0ACC3579"/>
    <w:rsid w:val="0AD24904"/>
    <w:rsid w:val="0AD45513"/>
    <w:rsid w:val="0AD55C3D"/>
    <w:rsid w:val="0AD61368"/>
    <w:rsid w:val="0AD7182E"/>
    <w:rsid w:val="0AD75A63"/>
    <w:rsid w:val="0ADB1AD8"/>
    <w:rsid w:val="0ADC2EBB"/>
    <w:rsid w:val="0ADD5EF2"/>
    <w:rsid w:val="0AE17750"/>
    <w:rsid w:val="0AE21132"/>
    <w:rsid w:val="0AE50463"/>
    <w:rsid w:val="0AE5678E"/>
    <w:rsid w:val="0AE63933"/>
    <w:rsid w:val="0AE77972"/>
    <w:rsid w:val="0AEC4C70"/>
    <w:rsid w:val="0AED514C"/>
    <w:rsid w:val="0AEF0643"/>
    <w:rsid w:val="0AF45781"/>
    <w:rsid w:val="0AFA19DF"/>
    <w:rsid w:val="0AFD6920"/>
    <w:rsid w:val="0AFE2DD4"/>
    <w:rsid w:val="0B09426E"/>
    <w:rsid w:val="0B0C70A4"/>
    <w:rsid w:val="0B0D0B5E"/>
    <w:rsid w:val="0B0D1B87"/>
    <w:rsid w:val="0B0F540B"/>
    <w:rsid w:val="0B104F78"/>
    <w:rsid w:val="0B143F87"/>
    <w:rsid w:val="0B1A6CFC"/>
    <w:rsid w:val="0B1B118E"/>
    <w:rsid w:val="0B1B576C"/>
    <w:rsid w:val="0B201B92"/>
    <w:rsid w:val="0B205238"/>
    <w:rsid w:val="0B252EDC"/>
    <w:rsid w:val="0B282BC9"/>
    <w:rsid w:val="0B293C00"/>
    <w:rsid w:val="0B2968FD"/>
    <w:rsid w:val="0B2E2DBD"/>
    <w:rsid w:val="0B31132F"/>
    <w:rsid w:val="0B360AAE"/>
    <w:rsid w:val="0B3A208E"/>
    <w:rsid w:val="0B3A6AB3"/>
    <w:rsid w:val="0B3F15C0"/>
    <w:rsid w:val="0B4336C8"/>
    <w:rsid w:val="0B443227"/>
    <w:rsid w:val="0B45510E"/>
    <w:rsid w:val="0B471138"/>
    <w:rsid w:val="0B490E75"/>
    <w:rsid w:val="0B4B2C25"/>
    <w:rsid w:val="0B4E3A9D"/>
    <w:rsid w:val="0B4E3DE9"/>
    <w:rsid w:val="0B506827"/>
    <w:rsid w:val="0B533B45"/>
    <w:rsid w:val="0B5722AA"/>
    <w:rsid w:val="0B576EC8"/>
    <w:rsid w:val="0B597645"/>
    <w:rsid w:val="0B5F56D3"/>
    <w:rsid w:val="0B603AAE"/>
    <w:rsid w:val="0B6354FE"/>
    <w:rsid w:val="0B650239"/>
    <w:rsid w:val="0B687DD5"/>
    <w:rsid w:val="0B6B0E9B"/>
    <w:rsid w:val="0B6D10E6"/>
    <w:rsid w:val="0B7875B8"/>
    <w:rsid w:val="0B7A0923"/>
    <w:rsid w:val="0B7A55BD"/>
    <w:rsid w:val="0B8449D4"/>
    <w:rsid w:val="0B886F48"/>
    <w:rsid w:val="0B8A2AEF"/>
    <w:rsid w:val="0B8B7313"/>
    <w:rsid w:val="0B95512C"/>
    <w:rsid w:val="0B960E49"/>
    <w:rsid w:val="0B96570C"/>
    <w:rsid w:val="0B9874C3"/>
    <w:rsid w:val="0B994A32"/>
    <w:rsid w:val="0B9C252C"/>
    <w:rsid w:val="0B9C5B01"/>
    <w:rsid w:val="0B9D34CC"/>
    <w:rsid w:val="0BA37AE4"/>
    <w:rsid w:val="0BA61BC0"/>
    <w:rsid w:val="0BA670EA"/>
    <w:rsid w:val="0BA72BC9"/>
    <w:rsid w:val="0BAD501F"/>
    <w:rsid w:val="0BAD74B2"/>
    <w:rsid w:val="0BAE2A7E"/>
    <w:rsid w:val="0BB01437"/>
    <w:rsid w:val="0BB35095"/>
    <w:rsid w:val="0BB47A4D"/>
    <w:rsid w:val="0BB72639"/>
    <w:rsid w:val="0BB91062"/>
    <w:rsid w:val="0BBE3277"/>
    <w:rsid w:val="0BBE7117"/>
    <w:rsid w:val="0BBE7502"/>
    <w:rsid w:val="0BC25FDA"/>
    <w:rsid w:val="0BC957E2"/>
    <w:rsid w:val="0BCE39AF"/>
    <w:rsid w:val="0BCF117D"/>
    <w:rsid w:val="0BD12653"/>
    <w:rsid w:val="0BDE2EEB"/>
    <w:rsid w:val="0BE1068B"/>
    <w:rsid w:val="0BE31E5F"/>
    <w:rsid w:val="0BE84CA7"/>
    <w:rsid w:val="0BEB51B8"/>
    <w:rsid w:val="0BF16DA9"/>
    <w:rsid w:val="0BF31D96"/>
    <w:rsid w:val="0BF57DE5"/>
    <w:rsid w:val="0BF81472"/>
    <w:rsid w:val="0BF85820"/>
    <w:rsid w:val="0BF95FC3"/>
    <w:rsid w:val="0C013EAE"/>
    <w:rsid w:val="0C024AD7"/>
    <w:rsid w:val="0C11442E"/>
    <w:rsid w:val="0C1A0A51"/>
    <w:rsid w:val="0C1A5942"/>
    <w:rsid w:val="0C24684F"/>
    <w:rsid w:val="0C280B16"/>
    <w:rsid w:val="0C2B06FE"/>
    <w:rsid w:val="0C315452"/>
    <w:rsid w:val="0C33006C"/>
    <w:rsid w:val="0C3D2677"/>
    <w:rsid w:val="0C3D381C"/>
    <w:rsid w:val="0C40512A"/>
    <w:rsid w:val="0C4051B4"/>
    <w:rsid w:val="0C414337"/>
    <w:rsid w:val="0C460641"/>
    <w:rsid w:val="0C472752"/>
    <w:rsid w:val="0C4A7AEC"/>
    <w:rsid w:val="0C4D2D8B"/>
    <w:rsid w:val="0C4D7BAE"/>
    <w:rsid w:val="0C503FB3"/>
    <w:rsid w:val="0C514EC7"/>
    <w:rsid w:val="0C530CD7"/>
    <w:rsid w:val="0C542381"/>
    <w:rsid w:val="0C557409"/>
    <w:rsid w:val="0C56207F"/>
    <w:rsid w:val="0C596868"/>
    <w:rsid w:val="0C5A1D69"/>
    <w:rsid w:val="0C5B602E"/>
    <w:rsid w:val="0C5B6DB5"/>
    <w:rsid w:val="0C5F02BC"/>
    <w:rsid w:val="0C70474E"/>
    <w:rsid w:val="0C715356"/>
    <w:rsid w:val="0C715525"/>
    <w:rsid w:val="0C730FEC"/>
    <w:rsid w:val="0C7E4790"/>
    <w:rsid w:val="0C7E6BF3"/>
    <w:rsid w:val="0C846BD9"/>
    <w:rsid w:val="0C8627C6"/>
    <w:rsid w:val="0C8757F7"/>
    <w:rsid w:val="0C8864B4"/>
    <w:rsid w:val="0C8F2CAF"/>
    <w:rsid w:val="0C921C5D"/>
    <w:rsid w:val="0C931526"/>
    <w:rsid w:val="0C946512"/>
    <w:rsid w:val="0C9A1DDF"/>
    <w:rsid w:val="0CA561C8"/>
    <w:rsid w:val="0CA71275"/>
    <w:rsid w:val="0CA71355"/>
    <w:rsid w:val="0CA93076"/>
    <w:rsid w:val="0CAA0BCF"/>
    <w:rsid w:val="0CAA7591"/>
    <w:rsid w:val="0CB04916"/>
    <w:rsid w:val="0CB317DD"/>
    <w:rsid w:val="0CB5113F"/>
    <w:rsid w:val="0CBB02C2"/>
    <w:rsid w:val="0CBB5038"/>
    <w:rsid w:val="0CC93E09"/>
    <w:rsid w:val="0CCC3E23"/>
    <w:rsid w:val="0CCE1079"/>
    <w:rsid w:val="0CD10DF7"/>
    <w:rsid w:val="0CD370BC"/>
    <w:rsid w:val="0CD64F88"/>
    <w:rsid w:val="0CDA56F4"/>
    <w:rsid w:val="0CDB069C"/>
    <w:rsid w:val="0CDB55B5"/>
    <w:rsid w:val="0CDD461F"/>
    <w:rsid w:val="0CE040EC"/>
    <w:rsid w:val="0CE16071"/>
    <w:rsid w:val="0CE2517A"/>
    <w:rsid w:val="0CEC7256"/>
    <w:rsid w:val="0CF11103"/>
    <w:rsid w:val="0CF24DD4"/>
    <w:rsid w:val="0CF35E35"/>
    <w:rsid w:val="0CF42330"/>
    <w:rsid w:val="0CF47FB7"/>
    <w:rsid w:val="0CF8744F"/>
    <w:rsid w:val="0CF91CA0"/>
    <w:rsid w:val="0CFA5B5B"/>
    <w:rsid w:val="0CFB424F"/>
    <w:rsid w:val="0CFC327F"/>
    <w:rsid w:val="0CFF413B"/>
    <w:rsid w:val="0D021B05"/>
    <w:rsid w:val="0D035910"/>
    <w:rsid w:val="0D0436DC"/>
    <w:rsid w:val="0D06655E"/>
    <w:rsid w:val="0D067CC8"/>
    <w:rsid w:val="0D072477"/>
    <w:rsid w:val="0D090238"/>
    <w:rsid w:val="0D163ABF"/>
    <w:rsid w:val="0D1C40EC"/>
    <w:rsid w:val="0D1F06D7"/>
    <w:rsid w:val="0D1F5598"/>
    <w:rsid w:val="0D20131C"/>
    <w:rsid w:val="0D282F1E"/>
    <w:rsid w:val="0D2F0D23"/>
    <w:rsid w:val="0D3047B7"/>
    <w:rsid w:val="0D3773C6"/>
    <w:rsid w:val="0D38685D"/>
    <w:rsid w:val="0D442CBA"/>
    <w:rsid w:val="0D4535C2"/>
    <w:rsid w:val="0D4723C0"/>
    <w:rsid w:val="0D473686"/>
    <w:rsid w:val="0D4A4228"/>
    <w:rsid w:val="0D4B374A"/>
    <w:rsid w:val="0D4B72B4"/>
    <w:rsid w:val="0D4D07B4"/>
    <w:rsid w:val="0D4E105C"/>
    <w:rsid w:val="0D4E1AD0"/>
    <w:rsid w:val="0D5031B2"/>
    <w:rsid w:val="0D504B11"/>
    <w:rsid w:val="0D567350"/>
    <w:rsid w:val="0D5E6DA0"/>
    <w:rsid w:val="0D6363FE"/>
    <w:rsid w:val="0D6549BE"/>
    <w:rsid w:val="0D66399F"/>
    <w:rsid w:val="0D696B62"/>
    <w:rsid w:val="0D6B5ACA"/>
    <w:rsid w:val="0D6C0CB6"/>
    <w:rsid w:val="0D6D0214"/>
    <w:rsid w:val="0D6E46D9"/>
    <w:rsid w:val="0D7046EF"/>
    <w:rsid w:val="0D7070C9"/>
    <w:rsid w:val="0D714FD8"/>
    <w:rsid w:val="0D7646E0"/>
    <w:rsid w:val="0D7A44E9"/>
    <w:rsid w:val="0D7D5C8A"/>
    <w:rsid w:val="0D7E1A7D"/>
    <w:rsid w:val="0D7F4233"/>
    <w:rsid w:val="0D8031CF"/>
    <w:rsid w:val="0D8057D3"/>
    <w:rsid w:val="0D865C18"/>
    <w:rsid w:val="0D881D55"/>
    <w:rsid w:val="0D907445"/>
    <w:rsid w:val="0D907F91"/>
    <w:rsid w:val="0D92698C"/>
    <w:rsid w:val="0D93462E"/>
    <w:rsid w:val="0D975C20"/>
    <w:rsid w:val="0D991BFD"/>
    <w:rsid w:val="0D9A3165"/>
    <w:rsid w:val="0D9B6E85"/>
    <w:rsid w:val="0D9C0511"/>
    <w:rsid w:val="0D9C3052"/>
    <w:rsid w:val="0D9D04CC"/>
    <w:rsid w:val="0D9D677A"/>
    <w:rsid w:val="0DAB2E49"/>
    <w:rsid w:val="0DAD558B"/>
    <w:rsid w:val="0DB3250C"/>
    <w:rsid w:val="0DB5109A"/>
    <w:rsid w:val="0DBA08FC"/>
    <w:rsid w:val="0DBB6AE1"/>
    <w:rsid w:val="0DBC7D49"/>
    <w:rsid w:val="0DC130AB"/>
    <w:rsid w:val="0DC34C27"/>
    <w:rsid w:val="0DC3673D"/>
    <w:rsid w:val="0DC45CC1"/>
    <w:rsid w:val="0DC86475"/>
    <w:rsid w:val="0DCA72A1"/>
    <w:rsid w:val="0DCE08EE"/>
    <w:rsid w:val="0DD12F66"/>
    <w:rsid w:val="0DD4212F"/>
    <w:rsid w:val="0DDC4D42"/>
    <w:rsid w:val="0DDD722E"/>
    <w:rsid w:val="0DE365B8"/>
    <w:rsid w:val="0DE86A84"/>
    <w:rsid w:val="0DE943C1"/>
    <w:rsid w:val="0DED05DB"/>
    <w:rsid w:val="0DED1E72"/>
    <w:rsid w:val="0DF00D1E"/>
    <w:rsid w:val="0DF1774C"/>
    <w:rsid w:val="0DF5410E"/>
    <w:rsid w:val="0DF62F5B"/>
    <w:rsid w:val="0DF651E1"/>
    <w:rsid w:val="0DF770E4"/>
    <w:rsid w:val="0DF8563B"/>
    <w:rsid w:val="0DF95405"/>
    <w:rsid w:val="0DFF753C"/>
    <w:rsid w:val="0E002607"/>
    <w:rsid w:val="0E035648"/>
    <w:rsid w:val="0E07228B"/>
    <w:rsid w:val="0E0D2320"/>
    <w:rsid w:val="0E0D31EF"/>
    <w:rsid w:val="0E0D494F"/>
    <w:rsid w:val="0E1239B1"/>
    <w:rsid w:val="0E190E94"/>
    <w:rsid w:val="0E2620B8"/>
    <w:rsid w:val="0E297D5E"/>
    <w:rsid w:val="0E2A4681"/>
    <w:rsid w:val="0E2E7C74"/>
    <w:rsid w:val="0E3200C4"/>
    <w:rsid w:val="0E3362D3"/>
    <w:rsid w:val="0E3946ED"/>
    <w:rsid w:val="0E395383"/>
    <w:rsid w:val="0E3B3E22"/>
    <w:rsid w:val="0E3C3525"/>
    <w:rsid w:val="0E3D613B"/>
    <w:rsid w:val="0E3E1ECE"/>
    <w:rsid w:val="0E463DAA"/>
    <w:rsid w:val="0E4A7527"/>
    <w:rsid w:val="0E5012AE"/>
    <w:rsid w:val="0E630505"/>
    <w:rsid w:val="0E671B6C"/>
    <w:rsid w:val="0E706010"/>
    <w:rsid w:val="0E724E40"/>
    <w:rsid w:val="0E771EEA"/>
    <w:rsid w:val="0E77598C"/>
    <w:rsid w:val="0E7F04F3"/>
    <w:rsid w:val="0E827129"/>
    <w:rsid w:val="0E8507D3"/>
    <w:rsid w:val="0E8B4EFD"/>
    <w:rsid w:val="0E8C3E1B"/>
    <w:rsid w:val="0E9576EA"/>
    <w:rsid w:val="0E975422"/>
    <w:rsid w:val="0E980431"/>
    <w:rsid w:val="0E9C21FB"/>
    <w:rsid w:val="0E9C5B4D"/>
    <w:rsid w:val="0E9F1C29"/>
    <w:rsid w:val="0EA04FAE"/>
    <w:rsid w:val="0EA05B81"/>
    <w:rsid w:val="0EA2418E"/>
    <w:rsid w:val="0EA51D07"/>
    <w:rsid w:val="0EA718CA"/>
    <w:rsid w:val="0EA8369F"/>
    <w:rsid w:val="0EA836AA"/>
    <w:rsid w:val="0EA83B94"/>
    <w:rsid w:val="0EA854F2"/>
    <w:rsid w:val="0EA9761C"/>
    <w:rsid w:val="0EAB72BF"/>
    <w:rsid w:val="0EB304B3"/>
    <w:rsid w:val="0EB42F98"/>
    <w:rsid w:val="0EB463D2"/>
    <w:rsid w:val="0EB66B09"/>
    <w:rsid w:val="0EB86BA4"/>
    <w:rsid w:val="0EBA7118"/>
    <w:rsid w:val="0EBF3472"/>
    <w:rsid w:val="0EC26CB5"/>
    <w:rsid w:val="0EC615C2"/>
    <w:rsid w:val="0EC6237A"/>
    <w:rsid w:val="0ECB3097"/>
    <w:rsid w:val="0ECE32FB"/>
    <w:rsid w:val="0ED02804"/>
    <w:rsid w:val="0ED05230"/>
    <w:rsid w:val="0ED36984"/>
    <w:rsid w:val="0ED46836"/>
    <w:rsid w:val="0ED65CC0"/>
    <w:rsid w:val="0EE105DD"/>
    <w:rsid w:val="0EE16492"/>
    <w:rsid w:val="0EE95170"/>
    <w:rsid w:val="0EEB5A9D"/>
    <w:rsid w:val="0EEF04B6"/>
    <w:rsid w:val="0EF2278D"/>
    <w:rsid w:val="0EF236D2"/>
    <w:rsid w:val="0EF80155"/>
    <w:rsid w:val="0EF8359E"/>
    <w:rsid w:val="0EFE1647"/>
    <w:rsid w:val="0F011A1F"/>
    <w:rsid w:val="0F011CC0"/>
    <w:rsid w:val="0F0767AD"/>
    <w:rsid w:val="0F0B1379"/>
    <w:rsid w:val="0F0C1EB7"/>
    <w:rsid w:val="0F124BEB"/>
    <w:rsid w:val="0F125232"/>
    <w:rsid w:val="0F1A13E3"/>
    <w:rsid w:val="0F1A701F"/>
    <w:rsid w:val="0F1E615E"/>
    <w:rsid w:val="0F234C69"/>
    <w:rsid w:val="0F254539"/>
    <w:rsid w:val="0F2A07EB"/>
    <w:rsid w:val="0F2B0797"/>
    <w:rsid w:val="0F2E774C"/>
    <w:rsid w:val="0F2F0EB7"/>
    <w:rsid w:val="0F2F5DD8"/>
    <w:rsid w:val="0F380DD1"/>
    <w:rsid w:val="0F3D755A"/>
    <w:rsid w:val="0F3E55D3"/>
    <w:rsid w:val="0F445E5C"/>
    <w:rsid w:val="0F446B52"/>
    <w:rsid w:val="0F4572F3"/>
    <w:rsid w:val="0F491501"/>
    <w:rsid w:val="0F4F43A8"/>
    <w:rsid w:val="0F505F4C"/>
    <w:rsid w:val="0F513F2D"/>
    <w:rsid w:val="0F53304C"/>
    <w:rsid w:val="0F533253"/>
    <w:rsid w:val="0F583007"/>
    <w:rsid w:val="0F595C1B"/>
    <w:rsid w:val="0F595D1E"/>
    <w:rsid w:val="0F624EA7"/>
    <w:rsid w:val="0F663DF2"/>
    <w:rsid w:val="0F6E091C"/>
    <w:rsid w:val="0F7048DC"/>
    <w:rsid w:val="0F7230F1"/>
    <w:rsid w:val="0F763E7D"/>
    <w:rsid w:val="0F766D48"/>
    <w:rsid w:val="0F772DCE"/>
    <w:rsid w:val="0F775370"/>
    <w:rsid w:val="0F775B5D"/>
    <w:rsid w:val="0F797523"/>
    <w:rsid w:val="0F806262"/>
    <w:rsid w:val="0F8306C9"/>
    <w:rsid w:val="0F847DFE"/>
    <w:rsid w:val="0F880622"/>
    <w:rsid w:val="0F992E50"/>
    <w:rsid w:val="0F9D4999"/>
    <w:rsid w:val="0FA40CC1"/>
    <w:rsid w:val="0FAA4801"/>
    <w:rsid w:val="0FAD3947"/>
    <w:rsid w:val="0FB11E41"/>
    <w:rsid w:val="0FB129CF"/>
    <w:rsid w:val="0FB230E5"/>
    <w:rsid w:val="0FC14A2B"/>
    <w:rsid w:val="0FC64A73"/>
    <w:rsid w:val="0FC73FBD"/>
    <w:rsid w:val="0FCD3553"/>
    <w:rsid w:val="0FCE72CB"/>
    <w:rsid w:val="0FD110BC"/>
    <w:rsid w:val="0FD766D6"/>
    <w:rsid w:val="0FDD1BC7"/>
    <w:rsid w:val="0FE371CE"/>
    <w:rsid w:val="0FE51897"/>
    <w:rsid w:val="0FE90491"/>
    <w:rsid w:val="0FEA4904"/>
    <w:rsid w:val="0FEF0C36"/>
    <w:rsid w:val="0FF6240A"/>
    <w:rsid w:val="0FFA0A3D"/>
    <w:rsid w:val="0FFC3E38"/>
    <w:rsid w:val="0FFF37E3"/>
    <w:rsid w:val="10016816"/>
    <w:rsid w:val="10035CE0"/>
    <w:rsid w:val="10084322"/>
    <w:rsid w:val="100B20DB"/>
    <w:rsid w:val="100C2305"/>
    <w:rsid w:val="100E43BF"/>
    <w:rsid w:val="100E76C7"/>
    <w:rsid w:val="10116BFC"/>
    <w:rsid w:val="1011783A"/>
    <w:rsid w:val="10146371"/>
    <w:rsid w:val="1016077F"/>
    <w:rsid w:val="101667B5"/>
    <w:rsid w:val="10192649"/>
    <w:rsid w:val="101A06E8"/>
    <w:rsid w:val="101B496A"/>
    <w:rsid w:val="101F4F69"/>
    <w:rsid w:val="102076FD"/>
    <w:rsid w:val="10215F58"/>
    <w:rsid w:val="102457BA"/>
    <w:rsid w:val="102B1537"/>
    <w:rsid w:val="102B68CA"/>
    <w:rsid w:val="10331888"/>
    <w:rsid w:val="103426B8"/>
    <w:rsid w:val="10343FBD"/>
    <w:rsid w:val="103C42D6"/>
    <w:rsid w:val="103E3374"/>
    <w:rsid w:val="103E5B4F"/>
    <w:rsid w:val="103E7099"/>
    <w:rsid w:val="104A536C"/>
    <w:rsid w:val="104A7F19"/>
    <w:rsid w:val="104C77F2"/>
    <w:rsid w:val="10503F46"/>
    <w:rsid w:val="105204A4"/>
    <w:rsid w:val="10521CAA"/>
    <w:rsid w:val="10571282"/>
    <w:rsid w:val="10572E25"/>
    <w:rsid w:val="1057316F"/>
    <w:rsid w:val="105A22E1"/>
    <w:rsid w:val="105A5869"/>
    <w:rsid w:val="105B4D64"/>
    <w:rsid w:val="105C4501"/>
    <w:rsid w:val="105F34BA"/>
    <w:rsid w:val="105F4CB6"/>
    <w:rsid w:val="106053B8"/>
    <w:rsid w:val="10607755"/>
    <w:rsid w:val="10624534"/>
    <w:rsid w:val="10650BF2"/>
    <w:rsid w:val="10681A9C"/>
    <w:rsid w:val="10682E58"/>
    <w:rsid w:val="10683279"/>
    <w:rsid w:val="106A4595"/>
    <w:rsid w:val="106A5802"/>
    <w:rsid w:val="106F3D45"/>
    <w:rsid w:val="107855C8"/>
    <w:rsid w:val="1079531B"/>
    <w:rsid w:val="107A703E"/>
    <w:rsid w:val="107C0581"/>
    <w:rsid w:val="107C3BC1"/>
    <w:rsid w:val="107C5466"/>
    <w:rsid w:val="107E484D"/>
    <w:rsid w:val="108837BB"/>
    <w:rsid w:val="10940D9C"/>
    <w:rsid w:val="109549FA"/>
    <w:rsid w:val="109776BD"/>
    <w:rsid w:val="1099715C"/>
    <w:rsid w:val="10A054B8"/>
    <w:rsid w:val="10A1167F"/>
    <w:rsid w:val="10A250B0"/>
    <w:rsid w:val="10B30579"/>
    <w:rsid w:val="10B76BE5"/>
    <w:rsid w:val="10BE3673"/>
    <w:rsid w:val="10C27587"/>
    <w:rsid w:val="10C31CB9"/>
    <w:rsid w:val="10D0035D"/>
    <w:rsid w:val="10D00ACD"/>
    <w:rsid w:val="10D278C3"/>
    <w:rsid w:val="10E8476F"/>
    <w:rsid w:val="10EA46C9"/>
    <w:rsid w:val="10EB6D58"/>
    <w:rsid w:val="10ED45F6"/>
    <w:rsid w:val="10F40C85"/>
    <w:rsid w:val="10F77A95"/>
    <w:rsid w:val="10FB0809"/>
    <w:rsid w:val="10FD71D1"/>
    <w:rsid w:val="10FE014D"/>
    <w:rsid w:val="10FE04CA"/>
    <w:rsid w:val="10FF746E"/>
    <w:rsid w:val="11013F9B"/>
    <w:rsid w:val="11063F3C"/>
    <w:rsid w:val="11084D64"/>
    <w:rsid w:val="11087873"/>
    <w:rsid w:val="110C4C49"/>
    <w:rsid w:val="11111DA1"/>
    <w:rsid w:val="11146474"/>
    <w:rsid w:val="11170736"/>
    <w:rsid w:val="11174F57"/>
    <w:rsid w:val="11175326"/>
    <w:rsid w:val="111B72EC"/>
    <w:rsid w:val="111C3542"/>
    <w:rsid w:val="11224914"/>
    <w:rsid w:val="11274958"/>
    <w:rsid w:val="112B1C45"/>
    <w:rsid w:val="112F412B"/>
    <w:rsid w:val="11333D77"/>
    <w:rsid w:val="1137532D"/>
    <w:rsid w:val="1137771E"/>
    <w:rsid w:val="113815C5"/>
    <w:rsid w:val="11382434"/>
    <w:rsid w:val="1138504C"/>
    <w:rsid w:val="11387BCC"/>
    <w:rsid w:val="11390AE3"/>
    <w:rsid w:val="113C3A4E"/>
    <w:rsid w:val="11410569"/>
    <w:rsid w:val="114156A9"/>
    <w:rsid w:val="1143039D"/>
    <w:rsid w:val="11434F94"/>
    <w:rsid w:val="1143605C"/>
    <w:rsid w:val="11465BB8"/>
    <w:rsid w:val="11495F19"/>
    <w:rsid w:val="114C7599"/>
    <w:rsid w:val="114E4D42"/>
    <w:rsid w:val="11534FAA"/>
    <w:rsid w:val="11586F35"/>
    <w:rsid w:val="11587269"/>
    <w:rsid w:val="115D0E05"/>
    <w:rsid w:val="115D4CB8"/>
    <w:rsid w:val="116211BE"/>
    <w:rsid w:val="11657A5D"/>
    <w:rsid w:val="116A0955"/>
    <w:rsid w:val="116A7379"/>
    <w:rsid w:val="116E0998"/>
    <w:rsid w:val="117164EC"/>
    <w:rsid w:val="11831AE0"/>
    <w:rsid w:val="118415B2"/>
    <w:rsid w:val="118E342B"/>
    <w:rsid w:val="11920C13"/>
    <w:rsid w:val="119A6484"/>
    <w:rsid w:val="119B283C"/>
    <w:rsid w:val="11A06C74"/>
    <w:rsid w:val="11A410D6"/>
    <w:rsid w:val="11A47657"/>
    <w:rsid w:val="11AD0CD8"/>
    <w:rsid w:val="11AD3B4F"/>
    <w:rsid w:val="11AE5B1A"/>
    <w:rsid w:val="11B04AB1"/>
    <w:rsid w:val="11B51DD6"/>
    <w:rsid w:val="11B53A6F"/>
    <w:rsid w:val="11B91789"/>
    <w:rsid w:val="11BF511D"/>
    <w:rsid w:val="11C14B73"/>
    <w:rsid w:val="11C24923"/>
    <w:rsid w:val="11C55FFC"/>
    <w:rsid w:val="11CA7179"/>
    <w:rsid w:val="11D0732A"/>
    <w:rsid w:val="11D14753"/>
    <w:rsid w:val="11D1741A"/>
    <w:rsid w:val="11D47C7F"/>
    <w:rsid w:val="11DF37EB"/>
    <w:rsid w:val="11E116E4"/>
    <w:rsid w:val="11E1587E"/>
    <w:rsid w:val="11E21BE8"/>
    <w:rsid w:val="11E30618"/>
    <w:rsid w:val="11E43BA5"/>
    <w:rsid w:val="11E447DE"/>
    <w:rsid w:val="11E550F0"/>
    <w:rsid w:val="11E840A8"/>
    <w:rsid w:val="11E9665A"/>
    <w:rsid w:val="11EA47C6"/>
    <w:rsid w:val="11EB12AC"/>
    <w:rsid w:val="11EC618B"/>
    <w:rsid w:val="11ED0486"/>
    <w:rsid w:val="11F4432B"/>
    <w:rsid w:val="11FD3078"/>
    <w:rsid w:val="11FD5A16"/>
    <w:rsid w:val="11FF15C0"/>
    <w:rsid w:val="11FF219B"/>
    <w:rsid w:val="11FF7433"/>
    <w:rsid w:val="12015758"/>
    <w:rsid w:val="12051714"/>
    <w:rsid w:val="12057FDC"/>
    <w:rsid w:val="120758F5"/>
    <w:rsid w:val="120A174B"/>
    <w:rsid w:val="120A541E"/>
    <w:rsid w:val="120E12B5"/>
    <w:rsid w:val="12142B51"/>
    <w:rsid w:val="1215711B"/>
    <w:rsid w:val="12171C6B"/>
    <w:rsid w:val="121C2B54"/>
    <w:rsid w:val="121E0C1B"/>
    <w:rsid w:val="12217B86"/>
    <w:rsid w:val="12230707"/>
    <w:rsid w:val="12285367"/>
    <w:rsid w:val="1228642C"/>
    <w:rsid w:val="122A74FF"/>
    <w:rsid w:val="122D416A"/>
    <w:rsid w:val="12347DEC"/>
    <w:rsid w:val="123535CD"/>
    <w:rsid w:val="12353B6E"/>
    <w:rsid w:val="12356562"/>
    <w:rsid w:val="12427130"/>
    <w:rsid w:val="12432BEA"/>
    <w:rsid w:val="12435461"/>
    <w:rsid w:val="12456BFD"/>
    <w:rsid w:val="12487B10"/>
    <w:rsid w:val="124E3355"/>
    <w:rsid w:val="125145D8"/>
    <w:rsid w:val="12525E9F"/>
    <w:rsid w:val="1254085A"/>
    <w:rsid w:val="125E0F9A"/>
    <w:rsid w:val="12693C28"/>
    <w:rsid w:val="126A2C0E"/>
    <w:rsid w:val="1271127B"/>
    <w:rsid w:val="1271374C"/>
    <w:rsid w:val="12737503"/>
    <w:rsid w:val="12751D6A"/>
    <w:rsid w:val="12773EAB"/>
    <w:rsid w:val="1278052F"/>
    <w:rsid w:val="127919C6"/>
    <w:rsid w:val="127A087F"/>
    <w:rsid w:val="127B474A"/>
    <w:rsid w:val="127C2DD8"/>
    <w:rsid w:val="12833D8D"/>
    <w:rsid w:val="12847AFA"/>
    <w:rsid w:val="12855D74"/>
    <w:rsid w:val="12866AE0"/>
    <w:rsid w:val="128800FC"/>
    <w:rsid w:val="12881703"/>
    <w:rsid w:val="1289188F"/>
    <w:rsid w:val="128D5E8D"/>
    <w:rsid w:val="128F2F2B"/>
    <w:rsid w:val="129167BE"/>
    <w:rsid w:val="12940415"/>
    <w:rsid w:val="129B00E8"/>
    <w:rsid w:val="12A266B2"/>
    <w:rsid w:val="12A36D4F"/>
    <w:rsid w:val="12A53F5A"/>
    <w:rsid w:val="12A549F7"/>
    <w:rsid w:val="12A753DE"/>
    <w:rsid w:val="12A775F2"/>
    <w:rsid w:val="12BD6F63"/>
    <w:rsid w:val="12BF493F"/>
    <w:rsid w:val="12C22A1D"/>
    <w:rsid w:val="12C83D5B"/>
    <w:rsid w:val="12CA52B3"/>
    <w:rsid w:val="12CC086B"/>
    <w:rsid w:val="12D43A84"/>
    <w:rsid w:val="12D76F38"/>
    <w:rsid w:val="12DD25BE"/>
    <w:rsid w:val="12DD2699"/>
    <w:rsid w:val="12DE2D4B"/>
    <w:rsid w:val="12E2470D"/>
    <w:rsid w:val="12E45191"/>
    <w:rsid w:val="12E565D6"/>
    <w:rsid w:val="12E676C4"/>
    <w:rsid w:val="12EC62C6"/>
    <w:rsid w:val="12ED0E39"/>
    <w:rsid w:val="12F10036"/>
    <w:rsid w:val="12F2698F"/>
    <w:rsid w:val="12FB6F50"/>
    <w:rsid w:val="12FD0932"/>
    <w:rsid w:val="12FE290D"/>
    <w:rsid w:val="130261F9"/>
    <w:rsid w:val="13030EB4"/>
    <w:rsid w:val="13033B7F"/>
    <w:rsid w:val="1304415C"/>
    <w:rsid w:val="130441D9"/>
    <w:rsid w:val="13057596"/>
    <w:rsid w:val="13072E62"/>
    <w:rsid w:val="13086AC5"/>
    <w:rsid w:val="130A0A71"/>
    <w:rsid w:val="130C7630"/>
    <w:rsid w:val="131421C2"/>
    <w:rsid w:val="131752E9"/>
    <w:rsid w:val="131A5C46"/>
    <w:rsid w:val="131C2A57"/>
    <w:rsid w:val="131F430D"/>
    <w:rsid w:val="131F6DE2"/>
    <w:rsid w:val="13281107"/>
    <w:rsid w:val="1329318E"/>
    <w:rsid w:val="132B5D51"/>
    <w:rsid w:val="13325DB9"/>
    <w:rsid w:val="133A5E6A"/>
    <w:rsid w:val="133F4313"/>
    <w:rsid w:val="1342157C"/>
    <w:rsid w:val="13461164"/>
    <w:rsid w:val="134D5165"/>
    <w:rsid w:val="134E324C"/>
    <w:rsid w:val="1352279C"/>
    <w:rsid w:val="13533FE5"/>
    <w:rsid w:val="13555C89"/>
    <w:rsid w:val="135B1CE8"/>
    <w:rsid w:val="135E3DC1"/>
    <w:rsid w:val="136262F1"/>
    <w:rsid w:val="136657CF"/>
    <w:rsid w:val="136A7404"/>
    <w:rsid w:val="1370402D"/>
    <w:rsid w:val="137136B0"/>
    <w:rsid w:val="13716DAD"/>
    <w:rsid w:val="13735FD4"/>
    <w:rsid w:val="13746EBE"/>
    <w:rsid w:val="137A39EF"/>
    <w:rsid w:val="137A5B6D"/>
    <w:rsid w:val="137A78EF"/>
    <w:rsid w:val="137D3585"/>
    <w:rsid w:val="137E03DD"/>
    <w:rsid w:val="13816732"/>
    <w:rsid w:val="13843C1A"/>
    <w:rsid w:val="13863E6F"/>
    <w:rsid w:val="138A0891"/>
    <w:rsid w:val="138F0EE6"/>
    <w:rsid w:val="13916F39"/>
    <w:rsid w:val="13932773"/>
    <w:rsid w:val="139342F0"/>
    <w:rsid w:val="13945D7B"/>
    <w:rsid w:val="139C10FE"/>
    <w:rsid w:val="139E0B5F"/>
    <w:rsid w:val="13A1095A"/>
    <w:rsid w:val="13A463FB"/>
    <w:rsid w:val="13A47CB2"/>
    <w:rsid w:val="13AD37EE"/>
    <w:rsid w:val="13AE4894"/>
    <w:rsid w:val="13B06E7F"/>
    <w:rsid w:val="13B12A51"/>
    <w:rsid w:val="13B3093C"/>
    <w:rsid w:val="13B93E70"/>
    <w:rsid w:val="13C11C56"/>
    <w:rsid w:val="13C3327C"/>
    <w:rsid w:val="13C47B58"/>
    <w:rsid w:val="13C50A72"/>
    <w:rsid w:val="13CB2FB5"/>
    <w:rsid w:val="13CD2AE8"/>
    <w:rsid w:val="13DD7F4B"/>
    <w:rsid w:val="13DF1503"/>
    <w:rsid w:val="13E47490"/>
    <w:rsid w:val="13E5193C"/>
    <w:rsid w:val="13E63FDC"/>
    <w:rsid w:val="13F242A5"/>
    <w:rsid w:val="13F442F7"/>
    <w:rsid w:val="13F516F2"/>
    <w:rsid w:val="13F86C61"/>
    <w:rsid w:val="13FB272A"/>
    <w:rsid w:val="13FF0CFC"/>
    <w:rsid w:val="140367F8"/>
    <w:rsid w:val="14052309"/>
    <w:rsid w:val="14097F53"/>
    <w:rsid w:val="140C4421"/>
    <w:rsid w:val="140F1E80"/>
    <w:rsid w:val="14160660"/>
    <w:rsid w:val="141726F1"/>
    <w:rsid w:val="1417312C"/>
    <w:rsid w:val="141A2C1C"/>
    <w:rsid w:val="141C51DD"/>
    <w:rsid w:val="142A3B2F"/>
    <w:rsid w:val="142D2901"/>
    <w:rsid w:val="142F2BA8"/>
    <w:rsid w:val="14335BC1"/>
    <w:rsid w:val="14397863"/>
    <w:rsid w:val="14397DD1"/>
    <w:rsid w:val="143A6628"/>
    <w:rsid w:val="144125D9"/>
    <w:rsid w:val="14426036"/>
    <w:rsid w:val="14457AE2"/>
    <w:rsid w:val="14480871"/>
    <w:rsid w:val="14481F71"/>
    <w:rsid w:val="14497290"/>
    <w:rsid w:val="144B25A7"/>
    <w:rsid w:val="144D1729"/>
    <w:rsid w:val="1450161A"/>
    <w:rsid w:val="14502854"/>
    <w:rsid w:val="14574976"/>
    <w:rsid w:val="145813C2"/>
    <w:rsid w:val="14586E37"/>
    <w:rsid w:val="14592026"/>
    <w:rsid w:val="14607389"/>
    <w:rsid w:val="14610448"/>
    <w:rsid w:val="1461070D"/>
    <w:rsid w:val="146A206A"/>
    <w:rsid w:val="147260CC"/>
    <w:rsid w:val="14735EFA"/>
    <w:rsid w:val="14737538"/>
    <w:rsid w:val="14774A25"/>
    <w:rsid w:val="147A63C1"/>
    <w:rsid w:val="147C23B0"/>
    <w:rsid w:val="147E0423"/>
    <w:rsid w:val="147F2942"/>
    <w:rsid w:val="14820308"/>
    <w:rsid w:val="14841A05"/>
    <w:rsid w:val="148C46DD"/>
    <w:rsid w:val="1490121B"/>
    <w:rsid w:val="14925F6E"/>
    <w:rsid w:val="14943C00"/>
    <w:rsid w:val="14963F92"/>
    <w:rsid w:val="14964697"/>
    <w:rsid w:val="149733D2"/>
    <w:rsid w:val="14992DB9"/>
    <w:rsid w:val="14995E49"/>
    <w:rsid w:val="149B2364"/>
    <w:rsid w:val="149C5817"/>
    <w:rsid w:val="149C6E31"/>
    <w:rsid w:val="149F170E"/>
    <w:rsid w:val="149F3AFE"/>
    <w:rsid w:val="149F4D39"/>
    <w:rsid w:val="14A10E35"/>
    <w:rsid w:val="14A374CE"/>
    <w:rsid w:val="14A55FB2"/>
    <w:rsid w:val="14A933FD"/>
    <w:rsid w:val="14AB3C69"/>
    <w:rsid w:val="14AB6A53"/>
    <w:rsid w:val="14AC5E1E"/>
    <w:rsid w:val="14AD64FF"/>
    <w:rsid w:val="14B4348D"/>
    <w:rsid w:val="14B914D3"/>
    <w:rsid w:val="14B917DB"/>
    <w:rsid w:val="14B91BA5"/>
    <w:rsid w:val="14B96B6E"/>
    <w:rsid w:val="14C8418F"/>
    <w:rsid w:val="14C96CB4"/>
    <w:rsid w:val="14C97146"/>
    <w:rsid w:val="14CA10D7"/>
    <w:rsid w:val="14CB0470"/>
    <w:rsid w:val="14CE4A35"/>
    <w:rsid w:val="14D013EF"/>
    <w:rsid w:val="14D25164"/>
    <w:rsid w:val="14DB1951"/>
    <w:rsid w:val="14DE17A0"/>
    <w:rsid w:val="14E57432"/>
    <w:rsid w:val="14EA23F7"/>
    <w:rsid w:val="14F50001"/>
    <w:rsid w:val="14FD71BD"/>
    <w:rsid w:val="15046D36"/>
    <w:rsid w:val="15050371"/>
    <w:rsid w:val="150804A8"/>
    <w:rsid w:val="1508330D"/>
    <w:rsid w:val="150C50D0"/>
    <w:rsid w:val="150E2E81"/>
    <w:rsid w:val="150F25AD"/>
    <w:rsid w:val="151B5958"/>
    <w:rsid w:val="151C589C"/>
    <w:rsid w:val="152114CA"/>
    <w:rsid w:val="1523079D"/>
    <w:rsid w:val="1523666F"/>
    <w:rsid w:val="152D70BD"/>
    <w:rsid w:val="15366B69"/>
    <w:rsid w:val="153D5900"/>
    <w:rsid w:val="1544635D"/>
    <w:rsid w:val="15455046"/>
    <w:rsid w:val="1553085B"/>
    <w:rsid w:val="155411F8"/>
    <w:rsid w:val="15542401"/>
    <w:rsid w:val="15574A08"/>
    <w:rsid w:val="1559343C"/>
    <w:rsid w:val="155C19FF"/>
    <w:rsid w:val="15646CF8"/>
    <w:rsid w:val="156941A8"/>
    <w:rsid w:val="156B1998"/>
    <w:rsid w:val="156D09A3"/>
    <w:rsid w:val="15717026"/>
    <w:rsid w:val="15763EBB"/>
    <w:rsid w:val="157A49A4"/>
    <w:rsid w:val="157B5078"/>
    <w:rsid w:val="157B6957"/>
    <w:rsid w:val="1580367A"/>
    <w:rsid w:val="1582750C"/>
    <w:rsid w:val="158750CE"/>
    <w:rsid w:val="158927B9"/>
    <w:rsid w:val="158A77DF"/>
    <w:rsid w:val="158B03F6"/>
    <w:rsid w:val="158C3D20"/>
    <w:rsid w:val="1596506F"/>
    <w:rsid w:val="159965DA"/>
    <w:rsid w:val="159B1DF7"/>
    <w:rsid w:val="159B5694"/>
    <w:rsid w:val="159C0DD7"/>
    <w:rsid w:val="159E329B"/>
    <w:rsid w:val="159F539D"/>
    <w:rsid w:val="15A72B39"/>
    <w:rsid w:val="15A84AF2"/>
    <w:rsid w:val="15AA30B3"/>
    <w:rsid w:val="15B06A8C"/>
    <w:rsid w:val="15B26BB2"/>
    <w:rsid w:val="15B31303"/>
    <w:rsid w:val="15B358B3"/>
    <w:rsid w:val="15BC44CF"/>
    <w:rsid w:val="15BF5C2B"/>
    <w:rsid w:val="15C55FBB"/>
    <w:rsid w:val="15CA2516"/>
    <w:rsid w:val="15CD1837"/>
    <w:rsid w:val="15CE0941"/>
    <w:rsid w:val="15D2523C"/>
    <w:rsid w:val="15D579D8"/>
    <w:rsid w:val="15D61A85"/>
    <w:rsid w:val="15DB1C2F"/>
    <w:rsid w:val="15DC32F8"/>
    <w:rsid w:val="15DC43EE"/>
    <w:rsid w:val="15E0299E"/>
    <w:rsid w:val="15E17B45"/>
    <w:rsid w:val="15E6358D"/>
    <w:rsid w:val="15E70170"/>
    <w:rsid w:val="15E71F15"/>
    <w:rsid w:val="15E8649A"/>
    <w:rsid w:val="15EE28BC"/>
    <w:rsid w:val="15F86D09"/>
    <w:rsid w:val="15FA3E37"/>
    <w:rsid w:val="16022C7C"/>
    <w:rsid w:val="1605287A"/>
    <w:rsid w:val="160E7FE2"/>
    <w:rsid w:val="16137CD1"/>
    <w:rsid w:val="16137EE5"/>
    <w:rsid w:val="16146F82"/>
    <w:rsid w:val="16180982"/>
    <w:rsid w:val="16186146"/>
    <w:rsid w:val="161D19FB"/>
    <w:rsid w:val="161D3BCC"/>
    <w:rsid w:val="161E2844"/>
    <w:rsid w:val="161E2BAC"/>
    <w:rsid w:val="16257805"/>
    <w:rsid w:val="16273D7B"/>
    <w:rsid w:val="16274B20"/>
    <w:rsid w:val="16280179"/>
    <w:rsid w:val="16280196"/>
    <w:rsid w:val="162867D3"/>
    <w:rsid w:val="162D1F03"/>
    <w:rsid w:val="163076AE"/>
    <w:rsid w:val="16311F27"/>
    <w:rsid w:val="163165C7"/>
    <w:rsid w:val="163826ED"/>
    <w:rsid w:val="163A5769"/>
    <w:rsid w:val="163C0923"/>
    <w:rsid w:val="163D144E"/>
    <w:rsid w:val="16452790"/>
    <w:rsid w:val="16476331"/>
    <w:rsid w:val="16480A8C"/>
    <w:rsid w:val="164C0A23"/>
    <w:rsid w:val="165410C6"/>
    <w:rsid w:val="165953AA"/>
    <w:rsid w:val="165A2B61"/>
    <w:rsid w:val="165B71E2"/>
    <w:rsid w:val="165C6AD5"/>
    <w:rsid w:val="165E73D3"/>
    <w:rsid w:val="16613BCA"/>
    <w:rsid w:val="16674EE6"/>
    <w:rsid w:val="16685FE1"/>
    <w:rsid w:val="16692B36"/>
    <w:rsid w:val="166B47B7"/>
    <w:rsid w:val="166C26DC"/>
    <w:rsid w:val="166D0A3E"/>
    <w:rsid w:val="166D3896"/>
    <w:rsid w:val="167026F1"/>
    <w:rsid w:val="16702B17"/>
    <w:rsid w:val="16723B98"/>
    <w:rsid w:val="1675164A"/>
    <w:rsid w:val="1678694C"/>
    <w:rsid w:val="167C35DD"/>
    <w:rsid w:val="16831321"/>
    <w:rsid w:val="168707C7"/>
    <w:rsid w:val="16880157"/>
    <w:rsid w:val="16893124"/>
    <w:rsid w:val="16894855"/>
    <w:rsid w:val="16906DFC"/>
    <w:rsid w:val="16944D5F"/>
    <w:rsid w:val="169620AA"/>
    <w:rsid w:val="1697504E"/>
    <w:rsid w:val="169830BF"/>
    <w:rsid w:val="169A3EA5"/>
    <w:rsid w:val="169F52E5"/>
    <w:rsid w:val="16A55A32"/>
    <w:rsid w:val="16A74D48"/>
    <w:rsid w:val="16A76B47"/>
    <w:rsid w:val="16A850F4"/>
    <w:rsid w:val="16AC23AE"/>
    <w:rsid w:val="16B155F0"/>
    <w:rsid w:val="16B17A2E"/>
    <w:rsid w:val="16B238AF"/>
    <w:rsid w:val="16B32D77"/>
    <w:rsid w:val="16B62EA4"/>
    <w:rsid w:val="16B8213B"/>
    <w:rsid w:val="16BA4483"/>
    <w:rsid w:val="16C3645D"/>
    <w:rsid w:val="16C57C83"/>
    <w:rsid w:val="16C727C7"/>
    <w:rsid w:val="16C736BC"/>
    <w:rsid w:val="16C83488"/>
    <w:rsid w:val="16C85702"/>
    <w:rsid w:val="16CA01E5"/>
    <w:rsid w:val="16CC58E2"/>
    <w:rsid w:val="16D452B4"/>
    <w:rsid w:val="16DA1851"/>
    <w:rsid w:val="16DB5005"/>
    <w:rsid w:val="16DF027B"/>
    <w:rsid w:val="16E37CA3"/>
    <w:rsid w:val="16E61B6D"/>
    <w:rsid w:val="16E71823"/>
    <w:rsid w:val="17021B14"/>
    <w:rsid w:val="170D6DEB"/>
    <w:rsid w:val="1716640E"/>
    <w:rsid w:val="17167686"/>
    <w:rsid w:val="171D0958"/>
    <w:rsid w:val="17253C13"/>
    <w:rsid w:val="17273203"/>
    <w:rsid w:val="172A73DA"/>
    <w:rsid w:val="172C2C6F"/>
    <w:rsid w:val="172C31E6"/>
    <w:rsid w:val="17304197"/>
    <w:rsid w:val="17332489"/>
    <w:rsid w:val="1733791F"/>
    <w:rsid w:val="17340852"/>
    <w:rsid w:val="1737608E"/>
    <w:rsid w:val="17383D1D"/>
    <w:rsid w:val="173F0B4A"/>
    <w:rsid w:val="17433488"/>
    <w:rsid w:val="174340FA"/>
    <w:rsid w:val="174452FC"/>
    <w:rsid w:val="17483454"/>
    <w:rsid w:val="174B0237"/>
    <w:rsid w:val="1750628C"/>
    <w:rsid w:val="17542EE6"/>
    <w:rsid w:val="17556920"/>
    <w:rsid w:val="17591CC3"/>
    <w:rsid w:val="17630D31"/>
    <w:rsid w:val="17656D5D"/>
    <w:rsid w:val="17664E23"/>
    <w:rsid w:val="176A0A69"/>
    <w:rsid w:val="177F2CD4"/>
    <w:rsid w:val="178908E8"/>
    <w:rsid w:val="17891D89"/>
    <w:rsid w:val="17892B71"/>
    <w:rsid w:val="178D5376"/>
    <w:rsid w:val="178F11CF"/>
    <w:rsid w:val="178F151C"/>
    <w:rsid w:val="178F465E"/>
    <w:rsid w:val="1792255B"/>
    <w:rsid w:val="179407AA"/>
    <w:rsid w:val="179D4D3C"/>
    <w:rsid w:val="17A065B8"/>
    <w:rsid w:val="17A070AC"/>
    <w:rsid w:val="17A122DE"/>
    <w:rsid w:val="17A30B26"/>
    <w:rsid w:val="17A31694"/>
    <w:rsid w:val="17A33639"/>
    <w:rsid w:val="17AD2A68"/>
    <w:rsid w:val="17B01D42"/>
    <w:rsid w:val="17B203AF"/>
    <w:rsid w:val="17B43B27"/>
    <w:rsid w:val="17B85A22"/>
    <w:rsid w:val="17C2620C"/>
    <w:rsid w:val="17C30E4D"/>
    <w:rsid w:val="17C9364A"/>
    <w:rsid w:val="17CC2FAB"/>
    <w:rsid w:val="17D05B20"/>
    <w:rsid w:val="17D61872"/>
    <w:rsid w:val="17D937E3"/>
    <w:rsid w:val="17DB0F65"/>
    <w:rsid w:val="17DB530F"/>
    <w:rsid w:val="17DB7885"/>
    <w:rsid w:val="17E50B0D"/>
    <w:rsid w:val="17E551CB"/>
    <w:rsid w:val="17E811EC"/>
    <w:rsid w:val="17E97F1F"/>
    <w:rsid w:val="17EA5934"/>
    <w:rsid w:val="17EE1C05"/>
    <w:rsid w:val="17EE746E"/>
    <w:rsid w:val="17EF349D"/>
    <w:rsid w:val="17F17DC8"/>
    <w:rsid w:val="17FF44C5"/>
    <w:rsid w:val="17FF704E"/>
    <w:rsid w:val="180B00C6"/>
    <w:rsid w:val="180D3A17"/>
    <w:rsid w:val="18105C96"/>
    <w:rsid w:val="1810753C"/>
    <w:rsid w:val="181C6D3A"/>
    <w:rsid w:val="18202511"/>
    <w:rsid w:val="182716A5"/>
    <w:rsid w:val="182D0C49"/>
    <w:rsid w:val="18316D86"/>
    <w:rsid w:val="18380710"/>
    <w:rsid w:val="183D2731"/>
    <w:rsid w:val="18425330"/>
    <w:rsid w:val="18481725"/>
    <w:rsid w:val="184B2EE2"/>
    <w:rsid w:val="18520E9B"/>
    <w:rsid w:val="185656D8"/>
    <w:rsid w:val="18583007"/>
    <w:rsid w:val="185C3040"/>
    <w:rsid w:val="18634F14"/>
    <w:rsid w:val="1864261A"/>
    <w:rsid w:val="1868474E"/>
    <w:rsid w:val="1869786D"/>
    <w:rsid w:val="186C64D9"/>
    <w:rsid w:val="186D15A1"/>
    <w:rsid w:val="187A1E7F"/>
    <w:rsid w:val="187A6B39"/>
    <w:rsid w:val="18833745"/>
    <w:rsid w:val="18864EF4"/>
    <w:rsid w:val="18885976"/>
    <w:rsid w:val="18923E67"/>
    <w:rsid w:val="1892526F"/>
    <w:rsid w:val="18956D67"/>
    <w:rsid w:val="189B2126"/>
    <w:rsid w:val="189B530D"/>
    <w:rsid w:val="189F78EF"/>
    <w:rsid w:val="18A27082"/>
    <w:rsid w:val="18A73899"/>
    <w:rsid w:val="18A876EB"/>
    <w:rsid w:val="18AD347B"/>
    <w:rsid w:val="18B0177B"/>
    <w:rsid w:val="18B17CCB"/>
    <w:rsid w:val="18B61B73"/>
    <w:rsid w:val="18BD289E"/>
    <w:rsid w:val="18BE5C5D"/>
    <w:rsid w:val="18C00BD3"/>
    <w:rsid w:val="18C16BE5"/>
    <w:rsid w:val="18C67D07"/>
    <w:rsid w:val="18C7690B"/>
    <w:rsid w:val="18CF21C7"/>
    <w:rsid w:val="18CF7BC2"/>
    <w:rsid w:val="18D173C1"/>
    <w:rsid w:val="18D6410F"/>
    <w:rsid w:val="18D77C35"/>
    <w:rsid w:val="18DB2487"/>
    <w:rsid w:val="18DB3512"/>
    <w:rsid w:val="18DE232D"/>
    <w:rsid w:val="18DE3A2A"/>
    <w:rsid w:val="18E15F64"/>
    <w:rsid w:val="18E22714"/>
    <w:rsid w:val="18E75374"/>
    <w:rsid w:val="18E9005C"/>
    <w:rsid w:val="18EB3B42"/>
    <w:rsid w:val="18EE0B2B"/>
    <w:rsid w:val="18EF7932"/>
    <w:rsid w:val="18F87D33"/>
    <w:rsid w:val="18FC2A70"/>
    <w:rsid w:val="18FC6B1D"/>
    <w:rsid w:val="18FF16D7"/>
    <w:rsid w:val="18FF24D2"/>
    <w:rsid w:val="1903494A"/>
    <w:rsid w:val="19046F53"/>
    <w:rsid w:val="19052320"/>
    <w:rsid w:val="19064482"/>
    <w:rsid w:val="190736FF"/>
    <w:rsid w:val="190E5113"/>
    <w:rsid w:val="19111079"/>
    <w:rsid w:val="191400B9"/>
    <w:rsid w:val="191428FC"/>
    <w:rsid w:val="19152651"/>
    <w:rsid w:val="191F37D4"/>
    <w:rsid w:val="19213A97"/>
    <w:rsid w:val="19246690"/>
    <w:rsid w:val="192551E6"/>
    <w:rsid w:val="1928119C"/>
    <w:rsid w:val="192A03A1"/>
    <w:rsid w:val="192C5B4C"/>
    <w:rsid w:val="192D172C"/>
    <w:rsid w:val="19325F4D"/>
    <w:rsid w:val="1934103E"/>
    <w:rsid w:val="1935333B"/>
    <w:rsid w:val="19354362"/>
    <w:rsid w:val="19385AD5"/>
    <w:rsid w:val="19410F7A"/>
    <w:rsid w:val="19421775"/>
    <w:rsid w:val="19432500"/>
    <w:rsid w:val="194347F2"/>
    <w:rsid w:val="19474AE9"/>
    <w:rsid w:val="194B2BA9"/>
    <w:rsid w:val="194D780E"/>
    <w:rsid w:val="194F322A"/>
    <w:rsid w:val="194F4397"/>
    <w:rsid w:val="194F55C1"/>
    <w:rsid w:val="19526087"/>
    <w:rsid w:val="19574A5A"/>
    <w:rsid w:val="19593372"/>
    <w:rsid w:val="195A6739"/>
    <w:rsid w:val="195B7FEC"/>
    <w:rsid w:val="195C4F4C"/>
    <w:rsid w:val="195D6C43"/>
    <w:rsid w:val="195F212F"/>
    <w:rsid w:val="196052D6"/>
    <w:rsid w:val="1960621B"/>
    <w:rsid w:val="1962508E"/>
    <w:rsid w:val="19642AAE"/>
    <w:rsid w:val="196478E9"/>
    <w:rsid w:val="196B5527"/>
    <w:rsid w:val="196C2208"/>
    <w:rsid w:val="19717958"/>
    <w:rsid w:val="1974239F"/>
    <w:rsid w:val="197C5DA6"/>
    <w:rsid w:val="197E4285"/>
    <w:rsid w:val="197E50BB"/>
    <w:rsid w:val="197F197F"/>
    <w:rsid w:val="19844E29"/>
    <w:rsid w:val="198C0650"/>
    <w:rsid w:val="1991330B"/>
    <w:rsid w:val="19915CA4"/>
    <w:rsid w:val="199252E6"/>
    <w:rsid w:val="1994544F"/>
    <w:rsid w:val="19966C96"/>
    <w:rsid w:val="19971F7C"/>
    <w:rsid w:val="199A6227"/>
    <w:rsid w:val="199D3F96"/>
    <w:rsid w:val="19A725B1"/>
    <w:rsid w:val="19AA2C52"/>
    <w:rsid w:val="19AC1D9C"/>
    <w:rsid w:val="19B109EF"/>
    <w:rsid w:val="19B82A4A"/>
    <w:rsid w:val="19B91F42"/>
    <w:rsid w:val="19B92594"/>
    <w:rsid w:val="19BC6322"/>
    <w:rsid w:val="19C07B89"/>
    <w:rsid w:val="19C61035"/>
    <w:rsid w:val="19C7683A"/>
    <w:rsid w:val="19C81255"/>
    <w:rsid w:val="19CD4770"/>
    <w:rsid w:val="19CE5473"/>
    <w:rsid w:val="19CF5598"/>
    <w:rsid w:val="19D0028A"/>
    <w:rsid w:val="19D11B81"/>
    <w:rsid w:val="19E46EA3"/>
    <w:rsid w:val="19EC02BF"/>
    <w:rsid w:val="19EC7D4A"/>
    <w:rsid w:val="19EE4DF9"/>
    <w:rsid w:val="19F11C5E"/>
    <w:rsid w:val="19F3618C"/>
    <w:rsid w:val="19F47B6A"/>
    <w:rsid w:val="19F500B2"/>
    <w:rsid w:val="19F80884"/>
    <w:rsid w:val="1A0252D6"/>
    <w:rsid w:val="1A027F4C"/>
    <w:rsid w:val="1A06714A"/>
    <w:rsid w:val="1A07718B"/>
    <w:rsid w:val="1A082E9D"/>
    <w:rsid w:val="1A0861FF"/>
    <w:rsid w:val="1A09162B"/>
    <w:rsid w:val="1A111660"/>
    <w:rsid w:val="1A145BD2"/>
    <w:rsid w:val="1A18591E"/>
    <w:rsid w:val="1A1862F1"/>
    <w:rsid w:val="1A1C5DA1"/>
    <w:rsid w:val="1A1C661E"/>
    <w:rsid w:val="1A236135"/>
    <w:rsid w:val="1A240908"/>
    <w:rsid w:val="1A241DAC"/>
    <w:rsid w:val="1A2849FC"/>
    <w:rsid w:val="1A2B3500"/>
    <w:rsid w:val="1A2D3580"/>
    <w:rsid w:val="1A2E115E"/>
    <w:rsid w:val="1A2E2F6F"/>
    <w:rsid w:val="1A3177A4"/>
    <w:rsid w:val="1A356311"/>
    <w:rsid w:val="1A3B7A61"/>
    <w:rsid w:val="1A3D70C9"/>
    <w:rsid w:val="1A446D35"/>
    <w:rsid w:val="1A48365D"/>
    <w:rsid w:val="1A496E7C"/>
    <w:rsid w:val="1A4C10B0"/>
    <w:rsid w:val="1A4D7435"/>
    <w:rsid w:val="1A500724"/>
    <w:rsid w:val="1A516BC0"/>
    <w:rsid w:val="1A5260DA"/>
    <w:rsid w:val="1A540970"/>
    <w:rsid w:val="1A546D31"/>
    <w:rsid w:val="1A557F08"/>
    <w:rsid w:val="1A5E7B17"/>
    <w:rsid w:val="1A5F1288"/>
    <w:rsid w:val="1A5F3E1F"/>
    <w:rsid w:val="1A626311"/>
    <w:rsid w:val="1A6B5E42"/>
    <w:rsid w:val="1A6C7685"/>
    <w:rsid w:val="1A6E06E1"/>
    <w:rsid w:val="1A706101"/>
    <w:rsid w:val="1A74731F"/>
    <w:rsid w:val="1A753167"/>
    <w:rsid w:val="1A7857B5"/>
    <w:rsid w:val="1A791734"/>
    <w:rsid w:val="1A7B32A8"/>
    <w:rsid w:val="1A7D11C6"/>
    <w:rsid w:val="1A7D7BA4"/>
    <w:rsid w:val="1A7E03AB"/>
    <w:rsid w:val="1A7F369B"/>
    <w:rsid w:val="1A873B4A"/>
    <w:rsid w:val="1A8939CD"/>
    <w:rsid w:val="1A8A1427"/>
    <w:rsid w:val="1A8D370C"/>
    <w:rsid w:val="1A906088"/>
    <w:rsid w:val="1A9179DE"/>
    <w:rsid w:val="1A923A5A"/>
    <w:rsid w:val="1A93181C"/>
    <w:rsid w:val="1A933B78"/>
    <w:rsid w:val="1A972B91"/>
    <w:rsid w:val="1A9D28FD"/>
    <w:rsid w:val="1A9D53DF"/>
    <w:rsid w:val="1A9E5C00"/>
    <w:rsid w:val="1AA17641"/>
    <w:rsid w:val="1AA31036"/>
    <w:rsid w:val="1AA362AA"/>
    <w:rsid w:val="1AA3726D"/>
    <w:rsid w:val="1AA63400"/>
    <w:rsid w:val="1AA665D9"/>
    <w:rsid w:val="1AA90596"/>
    <w:rsid w:val="1AAA17BA"/>
    <w:rsid w:val="1AAF4A53"/>
    <w:rsid w:val="1AB1352F"/>
    <w:rsid w:val="1AB31230"/>
    <w:rsid w:val="1AB47F19"/>
    <w:rsid w:val="1AB552E3"/>
    <w:rsid w:val="1AB96CB6"/>
    <w:rsid w:val="1ABD45D6"/>
    <w:rsid w:val="1ABD611E"/>
    <w:rsid w:val="1ABE4C8D"/>
    <w:rsid w:val="1ABE4E1A"/>
    <w:rsid w:val="1AC80FCB"/>
    <w:rsid w:val="1AC95FDC"/>
    <w:rsid w:val="1ACC45CB"/>
    <w:rsid w:val="1ACD5BBF"/>
    <w:rsid w:val="1ACD7CFB"/>
    <w:rsid w:val="1AD11A56"/>
    <w:rsid w:val="1ADA752B"/>
    <w:rsid w:val="1ADB03E1"/>
    <w:rsid w:val="1ADF413A"/>
    <w:rsid w:val="1AE268AD"/>
    <w:rsid w:val="1AEA59BD"/>
    <w:rsid w:val="1AEB0375"/>
    <w:rsid w:val="1AEF7D7C"/>
    <w:rsid w:val="1AF275C7"/>
    <w:rsid w:val="1AF37F19"/>
    <w:rsid w:val="1AFF5E8E"/>
    <w:rsid w:val="1B0345D3"/>
    <w:rsid w:val="1B0420FB"/>
    <w:rsid w:val="1B072437"/>
    <w:rsid w:val="1B087F9A"/>
    <w:rsid w:val="1B0C3657"/>
    <w:rsid w:val="1B1020DD"/>
    <w:rsid w:val="1B1422BE"/>
    <w:rsid w:val="1B1E01D2"/>
    <w:rsid w:val="1B1F43B8"/>
    <w:rsid w:val="1B244C68"/>
    <w:rsid w:val="1B2503E7"/>
    <w:rsid w:val="1B2A0C8B"/>
    <w:rsid w:val="1B2A5F60"/>
    <w:rsid w:val="1B2C61F1"/>
    <w:rsid w:val="1B374923"/>
    <w:rsid w:val="1B374C6B"/>
    <w:rsid w:val="1B3C3896"/>
    <w:rsid w:val="1B4065D0"/>
    <w:rsid w:val="1B422B98"/>
    <w:rsid w:val="1B491F67"/>
    <w:rsid w:val="1B4A4F0A"/>
    <w:rsid w:val="1B4D076E"/>
    <w:rsid w:val="1B503E6A"/>
    <w:rsid w:val="1B512D2B"/>
    <w:rsid w:val="1B523B58"/>
    <w:rsid w:val="1B55570A"/>
    <w:rsid w:val="1B59359B"/>
    <w:rsid w:val="1B597650"/>
    <w:rsid w:val="1B5B144C"/>
    <w:rsid w:val="1B653C2C"/>
    <w:rsid w:val="1B6D2636"/>
    <w:rsid w:val="1B775A8E"/>
    <w:rsid w:val="1B784639"/>
    <w:rsid w:val="1B7915D0"/>
    <w:rsid w:val="1B79200F"/>
    <w:rsid w:val="1B792E56"/>
    <w:rsid w:val="1B7A7A7D"/>
    <w:rsid w:val="1B7C4338"/>
    <w:rsid w:val="1B7E1277"/>
    <w:rsid w:val="1B826387"/>
    <w:rsid w:val="1B8318DD"/>
    <w:rsid w:val="1B832AB3"/>
    <w:rsid w:val="1B841C34"/>
    <w:rsid w:val="1B8E41D9"/>
    <w:rsid w:val="1B9513DD"/>
    <w:rsid w:val="1B956446"/>
    <w:rsid w:val="1B961DE8"/>
    <w:rsid w:val="1B9E2F42"/>
    <w:rsid w:val="1BA81FF5"/>
    <w:rsid w:val="1BA94059"/>
    <w:rsid w:val="1BA96E5A"/>
    <w:rsid w:val="1BAF6DE6"/>
    <w:rsid w:val="1BB80687"/>
    <w:rsid w:val="1BC110CF"/>
    <w:rsid w:val="1BC31830"/>
    <w:rsid w:val="1BC60DE4"/>
    <w:rsid w:val="1BC93D8B"/>
    <w:rsid w:val="1BC94BFC"/>
    <w:rsid w:val="1BCE5718"/>
    <w:rsid w:val="1BD02D90"/>
    <w:rsid w:val="1BD103ED"/>
    <w:rsid w:val="1BD3297B"/>
    <w:rsid w:val="1BD768EF"/>
    <w:rsid w:val="1BDA20EB"/>
    <w:rsid w:val="1BDA7B9E"/>
    <w:rsid w:val="1BDC78E3"/>
    <w:rsid w:val="1BDF123F"/>
    <w:rsid w:val="1BDF4925"/>
    <w:rsid w:val="1BE623D0"/>
    <w:rsid w:val="1BE957AF"/>
    <w:rsid w:val="1BEB26DC"/>
    <w:rsid w:val="1BEB6CB7"/>
    <w:rsid w:val="1BEC3953"/>
    <w:rsid w:val="1BF241A1"/>
    <w:rsid w:val="1BF26887"/>
    <w:rsid w:val="1BF414A9"/>
    <w:rsid w:val="1BF417B2"/>
    <w:rsid w:val="1BF529D6"/>
    <w:rsid w:val="1BF92307"/>
    <w:rsid w:val="1BF94823"/>
    <w:rsid w:val="1BFF6292"/>
    <w:rsid w:val="1C012766"/>
    <w:rsid w:val="1C056807"/>
    <w:rsid w:val="1C076F60"/>
    <w:rsid w:val="1C083F0F"/>
    <w:rsid w:val="1C0B3C4A"/>
    <w:rsid w:val="1C0E4CDC"/>
    <w:rsid w:val="1C1314B6"/>
    <w:rsid w:val="1C15312F"/>
    <w:rsid w:val="1C154EE5"/>
    <w:rsid w:val="1C1717DB"/>
    <w:rsid w:val="1C1E3673"/>
    <w:rsid w:val="1C224C26"/>
    <w:rsid w:val="1C241D4C"/>
    <w:rsid w:val="1C293C0F"/>
    <w:rsid w:val="1C294676"/>
    <w:rsid w:val="1C303315"/>
    <w:rsid w:val="1C3245D4"/>
    <w:rsid w:val="1C384943"/>
    <w:rsid w:val="1C3D380E"/>
    <w:rsid w:val="1C3F79DB"/>
    <w:rsid w:val="1C44118A"/>
    <w:rsid w:val="1C487638"/>
    <w:rsid w:val="1C4A1C37"/>
    <w:rsid w:val="1C4A6047"/>
    <w:rsid w:val="1C560F82"/>
    <w:rsid w:val="1C5807FA"/>
    <w:rsid w:val="1C594316"/>
    <w:rsid w:val="1C5D74CB"/>
    <w:rsid w:val="1C6C5466"/>
    <w:rsid w:val="1C6E111A"/>
    <w:rsid w:val="1C710686"/>
    <w:rsid w:val="1C7154F0"/>
    <w:rsid w:val="1C7340E7"/>
    <w:rsid w:val="1C761885"/>
    <w:rsid w:val="1C7714BC"/>
    <w:rsid w:val="1C7A37FF"/>
    <w:rsid w:val="1C7E2F95"/>
    <w:rsid w:val="1C7F6509"/>
    <w:rsid w:val="1C8164E7"/>
    <w:rsid w:val="1C845687"/>
    <w:rsid w:val="1C876D64"/>
    <w:rsid w:val="1C8864DE"/>
    <w:rsid w:val="1C887C49"/>
    <w:rsid w:val="1C89735A"/>
    <w:rsid w:val="1C8E1741"/>
    <w:rsid w:val="1C90748B"/>
    <w:rsid w:val="1C96161D"/>
    <w:rsid w:val="1C962D16"/>
    <w:rsid w:val="1C98572C"/>
    <w:rsid w:val="1C9870C4"/>
    <w:rsid w:val="1C987E58"/>
    <w:rsid w:val="1C9A0DF8"/>
    <w:rsid w:val="1C9A4EAD"/>
    <w:rsid w:val="1C9B36F8"/>
    <w:rsid w:val="1C9C7CA1"/>
    <w:rsid w:val="1C9D7325"/>
    <w:rsid w:val="1CA02D0C"/>
    <w:rsid w:val="1CA11D40"/>
    <w:rsid w:val="1CA341FF"/>
    <w:rsid w:val="1CA70BF8"/>
    <w:rsid w:val="1CAE031C"/>
    <w:rsid w:val="1CB02687"/>
    <w:rsid w:val="1CB12381"/>
    <w:rsid w:val="1CB656B1"/>
    <w:rsid w:val="1CB8092A"/>
    <w:rsid w:val="1CB82FF6"/>
    <w:rsid w:val="1CB831C9"/>
    <w:rsid w:val="1CB97F66"/>
    <w:rsid w:val="1CBC2AAF"/>
    <w:rsid w:val="1CBD277B"/>
    <w:rsid w:val="1CC47A8B"/>
    <w:rsid w:val="1CC70DF2"/>
    <w:rsid w:val="1CC949FC"/>
    <w:rsid w:val="1CCC4667"/>
    <w:rsid w:val="1CD04366"/>
    <w:rsid w:val="1CD34CAC"/>
    <w:rsid w:val="1CD36EBD"/>
    <w:rsid w:val="1CDA7E19"/>
    <w:rsid w:val="1CDC3D90"/>
    <w:rsid w:val="1CDC7923"/>
    <w:rsid w:val="1CDD58C0"/>
    <w:rsid w:val="1CDE6170"/>
    <w:rsid w:val="1CE3670F"/>
    <w:rsid w:val="1CE93810"/>
    <w:rsid w:val="1CEF101D"/>
    <w:rsid w:val="1CF16DA1"/>
    <w:rsid w:val="1CFB2C53"/>
    <w:rsid w:val="1CFB47EA"/>
    <w:rsid w:val="1CFE255E"/>
    <w:rsid w:val="1CFF70A4"/>
    <w:rsid w:val="1D023F0A"/>
    <w:rsid w:val="1D0565D5"/>
    <w:rsid w:val="1D0B1402"/>
    <w:rsid w:val="1D0F5B7A"/>
    <w:rsid w:val="1D1045F2"/>
    <w:rsid w:val="1D1477A4"/>
    <w:rsid w:val="1D1722B1"/>
    <w:rsid w:val="1D181970"/>
    <w:rsid w:val="1D1F6BD8"/>
    <w:rsid w:val="1D227611"/>
    <w:rsid w:val="1D2D27D5"/>
    <w:rsid w:val="1D2F79CA"/>
    <w:rsid w:val="1D332BD8"/>
    <w:rsid w:val="1D351898"/>
    <w:rsid w:val="1D366C63"/>
    <w:rsid w:val="1D3868D3"/>
    <w:rsid w:val="1D390D9F"/>
    <w:rsid w:val="1D396047"/>
    <w:rsid w:val="1D3C2022"/>
    <w:rsid w:val="1D3E559E"/>
    <w:rsid w:val="1D406DC5"/>
    <w:rsid w:val="1D44163D"/>
    <w:rsid w:val="1D442223"/>
    <w:rsid w:val="1D445225"/>
    <w:rsid w:val="1D451ACC"/>
    <w:rsid w:val="1D45623A"/>
    <w:rsid w:val="1D4F246B"/>
    <w:rsid w:val="1D5059FA"/>
    <w:rsid w:val="1D52748C"/>
    <w:rsid w:val="1D5502EB"/>
    <w:rsid w:val="1D5510DC"/>
    <w:rsid w:val="1D5B0A2B"/>
    <w:rsid w:val="1D5D7B47"/>
    <w:rsid w:val="1D631052"/>
    <w:rsid w:val="1D637F07"/>
    <w:rsid w:val="1D677FA2"/>
    <w:rsid w:val="1D680250"/>
    <w:rsid w:val="1D71186D"/>
    <w:rsid w:val="1D713B4F"/>
    <w:rsid w:val="1D713C81"/>
    <w:rsid w:val="1D722862"/>
    <w:rsid w:val="1D731639"/>
    <w:rsid w:val="1D7A08BF"/>
    <w:rsid w:val="1D7C703C"/>
    <w:rsid w:val="1D7E7C3A"/>
    <w:rsid w:val="1D8235B3"/>
    <w:rsid w:val="1D8342FA"/>
    <w:rsid w:val="1D853FF4"/>
    <w:rsid w:val="1D8565D6"/>
    <w:rsid w:val="1D863E47"/>
    <w:rsid w:val="1D8B6B6C"/>
    <w:rsid w:val="1D8C19E8"/>
    <w:rsid w:val="1D8D5DAB"/>
    <w:rsid w:val="1D9006B3"/>
    <w:rsid w:val="1D901197"/>
    <w:rsid w:val="1D906556"/>
    <w:rsid w:val="1D924FD8"/>
    <w:rsid w:val="1D94540B"/>
    <w:rsid w:val="1D9E2244"/>
    <w:rsid w:val="1DA12451"/>
    <w:rsid w:val="1DA136BC"/>
    <w:rsid w:val="1DA86F94"/>
    <w:rsid w:val="1DAD7BC0"/>
    <w:rsid w:val="1DAD7EBB"/>
    <w:rsid w:val="1DB04E57"/>
    <w:rsid w:val="1DB37DA8"/>
    <w:rsid w:val="1DB42EF2"/>
    <w:rsid w:val="1DC02AD7"/>
    <w:rsid w:val="1DC03E51"/>
    <w:rsid w:val="1DC36945"/>
    <w:rsid w:val="1DC50921"/>
    <w:rsid w:val="1DC51D0D"/>
    <w:rsid w:val="1DC738B3"/>
    <w:rsid w:val="1DC83F8D"/>
    <w:rsid w:val="1DC933D2"/>
    <w:rsid w:val="1DCA519B"/>
    <w:rsid w:val="1DCB75F2"/>
    <w:rsid w:val="1DCC0F24"/>
    <w:rsid w:val="1DCC2B5B"/>
    <w:rsid w:val="1DCD1108"/>
    <w:rsid w:val="1DCE3B4F"/>
    <w:rsid w:val="1DD13A4B"/>
    <w:rsid w:val="1DD60A76"/>
    <w:rsid w:val="1DD67A48"/>
    <w:rsid w:val="1DD82FFB"/>
    <w:rsid w:val="1DDD1A40"/>
    <w:rsid w:val="1DE22340"/>
    <w:rsid w:val="1DE30DDF"/>
    <w:rsid w:val="1DE3315B"/>
    <w:rsid w:val="1DE6437A"/>
    <w:rsid w:val="1DE87A07"/>
    <w:rsid w:val="1DEB779C"/>
    <w:rsid w:val="1DF12781"/>
    <w:rsid w:val="1DF41311"/>
    <w:rsid w:val="1DF46351"/>
    <w:rsid w:val="1DF64987"/>
    <w:rsid w:val="1DF75753"/>
    <w:rsid w:val="1DF8047B"/>
    <w:rsid w:val="1DFB13B7"/>
    <w:rsid w:val="1E01466E"/>
    <w:rsid w:val="1E02660C"/>
    <w:rsid w:val="1E04090F"/>
    <w:rsid w:val="1E0B75E3"/>
    <w:rsid w:val="1E0F4700"/>
    <w:rsid w:val="1E126231"/>
    <w:rsid w:val="1E126248"/>
    <w:rsid w:val="1E143F0C"/>
    <w:rsid w:val="1E170272"/>
    <w:rsid w:val="1E191617"/>
    <w:rsid w:val="1E2302D5"/>
    <w:rsid w:val="1E2A6115"/>
    <w:rsid w:val="1E2D26E7"/>
    <w:rsid w:val="1E3009F2"/>
    <w:rsid w:val="1E3653E3"/>
    <w:rsid w:val="1E3C2C2F"/>
    <w:rsid w:val="1E3D1BDE"/>
    <w:rsid w:val="1E407A47"/>
    <w:rsid w:val="1E446432"/>
    <w:rsid w:val="1E530573"/>
    <w:rsid w:val="1E531E72"/>
    <w:rsid w:val="1E580571"/>
    <w:rsid w:val="1E5934BE"/>
    <w:rsid w:val="1E5935CF"/>
    <w:rsid w:val="1E59360F"/>
    <w:rsid w:val="1E603541"/>
    <w:rsid w:val="1E6058D1"/>
    <w:rsid w:val="1E6A56EC"/>
    <w:rsid w:val="1E6E054E"/>
    <w:rsid w:val="1E6E2232"/>
    <w:rsid w:val="1E6E5927"/>
    <w:rsid w:val="1E6F180C"/>
    <w:rsid w:val="1E701352"/>
    <w:rsid w:val="1E7048E2"/>
    <w:rsid w:val="1E7110AF"/>
    <w:rsid w:val="1E723DC8"/>
    <w:rsid w:val="1E731CEF"/>
    <w:rsid w:val="1E752EFB"/>
    <w:rsid w:val="1E78160D"/>
    <w:rsid w:val="1E7829A3"/>
    <w:rsid w:val="1E7E357F"/>
    <w:rsid w:val="1E7E3AAC"/>
    <w:rsid w:val="1E801DFF"/>
    <w:rsid w:val="1E8250D1"/>
    <w:rsid w:val="1E86139B"/>
    <w:rsid w:val="1E8F0A9D"/>
    <w:rsid w:val="1E9054D8"/>
    <w:rsid w:val="1E91666A"/>
    <w:rsid w:val="1E921EE0"/>
    <w:rsid w:val="1E93316C"/>
    <w:rsid w:val="1E941ADE"/>
    <w:rsid w:val="1E960FB4"/>
    <w:rsid w:val="1E970816"/>
    <w:rsid w:val="1E996DB2"/>
    <w:rsid w:val="1E9B1CCB"/>
    <w:rsid w:val="1E9D0F9E"/>
    <w:rsid w:val="1E9D3EDA"/>
    <w:rsid w:val="1EA64D89"/>
    <w:rsid w:val="1EA73061"/>
    <w:rsid w:val="1EA73D64"/>
    <w:rsid w:val="1EA82FE7"/>
    <w:rsid w:val="1EAF7CA6"/>
    <w:rsid w:val="1EB15231"/>
    <w:rsid w:val="1EB409A2"/>
    <w:rsid w:val="1EB47392"/>
    <w:rsid w:val="1EBA3E6E"/>
    <w:rsid w:val="1EBA5F9C"/>
    <w:rsid w:val="1EBA65F2"/>
    <w:rsid w:val="1EBC2689"/>
    <w:rsid w:val="1EBC34BA"/>
    <w:rsid w:val="1EBC5930"/>
    <w:rsid w:val="1EBD3C72"/>
    <w:rsid w:val="1EC2683F"/>
    <w:rsid w:val="1EC34840"/>
    <w:rsid w:val="1EC43D73"/>
    <w:rsid w:val="1EC52138"/>
    <w:rsid w:val="1EC66DF8"/>
    <w:rsid w:val="1ECA52F3"/>
    <w:rsid w:val="1ECB2AC2"/>
    <w:rsid w:val="1ED3161A"/>
    <w:rsid w:val="1ED42C54"/>
    <w:rsid w:val="1EDC0166"/>
    <w:rsid w:val="1EDC66B4"/>
    <w:rsid w:val="1EDF3C54"/>
    <w:rsid w:val="1EDF5D2E"/>
    <w:rsid w:val="1EE26EEF"/>
    <w:rsid w:val="1EE4374F"/>
    <w:rsid w:val="1EE54A9E"/>
    <w:rsid w:val="1EE57C2E"/>
    <w:rsid w:val="1EE606B3"/>
    <w:rsid w:val="1EE65D58"/>
    <w:rsid w:val="1EE95090"/>
    <w:rsid w:val="1EEB662E"/>
    <w:rsid w:val="1EEE265B"/>
    <w:rsid w:val="1EF26C1F"/>
    <w:rsid w:val="1EF503D0"/>
    <w:rsid w:val="1EF57275"/>
    <w:rsid w:val="1EFB69D1"/>
    <w:rsid w:val="1EFC4329"/>
    <w:rsid w:val="1EFF0A50"/>
    <w:rsid w:val="1F047432"/>
    <w:rsid w:val="1F075ABF"/>
    <w:rsid w:val="1F080D1C"/>
    <w:rsid w:val="1F0B2A24"/>
    <w:rsid w:val="1F0C7737"/>
    <w:rsid w:val="1F0E1E9D"/>
    <w:rsid w:val="1F101986"/>
    <w:rsid w:val="1F134CFA"/>
    <w:rsid w:val="1F141B7D"/>
    <w:rsid w:val="1F145AE0"/>
    <w:rsid w:val="1F202550"/>
    <w:rsid w:val="1F250DD2"/>
    <w:rsid w:val="1F283288"/>
    <w:rsid w:val="1F296A1E"/>
    <w:rsid w:val="1F2A4829"/>
    <w:rsid w:val="1F2B228E"/>
    <w:rsid w:val="1F2C2849"/>
    <w:rsid w:val="1F2C36C6"/>
    <w:rsid w:val="1F2D1BD0"/>
    <w:rsid w:val="1F2D2F30"/>
    <w:rsid w:val="1F2D4807"/>
    <w:rsid w:val="1F397BA9"/>
    <w:rsid w:val="1F3A2DC8"/>
    <w:rsid w:val="1F3A5FED"/>
    <w:rsid w:val="1F3B03AF"/>
    <w:rsid w:val="1F3E100C"/>
    <w:rsid w:val="1F3E4DBB"/>
    <w:rsid w:val="1F3F11FE"/>
    <w:rsid w:val="1F4212D8"/>
    <w:rsid w:val="1F4417D5"/>
    <w:rsid w:val="1F444091"/>
    <w:rsid w:val="1F4501AA"/>
    <w:rsid w:val="1F4646FF"/>
    <w:rsid w:val="1F4B65A1"/>
    <w:rsid w:val="1F4E0C82"/>
    <w:rsid w:val="1F51093E"/>
    <w:rsid w:val="1F517759"/>
    <w:rsid w:val="1F5844BB"/>
    <w:rsid w:val="1F5A085E"/>
    <w:rsid w:val="1F5F6ADA"/>
    <w:rsid w:val="1F610281"/>
    <w:rsid w:val="1F62747A"/>
    <w:rsid w:val="1F682713"/>
    <w:rsid w:val="1F6A2464"/>
    <w:rsid w:val="1F6C111A"/>
    <w:rsid w:val="1F6D11D8"/>
    <w:rsid w:val="1F6D3998"/>
    <w:rsid w:val="1F6E0D53"/>
    <w:rsid w:val="1F767F41"/>
    <w:rsid w:val="1F78020C"/>
    <w:rsid w:val="1F787EFA"/>
    <w:rsid w:val="1F7B55AF"/>
    <w:rsid w:val="1F7F2436"/>
    <w:rsid w:val="1F8307F6"/>
    <w:rsid w:val="1F8338E4"/>
    <w:rsid w:val="1F836156"/>
    <w:rsid w:val="1F867BA4"/>
    <w:rsid w:val="1F884F16"/>
    <w:rsid w:val="1F887A33"/>
    <w:rsid w:val="1F896E81"/>
    <w:rsid w:val="1F8B31AD"/>
    <w:rsid w:val="1F8E6483"/>
    <w:rsid w:val="1F9218BB"/>
    <w:rsid w:val="1F93291C"/>
    <w:rsid w:val="1F996F85"/>
    <w:rsid w:val="1FA21B73"/>
    <w:rsid w:val="1FA37E2C"/>
    <w:rsid w:val="1FA77DD9"/>
    <w:rsid w:val="1FAE07BB"/>
    <w:rsid w:val="1FB2646F"/>
    <w:rsid w:val="1FB533F2"/>
    <w:rsid w:val="1FC1395E"/>
    <w:rsid w:val="1FC35C07"/>
    <w:rsid w:val="1FC425E2"/>
    <w:rsid w:val="1FC50E4B"/>
    <w:rsid w:val="1FC54909"/>
    <w:rsid w:val="1FC8318C"/>
    <w:rsid w:val="1FCE1142"/>
    <w:rsid w:val="1FCE1308"/>
    <w:rsid w:val="1FCE60A0"/>
    <w:rsid w:val="1FD05449"/>
    <w:rsid w:val="1FD43F71"/>
    <w:rsid w:val="1FD46237"/>
    <w:rsid w:val="1FDA1C72"/>
    <w:rsid w:val="1FDD6F15"/>
    <w:rsid w:val="1FE25FC5"/>
    <w:rsid w:val="1FE36F46"/>
    <w:rsid w:val="1FEA6B0C"/>
    <w:rsid w:val="1FEE02F1"/>
    <w:rsid w:val="1FF13E04"/>
    <w:rsid w:val="1FF2686F"/>
    <w:rsid w:val="1FF27382"/>
    <w:rsid w:val="200104F8"/>
    <w:rsid w:val="20060D72"/>
    <w:rsid w:val="20083FF5"/>
    <w:rsid w:val="20107DE7"/>
    <w:rsid w:val="20121785"/>
    <w:rsid w:val="20136610"/>
    <w:rsid w:val="2017386F"/>
    <w:rsid w:val="201A69B0"/>
    <w:rsid w:val="201B1BE7"/>
    <w:rsid w:val="201E12A3"/>
    <w:rsid w:val="201F2F88"/>
    <w:rsid w:val="20243F57"/>
    <w:rsid w:val="20283213"/>
    <w:rsid w:val="202C2A4C"/>
    <w:rsid w:val="202E7769"/>
    <w:rsid w:val="20312614"/>
    <w:rsid w:val="2032065C"/>
    <w:rsid w:val="203273F2"/>
    <w:rsid w:val="2033274C"/>
    <w:rsid w:val="2034225F"/>
    <w:rsid w:val="20346CD6"/>
    <w:rsid w:val="20384F57"/>
    <w:rsid w:val="20385F08"/>
    <w:rsid w:val="203A1E79"/>
    <w:rsid w:val="203B4D60"/>
    <w:rsid w:val="203D1072"/>
    <w:rsid w:val="203D4B63"/>
    <w:rsid w:val="204126EF"/>
    <w:rsid w:val="20475A68"/>
    <w:rsid w:val="204A0473"/>
    <w:rsid w:val="204F6383"/>
    <w:rsid w:val="2050362D"/>
    <w:rsid w:val="20504799"/>
    <w:rsid w:val="2055402C"/>
    <w:rsid w:val="205C2959"/>
    <w:rsid w:val="205D682C"/>
    <w:rsid w:val="205E2948"/>
    <w:rsid w:val="205E3D53"/>
    <w:rsid w:val="206203DF"/>
    <w:rsid w:val="20631369"/>
    <w:rsid w:val="20640DB4"/>
    <w:rsid w:val="20643102"/>
    <w:rsid w:val="20667055"/>
    <w:rsid w:val="206D649B"/>
    <w:rsid w:val="206E1D22"/>
    <w:rsid w:val="2071121D"/>
    <w:rsid w:val="20727F6D"/>
    <w:rsid w:val="2073299C"/>
    <w:rsid w:val="20736133"/>
    <w:rsid w:val="20747531"/>
    <w:rsid w:val="20781319"/>
    <w:rsid w:val="2079050B"/>
    <w:rsid w:val="207954D8"/>
    <w:rsid w:val="207C699A"/>
    <w:rsid w:val="207C6AEA"/>
    <w:rsid w:val="207D00B5"/>
    <w:rsid w:val="20895491"/>
    <w:rsid w:val="208F4507"/>
    <w:rsid w:val="20927227"/>
    <w:rsid w:val="209570A1"/>
    <w:rsid w:val="209C0B81"/>
    <w:rsid w:val="20A06085"/>
    <w:rsid w:val="20A11305"/>
    <w:rsid w:val="20A11C16"/>
    <w:rsid w:val="20A422EA"/>
    <w:rsid w:val="20A608F6"/>
    <w:rsid w:val="20A8517D"/>
    <w:rsid w:val="20AC4ABE"/>
    <w:rsid w:val="20AE3F7E"/>
    <w:rsid w:val="20AF2E3A"/>
    <w:rsid w:val="20AF3CBC"/>
    <w:rsid w:val="20B42F50"/>
    <w:rsid w:val="20B82A6C"/>
    <w:rsid w:val="20B9370B"/>
    <w:rsid w:val="20BA4079"/>
    <w:rsid w:val="20BB0F67"/>
    <w:rsid w:val="20BB431F"/>
    <w:rsid w:val="20BC3D45"/>
    <w:rsid w:val="20BF3AB2"/>
    <w:rsid w:val="20C20A1D"/>
    <w:rsid w:val="20C31AF0"/>
    <w:rsid w:val="20C3563F"/>
    <w:rsid w:val="20C43C68"/>
    <w:rsid w:val="20C76A40"/>
    <w:rsid w:val="20CA77D1"/>
    <w:rsid w:val="20CC11E2"/>
    <w:rsid w:val="20CC137B"/>
    <w:rsid w:val="20CC7587"/>
    <w:rsid w:val="20CD229F"/>
    <w:rsid w:val="20CF3824"/>
    <w:rsid w:val="20D01B3D"/>
    <w:rsid w:val="20D506B1"/>
    <w:rsid w:val="20DD0832"/>
    <w:rsid w:val="20E14DE9"/>
    <w:rsid w:val="20E22BD6"/>
    <w:rsid w:val="20E56A89"/>
    <w:rsid w:val="20E56C85"/>
    <w:rsid w:val="20EF4CF1"/>
    <w:rsid w:val="20F25F4B"/>
    <w:rsid w:val="20F37D93"/>
    <w:rsid w:val="20FA794F"/>
    <w:rsid w:val="20FB6597"/>
    <w:rsid w:val="20FD57AF"/>
    <w:rsid w:val="21001008"/>
    <w:rsid w:val="21047147"/>
    <w:rsid w:val="210B2297"/>
    <w:rsid w:val="210C1A01"/>
    <w:rsid w:val="210C666D"/>
    <w:rsid w:val="210D0D44"/>
    <w:rsid w:val="210D58D6"/>
    <w:rsid w:val="211E5791"/>
    <w:rsid w:val="211F30BF"/>
    <w:rsid w:val="21233B6B"/>
    <w:rsid w:val="212464EA"/>
    <w:rsid w:val="21275D2F"/>
    <w:rsid w:val="212A5252"/>
    <w:rsid w:val="212C291B"/>
    <w:rsid w:val="21391604"/>
    <w:rsid w:val="21393C31"/>
    <w:rsid w:val="21393F3F"/>
    <w:rsid w:val="213A2E8A"/>
    <w:rsid w:val="213C358A"/>
    <w:rsid w:val="213D3E2A"/>
    <w:rsid w:val="213E1B75"/>
    <w:rsid w:val="213F5EB5"/>
    <w:rsid w:val="21424314"/>
    <w:rsid w:val="21431CCB"/>
    <w:rsid w:val="214B1CBA"/>
    <w:rsid w:val="214D7DF9"/>
    <w:rsid w:val="21563708"/>
    <w:rsid w:val="21590E92"/>
    <w:rsid w:val="215B1522"/>
    <w:rsid w:val="215B2400"/>
    <w:rsid w:val="215E5294"/>
    <w:rsid w:val="21645ED8"/>
    <w:rsid w:val="21652016"/>
    <w:rsid w:val="216759E1"/>
    <w:rsid w:val="216B4829"/>
    <w:rsid w:val="216F13C4"/>
    <w:rsid w:val="2173382E"/>
    <w:rsid w:val="21744BC3"/>
    <w:rsid w:val="217772E8"/>
    <w:rsid w:val="217D328F"/>
    <w:rsid w:val="217F1843"/>
    <w:rsid w:val="21843740"/>
    <w:rsid w:val="21870875"/>
    <w:rsid w:val="218E3C7B"/>
    <w:rsid w:val="2190536C"/>
    <w:rsid w:val="21907090"/>
    <w:rsid w:val="21955A8A"/>
    <w:rsid w:val="2197536B"/>
    <w:rsid w:val="2199002D"/>
    <w:rsid w:val="219C071E"/>
    <w:rsid w:val="21A401A9"/>
    <w:rsid w:val="21A9557C"/>
    <w:rsid w:val="21AF36E3"/>
    <w:rsid w:val="21B236FF"/>
    <w:rsid w:val="21B70B67"/>
    <w:rsid w:val="21B76F57"/>
    <w:rsid w:val="21BF4CC5"/>
    <w:rsid w:val="21C21368"/>
    <w:rsid w:val="21C81C88"/>
    <w:rsid w:val="21C87A0D"/>
    <w:rsid w:val="21CA33A3"/>
    <w:rsid w:val="21CD150E"/>
    <w:rsid w:val="21D67DB1"/>
    <w:rsid w:val="21DA02C0"/>
    <w:rsid w:val="21DC3F77"/>
    <w:rsid w:val="21DC6189"/>
    <w:rsid w:val="21E523D6"/>
    <w:rsid w:val="21EB0DCB"/>
    <w:rsid w:val="21EE3706"/>
    <w:rsid w:val="21EF1A81"/>
    <w:rsid w:val="21F11323"/>
    <w:rsid w:val="21F769AA"/>
    <w:rsid w:val="21F846F6"/>
    <w:rsid w:val="21FB1064"/>
    <w:rsid w:val="22005A7E"/>
    <w:rsid w:val="22063EE6"/>
    <w:rsid w:val="220646A2"/>
    <w:rsid w:val="220B6733"/>
    <w:rsid w:val="220C3643"/>
    <w:rsid w:val="221037D7"/>
    <w:rsid w:val="221154DC"/>
    <w:rsid w:val="22141E5E"/>
    <w:rsid w:val="22146DBF"/>
    <w:rsid w:val="22170701"/>
    <w:rsid w:val="221C7897"/>
    <w:rsid w:val="221D51CE"/>
    <w:rsid w:val="22212D8A"/>
    <w:rsid w:val="22215D77"/>
    <w:rsid w:val="22260346"/>
    <w:rsid w:val="222608A0"/>
    <w:rsid w:val="22273622"/>
    <w:rsid w:val="222B7872"/>
    <w:rsid w:val="222F0B4D"/>
    <w:rsid w:val="2231332F"/>
    <w:rsid w:val="22350AE4"/>
    <w:rsid w:val="22351AE6"/>
    <w:rsid w:val="22353204"/>
    <w:rsid w:val="2237327A"/>
    <w:rsid w:val="22381881"/>
    <w:rsid w:val="223B2FA6"/>
    <w:rsid w:val="223B6F27"/>
    <w:rsid w:val="223E62E2"/>
    <w:rsid w:val="22405476"/>
    <w:rsid w:val="22430026"/>
    <w:rsid w:val="22456DD7"/>
    <w:rsid w:val="22476134"/>
    <w:rsid w:val="224846BB"/>
    <w:rsid w:val="224D2F42"/>
    <w:rsid w:val="224F0A58"/>
    <w:rsid w:val="2251384B"/>
    <w:rsid w:val="22533EEE"/>
    <w:rsid w:val="225804A0"/>
    <w:rsid w:val="2259362A"/>
    <w:rsid w:val="2259762E"/>
    <w:rsid w:val="225C0931"/>
    <w:rsid w:val="22617B2B"/>
    <w:rsid w:val="2265761B"/>
    <w:rsid w:val="22670557"/>
    <w:rsid w:val="22676CB1"/>
    <w:rsid w:val="226E038B"/>
    <w:rsid w:val="226F437A"/>
    <w:rsid w:val="22704557"/>
    <w:rsid w:val="227118BA"/>
    <w:rsid w:val="2271766F"/>
    <w:rsid w:val="22797253"/>
    <w:rsid w:val="227D3254"/>
    <w:rsid w:val="22827AFF"/>
    <w:rsid w:val="2287709C"/>
    <w:rsid w:val="22907AB9"/>
    <w:rsid w:val="2297076D"/>
    <w:rsid w:val="22997329"/>
    <w:rsid w:val="229E008E"/>
    <w:rsid w:val="22A00A67"/>
    <w:rsid w:val="22A12354"/>
    <w:rsid w:val="22A15931"/>
    <w:rsid w:val="22A50288"/>
    <w:rsid w:val="22A75FA6"/>
    <w:rsid w:val="22AA3597"/>
    <w:rsid w:val="22AB28EC"/>
    <w:rsid w:val="22AB522A"/>
    <w:rsid w:val="22AE539A"/>
    <w:rsid w:val="22B174ED"/>
    <w:rsid w:val="22B43E29"/>
    <w:rsid w:val="22B472FF"/>
    <w:rsid w:val="22B619DF"/>
    <w:rsid w:val="22B76767"/>
    <w:rsid w:val="22B934C3"/>
    <w:rsid w:val="22B9556D"/>
    <w:rsid w:val="22B960FA"/>
    <w:rsid w:val="22BF6075"/>
    <w:rsid w:val="22C763B6"/>
    <w:rsid w:val="22C97CE9"/>
    <w:rsid w:val="22CF587D"/>
    <w:rsid w:val="22D41276"/>
    <w:rsid w:val="22D841D5"/>
    <w:rsid w:val="22E004AF"/>
    <w:rsid w:val="22EC5646"/>
    <w:rsid w:val="22EE7D19"/>
    <w:rsid w:val="22EF2040"/>
    <w:rsid w:val="22EF2DEB"/>
    <w:rsid w:val="22F006BE"/>
    <w:rsid w:val="22F26B01"/>
    <w:rsid w:val="22F55894"/>
    <w:rsid w:val="22F603DB"/>
    <w:rsid w:val="22F754AE"/>
    <w:rsid w:val="22FA798F"/>
    <w:rsid w:val="22FB43CD"/>
    <w:rsid w:val="22FE1BA0"/>
    <w:rsid w:val="230239A7"/>
    <w:rsid w:val="23071745"/>
    <w:rsid w:val="230750FD"/>
    <w:rsid w:val="23101079"/>
    <w:rsid w:val="23102A09"/>
    <w:rsid w:val="231139F5"/>
    <w:rsid w:val="2318000D"/>
    <w:rsid w:val="231A2650"/>
    <w:rsid w:val="231A5F45"/>
    <w:rsid w:val="231D03A6"/>
    <w:rsid w:val="231E663E"/>
    <w:rsid w:val="232303A9"/>
    <w:rsid w:val="232C6C05"/>
    <w:rsid w:val="23306766"/>
    <w:rsid w:val="23333275"/>
    <w:rsid w:val="23374F99"/>
    <w:rsid w:val="233872D1"/>
    <w:rsid w:val="233A3FC5"/>
    <w:rsid w:val="233C2D56"/>
    <w:rsid w:val="233C6DAC"/>
    <w:rsid w:val="234161D7"/>
    <w:rsid w:val="2342438F"/>
    <w:rsid w:val="23427C00"/>
    <w:rsid w:val="23455B02"/>
    <w:rsid w:val="23460F94"/>
    <w:rsid w:val="234725D8"/>
    <w:rsid w:val="23493AF3"/>
    <w:rsid w:val="234E4553"/>
    <w:rsid w:val="23540611"/>
    <w:rsid w:val="23582D09"/>
    <w:rsid w:val="235C3E4E"/>
    <w:rsid w:val="2361211D"/>
    <w:rsid w:val="23612FEC"/>
    <w:rsid w:val="23624C1F"/>
    <w:rsid w:val="23684018"/>
    <w:rsid w:val="236D3152"/>
    <w:rsid w:val="236E1050"/>
    <w:rsid w:val="23710C9B"/>
    <w:rsid w:val="23716152"/>
    <w:rsid w:val="23764351"/>
    <w:rsid w:val="23783979"/>
    <w:rsid w:val="23885D35"/>
    <w:rsid w:val="238A7151"/>
    <w:rsid w:val="23912750"/>
    <w:rsid w:val="239142BC"/>
    <w:rsid w:val="23924B55"/>
    <w:rsid w:val="23943985"/>
    <w:rsid w:val="23982F7E"/>
    <w:rsid w:val="239B7ECB"/>
    <w:rsid w:val="23A162AD"/>
    <w:rsid w:val="23A251D6"/>
    <w:rsid w:val="23A37821"/>
    <w:rsid w:val="23A47042"/>
    <w:rsid w:val="23A60979"/>
    <w:rsid w:val="23A866B3"/>
    <w:rsid w:val="23AE37C1"/>
    <w:rsid w:val="23AF530F"/>
    <w:rsid w:val="23AF6E17"/>
    <w:rsid w:val="23B2017D"/>
    <w:rsid w:val="23B26B42"/>
    <w:rsid w:val="23B53A90"/>
    <w:rsid w:val="23B9247A"/>
    <w:rsid w:val="23B9576B"/>
    <w:rsid w:val="23C065F1"/>
    <w:rsid w:val="23C44E7A"/>
    <w:rsid w:val="23C51AC7"/>
    <w:rsid w:val="23C81DC6"/>
    <w:rsid w:val="23C951BC"/>
    <w:rsid w:val="23CA010C"/>
    <w:rsid w:val="23CB2EF0"/>
    <w:rsid w:val="23CC602A"/>
    <w:rsid w:val="23CD63BA"/>
    <w:rsid w:val="23D24E8A"/>
    <w:rsid w:val="23D345F8"/>
    <w:rsid w:val="23D428ED"/>
    <w:rsid w:val="23D5245F"/>
    <w:rsid w:val="23DD0CA0"/>
    <w:rsid w:val="23DD6148"/>
    <w:rsid w:val="23DE0BEA"/>
    <w:rsid w:val="23DF0953"/>
    <w:rsid w:val="23E72F0A"/>
    <w:rsid w:val="23E740F9"/>
    <w:rsid w:val="23E7791C"/>
    <w:rsid w:val="23E816D6"/>
    <w:rsid w:val="23EA47E9"/>
    <w:rsid w:val="23EC367D"/>
    <w:rsid w:val="23EC5BF9"/>
    <w:rsid w:val="23EC6D51"/>
    <w:rsid w:val="23ED1D44"/>
    <w:rsid w:val="23EE63D5"/>
    <w:rsid w:val="23F01166"/>
    <w:rsid w:val="23F054B4"/>
    <w:rsid w:val="23F66CC5"/>
    <w:rsid w:val="23FC3FAF"/>
    <w:rsid w:val="23FD49C8"/>
    <w:rsid w:val="23FD6F77"/>
    <w:rsid w:val="23FF21C9"/>
    <w:rsid w:val="23FF57B8"/>
    <w:rsid w:val="24004561"/>
    <w:rsid w:val="240610CC"/>
    <w:rsid w:val="24070137"/>
    <w:rsid w:val="240C2550"/>
    <w:rsid w:val="240D7465"/>
    <w:rsid w:val="24125323"/>
    <w:rsid w:val="241A001E"/>
    <w:rsid w:val="242006F1"/>
    <w:rsid w:val="24211FB0"/>
    <w:rsid w:val="24254C5E"/>
    <w:rsid w:val="242570E6"/>
    <w:rsid w:val="2426370B"/>
    <w:rsid w:val="24280900"/>
    <w:rsid w:val="242B792F"/>
    <w:rsid w:val="242E4EA3"/>
    <w:rsid w:val="24314037"/>
    <w:rsid w:val="243802F9"/>
    <w:rsid w:val="243A15DF"/>
    <w:rsid w:val="24443260"/>
    <w:rsid w:val="2444755F"/>
    <w:rsid w:val="244903F4"/>
    <w:rsid w:val="244A11CB"/>
    <w:rsid w:val="244B5645"/>
    <w:rsid w:val="244F02A8"/>
    <w:rsid w:val="245230D2"/>
    <w:rsid w:val="24570035"/>
    <w:rsid w:val="245A7115"/>
    <w:rsid w:val="245D071D"/>
    <w:rsid w:val="245E1941"/>
    <w:rsid w:val="245E7794"/>
    <w:rsid w:val="246300E9"/>
    <w:rsid w:val="246530DC"/>
    <w:rsid w:val="24661D0B"/>
    <w:rsid w:val="246652F2"/>
    <w:rsid w:val="24670339"/>
    <w:rsid w:val="246B2AE2"/>
    <w:rsid w:val="246F29D3"/>
    <w:rsid w:val="246F652F"/>
    <w:rsid w:val="247056F2"/>
    <w:rsid w:val="247573DB"/>
    <w:rsid w:val="24765B0F"/>
    <w:rsid w:val="247A094E"/>
    <w:rsid w:val="247B27F7"/>
    <w:rsid w:val="247D5505"/>
    <w:rsid w:val="247D5951"/>
    <w:rsid w:val="248011E4"/>
    <w:rsid w:val="24816262"/>
    <w:rsid w:val="2487702F"/>
    <w:rsid w:val="248777E1"/>
    <w:rsid w:val="249262D1"/>
    <w:rsid w:val="24973590"/>
    <w:rsid w:val="249F39C4"/>
    <w:rsid w:val="24A22383"/>
    <w:rsid w:val="24A23831"/>
    <w:rsid w:val="24A261B0"/>
    <w:rsid w:val="24A733C8"/>
    <w:rsid w:val="24A84B0B"/>
    <w:rsid w:val="24A97C48"/>
    <w:rsid w:val="24AA1E28"/>
    <w:rsid w:val="24B20101"/>
    <w:rsid w:val="24B21937"/>
    <w:rsid w:val="24B24E1B"/>
    <w:rsid w:val="24B307C4"/>
    <w:rsid w:val="24BD1B40"/>
    <w:rsid w:val="24C23B9E"/>
    <w:rsid w:val="24C47C4C"/>
    <w:rsid w:val="24C5232D"/>
    <w:rsid w:val="24CB0C15"/>
    <w:rsid w:val="24CC38DC"/>
    <w:rsid w:val="24CC6D02"/>
    <w:rsid w:val="24CE77F6"/>
    <w:rsid w:val="24CF52A9"/>
    <w:rsid w:val="24CF70F8"/>
    <w:rsid w:val="24D209C3"/>
    <w:rsid w:val="24D71A19"/>
    <w:rsid w:val="24DC3AA4"/>
    <w:rsid w:val="24DC3D3A"/>
    <w:rsid w:val="24E031B3"/>
    <w:rsid w:val="24E309D2"/>
    <w:rsid w:val="24E32AAC"/>
    <w:rsid w:val="24E36F94"/>
    <w:rsid w:val="24E65BE0"/>
    <w:rsid w:val="24E66E47"/>
    <w:rsid w:val="24F219B1"/>
    <w:rsid w:val="24F577D5"/>
    <w:rsid w:val="24F814B7"/>
    <w:rsid w:val="24FA40DF"/>
    <w:rsid w:val="24FE1B32"/>
    <w:rsid w:val="25027E34"/>
    <w:rsid w:val="250973C9"/>
    <w:rsid w:val="250A425E"/>
    <w:rsid w:val="251219EA"/>
    <w:rsid w:val="251865F1"/>
    <w:rsid w:val="251A1D8D"/>
    <w:rsid w:val="251A5415"/>
    <w:rsid w:val="251C4B01"/>
    <w:rsid w:val="251E0581"/>
    <w:rsid w:val="252958D2"/>
    <w:rsid w:val="252B64BA"/>
    <w:rsid w:val="25315B9C"/>
    <w:rsid w:val="25347E7C"/>
    <w:rsid w:val="2535758F"/>
    <w:rsid w:val="253907E7"/>
    <w:rsid w:val="253E01C2"/>
    <w:rsid w:val="253F2B1A"/>
    <w:rsid w:val="254A3FFE"/>
    <w:rsid w:val="254F010E"/>
    <w:rsid w:val="25551476"/>
    <w:rsid w:val="25567F37"/>
    <w:rsid w:val="25596342"/>
    <w:rsid w:val="255F2B94"/>
    <w:rsid w:val="25631790"/>
    <w:rsid w:val="256C5A37"/>
    <w:rsid w:val="2573537A"/>
    <w:rsid w:val="25735537"/>
    <w:rsid w:val="25741EA4"/>
    <w:rsid w:val="257A2B1C"/>
    <w:rsid w:val="257E2E43"/>
    <w:rsid w:val="2582273C"/>
    <w:rsid w:val="258815E8"/>
    <w:rsid w:val="258D0F26"/>
    <w:rsid w:val="2590320C"/>
    <w:rsid w:val="25931976"/>
    <w:rsid w:val="25991378"/>
    <w:rsid w:val="25993AB2"/>
    <w:rsid w:val="259F7422"/>
    <w:rsid w:val="25A042A0"/>
    <w:rsid w:val="25A1483C"/>
    <w:rsid w:val="25A36F43"/>
    <w:rsid w:val="25A660B0"/>
    <w:rsid w:val="25A6689F"/>
    <w:rsid w:val="25A86406"/>
    <w:rsid w:val="25A91B6F"/>
    <w:rsid w:val="25AA30A5"/>
    <w:rsid w:val="25AB2762"/>
    <w:rsid w:val="25AC2A7E"/>
    <w:rsid w:val="25AE0D65"/>
    <w:rsid w:val="25B252DB"/>
    <w:rsid w:val="25B31D1F"/>
    <w:rsid w:val="25B75A13"/>
    <w:rsid w:val="25BF0868"/>
    <w:rsid w:val="25C36A3B"/>
    <w:rsid w:val="25C74EB3"/>
    <w:rsid w:val="25C82806"/>
    <w:rsid w:val="25C872E7"/>
    <w:rsid w:val="25CE3AE9"/>
    <w:rsid w:val="25CF2BE6"/>
    <w:rsid w:val="25D0794C"/>
    <w:rsid w:val="25D15A7C"/>
    <w:rsid w:val="25D84351"/>
    <w:rsid w:val="25DE634C"/>
    <w:rsid w:val="25E12B29"/>
    <w:rsid w:val="25E66427"/>
    <w:rsid w:val="25E67CE8"/>
    <w:rsid w:val="25E851F5"/>
    <w:rsid w:val="25EA4688"/>
    <w:rsid w:val="25EB3582"/>
    <w:rsid w:val="25EB4EF9"/>
    <w:rsid w:val="25F12DC4"/>
    <w:rsid w:val="25F76F6E"/>
    <w:rsid w:val="25F850D6"/>
    <w:rsid w:val="25F96224"/>
    <w:rsid w:val="25FA1F57"/>
    <w:rsid w:val="25FD7BC1"/>
    <w:rsid w:val="26050FF3"/>
    <w:rsid w:val="26070CFC"/>
    <w:rsid w:val="260D4052"/>
    <w:rsid w:val="26126AF4"/>
    <w:rsid w:val="2613096B"/>
    <w:rsid w:val="26142419"/>
    <w:rsid w:val="261524D6"/>
    <w:rsid w:val="26163F51"/>
    <w:rsid w:val="261873E8"/>
    <w:rsid w:val="261A63D3"/>
    <w:rsid w:val="261B12AD"/>
    <w:rsid w:val="261C29AA"/>
    <w:rsid w:val="262030E5"/>
    <w:rsid w:val="26212BB1"/>
    <w:rsid w:val="262226EE"/>
    <w:rsid w:val="26241D9E"/>
    <w:rsid w:val="262535B9"/>
    <w:rsid w:val="262815D1"/>
    <w:rsid w:val="262A412C"/>
    <w:rsid w:val="262B7C44"/>
    <w:rsid w:val="262C4814"/>
    <w:rsid w:val="263527CB"/>
    <w:rsid w:val="26363EBE"/>
    <w:rsid w:val="26376601"/>
    <w:rsid w:val="263E3072"/>
    <w:rsid w:val="264361FA"/>
    <w:rsid w:val="2647243E"/>
    <w:rsid w:val="2647454D"/>
    <w:rsid w:val="264C21E5"/>
    <w:rsid w:val="264C748B"/>
    <w:rsid w:val="2654394B"/>
    <w:rsid w:val="265956E8"/>
    <w:rsid w:val="265A76B8"/>
    <w:rsid w:val="265B72F4"/>
    <w:rsid w:val="26603388"/>
    <w:rsid w:val="26627F24"/>
    <w:rsid w:val="2663133F"/>
    <w:rsid w:val="266320C3"/>
    <w:rsid w:val="266442EC"/>
    <w:rsid w:val="26691F10"/>
    <w:rsid w:val="266A4113"/>
    <w:rsid w:val="266D4267"/>
    <w:rsid w:val="266E263B"/>
    <w:rsid w:val="26720559"/>
    <w:rsid w:val="26760EB9"/>
    <w:rsid w:val="267651BE"/>
    <w:rsid w:val="267B21A4"/>
    <w:rsid w:val="267C2509"/>
    <w:rsid w:val="267F1F60"/>
    <w:rsid w:val="268427FE"/>
    <w:rsid w:val="268761A8"/>
    <w:rsid w:val="268A4F7D"/>
    <w:rsid w:val="26902B51"/>
    <w:rsid w:val="269548BE"/>
    <w:rsid w:val="26964247"/>
    <w:rsid w:val="26A17A5B"/>
    <w:rsid w:val="26A34330"/>
    <w:rsid w:val="26A37F29"/>
    <w:rsid w:val="26A5420E"/>
    <w:rsid w:val="26A80CBB"/>
    <w:rsid w:val="26AF4CFC"/>
    <w:rsid w:val="26B055BF"/>
    <w:rsid w:val="26B20700"/>
    <w:rsid w:val="26C101D1"/>
    <w:rsid w:val="26C15CF3"/>
    <w:rsid w:val="26C21F9E"/>
    <w:rsid w:val="26C24727"/>
    <w:rsid w:val="26C70F3A"/>
    <w:rsid w:val="26C86493"/>
    <w:rsid w:val="26C92FDB"/>
    <w:rsid w:val="26CC7C41"/>
    <w:rsid w:val="26CE75E0"/>
    <w:rsid w:val="26CF2DE0"/>
    <w:rsid w:val="26D54DD4"/>
    <w:rsid w:val="26D65AB1"/>
    <w:rsid w:val="26D97A67"/>
    <w:rsid w:val="26DC3704"/>
    <w:rsid w:val="26DD1953"/>
    <w:rsid w:val="26DD5EB5"/>
    <w:rsid w:val="26DE3F18"/>
    <w:rsid w:val="26DF3FDF"/>
    <w:rsid w:val="26E17F4C"/>
    <w:rsid w:val="26E35F43"/>
    <w:rsid w:val="26E55AF2"/>
    <w:rsid w:val="26E93064"/>
    <w:rsid w:val="26EB5E94"/>
    <w:rsid w:val="26ED538A"/>
    <w:rsid w:val="26ED6981"/>
    <w:rsid w:val="26F02945"/>
    <w:rsid w:val="26F13156"/>
    <w:rsid w:val="26F22A41"/>
    <w:rsid w:val="26F60B4C"/>
    <w:rsid w:val="26F65F69"/>
    <w:rsid w:val="26F66E5C"/>
    <w:rsid w:val="26F94EF0"/>
    <w:rsid w:val="26FE2F4E"/>
    <w:rsid w:val="26FF5721"/>
    <w:rsid w:val="27004440"/>
    <w:rsid w:val="27067F5C"/>
    <w:rsid w:val="2707799A"/>
    <w:rsid w:val="27094B79"/>
    <w:rsid w:val="270F5057"/>
    <w:rsid w:val="27154691"/>
    <w:rsid w:val="27157E0A"/>
    <w:rsid w:val="27181976"/>
    <w:rsid w:val="271844D5"/>
    <w:rsid w:val="2719680B"/>
    <w:rsid w:val="271A7ED8"/>
    <w:rsid w:val="272036CA"/>
    <w:rsid w:val="27222A05"/>
    <w:rsid w:val="27233CC4"/>
    <w:rsid w:val="27260FA4"/>
    <w:rsid w:val="2728280B"/>
    <w:rsid w:val="27283EA0"/>
    <w:rsid w:val="27295DAF"/>
    <w:rsid w:val="273015AF"/>
    <w:rsid w:val="273140A4"/>
    <w:rsid w:val="273C100C"/>
    <w:rsid w:val="273E22EF"/>
    <w:rsid w:val="273E46C9"/>
    <w:rsid w:val="273F3EF0"/>
    <w:rsid w:val="274E4B21"/>
    <w:rsid w:val="275035C1"/>
    <w:rsid w:val="2750719A"/>
    <w:rsid w:val="27516031"/>
    <w:rsid w:val="275433B6"/>
    <w:rsid w:val="275714F8"/>
    <w:rsid w:val="275715BE"/>
    <w:rsid w:val="27584162"/>
    <w:rsid w:val="275A51BF"/>
    <w:rsid w:val="275D176E"/>
    <w:rsid w:val="275E1439"/>
    <w:rsid w:val="275E25EC"/>
    <w:rsid w:val="27624B8C"/>
    <w:rsid w:val="2763731F"/>
    <w:rsid w:val="276A0B00"/>
    <w:rsid w:val="276B5FB7"/>
    <w:rsid w:val="276C005F"/>
    <w:rsid w:val="277E060D"/>
    <w:rsid w:val="27836156"/>
    <w:rsid w:val="2784352C"/>
    <w:rsid w:val="27893FCB"/>
    <w:rsid w:val="27922A1D"/>
    <w:rsid w:val="279362E9"/>
    <w:rsid w:val="279965F7"/>
    <w:rsid w:val="279C030E"/>
    <w:rsid w:val="279F4545"/>
    <w:rsid w:val="27A61DE6"/>
    <w:rsid w:val="27AB730E"/>
    <w:rsid w:val="27B12057"/>
    <w:rsid w:val="27B17374"/>
    <w:rsid w:val="27B22E04"/>
    <w:rsid w:val="27B50245"/>
    <w:rsid w:val="27B52FDB"/>
    <w:rsid w:val="27B91679"/>
    <w:rsid w:val="27B926C8"/>
    <w:rsid w:val="27BA1FB2"/>
    <w:rsid w:val="27BB0D52"/>
    <w:rsid w:val="27BD5803"/>
    <w:rsid w:val="27C14264"/>
    <w:rsid w:val="27C50EA6"/>
    <w:rsid w:val="27D0339D"/>
    <w:rsid w:val="27D24685"/>
    <w:rsid w:val="27D41C58"/>
    <w:rsid w:val="27D569A4"/>
    <w:rsid w:val="27D74263"/>
    <w:rsid w:val="27DA270E"/>
    <w:rsid w:val="27DD675E"/>
    <w:rsid w:val="27E34F10"/>
    <w:rsid w:val="27E82215"/>
    <w:rsid w:val="27EC5347"/>
    <w:rsid w:val="27EC70AF"/>
    <w:rsid w:val="28012DB6"/>
    <w:rsid w:val="280627EE"/>
    <w:rsid w:val="28154F8F"/>
    <w:rsid w:val="28157345"/>
    <w:rsid w:val="281766D3"/>
    <w:rsid w:val="2819430C"/>
    <w:rsid w:val="281953DB"/>
    <w:rsid w:val="281A5A15"/>
    <w:rsid w:val="281C1CA8"/>
    <w:rsid w:val="281F2DFF"/>
    <w:rsid w:val="28281CDE"/>
    <w:rsid w:val="282C4737"/>
    <w:rsid w:val="28305808"/>
    <w:rsid w:val="28313091"/>
    <w:rsid w:val="28323F85"/>
    <w:rsid w:val="283636DB"/>
    <w:rsid w:val="283737F3"/>
    <w:rsid w:val="28375DC6"/>
    <w:rsid w:val="283A76CB"/>
    <w:rsid w:val="283C5250"/>
    <w:rsid w:val="283D2D46"/>
    <w:rsid w:val="283E09D1"/>
    <w:rsid w:val="283E2A16"/>
    <w:rsid w:val="28402A79"/>
    <w:rsid w:val="28406391"/>
    <w:rsid w:val="28411916"/>
    <w:rsid w:val="28420833"/>
    <w:rsid w:val="2844469D"/>
    <w:rsid w:val="28444F9C"/>
    <w:rsid w:val="284640D1"/>
    <w:rsid w:val="28595977"/>
    <w:rsid w:val="285A102B"/>
    <w:rsid w:val="285C1CDD"/>
    <w:rsid w:val="285E4DC9"/>
    <w:rsid w:val="28614943"/>
    <w:rsid w:val="2861535A"/>
    <w:rsid w:val="286340B6"/>
    <w:rsid w:val="28667791"/>
    <w:rsid w:val="286678E0"/>
    <w:rsid w:val="28677315"/>
    <w:rsid w:val="28681641"/>
    <w:rsid w:val="286968B0"/>
    <w:rsid w:val="286B6E0E"/>
    <w:rsid w:val="286C7DD4"/>
    <w:rsid w:val="286E377B"/>
    <w:rsid w:val="286F1467"/>
    <w:rsid w:val="28716179"/>
    <w:rsid w:val="287271BE"/>
    <w:rsid w:val="28750350"/>
    <w:rsid w:val="287A3DF2"/>
    <w:rsid w:val="287C6E0B"/>
    <w:rsid w:val="287C784A"/>
    <w:rsid w:val="28821D99"/>
    <w:rsid w:val="28832EA3"/>
    <w:rsid w:val="288527C5"/>
    <w:rsid w:val="288A5A00"/>
    <w:rsid w:val="28911779"/>
    <w:rsid w:val="2897556D"/>
    <w:rsid w:val="28984FA8"/>
    <w:rsid w:val="2899170C"/>
    <w:rsid w:val="28A22E34"/>
    <w:rsid w:val="28A32C4B"/>
    <w:rsid w:val="28A70D2E"/>
    <w:rsid w:val="28AC0E3D"/>
    <w:rsid w:val="28B507C7"/>
    <w:rsid w:val="28C051B7"/>
    <w:rsid w:val="28C323F1"/>
    <w:rsid w:val="28C606A3"/>
    <w:rsid w:val="28C834DA"/>
    <w:rsid w:val="28C86566"/>
    <w:rsid w:val="28CC4EBF"/>
    <w:rsid w:val="28CE6CF9"/>
    <w:rsid w:val="28D27E89"/>
    <w:rsid w:val="28D667D9"/>
    <w:rsid w:val="28D94CD3"/>
    <w:rsid w:val="28E73C19"/>
    <w:rsid w:val="28EB195D"/>
    <w:rsid w:val="28EC1E10"/>
    <w:rsid w:val="28EE0204"/>
    <w:rsid w:val="28EF6180"/>
    <w:rsid w:val="28F13B21"/>
    <w:rsid w:val="28F866D6"/>
    <w:rsid w:val="28F9383B"/>
    <w:rsid w:val="28FC72DF"/>
    <w:rsid w:val="28FD65DD"/>
    <w:rsid w:val="28FE48B0"/>
    <w:rsid w:val="29015BC3"/>
    <w:rsid w:val="2904038A"/>
    <w:rsid w:val="29040EFE"/>
    <w:rsid w:val="2907473E"/>
    <w:rsid w:val="29075D9C"/>
    <w:rsid w:val="290D5B56"/>
    <w:rsid w:val="290E2A0A"/>
    <w:rsid w:val="29106448"/>
    <w:rsid w:val="29122B45"/>
    <w:rsid w:val="29142AEB"/>
    <w:rsid w:val="29177EC9"/>
    <w:rsid w:val="291B78E1"/>
    <w:rsid w:val="291D1926"/>
    <w:rsid w:val="291F58FE"/>
    <w:rsid w:val="292370B2"/>
    <w:rsid w:val="2924356D"/>
    <w:rsid w:val="29261BB4"/>
    <w:rsid w:val="292A3431"/>
    <w:rsid w:val="292C6CB2"/>
    <w:rsid w:val="29333A93"/>
    <w:rsid w:val="29340D1B"/>
    <w:rsid w:val="29354D30"/>
    <w:rsid w:val="293572BB"/>
    <w:rsid w:val="293B49CF"/>
    <w:rsid w:val="293E2205"/>
    <w:rsid w:val="294139AF"/>
    <w:rsid w:val="29456BEB"/>
    <w:rsid w:val="294F5E90"/>
    <w:rsid w:val="2954533E"/>
    <w:rsid w:val="295D4246"/>
    <w:rsid w:val="296268A5"/>
    <w:rsid w:val="29645131"/>
    <w:rsid w:val="29653106"/>
    <w:rsid w:val="29671B66"/>
    <w:rsid w:val="296D75C4"/>
    <w:rsid w:val="297133BE"/>
    <w:rsid w:val="29736DA4"/>
    <w:rsid w:val="29773A4F"/>
    <w:rsid w:val="29805D58"/>
    <w:rsid w:val="2981727F"/>
    <w:rsid w:val="298709B2"/>
    <w:rsid w:val="29881F42"/>
    <w:rsid w:val="298A3E18"/>
    <w:rsid w:val="298A4F4B"/>
    <w:rsid w:val="298B0BDF"/>
    <w:rsid w:val="29900017"/>
    <w:rsid w:val="29910796"/>
    <w:rsid w:val="29A547A1"/>
    <w:rsid w:val="29A92D01"/>
    <w:rsid w:val="29AC434C"/>
    <w:rsid w:val="29AF4F82"/>
    <w:rsid w:val="29B075FC"/>
    <w:rsid w:val="29B178B6"/>
    <w:rsid w:val="29BC50B6"/>
    <w:rsid w:val="29BD0D6E"/>
    <w:rsid w:val="29C2045A"/>
    <w:rsid w:val="29C352DA"/>
    <w:rsid w:val="29C37B8E"/>
    <w:rsid w:val="29C509CF"/>
    <w:rsid w:val="29C537F6"/>
    <w:rsid w:val="29C56BF1"/>
    <w:rsid w:val="29C64323"/>
    <w:rsid w:val="29CB0D7D"/>
    <w:rsid w:val="29CC2B38"/>
    <w:rsid w:val="29CD79FB"/>
    <w:rsid w:val="29D03DB0"/>
    <w:rsid w:val="29D05095"/>
    <w:rsid w:val="29D07453"/>
    <w:rsid w:val="29D42BC4"/>
    <w:rsid w:val="29D55F69"/>
    <w:rsid w:val="29DB24F4"/>
    <w:rsid w:val="29DC6B14"/>
    <w:rsid w:val="29E04CF7"/>
    <w:rsid w:val="29E23E92"/>
    <w:rsid w:val="29E5579C"/>
    <w:rsid w:val="29E55950"/>
    <w:rsid w:val="29E653DA"/>
    <w:rsid w:val="29E70B70"/>
    <w:rsid w:val="29E766F2"/>
    <w:rsid w:val="29E819EC"/>
    <w:rsid w:val="29E81AF4"/>
    <w:rsid w:val="29EA128F"/>
    <w:rsid w:val="29EB69ED"/>
    <w:rsid w:val="29EF3C6E"/>
    <w:rsid w:val="29F90041"/>
    <w:rsid w:val="2A0562FC"/>
    <w:rsid w:val="2A0762A0"/>
    <w:rsid w:val="2A0851E6"/>
    <w:rsid w:val="2A0F71E7"/>
    <w:rsid w:val="2A151822"/>
    <w:rsid w:val="2A242FC1"/>
    <w:rsid w:val="2A24635C"/>
    <w:rsid w:val="2A266A43"/>
    <w:rsid w:val="2A286F21"/>
    <w:rsid w:val="2A2A642D"/>
    <w:rsid w:val="2A2C6C70"/>
    <w:rsid w:val="2A2F6AFB"/>
    <w:rsid w:val="2A300977"/>
    <w:rsid w:val="2A322FAB"/>
    <w:rsid w:val="2A382DB3"/>
    <w:rsid w:val="2A3C212D"/>
    <w:rsid w:val="2A3C2BC2"/>
    <w:rsid w:val="2A3D2CC4"/>
    <w:rsid w:val="2A3F4068"/>
    <w:rsid w:val="2A4222ED"/>
    <w:rsid w:val="2A4532BA"/>
    <w:rsid w:val="2A474672"/>
    <w:rsid w:val="2A4B5844"/>
    <w:rsid w:val="2A4B78F9"/>
    <w:rsid w:val="2A4F430E"/>
    <w:rsid w:val="2A5541A1"/>
    <w:rsid w:val="2A590803"/>
    <w:rsid w:val="2A5F0018"/>
    <w:rsid w:val="2A6428AE"/>
    <w:rsid w:val="2A66157A"/>
    <w:rsid w:val="2A6B2097"/>
    <w:rsid w:val="2A6B4FFB"/>
    <w:rsid w:val="2A6B6166"/>
    <w:rsid w:val="2A775DC1"/>
    <w:rsid w:val="2A812497"/>
    <w:rsid w:val="2A8753F3"/>
    <w:rsid w:val="2A894BB7"/>
    <w:rsid w:val="2A8B6785"/>
    <w:rsid w:val="2A8E1E98"/>
    <w:rsid w:val="2A8E6A50"/>
    <w:rsid w:val="2A964C05"/>
    <w:rsid w:val="2A965D4D"/>
    <w:rsid w:val="2A9A34CE"/>
    <w:rsid w:val="2A9C76E5"/>
    <w:rsid w:val="2A9F3E67"/>
    <w:rsid w:val="2AA0255C"/>
    <w:rsid w:val="2AA33B0F"/>
    <w:rsid w:val="2AA740C7"/>
    <w:rsid w:val="2AA764F2"/>
    <w:rsid w:val="2AA87366"/>
    <w:rsid w:val="2AAA25CF"/>
    <w:rsid w:val="2AAA5DC9"/>
    <w:rsid w:val="2AAC493A"/>
    <w:rsid w:val="2AAF1A62"/>
    <w:rsid w:val="2AB07E0C"/>
    <w:rsid w:val="2AB27B72"/>
    <w:rsid w:val="2AB36CBF"/>
    <w:rsid w:val="2AB4078C"/>
    <w:rsid w:val="2AB65E30"/>
    <w:rsid w:val="2AB669A1"/>
    <w:rsid w:val="2ABF4D53"/>
    <w:rsid w:val="2ABF720F"/>
    <w:rsid w:val="2AC56618"/>
    <w:rsid w:val="2AC760B5"/>
    <w:rsid w:val="2ACA7334"/>
    <w:rsid w:val="2ACC3411"/>
    <w:rsid w:val="2AD04297"/>
    <w:rsid w:val="2AD3559F"/>
    <w:rsid w:val="2AD37F2B"/>
    <w:rsid w:val="2AD50EDE"/>
    <w:rsid w:val="2AD57991"/>
    <w:rsid w:val="2AD81CD3"/>
    <w:rsid w:val="2AD87A3C"/>
    <w:rsid w:val="2AD9224E"/>
    <w:rsid w:val="2AD92C3B"/>
    <w:rsid w:val="2AD943AC"/>
    <w:rsid w:val="2ADC6A72"/>
    <w:rsid w:val="2ADC6AA2"/>
    <w:rsid w:val="2ADD5651"/>
    <w:rsid w:val="2AE17A5A"/>
    <w:rsid w:val="2AE31DFB"/>
    <w:rsid w:val="2AE91B7E"/>
    <w:rsid w:val="2AEB358D"/>
    <w:rsid w:val="2AED7A0A"/>
    <w:rsid w:val="2AF1727B"/>
    <w:rsid w:val="2AF70DEC"/>
    <w:rsid w:val="2AFA0683"/>
    <w:rsid w:val="2AFB6AD7"/>
    <w:rsid w:val="2AFD0F23"/>
    <w:rsid w:val="2B057979"/>
    <w:rsid w:val="2B0A5203"/>
    <w:rsid w:val="2B122BE7"/>
    <w:rsid w:val="2B141FC1"/>
    <w:rsid w:val="2B1A3FBA"/>
    <w:rsid w:val="2B1E068E"/>
    <w:rsid w:val="2B224468"/>
    <w:rsid w:val="2B224602"/>
    <w:rsid w:val="2B293D57"/>
    <w:rsid w:val="2B2A0880"/>
    <w:rsid w:val="2B2C7B6A"/>
    <w:rsid w:val="2B300EE0"/>
    <w:rsid w:val="2B304247"/>
    <w:rsid w:val="2B345ED6"/>
    <w:rsid w:val="2B3C44BD"/>
    <w:rsid w:val="2B3D301C"/>
    <w:rsid w:val="2B421C5C"/>
    <w:rsid w:val="2B445AC4"/>
    <w:rsid w:val="2B454985"/>
    <w:rsid w:val="2B4A6A4A"/>
    <w:rsid w:val="2B4C3237"/>
    <w:rsid w:val="2B4E7BF8"/>
    <w:rsid w:val="2B532E2F"/>
    <w:rsid w:val="2B533C10"/>
    <w:rsid w:val="2B575826"/>
    <w:rsid w:val="2B5C659D"/>
    <w:rsid w:val="2B607982"/>
    <w:rsid w:val="2B624521"/>
    <w:rsid w:val="2B663DB9"/>
    <w:rsid w:val="2B693924"/>
    <w:rsid w:val="2B6968FC"/>
    <w:rsid w:val="2B697B04"/>
    <w:rsid w:val="2B6A31EF"/>
    <w:rsid w:val="2B6C15D8"/>
    <w:rsid w:val="2B6C37AC"/>
    <w:rsid w:val="2B6F6447"/>
    <w:rsid w:val="2B727FCA"/>
    <w:rsid w:val="2B7358C9"/>
    <w:rsid w:val="2B7731B6"/>
    <w:rsid w:val="2B77478A"/>
    <w:rsid w:val="2B7A2395"/>
    <w:rsid w:val="2B7F53BA"/>
    <w:rsid w:val="2B810E50"/>
    <w:rsid w:val="2B845C38"/>
    <w:rsid w:val="2B8570C1"/>
    <w:rsid w:val="2B8D3704"/>
    <w:rsid w:val="2B8D5A40"/>
    <w:rsid w:val="2B906B4A"/>
    <w:rsid w:val="2B935139"/>
    <w:rsid w:val="2B9C31BE"/>
    <w:rsid w:val="2BA05B14"/>
    <w:rsid w:val="2BA67510"/>
    <w:rsid w:val="2BA86161"/>
    <w:rsid w:val="2BA935EC"/>
    <w:rsid w:val="2BB071CF"/>
    <w:rsid w:val="2BB43A1B"/>
    <w:rsid w:val="2BB62C95"/>
    <w:rsid w:val="2BB975A8"/>
    <w:rsid w:val="2BBA6164"/>
    <w:rsid w:val="2BC44154"/>
    <w:rsid w:val="2BC955FF"/>
    <w:rsid w:val="2BCF0276"/>
    <w:rsid w:val="2BD7177D"/>
    <w:rsid w:val="2BDC72D7"/>
    <w:rsid w:val="2BDD0222"/>
    <w:rsid w:val="2BE36EF1"/>
    <w:rsid w:val="2BE4104D"/>
    <w:rsid w:val="2BE50AE3"/>
    <w:rsid w:val="2BE5605D"/>
    <w:rsid w:val="2BE93062"/>
    <w:rsid w:val="2BED1379"/>
    <w:rsid w:val="2BED5A27"/>
    <w:rsid w:val="2BED7A86"/>
    <w:rsid w:val="2BF01152"/>
    <w:rsid w:val="2BF2138D"/>
    <w:rsid w:val="2BF23A62"/>
    <w:rsid w:val="2BF24754"/>
    <w:rsid w:val="2BF37211"/>
    <w:rsid w:val="2BF57FA7"/>
    <w:rsid w:val="2BF91168"/>
    <w:rsid w:val="2BFB5D06"/>
    <w:rsid w:val="2BFC4E55"/>
    <w:rsid w:val="2BFE3360"/>
    <w:rsid w:val="2C08608F"/>
    <w:rsid w:val="2C0E2E2D"/>
    <w:rsid w:val="2C121305"/>
    <w:rsid w:val="2C1F4CDE"/>
    <w:rsid w:val="2C230FED"/>
    <w:rsid w:val="2C2366CD"/>
    <w:rsid w:val="2C2438E3"/>
    <w:rsid w:val="2C264DC4"/>
    <w:rsid w:val="2C2D3C0F"/>
    <w:rsid w:val="2C2E4C18"/>
    <w:rsid w:val="2C2F2159"/>
    <w:rsid w:val="2C314B44"/>
    <w:rsid w:val="2C3233AF"/>
    <w:rsid w:val="2C3355B0"/>
    <w:rsid w:val="2C355001"/>
    <w:rsid w:val="2C3568EE"/>
    <w:rsid w:val="2C3A5D39"/>
    <w:rsid w:val="2C3C3E88"/>
    <w:rsid w:val="2C3F3F83"/>
    <w:rsid w:val="2C42759A"/>
    <w:rsid w:val="2C431F80"/>
    <w:rsid w:val="2C4958B7"/>
    <w:rsid w:val="2C4B623F"/>
    <w:rsid w:val="2C4D51B6"/>
    <w:rsid w:val="2C542C24"/>
    <w:rsid w:val="2C5442B8"/>
    <w:rsid w:val="2C5951D9"/>
    <w:rsid w:val="2C596FCF"/>
    <w:rsid w:val="2C5A5C0F"/>
    <w:rsid w:val="2C5B59FA"/>
    <w:rsid w:val="2C680A59"/>
    <w:rsid w:val="2C74042B"/>
    <w:rsid w:val="2C792B2E"/>
    <w:rsid w:val="2C7C1CF9"/>
    <w:rsid w:val="2C7C7F45"/>
    <w:rsid w:val="2C802D8B"/>
    <w:rsid w:val="2C864B24"/>
    <w:rsid w:val="2C8C39F6"/>
    <w:rsid w:val="2C907E5A"/>
    <w:rsid w:val="2C936D28"/>
    <w:rsid w:val="2C9446CF"/>
    <w:rsid w:val="2C9566DE"/>
    <w:rsid w:val="2C991707"/>
    <w:rsid w:val="2C9A250C"/>
    <w:rsid w:val="2C9D15B1"/>
    <w:rsid w:val="2CA06B1F"/>
    <w:rsid w:val="2CA4477B"/>
    <w:rsid w:val="2CA455D9"/>
    <w:rsid w:val="2CA541AD"/>
    <w:rsid w:val="2CA60F5C"/>
    <w:rsid w:val="2CAA335A"/>
    <w:rsid w:val="2CB2028A"/>
    <w:rsid w:val="2CB919E8"/>
    <w:rsid w:val="2CBE4CE6"/>
    <w:rsid w:val="2CBE77F5"/>
    <w:rsid w:val="2CBF1683"/>
    <w:rsid w:val="2CC22AE0"/>
    <w:rsid w:val="2CC33142"/>
    <w:rsid w:val="2CC674B9"/>
    <w:rsid w:val="2CC92232"/>
    <w:rsid w:val="2CC97432"/>
    <w:rsid w:val="2CCE672A"/>
    <w:rsid w:val="2CD61861"/>
    <w:rsid w:val="2CD71C68"/>
    <w:rsid w:val="2CD77F5F"/>
    <w:rsid w:val="2CDE2D64"/>
    <w:rsid w:val="2CE07390"/>
    <w:rsid w:val="2CE150AA"/>
    <w:rsid w:val="2CE23D2C"/>
    <w:rsid w:val="2CE271C7"/>
    <w:rsid w:val="2CE94294"/>
    <w:rsid w:val="2CEF5203"/>
    <w:rsid w:val="2CF17A3A"/>
    <w:rsid w:val="2CF35EA9"/>
    <w:rsid w:val="2CF6183D"/>
    <w:rsid w:val="2CF64194"/>
    <w:rsid w:val="2CF87201"/>
    <w:rsid w:val="2CFA3408"/>
    <w:rsid w:val="2CFE0483"/>
    <w:rsid w:val="2CFF206B"/>
    <w:rsid w:val="2CFF4BF4"/>
    <w:rsid w:val="2D021528"/>
    <w:rsid w:val="2D0B3419"/>
    <w:rsid w:val="2D0B5679"/>
    <w:rsid w:val="2D0B7308"/>
    <w:rsid w:val="2D0C0F7A"/>
    <w:rsid w:val="2D0F4509"/>
    <w:rsid w:val="2D143119"/>
    <w:rsid w:val="2D17300D"/>
    <w:rsid w:val="2D174D67"/>
    <w:rsid w:val="2D1A7065"/>
    <w:rsid w:val="2D1C3B2D"/>
    <w:rsid w:val="2D1D7793"/>
    <w:rsid w:val="2D1E2A35"/>
    <w:rsid w:val="2D20451A"/>
    <w:rsid w:val="2D232970"/>
    <w:rsid w:val="2D272CBD"/>
    <w:rsid w:val="2D2E23A8"/>
    <w:rsid w:val="2D41525F"/>
    <w:rsid w:val="2D427D48"/>
    <w:rsid w:val="2D432D90"/>
    <w:rsid w:val="2D46381B"/>
    <w:rsid w:val="2D4B797B"/>
    <w:rsid w:val="2D504829"/>
    <w:rsid w:val="2D53643D"/>
    <w:rsid w:val="2D542766"/>
    <w:rsid w:val="2D546C0A"/>
    <w:rsid w:val="2D57413E"/>
    <w:rsid w:val="2D5868DF"/>
    <w:rsid w:val="2D5D4FAB"/>
    <w:rsid w:val="2D5F23CF"/>
    <w:rsid w:val="2D613012"/>
    <w:rsid w:val="2D6140EA"/>
    <w:rsid w:val="2D634184"/>
    <w:rsid w:val="2D655669"/>
    <w:rsid w:val="2D661F0D"/>
    <w:rsid w:val="2D665602"/>
    <w:rsid w:val="2D6A7DF3"/>
    <w:rsid w:val="2D6B308B"/>
    <w:rsid w:val="2D727E0A"/>
    <w:rsid w:val="2D7D257B"/>
    <w:rsid w:val="2D824EF3"/>
    <w:rsid w:val="2D8779D8"/>
    <w:rsid w:val="2D880C73"/>
    <w:rsid w:val="2D886ACB"/>
    <w:rsid w:val="2D8A669A"/>
    <w:rsid w:val="2D8A733B"/>
    <w:rsid w:val="2D8E3E82"/>
    <w:rsid w:val="2D9042F7"/>
    <w:rsid w:val="2D905DFE"/>
    <w:rsid w:val="2D921772"/>
    <w:rsid w:val="2D935F2B"/>
    <w:rsid w:val="2D96275E"/>
    <w:rsid w:val="2D962E99"/>
    <w:rsid w:val="2D997782"/>
    <w:rsid w:val="2D9E215D"/>
    <w:rsid w:val="2DA27501"/>
    <w:rsid w:val="2DA53476"/>
    <w:rsid w:val="2DA71B88"/>
    <w:rsid w:val="2DA912D8"/>
    <w:rsid w:val="2DB23A58"/>
    <w:rsid w:val="2DB53D20"/>
    <w:rsid w:val="2DB86033"/>
    <w:rsid w:val="2DB97C67"/>
    <w:rsid w:val="2DC43EDF"/>
    <w:rsid w:val="2DC7264A"/>
    <w:rsid w:val="2DC82250"/>
    <w:rsid w:val="2DC966C5"/>
    <w:rsid w:val="2DCC790E"/>
    <w:rsid w:val="2DD31C41"/>
    <w:rsid w:val="2DD44FC9"/>
    <w:rsid w:val="2DD87CBE"/>
    <w:rsid w:val="2DD905F7"/>
    <w:rsid w:val="2DE1630A"/>
    <w:rsid w:val="2DE25FC3"/>
    <w:rsid w:val="2DE34312"/>
    <w:rsid w:val="2DE3703D"/>
    <w:rsid w:val="2DE45C1B"/>
    <w:rsid w:val="2DE84CE3"/>
    <w:rsid w:val="2DEE17CB"/>
    <w:rsid w:val="2DEE7E50"/>
    <w:rsid w:val="2DEF6C9B"/>
    <w:rsid w:val="2DF16372"/>
    <w:rsid w:val="2DF968D7"/>
    <w:rsid w:val="2E002E3C"/>
    <w:rsid w:val="2E012B77"/>
    <w:rsid w:val="2E052EC4"/>
    <w:rsid w:val="2E080638"/>
    <w:rsid w:val="2E0C5861"/>
    <w:rsid w:val="2E19709F"/>
    <w:rsid w:val="2E1B188A"/>
    <w:rsid w:val="2E2E220A"/>
    <w:rsid w:val="2E353FAA"/>
    <w:rsid w:val="2E356C2D"/>
    <w:rsid w:val="2E3A7D38"/>
    <w:rsid w:val="2E3C0773"/>
    <w:rsid w:val="2E405BB6"/>
    <w:rsid w:val="2E4276E9"/>
    <w:rsid w:val="2E442791"/>
    <w:rsid w:val="2E4C2E2B"/>
    <w:rsid w:val="2E4E73D2"/>
    <w:rsid w:val="2E533DE2"/>
    <w:rsid w:val="2E607376"/>
    <w:rsid w:val="2E665B8D"/>
    <w:rsid w:val="2E681C00"/>
    <w:rsid w:val="2E6F5FE8"/>
    <w:rsid w:val="2E711F73"/>
    <w:rsid w:val="2E7C5EDA"/>
    <w:rsid w:val="2E7D7CC3"/>
    <w:rsid w:val="2E7F1C64"/>
    <w:rsid w:val="2E862A98"/>
    <w:rsid w:val="2E877F3E"/>
    <w:rsid w:val="2E8D2831"/>
    <w:rsid w:val="2E8D60D4"/>
    <w:rsid w:val="2E8F0E7A"/>
    <w:rsid w:val="2E90270F"/>
    <w:rsid w:val="2E9420FB"/>
    <w:rsid w:val="2E990275"/>
    <w:rsid w:val="2EA1503A"/>
    <w:rsid w:val="2EA22012"/>
    <w:rsid w:val="2EA57CC7"/>
    <w:rsid w:val="2EA8216B"/>
    <w:rsid w:val="2EA953AD"/>
    <w:rsid w:val="2EAE4957"/>
    <w:rsid w:val="2EB50890"/>
    <w:rsid w:val="2EBA56AB"/>
    <w:rsid w:val="2EC13693"/>
    <w:rsid w:val="2EC658AD"/>
    <w:rsid w:val="2ECE6CF7"/>
    <w:rsid w:val="2ECF19D8"/>
    <w:rsid w:val="2ED00512"/>
    <w:rsid w:val="2ED60FCC"/>
    <w:rsid w:val="2EDC2CEA"/>
    <w:rsid w:val="2EDD7F8A"/>
    <w:rsid w:val="2EDF28CC"/>
    <w:rsid w:val="2EE12089"/>
    <w:rsid w:val="2EE713A4"/>
    <w:rsid w:val="2EE728EA"/>
    <w:rsid w:val="2EF052B0"/>
    <w:rsid w:val="2EF2404B"/>
    <w:rsid w:val="2EF31AF3"/>
    <w:rsid w:val="2EF33DB7"/>
    <w:rsid w:val="2EF64BCB"/>
    <w:rsid w:val="2EFC0CCC"/>
    <w:rsid w:val="2EFE0A9B"/>
    <w:rsid w:val="2F035B3F"/>
    <w:rsid w:val="2F07345C"/>
    <w:rsid w:val="2F087C29"/>
    <w:rsid w:val="2F090849"/>
    <w:rsid w:val="2F0B7134"/>
    <w:rsid w:val="2F0F3FB0"/>
    <w:rsid w:val="2F1145C0"/>
    <w:rsid w:val="2F142AF1"/>
    <w:rsid w:val="2F16352A"/>
    <w:rsid w:val="2F1908E7"/>
    <w:rsid w:val="2F1D399E"/>
    <w:rsid w:val="2F217B89"/>
    <w:rsid w:val="2F2E6BB9"/>
    <w:rsid w:val="2F333297"/>
    <w:rsid w:val="2F39547F"/>
    <w:rsid w:val="2F3D7961"/>
    <w:rsid w:val="2F3E3D50"/>
    <w:rsid w:val="2F42750D"/>
    <w:rsid w:val="2F455392"/>
    <w:rsid w:val="2F46299B"/>
    <w:rsid w:val="2F476E97"/>
    <w:rsid w:val="2F490979"/>
    <w:rsid w:val="2F4B0466"/>
    <w:rsid w:val="2F4D3614"/>
    <w:rsid w:val="2F525233"/>
    <w:rsid w:val="2F544C9F"/>
    <w:rsid w:val="2F560657"/>
    <w:rsid w:val="2F5D2891"/>
    <w:rsid w:val="2F6321EA"/>
    <w:rsid w:val="2F6437F3"/>
    <w:rsid w:val="2F645F01"/>
    <w:rsid w:val="2F6E2DB2"/>
    <w:rsid w:val="2F70462E"/>
    <w:rsid w:val="2F7406BA"/>
    <w:rsid w:val="2F7422B5"/>
    <w:rsid w:val="2F7A7B3D"/>
    <w:rsid w:val="2F8179B2"/>
    <w:rsid w:val="2F827261"/>
    <w:rsid w:val="2F834834"/>
    <w:rsid w:val="2F8D5744"/>
    <w:rsid w:val="2F8F2C98"/>
    <w:rsid w:val="2F8F4562"/>
    <w:rsid w:val="2F900011"/>
    <w:rsid w:val="2F906639"/>
    <w:rsid w:val="2F9329BC"/>
    <w:rsid w:val="2F9B04C9"/>
    <w:rsid w:val="2F9B0C58"/>
    <w:rsid w:val="2F9D3A65"/>
    <w:rsid w:val="2F9D6E92"/>
    <w:rsid w:val="2FA10FC4"/>
    <w:rsid w:val="2FA16DA3"/>
    <w:rsid w:val="2FA372C4"/>
    <w:rsid w:val="2FA63BD0"/>
    <w:rsid w:val="2FA923C5"/>
    <w:rsid w:val="2FB0124D"/>
    <w:rsid w:val="2FB1041C"/>
    <w:rsid w:val="2FB278F9"/>
    <w:rsid w:val="2FB40E88"/>
    <w:rsid w:val="2FB46887"/>
    <w:rsid w:val="2FB51C03"/>
    <w:rsid w:val="2FB618CE"/>
    <w:rsid w:val="2FB84773"/>
    <w:rsid w:val="2FC170D1"/>
    <w:rsid w:val="2FCD522F"/>
    <w:rsid w:val="2FCF758D"/>
    <w:rsid w:val="2FD1450E"/>
    <w:rsid w:val="2FDE780B"/>
    <w:rsid w:val="2FE44A91"/>
    <w:rsid w:val="2FE5374D"/>
    <w:rsid w:val="2FE77605"/>
    <w:rsid w:val="2FEF1849"/>
    <w:rsid w:val="2FFC3957"/>
    <w:rsid w:val="30026105"/>
    <w:rsid w:val="300C29B0"/>
    <w:rsid w:val="300C5471"/>
    <w:rsid w:val="30120436"/>
    <w:rsid w:val="30151963"/>
    <w:rsid w:val="30167683"/>
    <w:rsid w:val="30193DA4"/>
    <w:rsid w:val="301B5BCD"/>
    <w:rsid w:val="301B756B"/>
    <w:rsid w:val="30212CA1"/>
    <w:rsid w:val="302A1491"/>
    <w:rsid w:val="302E33DA"/>
    <w:rsid w:val="303074BA"/>
    <w:rsid w:val="30384D95"/>
    <w:rsid w:val="303E0793"/>
    <w:rsid w:val="303E7098"/>
    <w:rsid w:val="303F4475"/>
    <w:rsid w:val="30425E8D"/>
    <w:rsid w:val="304364B9"/>
    <w:rsid w:val="30443FC1"/>
    <w:rsid w:val="304B5928"/>
    <w:rsid w:val="3050737B"/>
    <w:rsid w:val="3051285B"/>
    <w:rsid w:val="30532932"/>
    <w:rsid w:val="30541869"/>
    <w:rsid w:val="305A6D4F"/>
    <w:rsid w:val="305F6071"/>
    <w:rsid w:val="306774E7"/>
    <w:rsid w:val="306C7DC6"/>
    <w:rsid w:val="306E289E"/>
    <w:rsid w:val="3070721E"/>
    <w:rsid w:val="30735673"/>
    <w:rsid w:val="30750A0B"/>
    <w:rsid w:val="30755827"/>
    <w:rsid w:val="3076008A"/>
    <w:rsid w:val="307755FD"/>
    <w:rsid w:val="307E1FA9"/>
    <w:rsid w:val="307F2CEC"/>
    <w:rsid w:val="30806890"/>
    <w:rsid w:val="3083542E"/>
    <w:rsid w:val="3084171D"/>
    <w:rsid w:val="30841F84"/>
    <w:rsid w:val="30860848"/>
    <w:rsid w:val="30875CA4"/>
    <w:rsid w:val="30891B63"/>
    <w:rsid w:val="308E3851"/>
    <w:rsid w:val="308F145D"/>
    <w:rsid w:val="30954A7B"/>
    <w:rsid w:val="309B5EF3"/>
    <w:rsid w:val="309F08A9"/>
    <w:rsid w:val="30A1153F"/>
    <w:rsid w:val="30A731B2"/>
    <w:rsid w:val="30A75F6E"/>
    <w:rsid w:val="30B322DE"/>
    <w:rsid w:val="30B34EF4"/>
    <w:rsid w:val="30C06556"/>
    <w:rsid w:val="30C114BA"/>
    <w:rsid w:val="30C35DF9"/>
    <w:rsid w:val="30C94738"/>
    <w:rsid w:val="30C94DFF"/>
    <w:rsid w:val="30C95729"/>
    <w:rsid w:val="30CE0E4C"/>
    <w:rsid w:val="30CE4E2A"/>
    <w:rsid w:val="30CF2EBD"/>
    <w:rsid w:val="30D160B4"/>
    <w:rsid w:val="30D8294C"/>
    <w:rsid w:val="30D82AC4"/>
    <w:rsid w:val="30D8513E"/>
    <w:rsid w:val="30DC0885"/>
    <w:rsid w:val="30DE251B"/>
    <w:rsid w:val="30E20C0E"/>
    <w:rsid w:val="30ED5954"/>
    <w:rsid w:val="30EF3BDF"/>
    <w:rsid w:val="30F13008"/>
    <w:rsid w:val="30F224C0"/>
    <w:rsid w:val="30FA5EBA"/>
    <w:rsid w:val="30FB142B"/>
    <w:rsid w:val="31034D52"/>
    <w:rsid w:val="31037965"/>
    <w:rsid w:val="31055DE6"/>
    <w:rsid w:val="310C1C37"/>
    <w:rsid w:val="3110739C"/>
    <w:rsid w:val="31113EEB"/>
    <w:rsid w:val="31127CA1"/>
    <w:rsid w:val="31175326"/>
    <w:rsid w:val="311E2475"/>
    <w:rsid w:val="31214F79"/>
    <w:rsid w:val="31262661"/>
    <w:rsid w:val="312778EE"/>
    <w:rsid w:val="312954B3"/>
    <w:rsid w:val="312B4586"/>
    <w:rsid w:val="312C03DD"/>
    <w:rsid w:val="31336028"/>
    <w:rsid w:val="31355411"/>
    <w:rsid w:val="313A6769"/>
    <w:rsid w:val="3146462F"/>
    <w:rsid w:val="314A43D9"/>
    <w:rsid w:val="314B5D37"/>
    <w:rsid w:val="3152520E"/>
    <w:rsid w:val="31556191"/>
    <w:rsid w:val="315C3280"/>
    <w:rsid w:val="315C329F"/>
    <w:rsid w:val="315C608D"/>
    <w:rsid w:val="315F30F7"/>
    <w:rsid w:val="31611FEE"/>
    <w:rsid w:val="31653435"/>
    <w:rsid w:val="316720C0"/>
    <w:rsid w:val="31675D65"/>
    <w:rsid w:val="316D44E7"/>
    <w:rsid w:val="316F23E7"/>
    <w:rsid w:val="316F5BEE"/>
    <w:rsid w:val="31746F76"/>
    <w:rsid w:val="317E19B6"/>
    <w:rsid w:val="31812BF2"/>
    <w:rsid w:val="31833379"/>
    <w:rsid w:val="318C3AB5"/>
    <w:rsid w:val="318D2911"/>
    <w:rsid w:val="31915915"/>
    <w:rsid w:val="319876A0"/>
    <w:rsid w:val="319A6938"/>
    <w:rsid w:val="319C0A19"/>
    <w:rsid w:val="31A408E9"/>
    <w:rsid w:val="31A73030"/>
    <w:rsid w:val="31AE00E0"/>
    <w:rsid w:val="31AE46FB"/>
    <w:rsid w:val="31B079B3"/>
    <w:rsid w:val="31B30C20"/>
    <w:rsid w:val="31B56E5E"/>
    <w:rsid w:val="31B75A57"/>
    <w:rsid w:val="31BF38CB"/>
    <w:rsid w:val="31C013D7"/>
    <w:rsid w:val="31C2232F"/>
    <w:rsid w:val="31C86797"/>
    <w:rsid w:val="31D31D4F"/>
    <w:rsid w:val="31D67B45"/>
    <w:rsid w:val="31DC6A6D"/>
    <w:rsid w:val="31DD5762"/>
    <w:rsid w:val="31E2317D"/>
    <w:rsid w:val="31E5045F"/>
    <w:rsid w:val="31EA55E1"/>
    <w:rsid w:val="31ED1046"/>
    <w:rsid w:val="31ED6081"/>
    <w:rsid w:val="31F3525C"/>
    <w:rsid w:val="31F36FA2"/>
    <w:rsid w:val="31F54611"/>
    <w:rsid w:val="31F66ACD"/>
    <w:rsid w:val="31F807D2"/>
    <w:rsid w:val="31F95B8B"/>
    <w:rsid w:val="31F96EAF"/>
    <w:rsid w:val="31FC011F"/>
    <w:rsid w:val="31FE50F1"/>
    <w:rsid w:val="32054CFA"/>
    <w:rsid w:val="320A3470"/>
    <w:rsid w:val="320E419F"/>
    <w:rsid w:val="320E64EF"/>
    <w:rsid w:val="321240B6"/>
    <w:rsid w:val="321911EC"/>
    <w:rsid w:val="321A5767"/>
    <w:rsid w:val="321B14AF"/>
    <w:rsid w:val="32201EBC"/>
    <w:rsid w:val="322446CA"/>
    <w:rsid w:val="32244FBA"/>
    <w:rsid w:val="32260332"/>
    <w:rsid w:val="322E31B8"/>
    <w:rsid w:val="3233692D"/>
    <w:rsid w:val="32363291"/>
    <w:rsid w:val="32380BD4"/>
    <w:rsid w:val="323A77F5"/>
    <w:rsid w:val="323A78CA"/>
    <w:rsid w:val="323C2B97"/>
    <w:rsid w:val="323C4E3F"/>
    <w:rsid w:val="323D002B"/>
    <w:rsid w:val="323D5931"/>
    <w:rsid w:val="32453DB7"/>
    <w:rsid w:val="32460CFB"/>
    <w:rsid w:val="324853A9"/>
    <w:rsid w:val="324870C2"/>
    <w:rsid w:val="324A2E5B"/>
    <w:rsid w:val="324F5F04"/>
    <w:rsid w:val="3258070C"/>
    <w:rsid w:val="32591B1C"/>
    <w:rsid w:val="325C5C65"/>
    <w:rsid w:val="325D7C0C"/>
    <w:rsid w:val="325E6C23"/>
    <w:rsid w:val="32630455"/>
    <w:rsid w:val="32642FA3"/>
    <w:rsid w:val="326523B6"/>
    <w:rsid w:val="32673CB6"/>
    <w:rsid w:val="32687BC7"/>
    <w:rsid w:val="326917F1"/>
    <w:rsid w:val="326B2CAE"/>
    <w:rsid w:val="326E560F"/>
    <w:rsid w:val="3272073D"/>
    <w:rsid w:val="327633AD"/>
    <w:rsid w:val="32792F28"/>
    <w:rsid w:val="327C0248"/>
    <w:rsid w:val="327E6CF5"/>
    <w:rsid w:val="32806D8C"/>
    <w:rsid w:val="32813085"/>
    <w:rsid w:val="32815C6D"/>
    <w:rsid w:val="32821F81"/>
    <w:rsid w:val="32833FB2"/>
    <w:rsid w:val="328512E8"/>
    <w:rsid w:val="32854B23"/>
    <w:rsid w:val="32855F30"/>
    <w:rsid w:val="328C7AB0"/>
    <w:rsid w:val="3290666E"/>
    <w:rsid w:val="32940B41"/>
    <w:rsid w:val="3294272A"/>
    <w:rsid w:val="329830F5"/>
    <w:rsid w:val="329B3687"/>
    <w:rsid w:val="329C2499"/>
    <w:rsid w:val="329F4EBE"/>
    <w:rsid w:val="329F5145"/>
    <w:rsid w:val="329F725A"/>
    <w:rsid w:val="32A01B51"/>
    <w:rsid w:val="32A13F85"/>
    <w:rsid w:val="32A738FB"/>
    <w:rsid w:val="32AC6BA0"/>
    <w:rsid w:val="32AF4B56"/>
    <w:rsid w:val="32B43BA9"/>
    <w:rsid w:val="32B47DE5"/>
    <w:rsid w:val="32C303F2"/>
    <w:rsid w:val="32C862FE"/>
    <w:rsid w:val="32CC7434"/>
    <w:rsid w:val="32CE5AFD"/>
    <w:rsid w:val="32D06F52"/>
    <w:rsid w:val="32D320CC"/>
    <w:rsid w:val="32D45B63"/>
    <w:rsid w:val="32D7235B"/>
    <w:rsid w:val="32D84629"/>
    <w:rsid w:val="32D9367F"/>
    <w:rsid w:val="32D93EEA"/>
    <w:rsid w:val="32DC782A"/>
    <w:rsid w:val="32DE56A2"/>
    <w:rsid w:val="32E01D49"/>
    <w:rsid w:val="32E02525"/>
    <w:rsid w:val="32E04328"/>
    <w:rsid w:val="32E14181"/>
    <w:rsid w:val="32E1670C"/>
    <w:rsid w:val="32E8238A"/>
    <w:rsid w:val="32EB11FF"/>
    <w:rsid w:val="32EC152B"/>
    <w:rsid w:val="32F25595"/>
    <w:rsid w:val="32F26AC1"/>
    <w:rsid w:val="32F34F82"/>
    <w:rsid w:val="32F4627D"/>
    <w:rsid w:val="32F742BF"/>
    <w:rsid w:val="32F82300"/>
    <w:rsid w:val="32FA14F8"/>
    <w:rsid w:val="32FB56F0"/>
    <w:rsid w:val="32FC2C9F"/>
    <w:rsid w:val="3301587D"/>
    <w:rsid w:val="330A1439"/>
    <w:rsid w:val="330C1CFF"/>
    <w:rsid w:val="330E1313"/>
    <w:rsid w:val="3312209A"/>
    <w:rsid w:val="33130EA3"/>
    <w:rsid w:val="33146B26"/>
    <w:rsid w:val="331879C8"/>
    <w:rsid w:val="3319537B"/>
    <w:rsid w:val="331A2F0D"/>
    <w:rsid w:val="331B3923"/>
    <w:rsid w:val="3325307E"/>
    <w:rsid w:val="33281749"/>
    <w:rsid w:val="33286825"/>
    <w:rsid w:val="332F6372"/>
    <w:rsid w:val="33346008"/>
    <w:rsid w:val="333504B0"/>
    <w:rsid w:val="333810F4"/>
    <w:rsid w:val="334029BF"/>
    <w:rsid w:val="33421925"/>
    <w:rsid w:val="33462F80"/>
    <w:rsid w:val="33474A6E"/>
    <w:rsid w:val="334E2068"/>
    <w:rsid w:val="334F6776"/>
    <w:rsid w:val="33510A5E"/>
    <w:rsid w:val="33512D03"/>
    <w:rsid w:val="335424D3"/>
    <w:rsid w:val="3354420D"/>
    <w:rsid w:val="3356452C"/>
    <w:rsid w:val="335E1849"/>
    <w:rsid w:val="336007AB"/>
    <w:rsid w:val="33615C6F"/>
    <w:rsid w:val="33660EDB"/>
    <w:rsid w:val="336A07E3"/>
    <w:rsid w:val="336C6891"/>
    <w:rsid w:val="33726F18"/>
    <w:rsid w:val="33733667"/>
    <w:rsid w:val="337511BD"/>
    <w:rsid w:val="33767F30"/>
    <w:rsid w:val="337701CE"/>
    <w:rsid w:val="33776F7A"/>
    <w:rsid w:val="3378608C"/>
    <w:rsid w:val="337E6B0B"/>
    <w:rsid w:val="3380680D"/>
    <w:rsid w:val="338853F6"/>
    <w:rsid w:val="338961D7"/>
    <w:rsid w:val="338B2B2D"/>
    <w:rsid w:val="338D004A"/>
    <w:rsid w:val="33912741"/>
    <w:rsid w:val="3393483C"/>
    <w:rsid w:val="3399120D"/>
    <w:rsid w:val="339F1BC8"/>
    <w:rsid w:val="33A03193"/>
    <w:rsid w:val="33A16C3B"/>
    <w:rsid w:val="33A870C5"/>
    <w:rsid w:val="33A93AA6"/>
    <w:rsid w:val="33AB4E33"/>
    <w:rsid w:val="33B047DD"/>
    <w:rsid w:val="33B6153A"/>
    <w:rsid w:val="33C11DA6"/>
    <w:rsid w:val="33C1393A"/>
    <w:rsid w:val="33C17F4D"/>
    <w:rsid w:val="33C32E6B"/>
    <w:rsid w:val="33CA15B5"/>
    <w:rsid w:val="33CA2A46"/>
    <w:rsid w:val="33CF15DE"/>
    <w:rsid w:val="33D763E6"/>
    <w:rsid w:val="33D86D3E"/>
    <w:rsid w:val="33DD3CF9"/>
    <w:rsid w:val="33DE7069"/>
    <w:rsid w:val="33E3009E"/>
    <w:rsid w:val="33E62B06"/>
    <w:rsid w:val="33E82DF2"/>
    <w:rsid w:val="33E92112"/>
    <w:rsid w:val="33EC764C"/>
    <w:rsid w:val="33EE6C8C"/>
    <w:rsid w:val="33F65765"/>
    <w:rsid w:val="33FA049B"/>
    <w:rsid w:val="33FB7DDF"/>
    <w:rsid w:val="33FC674F"/>
    <w:rsid w:val="33FD2086"/>
    <w:rsid w:val="33FE7B0A"/>
    <w:rsid w:val="34025E03"/>
    <w:rsid w:val="34037FE3"/>
    <w:rsid w:val="34070039"/>
    <w:rsid w:val="34102DC3"/>
    <w:rsid w:val="34116EE9"/>
    <w:rsid w:val="34135A54"/>
    <w:rsid w:val="34150613"/>
    <w:rsid w:val="341F322A"/>
    <w:rsid w:val="3424290F"/>
    <w:rsid w:val="342854DF"/>
    <w:rsid w:val="342B5DBA"/>
    <w:rsid w:val="342B7282"/>
    <w:rsid w:val="342E0283"/>
    <w:rsid w:val="34352550"/>
    <w:rsid w:val="34356753"/>
    <w:rsid w:val="34363DB7"/>
    <w:rsid w:val="3436568D"/>
    <w:rsid w:val="343865DE"/>
    <w:rsid w:val="343B6A00"/>
    <w:rsid w:val="34447C7F"/>
    <w:rsid w:val="34450B86"/>
    <w:rsid w:val="344750DC"/>
    <w:rsid w:val="34492DAA"/>
    <w:rsid w:val="344A2F82"/>
    <w:rsid w:val="344B2B02"/>
    <w:rsid w:val="344B535D"/>
    <w:rsid w:val="344E2FF6"/>
    <w:rsid w:val="344E67BE"/>
    <w:rsid w:val="345B3476"/>
    <w:rsid w:val="345C1327"/>
    <w:rsid w:val="34647748"/>
    <w:rsid w:val="34663C42"/>
    <w:rsid w:val="34681793"/>
    <w:rsid w:val="346849CD"/>
    <w:rsid w:val="346D31BF"/>
    <w:rsid w:val="346E594A"/>
    <w:rsid w:val="34734566"/>
    <w:rsid w:val="347A09E9"/>
    <w:rsid w:val="34855A5F"/>
    <w:rsid w:val="34861F38"/>
    <w:rsid w:val="348D518D"/>
    <w:rsid w:val="348E2187"/>
    <w:rsid w:val="349156BD"/>
    <w:rsid w:val="349B117E"/>
    <w:rsid w:val="349B3BF3"/>
    <w:rsid w:val="349E3E25"/>
    <w:rsid w:val="34A07AA9"/>
    <w:rsid w:val="34A1347B"/>
    <w:rsid w:val="34A35763"/>
    <w:rsid w:val="34A6123F"/>
    <w:rsid w:val="34AC733E"/>
    <w:rsid w:val="34B728DD"/>
    <w:rsid w:val="34BB0405"/>
    <w:rsid w:val="34BB78F3"/>
    <w:rsid w:val="34BF39FA"/>
    <w:rsid w:val="34C226AB"/>
    <w:rsid w:val="34C36369"/>
    <w:rsid w:val="34C67BF9"/>
    <w:rsid w:val="34C728E5"/>
    <w:rsid w:val="34C9721F"/>
    <w:rsid w:val="34CA4872"/>
    <w:rsid w:val="34D16D58"/>
    <w:rsid w:val="34DC7AE6"/>
    <w:rsid w:val="34E1496B"/>
    <w:rsid w:val="34E457FD"/>
    <w:rsid w:val="34E526C5"/>
    <w:rsid w:val="34E56348"/>
    <w:rsid w:val="34EE0EF9"/>
    <w:rsid w:val="34F06BAD"/>
    <w:rsid w:val="34F207C2"/>
    <w:rsid w:val="34F51563"/>
    <w:rsid w:val="34F5632F"/>
    <w:rsid w:val="34F6330B"/>
    <w:rsid w:val="3505286C"/>
    <w:rsid w:val="350A144B"/>
    <w:rsid w:val="35125B36"/>
    <w:rsid w:val="35182908"/>
    <w:rsid w:val="35195ACA"/>
    <w:rsid w:val="351A425A"/>
    <w:rsid w:val="35233579"/>
    <w:rsid w:val="35236CE8"/>
    <w:rsid w:val="352915A5"/>
    <w:rsid w:val="352A562E"/>
    <w:rsid w:val="35347D55"/>
    <w:rsid w:val="353A5CE3"/>
    <w:rsid w:val="353D0092"/>
    <w:rsid w:val="353E09C4"/>
    <w:rsid w:val="353E0BE8"/>
    <w:rsid w:val="35410DFB"/>
    <w:rsid w:val="35475B65"/>
    <w:rsid w:val="354A5964"/>
    <w:rsid w:val="354D5E09"/>
    <w:rsid w:val="354E4ECB"/>
    <w:rsid w:val="354E6192"/>
    <w:rsid w:val="354E66A7"/>
    <w:rsid w:val="35523016"/>
    <w:rsid w:val="35530A43"/>
    <w:rsid w:val="35532F02"/>
    <w:rsid w:val="35553C0F"/>
    <w:rsid w:val="35556C0F"/>
    <w:rsid w:val="355823F5"/>
    <w:rsid w:val="355B4DCD"/>
    <w:rsid w:val="355C5CD7"/>
    <w:rsid w:val="355C6D4A"/>
    <w:rsid w:val="35603345"/>
    <w:rsid w:val="356208D0"/>
    <w:rsid w:val="356812C7"/>
    <w:rsid w:val="356B7104"/>
    <w:rsid w:val="356F0884"/>
    <w:rsid w:val="35700AB5"/>
    <w:rsid w:val="3571504C"/>
    <w:rsid w:val="35760443"/>
    <w:rsid w:val="35774E4C"/>
    <w:rsid w:val="35784CA4"/>
    <w:rsid w:val="35803500"/>
    <w:rsid w:val="3583199D"/>
    <w:rsid w:val="3589204F"/>
    <w:rsid w:val="358C743A"/>
    <w:rsid w:val="3595385E"/>
    <w:rsid w:val="359B1FC7"/>
    <w:rsid w:val="359B2D37"/>
    <w:rsid w:val="359C67A7"/>
    <w:rsid w:val="359F34B7"/>
    <w:rsid w:val="35AB0997"/>
    <w:rsid w:val="35AC03C4"/>
    <w:rsid w:val="35B00584"/>
    <w:rsid w:val="35B908FF"/>
    <w:rsid w:val="35BB3C56"/>
    <w:rsid w:val="35BC13DE"/>
    <w:rsid w:val="35D961CA"/>
    <w:rsid w:val="35D972A3"/>
    <w:rsid w:val="35DC58FD"/>
    <w:rsid w:val="35DE3683"/>
    <w:rsid w:val="35E91F7C"/>
    <w:rsid w:val="360037F1"/>
    <w:rsid w:val="36032117"/>
    <w:rsid w:val="360931D5"/>
    <w:rsid w:val="360C5A7A"/>
    <w:rsid w:val="360D01D9"/>
    <w:rsid w:val="360D5E1D"/>
    <w:rsid w:val="36136338"/>
    <w:rsid w:val="36250AB9"/>
    <w:rsid w:val="3625582D"/>
    <w:rsid w:val="362E7E7B"/>
    <w:rsid w:val="363069A5"/>
    <w:rsid w:val="36307F07"/>
    <w:rsid w:val="36310C31"/>
    <w:rsid w:val="3635262A"/>
    <w:rsid w:val="36361BA7"/>
    <w:rsid w:val="36363B14"/>
    <w:rsid w:val="363A1147"/>
    <w:rsid w:val="363A6252"/>
    <w:rsid w:val="363D198D"/>
    <w:rsid w:val="363E197F"/>
    <w:rsid w:val="363F28A9"/>
    <w:rsid w:val="363F3027"/>
    <w:rsid w:val="364E4C09"/>
    <w:rsid w:val="36520D3E"/>
    <w:rsid w:val="3656210A"/>
    <w:rsid w:val="365A15B0"/>
    <w:rsid w:val="365A24F6"/>
    <w:rsid w:val="36631C29"/>
    <w:rsid w:val="3667175C"/>
    <w:rsid w:val="36691966"/>
    <w:rsid w:val="36695C40"/>
    <w:rsid w:val="366B16EA"/>
    <w:rsid w:val="366B7D1E"/>
    <w:rsid w:val="366F4B0A"/>
    <w:rsid w:val="367169BE"/>
    <w:rsid w:val="36731CD3"/>
    <w:rsid w:val="367348CF"/>
    <w:rsid w:val="3674486D"/>
    <w:rsid w:val="3676374D"/>
    <w:rsid w:val="367974C5"/>
    <w:rsid w:val="368026F3"/>
    <w:rsid w:val="36805243"/>
    <w:rsid w:val="3682791D"/>
    <w:rsid w:val="36846807"/>
    <w:rsid w:val="36877340"/>
    <w:rsid w:val="36881295"/>
    <w:rsid w:val="368E1CB8"/>
    <w:rsid w:val="369351B4"/>
    <w:rsid w:val="369614D4"/>
    <w:rsid w:val="369B4A7E"/>
    <w:rsid w:val="369E0346"/>
    <w:rsid w:val="369E6740"/>
    <w:rsid w:val="36AC6B7F"/>
    <w:rsid w:val="36AF4EE8"/>
    <w:rsid w:val="36AF70FB"/>
    <w:rsid w:val="36B01A09"/>
    <w:rsid w:val="36B76E57"/>
    <w:rsid w:val="36B76FC0"/>
    <w:rsid w:val="36B9491C"/>
    <w:rsid w:val="36C170D8"/>
    <w:rsid w:val="36C67235"/>
    <w:rsid w:val="36CA4162"/>
    <w:rsid w:val="36CD5A8C"/>
    <w:rsid w:val="36D436CC"/>
    <w:rsid w:val="36DC479E"/>
    <w:rsid w:val="36DC5B25"/>
    <w:rsid w:val="36E460D7"/>
    <w:rsid w:val="36E46FFC"/>
    <w:rsid w:val="36E52680"/>
    <w:rsid w:val="36E65B6A"/>
    <w:rsid w:val="36EE3B48"/>
    <w:rsid w:val="36F2679C"/>
    <w:rsid w:val="36F337FD"/>
    <w:rsid w:val="36FA72EB"/>
    <w:rsid w:val="36FD179F"/>
    <w:rsid w:val="370379F7"/>
    <w:rsid w:val="370639B8"/>
    <w:rsid w:val="370938F3"/>
    <w:rsid w:val="370E1265"/>
    <w:rsid w:val="3713313A"/>
    <w:rsid w:val="371659C4"/>
    <w:rsid w:val="37174640"/>
    <w:rsid w:val="371F1B92"/>
    <w:rsid w:val="372313FC"/>
    <w:rsid w:val="37263593"/>
    <w:rsid w:val="37272928"/>
    <w:rsid w:val="372E62C1"/>
    <w:rsid w:val="372F1AA3"/>
    <w:rsid w:val="37302221"/>
    <w:rsid w:val="37305E16"/>
    <w:rsid w:val="373158C6"/>
    <w:rsid w:val="3733355D"/>
    <w:rsid w:val="37336382"/>
    <w:rsid w:val="3734266F"/>
    <w:rsid w:val="37343605"/>
    <w:rsid w:val="373A4AEF"/>
    <w:rsid w:val="373B04F2"/>
    <w:rsid w:val="373B35F6"/>
    <w:rsid w:val="373D0F8C"/>
    <w:rsid w:val="374234B4"/>
    <w:rsid w:val="374355ED"/>
    <w:rsid w:val="374368EE"/>
    <w:rsid w:val="3745563F"/>
    <w:rsid w:val="37471ABC"/>
    <w:rsid w:val="374A08CB"/>
    <w:rsid w:val="374A4CCA"/>
    <w:rsid w:val="374A54AB"/>
    <w:rsid w:val="374E0D94"/>
    <w:rsid w:val="37536C89"/>
    <w:rsid w:val="37551FAE"/>
    <w:rsid w:val="375D3846"/>
    <w:rsid w:val="375E5503"/>
    <w:rsid w:val="376C668E"/>
    <w:rsid w:val="37812C58"/>
    <w:rsid w:val="37837001"/>
    <w:rsid w:val="378446F5"/>
    <w:rsid w:val="378C7E46"/>
    <w:rsid w:val="37910DE8"/>
    <w:rsid w:val="37922923"/>
    <w:rsid w:val="3796189D"/>
    <w:rsid w:val="37975FCE"/>
    <w:rsid w:val="3799165B"/>
    <w:rsid w:val="379D74AB"/>
    <w:rsid w:val="379E51C0"/>
    <w:rsid w:val="379F2939"/>
    <w:rsid w:val="37A21972"/>
    <w:rsid w:val="37A4039F"/>
    <w:rsid w:val="37A500D2"/>
    <w:rsid w:val="37A75CA4"/>
    <w:rsid w:val="37A75DE9"/>
    <w:rsid w:val="37AF37E1"/>
    <w:rsid w:val="37B0547B"/>
    <w:rsid w:val="37B11BEC"/>
    <w:rsid w:val="37B24459"/>
    <w:rsid w:val="37B35BAB"/>
    <w:rsid w:val="37C24631"/>
    <w:rsid w:val="37C54965"/>
    <w:rsid w:val="37C8447C"/>
    <w:rsid w:val="37CF5058"/>
    <w:rsid w:val="37D35767"/>
    <w:rsid w:val="37D73B7F"/>
    <w:rsid w:val="37D90188"/>
    <w:rsid w:val="37DA4661"/>
    <w:rsid w:val="37DB3C11"/>
    <w:rsid w:val="37DF34B7"/>
    <w:rsid w:val="37E03841"/>
    <w:rsid w:val="37E80389"/>
    <w:rsid w:val="37EB2836"/>
    <w:rsid w:val="37ED7D92"/>
    <w:rsid w:val="37F104FA"/>
    <w:rsid w:val="37F33A57"/>
    <w:rsid w:val="37F64F67"/>
    <w:rsid w:val="37F93C3A"/>
    <w:rsid w:val="37FB4E32"/>
    <w:rsid w:val="37FC1090"/>
    <w:rsid w:val="38033CB5"/>
    <w:rsid w:val="380D5A4C"/>
    <w:rsid w:val="380E1EC1"/>
    <w:rsid w:val="380F3E59"/>
    <w:rsid w:val="380F6657"/>
    <w:rsid w:val="38144673"/>
    <w:rsid w:val="38171BB0"/>
    <w:rsid w:val="381732DD"/>
    <w:rsid w:val="381919B1"/>
    <w:rsid w:val="38195137"/>
    <w:rsid w:val="381C7710"/>
    <w:rsid w:val="381E7F36"/>
    <w:rsid w:val="38232FEA"/>
    <w:rsid w:val="382357F9"/>
    <w:rsid w:val="382720BD"/>
    <w:rsid w:val="38283CAF"/>
    <w:rsid w:val="38290E60"/>
    <w:rsid w:val="382F07E6"/>
    <w:rsid w:val="382F2247"/>
    <w:rsid w:val="38311F01"/>
    <w:rsid w:val="383237C7"/>
    <w:rsid w:val="38335C19"/>
    <w:rsid w:val="3834781C"/>
    <w:rsid w:val="38362F91"/>
    <w:rsid w:val="38370B98"/>
    <w:rsid w:val="383E367F"/>
    <w:rsid w:val="38417E33"/>
    <w:rsid w:val="384420B1"/>
    <w:rsid w:val="38476FDB"/>
    <w:rsid w:val="384A4DFF"/>
    <w:rsid w:val="384D701B"/>
    <w:rsid w:val="384E263C"/>
    <w:rsid w:val="385D1C14"/>
    <w:rsid w:val="385E51DC"/>
    <w:rsid w:val="385F7174"/>
    <w:rsid w:val="386549CC"/>
    <w:rsid w:val="386A255F"/>
    <w:rsid w:val="386C400F"/>
    <w:rsid w:val="386E51EF"/>
    <w:rsid w:val="38704943"/>
    <w:rsid w:val="38767BF9"/>
    <w:rsid w:val="387B72E2"/>
    <w:rsid w:val="387C66C8"/>
    <w:rsid w:val="388061EE"/>
    <w:rsid w:val="38842F82"/>
    <w:rsid w:val="3884783D"/>
    <w:rsid w:val="3885373F"/>
    <w:rsid w:val="3886213A"/>
    <w:rsid w:val="38886D3D"/>
    <w:rsid w:val="388B17CD"/>
    <w:rsid w:val="38921AB6"/>
    <w:rsid w:val="38955600"/>
    <w:rsid w:val="38963FE4"/>
    <w:rsid w:val="389B5588"/>
    <w:rsid w:val="389E1E98"/>
    <w:rsid w:val="38A02F5E"/>
    <w:rsid w:val="38A224F4"/>
    <w:rsid w:val="38A36B1B"/>
    <w:rsid w:val="38A41124"/>
    <w:rsid w:val="38A65FED"/>
    <w:rsid w:val="38A93034"/>
    <w:rsid w:val="38A9550B"/>
    <w:rsid w:val="38AF798F"/>
    <w:rsid w:val="38B0423F"/>
    <w:rsid w:val="38B63C89"/>
    <w:rsid w:val="38BC7FAE"/>
    <w:rsid w:val="38BD7D7E"/>
    <w:rsid w:val="38C20EEB"/>
    <w:rsid w:val="38C25872"/>
    <w:rsid w:val="38C917B5"/>
    <w:rsid w:val="38CA03C0"/>
    <w:rsid w:val="38CC1796"/>
    <w:rsid w:val="38CE33D5"/>
    <w:rsid w:val="38D80A1D"/>
    <w:rsid w:val="38DF5181"/>
    <w:rsid w:val="38E02895"/>
    <w:rsid w:val="38E20976"/>
    <w:rsid w:val="38E30E42"/>
    <w:rsid w:val="38E355DC"/>
    <w:rsid w:val="38E64DDF"/>
    <w:rsid w:val="38E969ED"/>
    <w:rsid w:val="38ED3A6E"/>
    <w:rsid w:val="38EE4577"/>
    <w:rsid w:val="38F55A95"/>
    <w:rsid w:val="38F601F6"/>
    <w:rsid w:val="38F979AA"/>
    <w:rsid w:val="38FA1D7C"/>
    <w:rsid w:val="38FA6CDC"/>
    <w:rsid w:val="39001ED7"/>
    <w:rsid w:val="39004802"/>
    <w:rsid w:val="39047E39"/>
    <w:rsid w:val="39071D33"/>
    <w:rsid w:val="390C390B"/>
    <w:rsid w:val="39127534"/>
    <w:rsid w:val="3917522D"/>
    <w:rsid w:val="39193CD4"/>
    <w:rsid w:val="391F6D32"/>
    <w:rsid w:val="39232036"/>
    <w:rsid w:val="3926747F"/>
    <w:rsid w:val="392757DB"/>
    <w:rsid w:val="392F1EFD"/>
    <w:rsid w:val="3930760C"/>
    <w:rsid w:val="39365415"/>
    <w:rsid w:val="394424C0"/>
    <w:rsid w:val="394559CA"/>
    <w:rsid w:val="39460A9D"/>
    <w:rsid w:val="394B14A2"/>
    <w:rsid w:val="394C5B6C"/>
    <w:rsid w:val="39552923"/>
    <w:rsid w:val="39553D8A"/>
    <w:rsid w:val="395D6520"/>
    <w:rsid w:val="395E3420"/>
    <w:rsid w:val="39690F6D"/>
    <w:rsid w:val="396C11C4"/>
    <w:rsid w:val="396E0D41"/>
    <w:rsid w:val="396E4BAF"/>
    <w:rsid w:val="397228F1"/>
    <w:rsid w:val="397B1BC7"/>
    <w:rsid w:val="397C0905"/>
    <w:rsid w:val="397C70D0"/>
    <w:rsid w:val="397E2E26"/>
    <w:rsid w:val="397F40EA"/>
    <w:rsid w:val="398273EA"/>
    <w:rsid w:val="39851F97"/>
    <w:rsid w:val="39876050"/>
    <w:rsid w:val="398C7EF4"/>
    <w:rsid w:val="399267C3"/>
    <w:rsid w:val="399369A3"/>
    <w:rsid w:val="399C050D"/>
    <w:rsid w:val="399D25A5"/>
    <w:rsid w:val="399F3991"/>
    <w:rsid w:val="39A304CD"/>
    <w:rsid w:val="39A4288F"/>
    <w:rsid w:val="39AD5013"/>
    <w:rsid w:val="39AE58A1"/>
    <w:rsid w:val="39AE596B"/>
    <w:rsid w:val="39B91CD6"/>
    <w:rsid w:val="39B97232"/>
    <w:rsid w:val="39C04C0A"/>
    <w:rsid w:val="39C37C99"/>
    <w:rsid w:val="39C82858"/>
    <w:rsid w:val="39C8324A"/>
    <w:rsid w:val="39CA730D"/>
    <w:rsid w:val="39CC364C"/>
    <w:rsid w:val="39CE6EE1"/>
    <w:rsid w:val="39D612DD"/>
    <w:rsid w:val="39D64A9C"/>
    <w:rsid w:val="39DF37FB"/>
    <w:rsid w:val="39E054B8"/>
    <w:rsid w:val="39E0762B"/>
    <w:rsid w:val="39E42A4D"/>
    <w:rsid w:val="39E6172C"/>
    <w:rsid w:val="39E94DF4"/>
    <w:rsid w:val="39F74554"/>
    <w:rsid w:val="39F82A5B"/>
    <w:rsid w:val="3A00757F"/>
    <w:rsid w:val="3A05739C"/>
    <w:rsid w:val="3A073C4A"/>
    <w:rsid w:val="3A0D2E35"/>
    <w:rsid w:val="3A0D689D"/>
    <w:rsid w:val="3A107756"/>
    <w:rsid w:val="3A1404AD"/>
    <w:rsid w:val="3A1915DC"/>
    <w:rsid w:val="3A1B74E5"/>
    <w:rsid w:val="3A1D26AA"/>
    <w:rsid w:val="3A2207BA"/>
    <w:rsid w:val="3A231066"/>
    <w:rsid w:val="3A2512FD"/>
    <w:rsid w:val="3A275445"/>
    <w:rsid w:val="3A2A51C4"/>
    <w:rsid w:val="3A2B6BDE"/>
    <w:rsid w:val="3A2C0414"/>
    <w:rsid w:val="3A3306BD"/>
    <w:rsid w:val="3A332734"/>
    <w:rsid w:val="3A3A43B4"/>
    <w:rsid w:val="3A3A7319"/>
    <w:rsid w:val="3A3F1FB6"/>
    <w:rsid w:val="3A405A09"/>
    <w:rsid w:val="3A414072"/>
    <w:rsid w:val="3A430E02"/>
    <w:rsid w:val="3A445F85"/>
    <w:rsid w:val="3A460548"/>
    <w:rsid w:val="3A460B68"/>
    <w:rsid w:val="3A470AA2"/>
    <w:rsid w:val="3A497ED2"/>
    <w:rsid w:val="3A4E6F73"/>
    <w:rsid w:val="3A504604"/>
    <w:rsid w:val="3A545839"/>
    <w:rsid w:val="3A54682E"/>
    <w:rsid w:val="3A575AF9"/>
    <w:rsid w:val="3A582F0E"/>
    <w:rsid w:val="3A5F52DA"/>
    <w:rsid w:val="3A62479B"/>
    <w:rsid w:val="3A64373A"/>
    <w:rsid w:val="3A65621C"/>
    <w:rsid w:val="3A675337"/>
    <w:rsid w:val="3A694553"/>
    <w:rsid w:val="3A6A1EDB"/>
    <w:rsid w:val="3A6A1F1C"/>
    <w:rsid w:val="3A6A42F2"/>
    <w:rsid w:val="3A6F7779"/>
    <w:rsid w:val="3A702ADF"/>
    <w:rsid w:val="3A705B11"/>
    <w:rsid w:val="3A7453B9"/>
    <w:rsid w:val="3A7600C8"/>
    <w:rsid w:val="3A781443"/>
    <w:rsid w:val="3A7C2238"/>
    <w:rsid w:val="3A7C5ACC"/>
    <w:rsid w:val="3A7C7B64"/>
    <w:rsid w:val="3A7D160A"/>
    <w:rsid w:val="3A7E2D9F"/>
    <w:rsid w:val="3A825D32"/>
    <w:rsid w:val="3A864466"/>
    <w:rsid w:val="3A866911"/>
    <w:rsid w:val="3A872D96"/>
    <w:rsid w:val="3A8B6C7C"/>
    <w:rsid w:val="3A8C0AFE"/>
    <w:rsid w:val="3A8E18A5"/>
    <w:rsid w:val="3A8E437E"/>
    <w:rsid w:val="3A90384C"/>
    <w:rsid w:val="3A9718BC"/>
    <w:rsid w:val="3A9F3A62"/>
    <w:rsid w:val="3AA73F01"/>
    <w:rsid w:val="3AA850CA"/>
    <w:rsid w:val="3AAC5F59"/>
    <w:rsid w:val="3AB43AB0"/>
    <w:rsid w:val="3AB60285"/>
    <w:rsid w:val="3AB655B3"/>
    <w:rsid w:val="3AB8507F"/>
    <w:rsid w:val="3ABB4714"/>
    <w:rsid w:val="3ABE540E"/>
    <w:rsid w:val="3AC145EF"/>
    <w:rsid w:val="3AC228EA"/>
    <w:rsid w:val="3AC640C3"/>
    <w:rsid w:val="3AC94EEA"/>
    <w:rsid w:val="3ACD00A7"/>
    <w:rsid w:val="3AD01F7C"/>
    <w:rsid w:val="3AD340F2"/>
    <w:rsid w:val="3AD54849"/>
    <w:rsid w:val="3AD65CB1"/>
    <w:rsid w:val="3AD823FD"/>
    <w:rsid w:val="3AD929F9"/>
    <w:rsid w:val="3ADB7C9E"/>
    <w:rsid w:val="3ADC6B40"/>
    <w:rsid w:val="3AE141F7"/>
    <w:rsid w:val="3AE55F5A"/>
    <w:rsid w:val="3AEA49AA"/>
    <w:rsid w:val="3AEA6B33"/>
    <w:rsid w:val="3AED7D56"/>
    <w:rsid w:val="3AF158BB"/>
    <w:rsid w:val="3AF5007F"/>
    <w:rsid w:val="3AF957D1"/>
    <w:rsid w:val="3AFE0E47"/>
    <w:rsid w:val="3AFF231E"/>
    <w:rsid w:val="3B0113D7"/>
    <w:rsid w:val="3B0759D3"/>
    <w:rsid w:val="3B08769D"/>
    <w:rsid w:val="3B0A6ED2"/>
    <w:rsid w:val="3B0C7E8B"/>
    <w:rsid w:val="3B0E0E3C"/>
    <w:rsid w:val="3B0F62D3"/>
    <w:rsid w:val="3B1A5E27"/>
    <w:rsid w:val="3B1F2F3F"/>
    <w:rsid w:val="3B222ACC"/>
    <w:rsid w:val="3B2474D9"/>
    <w:rsid w:val="3B2961EF"/>
    <w:rsid w:val="3B2D522C"/>
    <w:rsid w:val="3B2E27FF"/>
    <w:rsid w:val="3B30437A"/>
    <w:rsid w:val="3B310143"/>
    <w:rsid w:val="3B312739"/>
    <w:rsid w:val="3B325C3B"/>
    <w:rsid w:val="3B363480"/>
    <w:rsid w:val="3B383AB6"/>
    <w:rsid w:val="3B465B5A"/>
    <w:rsid w:val="3B4670E1"/>
    <w:rsid w:val="3B4C2C1E"/>
    <w:rsid w:val="3B4C7E37"/>
    <w:rsid w:val="3B4E1956"/>
    <w:rsid w:val="3B572493"/>
    <w:rsid w:val="3B596828"/>
    <w:rsid w:val="3B5A1719"/>
    <w:rsid w:val="3B5C2893"/>
    <w:rsid w:val="3B5D591E"/>
    <w:rsid w:val="3B5D7AE1"/>
    <w:rsid w:val="3B5F25E4"/>
    <w:rsid w:val="3B5F5516"/>
    <w:rsid w:val="3B6001C6"/>
    <w:rsid w:val="3B6240D6"/>
    <w:rsid w:val="3B6301E6"/>
    <w:rsid w:val="3B6F65F4"/>
    <w:rsid w:val="3B714D7C"/>
    <w:rsid w:val="3B734F5D"/>
    <w:rsid w:val="3B756660"/>
    <w:rsid w:val="3B790280"/>
    <w:rsid w:val="3B7B57B3"/>
    <w:rsid w:val="3B813201"/>
    <w:rsid w:val="3B917475"/>
    <w:rsid w:val="3B925AD9"/>
    <w:rsid w:val="3B964C83"/>
    <w:rsid w:val="3B9D58C8"/>
    <w:rsid w:val="3B9D5B3F"/>
    <w:rsid w:val="3B9D646C"/>
    <w:rsid w:val="3BA20A78"/>
    <w:rsid w:val="3BA222DC"/>
    <w:rsid w:val="3BA23236"/>
    <w:rsid w:val="3BA7737A"/>
    <w:rsid w:val="3BA94D2E"/>
    <w:rsid w:val="3BAB2DCA"/>
    <w:rsid w:val="3BAB373D"/>
    <w:rsid w:val="3BAE392A"/>
    <w:rsid w:val="3BB0664B"/>
    <w:rsid w:val="3BB247F6"/>
    <w:rsid w:val="3BB32BFD"/>
    <w:rsid w:val="3BB5437C"/>
    <w:rsid w:val="3BB558F8"/>
    <w:rsid w:val="3BB5710C"/>
    <w:rsid w:val="3BB74E5E"/>
    <w:rsid w:val="3BB94A14"/>
    <w:rsid w:val="3BBE5E26"/>
    <w:rsid w:val="3BBE62A3"/>
    <w:rsid w:val="3BC477A9"/>
    <w:rsid w:val="3BC826E6"/>
    <w:rsid w:val="3BCC002C"/>
    <w:rsid w:val="3BD021B5"/>
    <w:rsid w:val="3BD07501"/>
    <w:rsid w:val="3BD24A26"/>
    <w:rsid w:val="3BD31AC1"/>
    <w:rsid w:val="3BD40AC0"/>
    <w:rsid w:val="3BD61DD5"/>
    <w:rsid w:val="3BD92AD5"/>
    <w:rsid w:val="3BD9631B"/>
    <w:rsid w:val="3BDE0394"/>
    <w:rsid w:val="3BE21324"/>
    <w:rsid w:val="3BE306B3"/>
    <w:rsid w:val="3BE3147B"/>
    <w:rsid w:val="3BEA56A7"/>
    <w:rsid w:val="3BF02990"/>
    <w:rsid w:val="3BF15ADD"/>
    <w:rsid w:val="3BF348C5"/>
    <w:rsid w:val="3BF66C05"/>
    <w:rsid w:val="3C003364"/>
    <w:rsid w:val="3C007D48"/>
    <w:rsid w:val="3C0103F6"/>
    <w:rsid w:val="3C01397D"/>
    <w:rsid w:val="3C0421A1"/>
    <w:rsid w:val="3C0A69A5"/>
    <w:rsid w:val="3C0D3C55"/>
    <w:rsid w:val="3C0D3F2C"/>
    <w:rsid w:val="3C0E026F"/>
    <w:rsid w:val="3C0F5312"/>
    <w:rsid w:val="3C1232CD"/>
    <w:rsid w:val="3C1449D5"/>
    <w:rsid w:val="3C184A44"/>
    <w:rsid w:val="3C1C6483"/>
    <w:rsid w:val="3C206019"/>
    <w:rsid w:val="3C224794"/>
    <w:rsid w:val="3C270EE7"/>
    <w:rsid w:val="3C28130A"/>
    <w:rsid w:val="3C2A1031"/>
    <w:rsid w:val="3C2D7B2D"/>
    <w:rsid w:val="3C3157E3"/>
    <w:rsid w:val="3C342CCB"/>
    <w:rsid w:val="3C3B4C48"/>
    <w:rsid w:val="3C400FAE"/>
    <w:rsid w:val="3C402634"/>
    <w:rsid w:val="3C4643C8"/>
    <w:rsid w:val="3C4701E4"/>
    <w:rsid w:val="3C480033"/>
    <w:rsid w:val="3C490AF4"/>
    <w:rsid w:val="3C4956FA"/>
    <w:rsid w:val="3C4C07EF"/>
    <w:rsid w:val="3C580065"/>
    <w:rsid w:val="3C580BC3"/>
    <w:rsid w:val="3C5E4D01"/>
    <w:rsid w:val="3C5F52E9"/>
    <w:rsid w:val="3C5F71B3"/>
    <w:rsid w:val="3C605BB9"/>
    <w:rsid w:val="3C695840"/>
    <w:rsid w:val="3C6C4718"/>
    <w:rsid w:val="3C704774"/>
    <w:rsid w:val="3C733C96"/>
    <w:rsid w:val="3C7437DE"/>
    <w:rsid w:val="3C747794"/>
    <w:rsid w:val="3C764A50"/>
    <w:rsid w:val="3C785E1F"/>
    <w:rsid w:val="3C7F41CF"/>
    <w:rsid w:val="3C7F5B81"/>
    <w:rsid w:val="3C806487"/>
    <w:rsid w:val="3C806962"/>
    <w:rsid w:val="3C841519"/>
    <w:rsid w:val="3C8E1033"/>
    <w:rsid w:val="3C966258"/>
    <w:rsid w:val="3C9A0190"/>
    <w:rsid w:val="3C9F3A46"/>
    <w:rsid w:val="3CA37112"/>
    <w:rsid w:val="3CA710DA"/>
    <w:rsid w:val="3CB114F6"/>
    <w:rsid w:val="3CB127F8"/>
    <w:rsid w:val="3CB1356A"/>
    <w:rsid w:val="3CB53910"/>
    <w:rsid w:val="3CB67D8A"/>
    <w:rsid w:val="3CBA0843"/>
    <w:rsid w:val="3CBA5D3E"/>
    <w:rsid w:val="3CC13E0C"/>
    <w:rsid w:val="3CC50A0F"/>
    <w:rsid w:val="3CCA73AF"/>
    <w:rsid w:val="3CCB38A9"/>
    <w:rsid w:val="3CCB6EEA"/>
    <w:rsid w:val="3CCC3A71"/>
    <w:rsid w:val="3CD02D39"/>
    <w:rsid w:val="3CD038E9"/>
    <w:rsid w:val="3CDA1432"/>
    <w:rsid w:val="3CDD0B1D"/>
    <w:rsid w:val="3CE33C19"/>
    <w:rsid w:val="3CE45A4A"/>
    <w:rsid w:val="3CED33AC"/>
    <w:rsid w:val="3CF0296C"/>
    <w:rsid w:val="3CF06843"/>
    <w:rsid w:val="3CF07CD8"/>
    <w:rsid w:val="3CF10555"/>
    <w:rsid w:val="3CF71DFC"/>
    <w:rsid w:val="3CF74540"/>
    <w:rsid w:val="3CF76192"/>
    <w:rsid w:val="3CF93BA5"/>
    <w:rsid w:val="3CFA6426"/>
    <w:rsid w:val="3D004463"/>
    <w:rsid w:val="3D0150A5"/>
    <w:rsid w:val="3D030B86"/>
    <w:rsid w:val="3D0554F2"/>
    <w:rsid w:val="3D084985"/>
    <w:rsid w:val="3D095A3E"/>
    <w:rsid w:val="3D0A059D"/>
    <w:rsid w:val="3D0F11D6"/>
    <w:rsid w:val="3D1745CD"/>
    <w:rsid w:val="3D1A00E0"/>
    <w:rsid w:val="3D1F37F6"/>
    <w:rsid w:val="3D245221"/>
    <w:rsid w:val="3D250631"/>
    <w:rsid w:val="3D255FC5"/>
    <w:rsid w:val="3D2A5E6A"/>
    <w:rsid w:val="3D2C3719"/>
    <w:rsid w:val="3D2C5EE6"/>
    <w:rsid w:val="3D3177DB"/>
    <w:rsid w:val="3D385789"/>
    <w:rsid w:val="3D3A423F"/>
    <w:rsid w:val="3D3B3871"/>
    <w:rsid w:val="3D3D3DB0"/>
    <w:rsid w:val="3D3D4FC4"/>
    <w:rsid w:val="3D402ED4"/>
    <w:rsid w:val="3D406C83"/>
    <w:rsid w:val="3D412BDA"/>
    <w:rsid w:val="3D4234EA"/>
    <w:rsid w:val="3D44500C"/>
    <w:rsid w:val="3D480A02"/>
    <w:rsid w:val="3D484C4F"/>
    <w:rsid w:val="3D4B08C7"/>
    <w:rsid w:val="3D4D1145"/>
    <w:rsid w:val="3D4E6E56"/>
    <w:rsid w:val="3D5115F0"/>
    <w:rsid w:val="3D527EC5"/>
    <w:rsid w:val="3D581936"/>
    <w:rsid w:val="3D5A0193"/>
    <w:rsid w:val="3D5E3E50"/>
    <w:rsid w:val="3D5E41EE"/>
    <w:rsid w:val="3D5E4373"/>
    <w:rsid w:val="3D5F7B33"/>
    <w:rsid w:val="3D6006CA"/>
    <w:rsid w:val="3D611F4F"/>
    <w:rsid w:val="3D6B1630"/>
    <w:rsid w:val="3D6E7652"/>
    <w:rsid w:val="3D717000"/>
    <w:rsid w:val="3D744B3F"/>
    <w:rsid w:val="3D7915CC"/>
    <w:rsid w:val="3D7B0210"/>
    <w:rsid w:val="3D7D78D0"/>
    <w:rsid w:val="3D7E4DAE"/>
    <w:rsid w:val="3D7F043E"/>
    <w:rsid w:val="3D837CE4"/>
    <w:rsid w:val="3D866D9E"/>
    <w:rsid w:val="3D88037D"/>
    <w:rsid w:val="3D892142"/>
    <w:rsid w:val="3D8A1EB5"/>
    <w:rsid w:val="3D8D05E4"/>
    <w:rsid w:val="3D98669F"/>
    <w:rsid w:val="3DA51D58"/>
    <w:rsid w:val="3DA82F89"/>
    <w:rsid w:val="3DA96612"/>
    <w:rsid w:val="3DAB2F62"/>
    <w:rsid w:val="3DB10211"/>
    <w:rsid w:val="3DB20AF4"/>
    <w:rsid w:val="3DB3646F"/>
    <w:rsid w:val="3DB62485"/>
    <w:rsid w:val="3DB74CFF"/>
    <w:rsid w:val="3DBB0F0B"/>
    <w:rsid w:val="3DBC61B4"/>
    <w:rsid w:val="3DC613A3"/>
    <w:rsid w:val="3DC70002"/>
    <w:rsid w:val="3DC72576"/>
    <w:rsid w:val="3DC76329"/>
    <w:rsid w:val="3DCC743F"/>
    <w:rsid w:val="3DD75C76"/>
    <w:rsid w:val="3DDA73DC"/>
    <w:rsid w:val="3DDC392F"/>
    <w:rsid w:val="3DE3768F"/>
    <w:rsid w:val="3DE446D0"/>
    <w:rsid w:val="3DE46C62"/>
    <w:rsid w:val="3DE4739B"/>
    <w:rsid w:val="3DE57133"/>
    <w:rsid w:val="3DE67E55"/>
    <w:rsid w:val="3DE803E1"/>
    <w:rsid w:val="3DE90634"/>
    <w:rsid w:val="3DEB51DB"/>
    <w:rsid w:val="3DEB59E9"/>
    <w:rsid w:val="3DEC153B"/>
    <w:rsid w:val="3DED54A5"/>
    <w:rsid w:val="3DEE671C"/>
    <w:rsid w:val="3DEE71CE"/>
    <w:rsid w:val="3DF45BFC"/>
    <w:rsid w:val="3DF6059C"/>
    <w:rsid w:val="3DF614EB"/>
    <w:rsid w:val="3DF8205D"/>
    <w:rsid w:val="3DFE618A"/>
    <w:rsid w:val="3E020BB9"/>
    <w:rsid w:val="3E031E31"/>
    <w:rsid w:val="3E06185A"/>
    <w:rsid w:val="3E0A607D"/>
    <w:rsid w:val="3E0E1F05"/>
    <w:rsid w:val="3E1031CF"/>
    <w:rsid w:val="3E170ADB"/>
    <w:rsid w:val="3E180C37"/>
    <w:rsid w:val="3E197BE8"/>
    <w:rsid w:val="3E1A457C"/>
    <w:rsid w:val="3E1F6574"/>
    <w:rsid w:val="3E205F5A"/>
    <w:rsid w:val="3E251B24"/>
    <w:rsid w:val="3E2C69FE"/>
    <w:rsid w:val="3E2D531B"/>
    <w:rsid w:val="3E2E6592"/>
    <w:rsid w:val="3E321CE8"/>
    <w:rsid w:val="3E3D1CE5"/>
    <w:rsid w:val="3E3E46C5"/>
    <w:rsid w:val="3E4213DB"/>
    <w:rsid w:val="3E423FDE"/>
    <w:rsid w:val="3E4401B6"/>
    <w:rsid w:val="3E4650A8"/>
    <w:rsid w:val="3E4709B7"/>
    <w:rsid w:val="3E472120"/>
    <w:rsid w:val="3E493A51"/>
    <w:rsid w:val="3E4B739C"/>
    <w:rsid w:val="3E52039D"/>
    <w:rsid w:val="3E534A6E"/>
    <w:rsid w:val="3E5522E2"/>
    <w:rsid w:val="3E595D9D"/>
    <w:rsid w:val="3E597A24"/>
    <w:rsid w:val="3E5D4701"/>
    <w:rsid w:val="3E5E68A5"/>
    <w:rsid w:val="3E5F2295"/>
    <w:rsid w:val="3E645E2F"/>
    <w:rsid w:val="3E6C11AE"/>
    <w:rsid w:val="3E6D7EEC"/>
    <w:rsid w:val="3E7003CE"/>
    <w:rsid w:val="3E771001"/>
    <w:rsid w:val="3E7C3D7D"/>
    <w:rsid w:val="3E7F5D4D"/>
    <w:rsid w:val="3E8327F1"/>
    <w:rsid w:val="3E850C2C"/>
    <w:rsid w:val="3E8974B2"/>
    <w:rsid w:val="3E8D3F9D"/>
    <w:rsid w:val="3E8D6206"/>
    <w:rsid w:val="3E8D7710"/>
    <w:rsid w:val="3E911DBD"/>
    <w:rsid w:val="3E951B57"/>
    <w:rsid w:val="3E9536AF"/>
    <w:rsid w:val="3E971D52"/>
    <w:rsid w:val="3E971DEC"/>
    <w:rsid w:val="3E995D40"/>
    <w:rsid w:val="3E9D7A92"/>
    <w:rsid w:val="3E9F0A56"/>
    <w:rsid w:val="3EA22093"/>
    <w:rsid w:val="3EA511D9"/>
    <w:rsid w:val="3EAA0BC5"/>
    <w:rsid w:val="3EAB792A"/>
    <w:rsid w:val="3EB06759"/>
    <w:rsid w:val="3EB143BB"/>
    <w:rsid w:val="3EB376A1"/>
    <w:rsid w:val="3EB4206A"/>
    <w:rsid w:val="3EB62E69"/>
    <w:rsid w:val="3EB75B24"/>
    <w:rsid w:val="3EB93AA7"/>
    <w:rsid w:val="3EBF7ED0"/>
    <w:rsid w:val="3EC35570"/>
    <w:rsid w:val="3EC469BD"/>
    <w:rsid w:val="3EC93A57"/>
    <w:rsid w:val="3ECD4C26"/>
    <w:rsid w:val="3ECE56C8"/>
    <w:rsid w:val="3ED10395"/>
    <w:rsid w:val="3ED1055A"/>
    <w:rsid w:val="3ED927EC"/>
    <w:rsid w:val="3EDC3C31"/>
    <w:rsid w:val="3EDC3DE9"/>
    <w:rsid w:val="3EE1012D"/>
    <w:rsid w:val="3EE90D46"/>
    <w:rsid w:val="3EEF0B31"/>
    <w:rsid w:val="3EEF62CF"/>
    <w:rsid w:val="3EF25322"/>
    <w:rsid w:val="3EF662D9"/>
    <w:rsid w:val="3EF67275"/>
    <w:rsid w:val="3F007F55"/>
    <w:rsid w:val="3F0944CE"/>
    <w:rsid w:val="3F0A51C9"/>
    <w:rsid w:val="3F0C0B26"/>
    <w:rsid w:val="3F115890"/>
    <w:rsid w:val="3F1301BA"/>
    <w:rsid w:val="3F1352BE"/>
    <w:rsid w:val="3F143319"/>
    <w:rsid w:val="3F190981"/>
    <w:rsid w:val="3F1E0535"/>
    <w:rsid w:val="3F2034EE"/>
    <w:rsid w:val="3F231CC8"/>
    <w:rsid w:val="3F30127C"/>
    <w:rsid w:val="3F3355CA"/>
    <w:rsid w:val="3F346A26"/>
    <w:rsid w:val="3F3517B4"/>
    <w:rsid w:val="3F35609B"/>
    <w:rsid w:val="3F3D0AFF"/>
    <w:rsid w:val="3F486AF9"/>
    <w:rsid w:val="3F493AF7"/>
    <w:rsid w:val="3F4D643B"/>
    <w:rsid w:val="3F4E5F0E"/>
    <w:rsid w:val="3F5324AD"/>
    <w:rsid w:val="3F5D5058"/>
    <w:rsid w:val="3F601A85"/>
    <w:rsid w:val="3F6436C0"/>
    <w:rsid w:val="3F664398"/>
    <w:rsid w:val="3F6922B7"/>
    <w:rsid w:val="3F6B55EC"/>
    <w:rsid w:val="3F6E44E4"/>
    <w:rsid w:val="3F744A35"/>
    <w:rsid w:val="3F7A679A"/>
    <w:rsid w:val="3F7C3E2B"/>
    <w:rsid w:val="3F7F1F7E"/>
    <w:rsid w:val="3F813ADC"/>
    <w:rsid w:val="3F853305"/>
    <w:rsid w:val="3F88666C"/>
    <w:rsid w:val="3F8C77F4"/>
    <w:rsid w:val="3F8E71A3"/>
    <w:rsid w:val="3F8F15C3"/>
    <w:rsid w:val="3FAD3B43"/>
    <w:rsid w:val="3FB06698"/>
    <w:rsid w:val="3FB4582F"/>
    <w:rsid w:val="3FB94FAF"/>
    <w:rsid w:val="3FBB358D"/>
    <w:rsid w:val="3FBC14E6"/>
    <w:rsid w:val="3FBC70D5"/>
    <w:rsid w:val="3FBE4645"/>
    <w:rsid w:val="3FC27A03"/>
    <w:rsid w:val="3FC47828"/>
    <w:rsid w:val="3FC8294A"/>
    <w:rsid w:val="3FC917DB"/>
    <w:rsid w:val="3FC952B9"/>
    <w:rsid w:val="3FCC6594"/>
    <w:rsid w:val="3FCD5A00"/>
    <w:rsid w:val="3FD0088D"/>
    <w:rsid w:val="3FD31265"/>
    <w:rsid w:val="3FD521B6"/>
    <w:rsid w:val="3FD5750F"/>
    <w:rsid w:val="3FD63DD9"/>
    <w:rsid w:val="3FD8796F"/>
    <w:rsid w:val="3FDD28C6"/>
    <w:rsid w:val="3FE3011A"/>
    <w:rsid w:val="3FE30524"/>
    <w:rsid w:val="3FE47B12"/>
    <w:rsid w:val="3FE52604"/>
    <w:rsid w:val="3FE81E94"/>
    <w:rsid w:val="3FEE5E19"/>
    <w:rsid w:val="3FEF24B8"/>
    <w:rsid w:val="3FEF5930"/>
    <w:rsid w:val="3FF01ED2"/>
    <w:rsid w:val="3FF07EDF"/>
    <w:rsid w:val="3FF26A6F"/>
    <w:rsid w:val="3FF87B90"/>
    <w:rsid w:val="3FFD5AAE"/>
    <w:rsid w:val="40060327"/>
    <w:rsid w:val="400F1F7B"/>
    <w:rsid w:val="401332F0"/>
    <w:rsid w:val="401366E9"/>
    <w:rsid w:val="40140E5D"/>
    <w:rsid w:val="40156D52"/>
    <w:rsid w:val="40160839"/>
    <w:rsid w:val="40173699"/>
    <w:rsid w:val="401A50B5"/>
    <w:rsid w:val="401C4952"/>
    <w:rsid w:val="401F03D6"/>
    <w:rsid w:val="40204C9C"/>
    <w:rsid w:val="402175C0"/>
    <w:rsid w:val="40224C98"/>
    <w:rsid w:val="402E27C6"/>
    <w:rsid w:val="4031118F"/>
    <w:rsid w:val="403470DB"/>
    <w:rsid w:val="40355928"/>
    <w:rsid w:val="40375B00"/>
    <w:rsid w:val="403F182D"/>
    <w:rsid w:val="404404D7"/>
    <w:rsid w:val="40441542"/>
    <w:rsid w:val="40441DE9"/>
    <w:rsid w:val="40487A67"/>
    <w:rsid w:val="40487AC6"/>
    <w:rsid w:val="40491500"/>
    <w:rsid w:val="404B2B61"/>
    <w:rsid w:val="404D24F1"/>
    <w:rsid w:val="40556E4D"/>
    <w:rsid w:val="4056331C"/>
    <w:rsid w:val="405B65BD"/>
    <w:rsid w:val="405B6CC5"/>
    <w:rsid w:val="40602F1D"/>
    <w:rsid w:val="4061721C"/>
    <w:rsid w:val="406331D5"/>
    <w:rsid w:val="40680D4A"/>
    <w:rsid w:val="40736091"/>
    <w:rsid w:val="40767B83"/>
    <w:rsid w:val="40795E45"/>
    <w:rsid w:val="407B6769"/>
    <w:rsid w:val="407D0374"/>
    <w:rsid w:val="407F6468"/>
    <w:rsid w:val="40801C8B"/>
    <w:rsid w:val="40844B0C"/>
    <w:rsid w:val="408573F5"/>
    <w:rsid w:val="40860BB6"/>
    <w:rsid w:val="40863E62"/>
    <w:rsid w:val="40881DCB"/>
    <w:rsid w:val="40884D51"/>
    <w:rsid w:val="408A400F"/>
    <w:rsid w:val="408C2A53"/>
    <w:rsid w:val="408D1C4C"/>
    <w:rsid w:val="408E41F6"/>
    <w:rsid w:val="408F66E1"/>
    <w:rsid w:val="4093356B"/>
    <w:rsid w:val="40947544"/>
    <w:rsid w:val="4095099A"/>
    <w:rsid w:val="40A16D93"/>
    <w:rsid w:val="40A233A9"/>
    <w:rsid w:val="40A30676"/>
    <w:rsid w:val="40A47872"/>
    <w:rsid w:val="40A51B36"/>
    <w:rsid w:val="40A627BD"/>
    <w:rsid w:val="40A62E81"/>
    <w:rsid w:val="40AE1CD5"/>
    <w:rsid w:val="40B27B70"/>
    <w:rsid w:val="40B73EB5"/>
    <w:rsid w:val="40B81313"/>
    <w:rsid w:val="40B95DE0"/>
    <w:rsid w:val="40BB57FB"/>
    <w:rsid w:val="40BD7FFA"/>
    <w:rsid w:val="40C14979"/>
    <w:rsid w:val="40C23537"/>
    <w:rsid w:val="40C2740F"/>
    <w:rsid w:val="40C501AB"/>
    <w:rsid w:val="40C5094A"/>
    <w:rsid w:val="40C53346"/>
    <w:rsid w:val="40C65DC1"/>
    <w:rsid w:val="40C852A9"/>
    <w:rsid w:val="40CA6363"/>
    <w:rsid w:val="40CB1519"/>
    <w:rsid w:val="40CC0FE5"/>
    <w:rsid w:val="40CD61D0"/>
    <w:rsid w:val="40DB56CC"/>
    <w:rsid w:val="40DC0913"/>
    <w:rsid w:val="40DE5956"/>
    <w:rsid w:val="40E02912"/>
    <w:rsid w:val="40E051CE"/>
    <w:rsid w:val="40E617A5"/>
    <w:rsid w:val="40E8479E"/>
    <w:rsid w:val="40EA10E5"/>
    <w:rsid w:val="40EB130E"/>
    <w:rsid w:val="40EE07CE"/>
    <w:rsid w:val="40F61341"/>
    <w:rsid w:val="40F81E11"/>
    <w:rsid w:val="41007503"/>
    <w:rsid w:val="41034394"/>
    <w:rsid w:val="41037390"/>
    <w:rsid w:val="410B74B8"/>
    <w:rsid w:val="410D1C76"/>
    <w:rsid w:val="411264B1"/>
    <w:rsid w:val="411B70E5"/>
    <w:rsid w:val="411D1460"/>
    <w:rsid w:val="411D6C36"/>
    <w:rsid w:val="411F6B38"/>
    <w:rsid w:val="41214802"/>
    <w:rsid w:val="41242C62"/>
    <w:rsid w:val="412D1483"/>
    <w:rsid w:val="412E0FA3"/>
    <w:rsid w:val="4130109F"/>
    <w:rsid w:val="41321FE5"/>
    <w:rsid w:val="413832BA"/>
    <w:rsid w:val="413B18B1"/>
    <w:rsid w:val="41411B53"/>
    <w:rsid w:val="414566A0"/>
    <w:rsid w:val="414A0B0A"/>
    <w:rsid w:val="41531138"/>
    <w:rsid w:val="415475F9"/>
    <w:rsid w:val="415509DC"/>
    <w:rsid w:val="4155777D"/>
    <w:rsid w:val="415657D1"/>
    <w:rsid w:val="41572C01"/>
    <w:rsid w:val="4159122F"/>
    <w:rsid w:val="415A5D73"/>
    <w:rsid w:val="415F4B2D"/>
    <w:rsid w:val="41654D9F"/>
    <w:rsid w:val="416C66C7"/>
    <w:rsid w:val="416F7FF8"/>
    <w:rsid w:val="41794580"/>
    <w:rsid w:val="417D7531"/>
    <w:rsid w:val="417E7822"/>
    <w:rsid w:val="41815B93"/>
    <w:rsid w:val="418344D2"/>
    <w:rsid w:val="418660A4"/>
    <w:rsid w:val="418830DD"/>
    <w:rsid w:val="41900162"/>
    <w:rsid w:val="41905F44"/>
    <w:rsid w:val="419133FA"/>
    <w:rsid w:val="419225B7"/>
    <w:rsid w:val="41930FEB"/>
    <w:rsid w:val="41944904"/>
    <w:rsid w:val="4195499A"/>
    <w:rsid w:val="419C298A"/>
    <w:rsid w:val="41A17C74"/>
    <w:rsid w:val="41A75F39"/>
    <w:rsid w:val="41AC096A"/>
    <w:rsid w:val="41AF1F3C"/>
    <w:rsid w:val="41B13B01"/>
    <w:rsid w:val="41B7313A"/>
    <w:rsid w:val="41BA2EB1"/>
    <w:rsid w:val="41BA6A61"/>
    <w:rsid w:val="41BD24E9"/>
    <w:rsid w:val="41C245D3"/>
    <w:rsid w:val="41C25E4A"/>
    <w:rsid w:val="41C57A75"/>
    <w:rsid w:val="41C66EF8"/>
    <w:rsid w:val="41C84A2B"/>
    <w:rsid w:val="41CD688E"/>
    <w:rsid w:val="41CF6ECD"/>
    <w:rsid w:val="41D04F5A"/>
    <w:rsid w:val="41D36594"/>
    <w:rsid w:val="41D81760"/>
    <w:rsid w:val="41DB3F6E"/>
    <w:rsid w:val="41DB74D3"/>
    <w:rsid w:val="41E02A66"/>
    <w:rsid w:val="41E270EB"/>
    <w:rsid w:val="41E36F8B"/>
    <w:rsid w:val="41EC0C2D"/>
    <w:rsid w:val="41EF3B0D"/>
    <w:rsid w:val="41F25252"/>
    <w:rsid w:val="41FB2F75"/>
    <w:rsid w:val="41FF1B86"/>
    <w:rsid w:val="42010CB6"/>
    <w:rsid w:val="420216F9"/>
    <w:rsid w:val="420533FF"/>
    <w:rsid w:val="4205400D"/>
    <w:rsid w:val="42096405"/>
    <w:rsid w:val="420D375A"/>
    <w:rsid w:val="42111E62"/>
    <w:rsid w:val="42123347"/>
    <w:rsid w:val="42132F44"/>
    <w:rsid w:val="42143B5D"/>
    <w:rsid w:val="421947CC"/>
    <w:rsid w:val="421A07EB"/>
    <w:rsid w:val="421B164C"/>
    <w:rsid w:val="42223F6B"/>
    <w:rsid w:val="422853CC"/>
    <w:rsid w:val="422D0781"/>
    <w:rsid w:val="422D58AF"/>
    <w:rsid w:val="423009AA"/>
    <w:rsid w:val="42303D61"/>
    <w:rsid w:val="42342EF2"/>
    <w:rsid w:val="42354ECF"/>
    <w:rsid w:val="42372676"/>
    <w:rsid w:val="423D7E9B"/>
    <w:rsid w:val="424A729F"/>
    <w:rsid w:val="424D1B92"/>
    <w:rsid w:val="424F297E"/>
    <w:rsid w:val="425035BF"/>
    <w:rsid w:val="4252661B"/>
    <w:rsid w:val="42531095"/>
    <w:rsid w:val="42537602"/>
    <w:rsid w:val="42546BB1"/>
    <w:rsid w:val="42547178"/>
    <w:rsid w:val="42571293"/>
    <w:rsid w:val="4259696B"/>
    <w:rsid w:val="425B0858"/>
    <w:rsid w:val="425C4558"/>
    <w:rsid w:val="42654741"/>
    <w:rsid w:val="42657ACF"/>
    <w:rsid w:val="42672229"/>
    <w:rsid w:val="426762BF"/>
    <w:rsid w:val="42684C0C"/>
    <w:rsid w:val="426E5544"/>
    <w:rsid w:val="426F7DCF"/>
    <w:rsid w:val="42733DA8"/>
    <w:rsid w:val="427757C8"/>
    <w:rsid w:val="427D00DF"/>
    <w:rsid w:val="427E2A9A"/>
    <w:rsid w:val="427E40A7"/>
    <w:rsid w:val="427E53F1"/>
    <w:rsid w:val="427F469E"/>
    <w:rsid w:val="42812E5B"/>
    <w:rsid w:val="428200D2"/>
    <w:rsid w:val="42861764"/>
    <w:rsid w:val="42866E93"/>
    <w:rsid w:val="428705F4"/>
    <w:rsid w:val="428D6595"/>
    <w:rsid w:val="428F4952"/>
    <w:rsid w:val="428F5E9F"/>
    <w:rsid w:val="42945B89"/>
    <w:rsid w:val="429502AC"/>
    <w:rsid w:val="42951499"/>
    <w:rsid w:val="42961A59"/>
    <w:rsid w:val="4299262A"/>
    <w:rsid w:val="429B590B"/>
    <w:rsid w:val="429E2844"/>
    <w:rsid w:val="42A57722"/>
    <w:rsid w:val="42AD22C4"/>
    <w:rsid w:val="42AD3ADA"/>
    <w:rsid w:val="42AE568F"/>
    <w:rsid w:val="42B26B53"/>
    <w:rsid w:val="42BA4142"/>
    <w:rsid w:val="42BD3FBF"/>
    <w:rsid w:val="42BF4DBD"/>
    <w:rsid w:val="42C86E79"/>
    <w:rsid w:val="42CA37A1"/>
    <w:rsid w:val="42CC19AC"/>
    <w:rsid w:val="42CE66FA"/>
    <w:rsid w:val="42D00689"/>
    <w:rsid w:val="42D14CDE"/>
    <w:rsid w:val="42D27F5D"/>
    <w:rsid w:val="42D35BF7"/>
    <w:rsid w:val="42D70AB4"/>
    <w:rsid w:val="42D95F8C"/>
    <w:rsid w:val="42DA6C0E"/>
    <w:rsid w:val="42DB1F48"/>
    <w:rsid w:val="42DE2DA6"/>
    <w:rsid w:val="42E05DA0"/>
    <w:rsid w:val="42E07E63"/>
    <w:rsid w:val="42E24F11"/>
    <w:rsid w:val="42E91696"/>
    <w:rsid w:val="42E97709"/>
    <w:rsid w:val="42EC56B9"/>
    <w:rsid w:val="42F00D2B"/>
    <w:rsid w:val="42F05AFD"/>
    <w:rsid w:val="42F10317"/>
    <w:rsid w:val="42F14AB7"/>
    <w:rsid w:val="42F446E9"/>
    <w:rsid w:val="42FE2B5F"/>
    <w:rsid w:val="430E1A77"/>
    <w:rsid w:val="43137BE8"/>
    <w:rsid w:val="431C3BAF"/>
    <w:rsid w:val="431C5E91"/>
    <w:rsid w:val="4321007D"/>
    <w:rsid w:val="43270C4C"/>
    <w:rsid w:val="432E23E6"/>
    <w:rsid w:val="432F56C9"/>
    <w:rsid w:val="433039D4"/>
    <w:rsid w:val="43343641"/>
    <w:rsid w:val="433933B0"/>
    <w:rsid w:val="433B6234"/>
    <w:rsid w:val="43413BCF"/>
    <w:rsid w:val="4346625A"/>
    <w:rsid w:val="43467D60"/>
    <w:rsid w:val="43497298"/>
    <w:rsid w:val="434A0F25"/>
    <w:rsid w:val="434B446A"/>
    <w:rsid w:val="434C14B5"/>
    <w:rsid w:val="435020C3"/>
    <w:rsid w:val="4354303F"/>
    <w:rsid w:val="43582A2C"/>
    <w:rsid w:val="43594B99"/>
    <w:rsid w:val="43597DA4"/>
    <w:rsid w:val="435D200B"/>
    <w:rsid w:val="435E7A42"/>
    <w:rsid w:val="436114F8"/>
    <w:rsid w:val="43667F3D"/>
    <w:rsid w:val="43682C07"/>
    <w:rsid w:val="436C30C2"/>
    <w:rsid w:val="436F1CD1"/>
    <w:rsid w:val="437129D9"/>
    <w:rsid w:val="437312E9"/>
    <w:rsid w:val="43794640"/>
    <w:rsid w:val="43794A7C"/>
    <w:rsid w:val="437D71B6"/>
    <w:rsid w:val="437F5E69"/>
    <w:rsid w:val="438A1102"/>
    <w:rsid w:val="438A16C8"/>
    <w:rsid w:val="438A5469"/>
    <w:rsid w:val="438B2602"/>
    <w:rsid w:val="438C644F"/>
    <w:rsid w:val="43921A0B"/>
    <w:rsid w:val="439237EA"/>
    <w:rsid w:val="43975655"/>
    <w:rsid w:val="439B41FC"/>
    <w:rsid w:val="439C1FA9"/>
    <w:rsid w:val="43A6110D"/>
    <w:rsid w:val="43A90509"/>
    <w:rsid w:val="43AA6DBA"/>
    <w:rsid w:val="43AC4C52"/>
    <w:rsid w:val="43B25FE2"/>
    <w:rsid w:val="43B558CD"/>
    <w:rsid w:val="43B55DAF"/>
    <w:rsid w:val="43BA7F0A"/>
    <w:rsid w:val="43BD0285"/>
    <w:rsid w:val="43BD5849"/>
    <w:rsid w:val="43BD71E9"/>
    <w:rsid w:val="43BF5FA2"/>
    <w:rsid w:val="43C057B7"/>
    <w:rsid w:val="43C14B78"/>
    <w:rsid w:val="43C3516A"/>
    <w:rsid w:val="43C35824"/>
    <w:rsid w:val="43C634E4"/>
    <w:rsid w:val="43CC3C6E"/>
    <w:rsid w:val="43D153F6"/>
    <w:rsid w:val="43D3231B"/>
    <w:rsid w:val="43D60021"/>
    <w:rsid w:val="43DC2793"/>
    <w:rsid w:val="43DC28FF"/>
    <w:rsid w:val="43DE4599"/>
    <w:rsid w:val="43E1360D"/>
    <w:rsid w:val="43E75442"/>
    <w:rsid w:val="43E853A7"/>
    <w:rsid w:val="43EB7326"/>
    <w:rsid w:val="43F10401"/>
    <w:rsid w:val="43F22DB8"/>
    <w:rsid w:val="43FF0ECA"/>
    <w:rsid w:val="44021AAD"/>
    <w:rsid w:val="44040E30"/>
    <w:rsid w:val="44087B0D"/>
    <w:rsid w:val="440C6334"/>
    <w:rsid w:val="44103433"/>
    <w:rsid w:val="44124A31"/>
    <w:rsid w:val="44126C12"/>
    <w:rsid w:val="441718AB"/>
    <w:rsid w:val="441B69DF"/>
    <w:rsid w:val="441C2B3F"/>
    <w:rsid w:val="441D069D"/>
    <w:rsid w:val="441D7AD9"/>
    <w:rsid w:val="441F09FE"/>
    <w:rsid w:val="4420111A"/>
    <w:rsid w:val="442600D8"/>
    <w:rsid w:val="44266069"/>
    <w:rsid w:val="44284233"/>
    <w:rsid w:val="44294C5B"/>
    <w:rsid w:val="442A49DA"/>
    <w:rsid w:val="442E32C5"/>
    <w:rsid w:val="443059D9"/>
    <w:rsid w:val="44377843"/>
    <w:rsid w:val="443C0EEE"/>
    <w:rsid w:val="443D3AD8"/>
    <w:rsid w:val="44484B2F"/>
    <w:rsid w:val="444906F3"/>
    <w:rsid w:val="444E3F57"/>
    <w:rsid w:val="44503EFA"/>
    <w:rsid w:val="44541926"/>
    <w:rsid w:val="44593A33"/>
    <w:rsid w:val="445E1163"/>
    <w:rsid w:val="445E4103"/>
    <w:rsid w:val="445E5064"/>
    <w:rsid w:val="44603AE9"/>
    <w:rsid w:val="44625671"/>
    <w:rsid w:val="446A2831"/>
    <w:rsid w:val="446B57DA"/>
    <w:rsid w:val="446B7138"/>
    <w:rsid w:val="446D4390"/>
    <w:rsid w:val="44735621"/>
    <w:rsid w:val="447437CC"/>
    <w:rsid w:val="44771AF1"/>
    <w:rsid w:val="447A08AC"/>
    <w:rsid w:val="447B1636"/>
    <w:rsid w:val="447C25F6"/>
    <w:rsid w:val="447F1AE7"/>
    <w:rsid w:val="44864280"/>
    <w:rsid w:val="448858FB"/>
    <w:rsid w:val="44931237"/>
    <w:rsid w:val="449567A7"/>
    <w:rsid w:val="449711C4"/>
    <w:rsid w:val="44995B4C"/>
    <w:rsid w:val="44A646C4"/>
    <w:rsid w:val="44AA77CB"/>
    <w:rsid w:val="44AC0548"/>
    <w:rsid w:val="44BA4C46"/>
    <w:rsid w:val="44BC6DD4"/>
    <w:rsid w:val="44BD4461"/>
    <w:rsid w:val="44BF3CC9"/>
    <w:rsid w:val="44C12092"/>
    <w:rsid w:val="44C164DB"/>
    <w:rsid w:val="44C62BF1"/>
    <w:rsid w:val="44C724AC"/>
    <w:rsid w:val="44C77470"/>
    <w:rsid w:val="44C810EC"/>
    <w:rsid w:val="44C83215"/>
    <w:rsid w:val="44C87395"/>
    <w:rsid w:val="44C92C76"/>
    <w:rsid w:val="44CD11F8"/>
    <w:rsid w:val="44D03DF3"/>
    <w:rsid w:val="44D2484F"/>
    <w:rsid w:val="44D3714B"/>
    <w:rsid w:val="44D73FA2"/>
    <w:rsid w:val="44E02842"/>
    <w:rsid w:val="44E51B97"/>
    <w:rsid w:val="44E934FF"/>
    <w:rsid w:val="44FB5C2D"/>
    <w:rsid w:val="44FC277C"/>
    <w:rsid w:val="4501277B"/>
    <w:rsid w:val="45040774"/>
    <w:rsid w:val="45045DC5"/>
    <w:rsid w:val="45051E99"/>
    <w:rsid w:val="4505451B"/>
    <w:rsid w:val="450A6525"/>
    <w:rsid w:val="450B09A3"/>
    <w:rsid w:val="450B2B6D"/>
    <w:rsid w:val="451057F0"/>
    <w:rsid w:val="45133E17"/>
    <w:rsid w:val="45140085"/>
    <w:rsid w:val="45145E65"/>
    <w:rsid w:val="451A0EEA"/>
    <w:rsid w:val="451E48FB"/>
    <w:rsid w:val="452A7B14"/>
    <w:rsid w:val="452B478A"/>
    <w:rsid w:val="45332565"/>
    <w:rsid w:val="453419D6"/>
    <w:rsid w:val="4539039B"/>
    <w:rsid w:val="454165D4"/>
    <w:rsid w:val="45474289"/>
    <w:rsid w:val="45491CCB"/>
    <w:rsid w:val="454B4719"/>
    <w:rsid w:val="454C5B21"/>
    <w:rsid w:val="454C65DD"/>
    <w:rsid w:val="454F3897"/>
    <w:rsid w:val="45536358"/>
    <w:rsid w:val="4557044F"/>
    <w:rsid w:val="455830A1"/>
    <w:rsid w:val="455A264A"/>
    <w:rsid w:val="45603592"/>
    <w:rsid w:val="456074BA"/>
    <w:rsid w:val="45657C52"/>
    <w:rsid w:val="456C20D7"/>
    <w:rsid w:val="45714576"/>
    <w:rsid w:val="45747914"/>
    <w:rsid w:val="45754FAE"/>
    <w:rsid w:val="4575630B"/>
    <w:rsid w:val="45761A9A"/>
    <w:rsid w:val="457D5718"/>
    <w:rsid w:val="458201AA"/>
    <w:rsid w:val="45893276"/>
    <w:rsid w:val="458A5748"/>
    <w:rsid w:val="458E76D4"/>
    <w:rsid w:val="45971C7D"/>
    <w:rsid w:val="459A2D4E"/>
    <w:rsid w:val="459F3BFA"/>
    <w:rsid w:val="45A05D75"/>
    <w:rsid w:val="45A40D21"/>
    <w:rsid w:val="45A54CA5"/>
    <w:rsid w:val="45A67EE1"/>
    <w:rsid w:val="45B10C40"/>
    <w:rsid w:val="45B510B2"/>
    <w:rsid w:val="45B90451"/>
    <w:rsid w:val="45BB2E73"/>
    <w:rsid w:val="45BB658E"/>
    <w:rsid w:val="45BC73BF"/>
    <w:rsid w:val="45C468C8"/>
    <w:rsid w:val="45C50DB8"/>
    <w:rsid w:val="45CF5831"/>
    <w:rsid w:val="45D33509"/>
    <w:rsid w:val="45D87D67"/>
    <w:rsid w:val="45DD0999"/>
    <w:rsid w:val="45E07C33"/>
    <w:rsid w:val="45E55FF7"/>
    <w:rsid w:val="45E82B58"/>
    <w:rsid w:val="45E8586D"/>
    <w:rsid w:val="45EB7793"/>
    <w:rsid w:val="45EF196B"/>
    <w:rsid w:val="45F428E0"/>
    <w:rsid w:val="45F444C3"/>
    <w:rsid w:val="45F71069"/>
    <w:rsid w:val="45FA77AA"/>
    <w:rsid w:val="45FC264D"/>
    <w:rsid w:val="45FF25B7"/>
    <w:rsid w:val="460F148C"/>
    <w:rsid w:val="461012C8"/>
    <w:rsid w:val="4619280E"/>
    <w:rsid w:val="46195EA3"/>
    <w:rsid w:val="461C0C51"/>
    <w:rsid w:val="46274048"/>
    <w:rsid w:val="462816D4"/>
    <w:rsid w:val="462A17F8"/>
    <w:rsid w:val="462C4EE7"/>
    <w:rsid w:val="462D6DE7"/>
    <w:rsid w:val="46314F24"/>
    <w:rsid w:val="46326620"/>
    <w:rsid w:val="463372C4"/>
    <w:rsid w:val="463523C1"/>
    <w:rsid w:val="46372C15"/>
    <w:rsid w:val="463C6870"/>
    <w:rsid w:val="463E5F18"/>
    <w:rsid w:val="46420EBD"/>
    <w:rsid w:val="46470A54"/>
    <w:rsid w:val="464A0572"/>
    <w:rsid w:val="464B7C9E"/>
    <w:rsid w:val="46501C5B"/>
    <w:rsid w:val="4650516C"/>
    <w:rsid w:val="46514C1D"/>
    <w:rsid w:val="46555709"/>
    <w:rsid w:val="465724D0"/>
    <w:rsid w:val="465D35A1"/>
    <w:rsid w:val="466111E3"/>
    <w:rsid w:val="46627479"/>
    <w:rsid w:val="46633CD3"/>
    <w:rsid w:val="466412D5"/>
    <w:rsid w:val="466E2C90"/>
    <w:rsid w:val="466E713E"/>
    <w:rsid w:val="4672352B"/>
    <w:rsid w:val="46733CB9"/>
    <w:rsid w:val="46767381"/>
    <w:rsid w:val="467A05F3"/>
    <w:rsid w:val="467A1FB8"/>
    <w:rsid w:val="46814CA2"/>
    <w:rsid w:val="46825FD0"/>
    <w:rsid w:val="4683512F"/>
    <w:rsid w:val="468601DD"/>
    <w:rsid w:val="468B722C"/>
    <w:rsid w:val="468E14C3"/>
    <w:rsid w:val="46971957"/>
    <w:rsid w:val="469741C0"/>
    <w:rsid w:val="46974A68"/>
    <w:rsid w:val="469C1619"/>
    <w:rsid w:val="46A10C57"/>
    <w:rsid w:val="46A54395"/>
    <w:rsid w:val="46AB2516"/>
    <w:rsid w:val="46AE09FB"/>
    <w:rsid w:val="46AE3443"/>
    <w:rsid w:val="46B223C5"/>
    <w:rsid w:val="46B5685A"/>
    <w:rsid w:val="46B92D99"/>
    <w:rsid w:val="46BD48F7"/>
    <w:rsid w:val="46C30EEC"/>
    <w:rsid w:val="46CA73A4"/>
    <w:rsid w:val="46D36C8F"/>
    <w:rsid w:val="46D528F6"/>
    <w:rsid w:val="46D579FD"/>
    <w:rsid w:val="46D619BA"/>
    <w:rsid w:val="46DE4419"/>
    <w:rsid w:val="46E51E55"/>
    <w:rsid w:val="46E9222F"/>
    <w:rsid w:val="46EA0081"/>
    <w:rsid w:val="46ED38A7"/>
    <w:rsid w:val="46ED7A1D"/>
    <w:rsid w:val="46EE4CFD"/>
    <w:rsid w:val="46F22218"/>
    <w:rsid w:val="46F26F72"/>
    <w:rsid w:val="47013B2B"/>
    <w:rsid w:val="47033D67"/>
    <w:rsid w:val="470415F3"/>
    <w:rsid w:val="47070673"/>
    <w:rsid w:val="470D6BA0"/>
    <w:rsid w:val="471060F7"/>
    <w:rsid w:val="47146527"/>
    <w:rsid w:val="471471CB"/>
    <w:rsid w:val="471869D3"/>
    <w:rsid w:val="471A5506"/>
    <w:rsid w:val="471E1974"/>
    <w:rsid w:val="471E420B"/>
    <w:rsid w:val="472058B1"/>
    <w:rsid w:val="47297DD8"/>
    <w:rsid w:val="472A3E2A"/>
    <w:rsid w:val="472C42C9"/>
    <w:rsid w:val="472C5DFB"/>
    <w:rsid w:val="472F6DA6"/>
    <w:rsid w:val="47357957"/>
    <w:rsid w:val="47394927"/>
    <w:rsid w:val="473C278A"/>
    <w:rsid w:val="4742031A"/>
    <w:rsid w:val="47430E45"/>
    <w:rsid w:val="47462F3F"/>
    <w:rsid w:val="474B4EA2"/>
    <w:rsid w:val="47523A05"/>
    <w:rsid w:val="47601E2E"/>
    <w:rsid w:val="47627492"/>
    <w:rsid w:val="476544A8"/>
    <w:rsid w:val="476D2F2C"/>
    <w:rsid w:val="47736018"/>
    <w:rsid w:val="47794D68"/>
    <w:rsid w:val="477D6222"/>
    <w:rsid w:val="478B16E3"/>
    <w:rsid w:val="47923DF5"/>
    <w:rsid w:val="479B494E"/>
    <w:rsid w:val="479D5145"/>
    <w:rsid w:val="47A17C0F"/>
    <w:rsid w:val="47A27F20"/>
    <w:rsid w:val="47A82AEB"/>
    <w:rsid w:val="47AB48C7"/>
    <w:rsid w:val="47B00FC4"/>
    <w:rsid w:val="47B61C3A"/>
    <w:rsid w:val="47BB6342"/>
    <w:rsid w:val="47BE04F9"/>
    <w:rsid w:val="47C20EBC"/>
    <w:rsid w:val="47C34C73"/>
    <w:rsid w:val="47C36C3C"/>
    <w:rsid w:val="47C7148D"/>
    <w:rsid w:val="47CB263E"/>
    <w:rsid w:val="47D23288"/>
    <w:rsid w:val="47D6636E"/>
    <w:rsid w:val="47D7565D"/>
    <w:rsid w:val="47DB4BFF"/>
    <w:rsid w:val="47E00CC5"/>
    <w:rsid w:val="47E10B48"/>
    <w:rsid w:val="47E66BB1"/>
    <w:rsid w:val="47EE253C"/>
    <w:rsid w:val="47F62C31"/>
    <w:rsid w:val="47F93A37"/>
    <w:rsid w:val="47FF7FCA"/>
    <w:rsid w:val="480A06EF"/>
    <w:rsid w:val="480D7D05"/>
    <w:rsid w:val="480E1EC5"/>
    <w:rsid w:val="48106072"/>
    <w:rsid w:val="481378A8"/>
    <w:rsid w:val="48176E6E"/>
    <w:rsid w:val="48182490"/>
    <w:rsid w:val="48192E95"/>
    <w:rsid w:val="481A35BE"/>
    <w:rsid w:val="481C5B12"/>
    <w:rsid w:val="48230A33"/>
    <w:rsid w:val="48240757"/>
    <w:rsid w:val="482439B3"/>
    <w:rsid w:val="48246B1A"/>
    <w:rsid w:val="482C5563"/>
    <w:rsid w:val="482C5DA6"/>
    <w:rsid w:val="48303F2D"/>
    <w:rsid w:val="483305D9"/>
    <w:rsid w:val="48343CF9"/>
    <w:rsid w:val="48362973"/>
    <w:rsid w:val="483772D8"/>
    <w:rsid w:val="483D1893"/>
    <w:rsid w:val="483F492B"/>
    <w:rsid w:val="484578A4"/>
    <w:rsid w:val="48477206"/>
    <w:rsid w:val="484E6E4E"/>
    <w:rsid w:val="48541E65"/>
    <w:rsid w:val="485661F2"/>
    <w:rsid w:val="48582407"/>
    <w:rsid w:val="485A2A44"/>
    <w:rsid w:val="485D272A"/>
    <w:rsid w:val="48624BB5"/>
    <w:rsid w:val="486378DF"/>
    <w:rsid w:val="486517FE"/>
    <w:rsid w:val="48685C7E"/>
    <w:rsid w:val="486909A8"/>
    <w:rsid w:val="48697AB0"/>
    <w:rsid w:val="486F3265"/>
    <w:rsid w:val="48700C89"/>
    <w:rsid w:val="48732465"/>
    <w:rsid w:val="48734970"/>
    <w:rsid w:val="48795B5C"/>
    <w:rsid w:val="487B7663"/>
    <w:rsid w:val="487C32EA"/>
    <w:rsid w:val="487D093D"/>
    <w:rsid w:val="48832D0E"/>
    <w:rsid w:val="4884767C"/>
    <w:rsid w:val="488A3088"/>
    <w:rsid w:val="488C253D"/>
    <w:rsid w:val="488C54E4"/>
    <w:rsid w:val="48902F41"/>
    <w:rsid w:val="48937E21"/>
    <w:rsid w:val="48956614"/>
    <w:rsid w:val="48982853"/>
    <w:rsid w:val="489B2738"/>
    <w:rsid w:val="489C3FB0"/>
    <w:rsid w:val="48A4044C"/>
    <w:rsid w:val="48A65011"/>
    <w:rsid w:val="48A91B24"/>
    <w:rsid w:val="48B6168B"/>
    <w:rsid w:val="48B939A3"/>
    <w:rsid w:val="48B9579E"/>
    <w:rsid w:val="48BB407F"/>
    <w:rsid w:val="48BE24A5"/>
    <w:rsid w:val="48BE36F8"/>
    <w:rsid w:val="48BE5782"/>
    <w:rsid w:val="48C405AE"/>
    <w:rsid w:val="48C40F66"/>
    <w:rsid w:val="48C90515"/>
    <w:rsid w:val="48C94199"/>
    <w:rsid w:val="48CB446D"/>
    <w:rsid w:val="48D20602"/>
    <w:rsid w:val="48D2711E"/>
    <w:rsid w:val="48DB6881"/>
    <w:rsid w:val="48E30870"/>
    <w:rsid w:val="48E816FD"/>
    <w:rsid w:val="48E84107"/>
    <w:rsid w:val="48EF08FF"/>
    <w:rsid w:val="48F0272B"/>
    <w:rsid w:val="48F13107"/>
    <w:rsid w:val="48F54A91"/>
    <w:rsid w:val="48F67BDF"/>
    <w:rsid w:val="49000F47"/>
    <w:rsid w:val="490431AA"/>
    <w:rsid w:val="49061098"/>
    <w:rsid w:val="490736DA"/>
    <w:rsid w:val="490B15FC"/>
    <w:rsid w:val="490B5C9E"/>
    <w:rsid w:val="490B7004"/>
    <w:rsid w:val="490F3E5C"/>
    <w:rsid w:val="491147A7"/>
    <w:rsid w:val="49131C18"/>
    <w:rsid w:val="49161EAF"/>
    <w:rsid w:val="491A789F"/>
    <w:rsid w:val="491D2FED"/>
    <w:rsid w:val="491E628E"/>
    <w:rsid w:val="49250412"/>
    <w:rsid w:val="492B10A3"/>
    <w:rsid w:val="492F62DB"/>
    <w:rsid w:val="49300F94"/>
    <w:rsid w:val="49345603"/>
    <w:rsid w:val="493461F2"/>
    <w:rsid w:val="49363392"/>
    <w:rsid w:val="49386ACF"/>
    <w:rsid w:val="493D02A0"/>
    <w:rsid w:val="493E4711"/>
    <w:rsid w:val="49400993"/>
    <w:rsid w:val="49425710"/>
    <w:rsid w:val="49454E06"/>
    <w:rsid w:val="494717AE"/>
    <w:rsid w:val="494950C8"/>
    <w:rsid w:val="494C5B4E"/>
    <w:rsid w:val="494D6B6C"/>
    <w:rsid w:val="49557266"/>
    <w:rsid w:val="49571560"/>
    <w:rsid w:val="49581D02"/>
    <w:rsid w:val="49583186"/>
    <w:rsid w:val="49587EBD"/>
    <w:rsid w:val="495A2E87"/>
    <w:rsid w:val="495C695C"/>
    <w:rsid w:val="49644833"/>
    <w:rsid w:val="496532BC"/>
    <w:rsid w:val="49656E44"/>
    <w:rsid w:val="49657449"/>
    <w:rsid w:val="49676987"/>
    <w:rsid w:val="49683E60"/>
    <w:rsid w:val="4969112E"/>
    <w:rsid w:val="496B0679"/>
    <w:rsid w:val="496C72D3"/>
    <w:rsid w:val="49716611"/>
    <w:rsid w:val="49753D38"/>
    <w:rsid w:val="497725C9"/>
    <w:rsid w:val="497D6F98"/>
    <w:rsid w:val="4980236C"/>
    <w:rsid w:val="498238AE"/>
    <w:rsid w:val="49836F68"/>
    <w:rsid w:val="498775A3"/>
    <w:rsid w:val="49895B1B"/>
    <w:rsid w:val="498E6BA8"/>
    <w:rsid w:val="498E6F96"/>
    <w:rsid w:val="498F3D75"/>
    <w:rsid w:val="49927A11"/>
    <w:rsid w:val="49996F4C"/>
    <w:rsid w:val="499D5802"/>
    <w:rsid w:val="499F41F4"/>
    <w:rsid w:val="49A34348"/>
    <w:rsid w:val="49A7362C"/>
    <w:rsid w:val="49A74F75"/>
    <w:rsid w:val="49AA3BAA"/>
    <w:rsid w:val="49AD027C"/>
    <w:rsid w:val="49AD7F7C"/>
    <w:rsid w:val="49AF69F7"/>
    <w:rsid w:val="49B55563"/>
    <w:rsid w:val="49BD4EC5"/>
    <w:rsid w:val="49BE25FD"/>
    <w:rsid w:val="49BF1927"/>
    <w:rsid w:val="49C21002"/>
    <w:rsid w:val="49C3361E"/>
    <w:rsid w:val="49C64D5F"/>
    <w:rsid w:val="49C7480C"/>
    <w:rsid w:val="49CA39B2"/>
    <w:rsid w:val="49CA4A61"/>
    <w:rsid w:val="49CD7899"/>
    <w:rsid w:val="49D03E56"/>
    <w:rsid w:val="49D1278B"/>
    <w:rsid w:val="49D418A6"/>
    <w:rsid w:val="49D5631C"/>
    <w:rsid w:val="49D7290D"/>
    <w:rsid w:val="49D95576"/>
    <w:rsid w:val="49DE4904"/>
    <w:rsid w:val="49E73F8D"/>
    <w:rsid w:val="49E76907"/>
    <w:rsid w:val="49EC308D"/>
    <w:rsid w:val="49EE7058"/>
    <w:rsid w:val="49EF5898"/>
    <w:rsid w:val="49F042C1"/>
    <w:rsid w:val="49F05F82"/>
    <w:rsid w:val="49F27FC8"/>
    <w:rsid w:val="49F453B9"/>
    <w:rsid w:val="4A015906"/>
    <w:rsid w:val="4A061433"/>
    <w:rsid w:val="4A07462A"/>
    <w:rsid w:val="4A096C9B"/>
    <w:rsid w:val="4A0D2B98"/>
    <w:rsid w:val="4A120948"/>
    <w:rsid w:val="4A155ECD"/>
    <w:rsid w:val="4A1828FB"/>
    <w:rsid w:val="4A1C46F3"/>
    <w:rsid w:val="4A1C523C"/>
    <w:rsid w:val="4A253BA5"/>
    <w:rsid w:val="4A303F9D"/>
    <w:rsid w:val="4A320C55"/>
    <w:rsid w:val="4A320F18"/>
    <w:rsid w:val="4A345036"/>
    <w:rsid w:val="4A346E0B"/>
    <w:rsid w:val="4A351DD4"/>
    <w:rsid w:val="4A353C8C"/>
    <w:rsid w:val="4A393904"/>
    <w:rsid w:val="4A436077"/>
    <w:rsid w:val="4A4C0CA0"/>
    <w:rsid w:val="4A4D3F03"/>
    <w:rsid w:val="4A505273"/>
    <w:rsid w:val="4A5368DE"/>
    <w:rsid w:val="4A540B49"/>
    <w:rsid w:val="4A54309A"/>
    <w:rsid w:val="4A557DAF"/>
    <w:rsid w:val="4A591610"/>
    <w:rsid w:val="4A5B63C4"/>
    <w:rsid w:val="4A5C38C5"/>
    <w:rsid w:val="4A5E1654"/>
    <w:rsid w:val="4A5E1E58"/>
    <w:rsid w:val="4A620047"/>
    <w:rsid w:val="4A650C84"/>
    <w:rsid w:val="4A673681"/>
    <w:rsid w:val="4A6931F9"/>
    <w:rsid w:val="4A6D795A"/>
    <w:rsid w:val="4A7421A1"/>
    <w:rsid w:val="4A75372E"/>
    <w:rsid w:val="4A756120"/>
    <w:rsid w:val="4A781552"/>
    <w:rsid w:val="4A7E4993"/>
    <w:rsid w:val="4A7E6793"/>
    <w:rsid w:val="4A8044BE"/>
    <w:rsid w:val="4A874430"/>
    <w:rsid w:val="4A8928E1"/>
    <w:rsid w:val="4A933B8F"/>
    <w:rsid w:val="4A9744EB"/>
    <w:rsid w:val="4A9E215E"/>
    <w:rsid w:val="4AA20A8C"/>
    <w:rsid w:val="4AA21E47"/>
    <w:rsid w:val="4AA32B18"/>
    <w:rsid w:val="4AA3686C"/>
    <w:rsid w:val="4AA464B1"/>
    <w:rsid w:val="4AA51969"/>
    <w:rsid w:val="4AAA6732"/>
    <w:rsid w:val="4AAC08FB"/>
    <w:rsid w:val="4AAC6F93"/>
    <w:rsid w:val="4AB321F5"/>
    <w:rsid w:val="4AB94926"/>
    <w:rsid w:val="4ABB1C1E"/>
    <w:rsid w:val="4ABB6B73"/>
    <w:rsid w:val="4ABC3D9E"/>
    <w:rsid w:val="4ABE1404"/>
    <w:rsid w:val="4AC06561"/>
    <w:rsid w:val="4AC07E2C"/>
    <w:rsid w:val="4AC14F46"/>
    <w:rsid w:val="4AC23194"/>
    <w:rsid w:val="4AC802DB"/>
    <w:rsid w:val="4AC960E9"/>
    <w:rsid w:val="4ACA5ED0"/>
    <w:rsid w:val="4ACF6FC9"/>
    <w:rsid w:val="4AD04D38"/>
    <w:rsid w:val="4AD21A05"/>
    <w:rsid w:val="4AD23412"/>
    <w:rsid w:val="4AD27205"/>
    <w:rsid w:val="4AD36B4B"/>
    <w:rsid w:val="4AD7353D"/>
    <w:rsid w:val="4ADF596F"/>
    <w:rsid w:val="4AE14B5F"/>
    <w:rsid w:val="4AE250A2"/>
    <w:rsid w:val="4AE42916"/>
    <w:rsid w:val="4AE80633"/>
    <w:rsid w:val="4AE8104B"/>
    <w:rsid w:val="4AEA59BA"/>
    <w:rsid w:val="4AED0B8B"/>
    <w:rsid w:val="4AEE55F3"/>
    <w:rsid w:val="4AEF0687"/>
    <w:rsid w:val="4AF03AA0"/>
    <w:rsid w:val="4AFC65FF"/>
    <w:rsid w:val="4B0655AA"/>
    <w:rsid w:val="4B0E71FE"/>
    <w:rsid w:val="4B0F1DDD"/>
    <w:rsid w:val="4B10436B"/>
    <w:rsid w:val="4B1624D6"/>
    <w:rsid w:val="4B1710DE"/>
    <w:rsid w:val="4B1874AB"/>
    <w:rsid w:val="4B212B16"/>
    <w:rsid w:val="4B282CAA"/>
    <w:rsid w:val="4B2A6009"/>
    <w:rsid w:val="4B2C7472"/>
    <w:rsid w:val="4B2D5D67"/>
    <w:rsid w:val="4B2F7EA2"/>
    <w:rsid w:val="4B301EF9"/>
    <w:rsid w:val="4B3341A5"/>
    <w:rsid w:val="4B394034"/>
    <w:rsid w:val="4B3B7E76"/>
    <w:rsid w:val="4B3D5900"/>
    <w:rsid w:val="4B412B11"/>
    <w:rsid w:val="4B481841"/>
    <w:rsid w:val="4B4B2FA2"/>
    <w:rsid w:val="4B4E20B7"/>
    <w:rsid w:val="4B50093E"/>
    <w:rsid w:val="4B516DD3"/>
    <w:rsid w:val="4B520ECC"/>
    <w:rsid w:val="4B5A4993"/>
    <w:rsid w:val="4B5B4152"/>
    <w:rsid w:val="4B5C2479"/>
    <w:rsid w:val="4B5C7FFF"/>
    <w:rsid w:val="4B61144D"/>
    <w:rsid w:val="4B6D7226"/>
    <w:rsid w:val="4B6E0C2B"/>
    <w:rsid w:val="4B6F0007"/>
    <w:rsid w:val="4B7D47DC"/>
    <w:rsid w:val="4B810B05"/>
    <w:rsid w:val="4B8248A5"/>
    <w:rsid w:val="4B886388"/>
    <w:rsid w:val="4B8D27CA"/>
    <w:rsid w:val="4B914534"/>
    <w:rsid w:val="4B944833"/>
    <w:rsid w:val="4B967D62"/>
    <w:rsid w:val="4B9A1B51"/>
    <w:rsid w:val="4B9A3B77"/>
    <w:rsid w:val="4B9B2415"/>
    <w:rsid w:val="4B9F2EDD"/>
    <w:rsid w:val="4BA4218D"/>
    <w:rsid w:val="4BA535E5"/>
    <w:rsid w:val="4BA829A0"/>
    <w:rsid w:val="4BAB2177"/>
    <w:rsid w:val="4BAD5A0B"/>
    <w:rsid w:val="4BB019E0"/>
    <w:rsid w:val="4BB76D66"/>
    <w:rsid w:val="4BB822B8"/>
    <w:rsid w:val="4BBB5420"/>
    <w:rsid w:val="4BC176AD"/>
    <w:rsid w:val="4BC212FF"/>
    <w:rsid w:val="4BC45746"/>
    <w:rsid w:val="4BC64811"/>
    <w:rsid w:val="4BC82A54"/>
    <w:rsid w:val="4BD05255"/>
    <w:rsid w:val="4BD52C4B"/>
    <w:rsid w:val="4BD75D24"/>
    <w:rsid w:val="4BD8734C"/>
    <w:rsid w:val="4BD97928"/>
    <w:rsid w:val="4BDA2C35"/>
    <w:rsid w:val="4BDA3FBC"/>
    <w:rsid w:val="4BDF436F"/>
    <w:rsid w:val="4BE33594"/>
    <w:rsid w:val="4BE37843"/>
    <w:rsid w:val="4BE503F2"/>
    <w:rsid w:val="4BE93D81"/>
    <w:rsid w:val="4BEC0C27"/>
    <w:rsid w:val="4BEE1A4B"/>
    <w:rsid w:val="4BEF37EB"/>
    <w:rsid w:val="4BF02F75"/>
    <w:rsid w:val="4BF25A7D"/>
    <w:rsid w:val="4BF317DE"/>
    <w:rsid w:val="4BFC6D60"/>
    <w:rsid w:val="4BFE539E"/>
    <w:rsid w:val="4C004FD1"/>
    <w:rsid w:val="4C0200D1"/>
    <w:rsid w:val="4C0C36F2"/>
    <w:rsid w:val="4C0D6972"/>
    <w:rsid w:val="4C1042D5"/>
    <w:rsid w:val="4C113B31"/>
    <w:rsid w:val="4C12063B"/>
    <w:rsid w:val="4C162C89"/>
    <w:rsid w:val="4C1945D1"/>
    <w:rsid w:val="4C1A23F7"/>
    <w:rsid w:val="4C1E23AE"/>
    <w:rsid w:val="4C1F268B"/>
    <w:rsid w:val="4C225D1A"/>
    <w:rsid w:val="4C255427"/>
    <w:rsid w:val="4C295B9B"/>
    <w:rsid w:val="4C2A23C4"/>
    <w:rsid w:val="4C2C2DD4"/>
    <w:rsid w:val="4C2E37C9"/>
    <w:rsid w:val="4C361704"/>
    <w:rsid w:val="4C370E63"/>
    <w:rsid w:val="4C375CA9"/>
    <w:rsid w:val="4C386C5C"/>
    <w:rsid w:val="4C3F1098"/>
    <w:rsid w:val="4C42398C"/>
    <w:rsid w:val="4C435289"/>
    <w:rsid w:val="4C450292"/>
    <w:rsid w:val="4C463AC1"/>
    <w:rsid w:val="4C471F5D"/>
    <w:rsid w:val="4C4A74B5"/>
    <w:rsid w:val="4C4B4F7A"/>
    <w:rsid w:val="4C4B6E93"/>
    <w:rsid w:val="4C4E4CC6"/>
    <w:rsid w:val="4C4F62BE"/>
    <w:rsid w:val="4C511856"/>
    <w:rsid w:val="4C5809C5"/>
    <w:rsid w:val="4C5B1A8D"/>
    <w:rsid w:val="4C5C0C5A"/>
    <w:rsid w:val="4C5F0648"/>
    <w:rsid w:val="4C61488E"/>
    <w:rsid w:val="4C6173FB"/>
    <w:rsid w:val="4C6323DA"/>
    <w:rsid w:val="4C652E0F"/>
    <w:rsid w:val="4C663B51"/>
    <w:rsid w:val="4C6657F4"/>
    <w:rsid w:val="4C67313B"/>
    <w:rsid w:val="4C68547F"/>
    <w:rsid w:val="4C685F90"/>
    <w:rsid w:val="4C701730"/>
    <w:rsid w:val="4C7149F4"/>
    <w:rsid w:val="4C73622A"/>
    <w:rsid w:val="4C736D1D"/>
    <w:rsid w:val="4C760341"/>
    <w:rsid w:val="4C770242"/>
    <w:rsid w:val="4C772147"/>
    <w:rsid w:val="4C776270"/>
    <w:rsid w:val="4C783B02"/>
    <w:rsid w:val="4C79340D"/>
    <w:rsid w:val="4C7D2C9B"/>
    <w:rsid w:val="4C80683B"/>
    <w:rsid w:val="4C897D9C"/>
    <w:rsid w:val="4C8D3905"/>
    <w:rsid w:val="4C8D7D35"/>
    <w:rsid w:val="4C8F0F2C"/>
    <w:rsid w:val="4C8F45F8"/>
    <w:rsid w:val="4C916675"/>
    <w:rsid w:val="4C9633F9"/>
    <w:rsid w:val="4C965760"/>
    <w:rsid w:val="4C9D25F6"/>
    <w:rsid w:val="4C9F3E42"/>
    <w:rsid w:val="4CA03FB6"/>
    <w:rsid w:val="4CA11736"/>
    <w:rsid w:val="4CA26979"/>
    <w:rsid w:val="4CA50630"/>
    <w:rsid w:val="4CA97294"/>
    <w:rsid w:val="4CAB6FAC"/>
    <w:rsid w:val="4CB37DB2"/>
    <w:rsid w:val="4CB5448B"/>
    <w:rsid w:val="4CB70D1A"/>
    <w:rsid w:val="4CBD62D0"/>
    <w:rsid w:val="4CC25560"/>
    <w:rsid w:val="4CC36195"/>
    <w:rsid w:val="4CC54311"/>
    <w:rsid w:val="4CC70824"/>
    <w:rsid w:val="4CC83EEF"/>
    <w:rsid w:val="4CC93149"/>
    <w:rsid w:val="4CCA7D71"/>
    <w:rsid w:val="4CCD53EA"/>
    <w:rsid w:val="4CD07F04"/>
    <w:rsid w:val="4CD4279F"/>
    <w:rsid w:val="4CD82522"/>
    <w:rsid w:val="4CD86C9F"/>
    <w:rsid w:val="4CDB0382"/>
    <w:rsid w:val="4CDC47D4"/>
    <w:rsid w:val="4CDD651B"/>
    <w:rsid w:val="4CE22238"/>
    <w:rsid w:val="4CE42753"/>
    <w:rsid w:val="4CE56652"/>
    <w:rsid w:val="4CE62635"/>
    <w:rsid w:val="4CE72733"/>
    <w:rsid w:val="4CE770DB"/>
    <w:rsid w:val="4CE843CD"/>
    <w:rsid w:val="4CF912E4"/>
    <w:rsid w:val="4CFA472D"/>
    <w:rsid w:val="4CFB4896"/>
    <w:rsid w:val="4CFF5DCF"/>
    <w:rsid w:val="4D033197"/>
    <w:rsid w:val="4D0C09CD"/>
    <w:rsid w:val="4D0D7143"/>
    <w:rsid w:val="4D0D7196"/>
    <w:rsid w:val="4D1079C6"/>
    <w:rsid w:val="4D130FC2"/>
    <w:rsid w:val="4D1348B3"/>
    <w:rsid w:val="4D144C3D"/>
    <w:rsid w:val="4D145E27"/>
    <w:rsid w:val="4D1710A0"/>
    <w:rsid w:val="4D2056AD"/>
    <w:rsid w:val="4D232842"/>
    <w:rsid w:val="4D245334"/>
    <w:rsid w:val="4D25525A"/>
    <w:rsid w:val="4D260E36"/>
    <w:rsid w:val="4D29127A"/>
    <w:rsid w:val="4D292E6F"/>
    <w:rsid w:val="4D2E7E35"/>
    <w:rsid w:val="4D2F35B4"/>
    <w:rsid w:val="4D301A16"/>
    <w:rsid w:val="4D317E6D"/>
    <w:rsid w:val="4D327BB7"/>
    <w:rsid w:val="4D347D2E"/>
    <w:rsid w:val="4D354BCE"/>
    <w:rsid w:val="4D401C6C"/>
    <w:rsid w:val="4D4B0682"/>
    <w:rsid w:val="4D52686A"/>
    <w:rsid w:val="4D537697"/>
    <w:rsid w:val="4D56050F"/>
    <w:rsid w:val="4D5749BD"/>
    <w:rsid w:val="4D582685"/>
    <w:rsid w:val="4D59633A"/>
    <w:rsid w:val="4D5A5CAA"/>
    <w:rsid w:val="4D621602"/>
    <w:rsid w:val="4D6475F9"/>
    <w:rsid w:val="4D6A3D45"/>
    <w:rsid w:val="4D6E2993"/>
    <w:rsid w:val="4D6E533D"/>
    <w:rsid w:val="4D7747A5"/>
    <w:rsid w:val="4D7B6DC2"/>
    <w:rsid w:val="4D7D2DED"/>
    <w:rsid w:val="4D7F6A80"/>
    <w:rsid w:val="4D803DF9"/>
    <w:rsid w:val="4D812194"/>
    <w:rsid w:val="4D89723B"/>
    <w:rsid w:val="4D8B127B"/>
    <w:rsid w:val="4D8D5DD7"/>
    <w:rsid w:val="4D8F0A7E"/>
    <w:rsid w:val="4D946504"/>
    <w:rsid w:val="4D952114"/>
    <w:rsid w:val="4D97216D"/>
    <w:rsid w:val="4D9872F8"/>
    <w:rsid w:val="4D996FE5"/>
    <w:rsid w:val="4D9A0AFF"/>
    <w:rsid w:val="4D9B14A4"/>
    <w:rsid w:val="4D9F4A9C"/>
    <w:rsid w:val="4DA10ABF"/>
    <w:rsid w:val="4DA264A5"/>
    <w:rsid w:val="4DA84DD2"/>
    <w:rsid w:val="4DAA047B"/>
    <w:rsid w:val="4DAA6F48"/>
    <w:rsid w:val="4DAB6C61"/>
    <w:rsid w:val="4DAC1205"/>
    <w:rsid w:val="4DAF591C"/>
    <w:rsid w:val="4DB26B71"/>
    <w:rsid w:val="4DB313C5"/>
    <w:rsid w:val="4DB44717"/>
    <w:rsid w:val="4DB459B6"/>
    <w:rsid w:val="4DB71B8E"/>
    <w:rsid w:val="4DBB54DC"/>
    <w:rsid w:val="4DBC7768"/>
    <w:rsid w:val="4DBD6A85"/>
    <w:rsid w:val="4DBF14DD"/>
    <w:rsid w:val="4DC64C7E"/>
    <w:rsid w:val="4DC90E27"/>
    <w:rsid w:val="4DCD4142"/>
    <w:rsid w:val="4DCF62A9"/>
    <w:rsid w:val="4DCF6D6E"/>
    <w:rsid w:val="4DD126C1"/>
    <w:rsid w:val="4DD26CEB"/>
    <w:rsid w:val="4DD36A1E"/>
    <w:rsid w:val="4DD460C2"/>
    <w:rsid w:val="4DDA140F"/>
    <w:rsid w:val="4DDA64D9"/>
    <w:rsid w:val="4DDC0BEF"/>
    <w:rsid w:val="4DE67236"/>
    <w:rsid w:val="4DE67661"/>
    <w:rsid w:val="4DE826C8"/>
    <w:rsid w:val="4DEA51F1"/>
    <w:rsid w:val="4DED768B"/>
    <w:rsid w:val="4DF06CD1"/>
    <w:rsid w:val="4DF07199"/>
    <w:rsid w:val="4DF31048"/>
    <w:rsid w:val="4DF43290"/>
    <w:rsid w:val="4DF500C0"/>
    <w:rsid w:val="4DFE0BB1"/>
    <w:rsid w:val="4DFF68E8"/>
    <w:rsid w:val="4E012776"/>
    <w:rsid w:val="4E0B51E5"/>
    <w:rsid w:val="4E0D69DE"/>
    <w:rsid w:val="4E0F680A"/>
    <w:rsid w:val="4E143BA7"/>
    <w:rsid w:val="4E146355"/>
    <w:rsid w:val="4E1473DE"/>
    <w:rsid w:val="4E174785"/>
    <w:rsid w:val="4E197F06"/>
    <w:rsid w:val="4E1F2DC0"/>
    <w:rsid w:val="4E235749"/>
    <w:rsid w:val="4E23656D"/>
    <w:rsid w:val="4E255E26"/>
    <w:rsid w:val="4E2620E9"/>
    <w:rsid w:val="4E2929DD"/>
    <w:rsid w:val="4E330B01"/>
    <w:rsid w:val="4E351ECA"/>
    <w:rsid w:val="4E37688A"/>
    <w:rsid w:val="4E3C4174"/>
    <w:rsid w:val="4E3D6E20"/>
    <w:rsid w:val="4E405912"/>
    <w:rsid w:val="4E40703E"/>
    <w:rsid w:val="4E446406"/>
    <w:rsid w:val="4E5007C1"/>
    <w:rsid w:val="4E510FE9"/>
    <w:rsid w:val="4E513E0F"/>
    <w:rsid w:val="4E5215D1"/>
    <w:rsid w:val="4E534576"/>
    <w:rsid w:val="4E561BC1"/>
    <w:rsid w:val="4E5940F6"/>
    <w:rsid w:val="4E5944EF"/>
    <w:rsid w:val="4E5F0EBE"/>
    <w:rsid w:val="4E617527"/>
    <w:rsid w:val="4E635B10"/>
    <w:rsid w:val="4E646604"/>
    <w:rsid w:val="4E684218"/>
    <w:rsid w:val="4E6E273D"/>
    <w:rsid w:val="4E6F7782"/>
    <w:rsid w:val="4E712493"/>
    <w:rsid w:val="4E726DCC"/>
    <w:rsid w:val="4E74312D"/>
    <w:rsid w:val="4E755020"/>
    <w:rsid w:val="4E77102A"/>
    <w:rsid w:val="4E771C4F"/>
    <w:rsid w:val="4E786A2C"/>
    <w:rsid w:val="4E7A0048"/>
    <w:rsid w:val="4E7D7618"/>
    <w:rsid w:val="4E7E0754"/>
    <w:rsid w:val="4E8108F1"/>
    <w:rsid w:val="4E824925"/>
    <w:rsid w:val="4E897503"/>
    <w:rsid w:val="4E8C70A8"/>
    <w:rsid w:val="4E904262"/>
    <w:rsid w:val="4E980BB4"/>
    <w:rsid w:val="4EA0197F"/>
    <w:rsid w:val="4EA1672B"/>
    <w:rsid w:val="4EA6460D"/>
    <w:rsid w:val="4EA7748E"/>
    <w:rsid w:val="4EAB4EF1"/>
    <w:rsid w:val="4EAD7D0E"/>
    <w:rsid w:val="4EB05485"/>
    <w:rsid w:val="4EB1392B"/>
    <w:rsid w:val="4EB64C09"/>
    <w:rsid w:val="4EB718BF"/>
    <w:rsid w:val="4EBA0619"/>
    <w:rsid w:val="4EBB1AC2"/>
    <w:rsid w:val="4EBE0054"/>
    <w:rsid w:val="4EBF7BC1"/>
    <w:rsid w:val="4ECA475A"/>
    <w:rsid w:val="4ED3131A"/>
    <w:rsid w:val="4ED533CC"/>
    <w:rsid w:val="4EDD7318"/>
    <w:rsid w:val="4EDE51D0"/>
    <w:rsid w:val="4EDF6873"/>
    <w:rsid w:val="4EE51576"/>
    <w:rsid w:val="4EE533EA"/>
    <w:rsid w:val="4EE850B3"/>
    <w:rsid w:val="4EEA3A1F"/>
    <w:rsid w:val="4EF17544"/>
    <w:rsid w:val="4EF55EC7"/>
    <w:rsid w:val="4EF6445A"/>
    <w:rsid w:val="4EF73BB6"/>
    <w:rsid w:val="4EF80D80"/>
    <w:rsid w:val="4EF8368C"/>
    <w:rsid w:val="4EF92E25"/>
    <w:rsid w:val="4EFA5B38"/>
    <w:rsid w:val="4EFB5199"/>
    <w:rsid w:val="4EFC7958"/>
    <w:rsid w:val="4F043302"/>
    <w:rsid w:val="4F06494E"/>
    <w:rsid w:val="4F092F62"/>
    <w:rsid w:val="4F0D4DC4"/>
    <w:rsid w:val="4F0E6457"/>
    <w:rsid w:val="4F123225"/>
    <w:rsid w:val="4F125477"/>
    <w:rsid w:val="4F136D04"/>
    <w:rsid w:val="4F1513E4"/>
    <w:rsid w:val="4F1D7BE0"/>
    <w:rsid w:val="4F1E137C"/>
    <w:rsid w:val="4F234B72"/>
    <w:rsid w:val="4F2619E6"/>
    <w:rsid w:val="4F263ED1"/>
    <w:rsid w:val="4F2B3F17"/>
    <w:rsid w:val="4F3419CB"/>
    <w:rsid w:val="4F361465"/>
    <w:rsid w:val="4F3772D0"/>
    <w:rsid w:val="4F38534A"/>
    <w:rsid w:val="4F395C9A"/>
    <w:rsid w:val="4F43103E"/>
    <w:rsid w:val="4F4F6B72"/>
    <w:rsid w:val="4F53772D"/>
    <w:rsid w:val="4F57197A"/>
    <w:rsid w:val="4F5974E3"/>
    <w:rsid w:val="4F5A5FEA"/>
    <w:rsid w:val="4F5B1600"/>
    <w:rsid w:val="4F5B7DA9"/>
    <w:rsid w:val="4F6015AE"/>
    <w:rsid w:val="4F624D5E"/>
    <w:rsid w:val="4F6555C3"/>
    <w:rsid w:val="4F686CBB"/>
    <w:rsid w:val="4F6A431A"/>
    <w:rsid w:val="4F6D33D3"/>
    <w:rsid w:val="4F6E677D"/>
    <w:rsid w:val="4F7163DE"/>
    <w:rsid w:val="4F780FCE"/>
    <w:rsid w:val="4F792BB0"/>
    <w:rsid w:val="4F7E38AC"/>
    <w:rsid w:val="4F7F3C34"/>
    <w:rsid w:val="4F8001E2"/>
    <w:rsid w:val="4F8331D1"/>
    <w:rsid w:val="4F8341DF"/>
    <w:rsid w:val="4F856929"/>
    <w:rsid w:val="4F884791"/>
    <w:rsid w:val="4F892AA6"/>
    <w:rsid w:val="4F8A586F"/>
    <w:rsid w:val="4F8C3D8F"/>
    <w:rsid w:val="4F8D1524"/>
    <w:rsid w:val="4F8F2A3D"/>
    <w:rsid w:val="4F9611DE"/>
    <w:rsid w:val="4F966902"/>
    <w:rsid w:val="4F993C45"/>
    <w:rsid w:val="4FA11056"/>
    <w:rsid w:val="4FA567EF"/>
    <w:rsid w:val="4FB03E0F"/>
    <w:rsid w:val="4FB320A6"/>
    <w:rsid w:val="4FB529C3"/>
    <w:rsid w:val="4FBC25A8"/>
    <w:rsid w:val="4FC14FD5"/>
    <w:rsid w:val="4FC15E31"/>
    <w:rsid w:val="4FC6460C"/>
    <w:rsid w:val="4FCB11AE"/>
    <w:rsid w:val="4FCE6C8D"/>
    <w:rsid w:val="4FD213AC"/>
    <w:rsid w:val="4FD655D9"/>
    <w:rsid w:val="4FD6707B"/>
    <w:rsid w:val="4FD87242"/>
    <w:rsid w:val="4FD9044A"/>
    <w:rsid w:val="4FDA695B"/>
    <w:rsid w:val="4FDE4342"/>
    <w:rsid w:val="4FE13657"/>
    <w:rsid w:val="4FE17A31"/>
    <w:rsid w:val="4FE8588D"/>
    <w:rsid w:val="4FE8615F"/>
    <w:rsid w:val="4FF072BB"/>
    <w:rsid w:val="4FF14A2D"/>
    <w:rsid w:val="4FF77B37"/>
    <w:rsid w:val="4FFD1F94"/>
    <w:rsid w:val="4FFD383F"/>
    <w:rsid w:val="50002331"/>
    <w:rsid w:val="50022494"/>
    <w:rsid w:val="50027D6A"/>
    <w:rsid w:val="50084D5B"/>
    <w:rsid w:val="500A43EB"/>
    <w:rsid w:val="500B3DDD"/>
    <w:rsid w:val="500B6920"/>
    <w:rsid w:val="500E5B8C"/>
    <w:rsid w:val="50191A33"/>
    <w:rsid w:val="501A5C66"/>
    <w:rsid w:val="501D0284"/>
    <w:rsid w:val="501D6962"/>
    <w:rsid w:val="502048A6"/>
    <w:rsid w:val="50246567"/>
    <w:rsid w:val="502534AE"/>
    <w:rsid w:val="50291B33"/>
    <w:rsid w:val="502D7935"/>
    <w:rsid w:val="50316C0C"/>
    <w:rsid w:val="50325DB9"/>
    <w:rsid w:val="50353C96"/>
    <w:rsid w:val="503B52E5"/>
    <w:rsid w:val="503C68B3"/>
    <w:rsid w:val="503D5AF9"/>
    <w:rsid w:val="50401CE0"/>
    <w:rsid w:val="50426E69"/>
    <w:rsid w:val="50444C05"/>
    <w:rsid w:val="504646B3"/>
    <w:rsid w:val="504920D3"/>
    <w:rsid w:val="504B5AB0"/>
    <w:rsid w:val="504C152B"/>
    <w:rsid w:val="504C58D4"/>
    <w:rsid w:val="504E33E2"/>
    <w:rsid w:val="505152D9"/>
    <w:rsid w:val="50561C1D"/>
    <w:rsid w:val="50570BCB"/>
    <w:rsid w:val="50583834"/>
    <w:rsid w:val="505B77C8"/>
    <w:rsid w:val="505E037A"/>
    <w:rsid w:val="50630A05"/>
    <w:rsid w:val="50664860"/>
    <w:rsid w:val="506673CB"/>
    <w:rsid w:val="50676B37"/>
    <w:rsid w:val="506A25EB"/>
    <w:rsid w:val="506B10E3"/>
    <w:rsid w:val="506B12A5"/>
    <w:rsid w:val="506F3954"/>
    <w:rsid w:val="50706A8B"/>
    <w:rsid w:val="50747CA6"/>
    <w:rsid w:val="50754A86"/>
    <w:rsid w:val="507555D1"/>
    <w:rsid w:val="50794F10"/>
    <w:rsid w:val="507B2B7C"/>
    <w:rsid w:val="50817E3B"/>
    <w:rsid w:val="50837826"/>
    <w:rsid w:val="50882832"/>
    <w:rsid w:val="50892937"/>
    <w:rsid w:val="508A7B62"/>
    <w:rsid w:val="508B25B6"/>
    <w:rsid w:val="508E3AB3"/>
    <w:rsid w:val="508F4145"/>
    <w:rsid w:val="50911949"/>
    <w:rsid w:val="50946D4D"/>
    <w:rsid w:val="509C1D15"/>
    <w:rsid w:val="50A056AD"/>
    <w:rsid w:val="50A275D0"/>
    <w:rsid w:val="50A932A5"/>
    <w:rsid w:val="50A94ACA"/>
    <w:rsid w:val="50B54064"/>
    <w:rsid w:val="50B65CB0"/>
    <w:rsid w:val="50B939DD"/>
    <w:rsid w:val="50BC224C"/>
    <w:rsid w:val="50BC65D4"/>
    <w:rsid w:val="50C01C6E"/>
    <w:rsid w:val="50C303FD"/>
    <w:rsid w:val="50C451BF"/>
    <w:rsid w:val="50C53822"/>
    <w:rsid w:val="50C6104E"/>
    <w:rsid w:val="50C807C1"/>
    <w:rsid w:val="50CA070B"/>
    <w:rsid w:val="50CA2A0E"/>
    <w:rsid w:val="50CA6E78"/>
    <w:rsid w:val="50CD5561"/>
    <w:rsid w:val="50D11D39"/>
    <w:rsid w:val="50D14326"/>
    <w:rsid w:val="50D376FD"/>
    <w:rsid w:val="50DD5470"/>
    <w:rsid w:val="50DE5AD3"/>
    <w:rsid w:val="50E02A48"/>
    <w:rsid w:val="50E03885"/>
    <w:rsid w:val="50EB7495"/>
    <w:rsid w:val="50EE5A95"/>
    <w:rsid w:val="50F128DF"/>
    <w:rsid w:val="50F5719D"/>
    <w:rsid w:val="50F96159"/>
    <w:rsid w:val="50FA2F5E"/>
    <w:rsid w:val="50FE5347"/>
    <w:rsid w:val="5100038B"/>
    <w:rsid w:val="510044F4"/>
    <w:rsid w:val="510529FD"/>
    <w:rsid w:val="510C31D4"/>
    <w:rsid w:val="510F5232"/>
    <w:rsid w:val="5113402E"/>
    <w:rsid w:val="511C7EB8"/>
    <w:rsid w:val="511F4D2B"/>
    <w:rsid w:val="51235BE8"/>
    <w:rsid w:val="5124116D"/>
    <w:rsid w:val="5125248A"/>
    <w:rsid w:val="51263592"/>
    <w:rsid w:val="512F6EC2"/>
    <w:rsid w:val="5132465E"/>
    <w:rsid w:val="51350C9E"/>
    <w:rsid w:val="5138445C"/>
    <w:rsid w:val="51384BAC"/>
    <w:rsid w:val="513B5E08"/>
    <w:rsid w:val="513D5484"/>
    <w:rsid w:val="514305F5"/>
    <w:rsid w:val="51434671"/>
    <w:rsid w:val="51440384"/>
    <w:rsid w:val="5145535E"/>
    <w:rsid w:val="51456A19"/>
    <w:rsid w:val="51474478"/>
    <w:rsid w:val="51475B67"/>
    <w:rsid w:val="514A28A4"/>
    <w:rsid w:val="514B2C9F"/>
    <w:rsid w:val="514C49CA"/>
    <w:rsid w:val="51512ACD"/>
    <w:rsid w:val="51581F75"/>
    <w:rsid w:val="51583E0F"/>
    <w:rsid w:val="515902E1"/>
    <w:rsid w:val="51592D52"/>
    <w:rsid w:val="515B4523"/>
    <w:rsid w:val="515E0CA0"/>
    <w:rsid w:val="51627F6E"/>
    <w:rsid w:val="5163276C"/>
    <w:rsid w:val="51687A70"/>
    <w:rsid w:val="51737B5E"/>
    <w:rsid w:val="51773B81"/>
    <w:rsid w:val="517A673D"/>
    <w:rsid w:val="51831BA2"/>
    <w:rsid w:val="518D483E"/>
    <w:rsid w:val="518F65C7"/>
    <w:rsid w:val="51952D5B"/>
    <w:rsid w:val="5195697D"/>
    <w:rsid w:val="51960DAA"/>
    <w:rsid w:val="51983329"/>
    <w:rsid w:val="519A5226"/>
    <w:rsid w:val="519C67C2"/>
    <w:rsid w:val="519D5323"/>
    <w:rsid w:val="519E51B9"/>
    <w:rsid w:val="51A771BD"/>
    <w:rsid w:val="51A94C12"/>
    <w:rsid w:val="51B07F04"/>
    <w:rsid w:val="51B17EEC"/>
    <w:rsid w:val="51B30C72"/>
    <w:rsid w:val="51B32158"/>
    <w:rsid w:val="51B4682E"/>
    <w:rsid w:val="51B75697"/>
    <w:rsid w:val="51C96297"/>
    <w:rsid w:val="51CB1C69"/>
    <w:rsid w:val="51CD4CD9"/>
    <w:rsid w:val="51D07D5D"/>
    <w:rsid w:val="51D26D53"/>
    <w:rsid w:val="51D36484"/>
    <w:rsid w:val="51D427BB"/>
    <w:rsid w:val="51D61229"/>
    <w:rsid w:val="51DA3D9A"/>
    <w:rsid w:val="51DD3170"/>
    <w:rsid w:val="51E76224"/>
    <w:rsid w:val="51EB69B0"/>
    <w:rsid w:val="51EE4DDF"/>
    <w:rsid w:val="51EF4A5A"/>
    <w:rsid w:val="51EF641E"/>
    <w:rsid w:val="51F84628"/>
    <w:rsid w:val="51FB4860"/>
    <w:rsid w:val="51FD20EF"/>
    <w:rsid w:val="52001435"/>
    <w:rsid w:val="52052DAB"/>
    <w:rsid w:val="520932B7"/>
    <w:rsid w:val="520F30DF"/>
    <w:rsid w:val="52145068"/>
    <w:rsid w:val="5215132C"/>
    <w:rsid w:val="521F5248"/>
    <w:rsid w:val="52200FBC"/>
    <w:rsid w:val="522066A3"/>
    <w:rsid w:val="52246024"/>
    <w:rsid w:val="522655F6"/>
    <w:rsid w:val="52274AFC"/>
    <w:rsid w:val="52290E6F"/>
    <w:rsid w:val="5232603A"/>
    <w:rsid w:val="52327649"/>
    <w:rsid w:val="52333366"/>
    <w:rsid w:val="52357198"/>
    <w:rsid w:val="523B35A3"/>
    <w:rsid w:val="523B4A56"/>
    <w:rsid w:val="523F3135"/>
    <w:rsid w:val="524410C7"/>
    <w:rsid w:val="524A6E03"/>
    <w:rsid w:val="524E5872"/>
    <w:rsid w:val="52515B46"/>
    <w:rsid w:val="52562A5E"/>
    <w:rsid w:val="525668F1"/>
    <w:rsid w:val="52576CED"/>
    <w:rsid w:val="52615DDA"/>
    <w:rsid w:val="52621C1F"/>
    <w:rsid w:val="526412AD"/>
    <w:rsid w:val="526646C5"/>
    <w:rsid w:val="52680AD8"/>
    <w:rsid w:val="5269658E"/>
    <w:rsid w:val="526D7CA2"/>
    <w:rsid w:val="526F094C"/>
    <w:rsid w:val="52705534"/>
    <w:rsid w:val="527431CC"/>
    <w:rsid w:val="527663E9"/>
    <w:rsid w:val="52785E05"/>
    <w:rsid w:val="528109B7"/>
    <w:rsid w:val="52811F1D"/>
    <w:rsid w:val="52824E3C"/>
    <w:rsid w:val="5282612D"/>
    <w:rsid w:val="52862B12"/>
    <w:rsid w:val="528F5286"/>
    <w:rsid w:val="529308D9"/>
    <w:rsid w:val="52970209"/>
    <w:rsid w:val="529C4C93"/>
    <w:rsid w:val="529E16C2"/>
    <w:rsid w:val="52AA28DF"/>
    <w:rsid w:val="52AB556E"/>
    <w:rsid w:val="52AF3032"/>
    <w:rsid w:val="52B46B1E"/>
    <w:rsid w:val="52B910F3"/>
    <w:rsid w:val="52C468F7"/>
    <w:rsid w:val="52C61F64"/>
    <w:rsid w:val="52CE3881"/>
    <w:rsid w:val="52CE4015"/>
    <w:rsid w:val="52D03FB7"/>
    <w:rsid w:val="52D07077"/>
    <w:rsid w:val="52D23356"/>
    <w:rsid w:val="52D312F7"/>
    <w:rsid w:val="52D52C7E"/>
    <w:rsid w:val="52DD6461"/>
    <w:rsid w:val="52E21801"/>
    <w:rsid w:val="52E425AB"/>
    <w:rsid w:val="52E442D5"/>
    <w:rsid w:val="52E44763"/>
    <w:rsid w:val="52E5346C"/>
    <w:rsid w:val="52F7090B"/>
    <w:rsid w:val="52F8191C"/>
    <w:rsid w:val="52F87742"/>
    <w:rsid w:val="52FA3E31"/>
    <w:rsid w:val="52FC27C3"/>
    <w:rsid w:val="52FE1DF7"/>
    <w:rsid w:val="53003C23"/>
    <w:rsid w:val="53015B28"/>
    <w:rsid w:val="53021BDB"/>
    <w:rsid w:val="53030188"/>
    <w:rsid w:val="53037DDE"/>
    <w:rsid w:val="530418CE"/>
    <w:rsid w:val="5304618C"/>
    <w:rsid w:val="530478B7"/>
    <w:rsid w:val="5305210B"/>
    <w:rsid w:val="530C27BB"/>
    <w:rsid w:val="530C7F3E"/>
    <w:rsid w:val="530E0EBA"/>
    <w:rsid w:val="53210B07"/>
    <w:rsid w:val="53240F31"/>
    <w:rsid w:val="53272652"/>
    <w:rsid w:val="532C4D52"/>
    <w:rsid w:val="532D5DB4"/>
    <w:rsid w:val="533300C6"/>
    <w:rsid w:val="533852D5"/>
    <w:rsid w:val="533C2104"/>
    <w:rsid w:val="533D5EBB"/>
    <w:rsid w:val="533E554D"/>
    <w:rsid w:val="5341387F"/>
    <w:rsid w:val="5347227B"/>
    <w:rsid w:val="53493864"/>
    <w:rsid w:val="534B445A"/>
    <w:rsid w:val="534C51BF"/>
    <w:rsid w:val="534D0D4D"/>
    <w:rsid w:val="5356114E"/>
    <w:rsid w:val="535A4C69"/>
    <w:rsid w:val="535D511A"/>
    <w:rsid w:val="53657E7D"/>
    <w:rsid w:val="5366107E"/>
    <w:rsid w:val="53661571"/>
    <w:rsid w:val="53661E60"/>
    <w:rsid w:val="536F28DB"/>
    <w:rsid w:val="53756733"/>
    <w:rsid w:val="53762434"/>
    <w:rsid w:val="537D5CC3"/>
    <w:rsid w:val="537F7F44"/>
    <w:rsid w:val="538215F1"/>
    <w:rsid w:val="53886E13"/>
    <w:rsid w:val="538A1721"/>
    <w:rsid w:val="538C6BEE"/>
    <w:rsid w:val="539108ED"/>
    <w:rsid w:val="539132D9"/>
    <w:rsid w:val="53923769"/>
    <w:rsid w:val="53926CBF"/>
    <w:rsid w:val="5394307D"/>
    <w:rsid w:val="53960131"/>
    <w:rsid w:val="539745AB"/>
    <w:rsid w:val="53A3399C"/>
    <w:rsid w:val="53AC696A"/>
    <w:rsid w:val="53B96B25"/>
    <w:rsid w:val="53BD41F8"/>
    <w:rsid w:val="53BD6165"/>
    <w:rsid w:val="53BD7CF4"/>
    <w:rsid w:val="53BF493D"/>
    <w:rsid w:val="53C60112"/>
    <w:rsid w:val="53CC3102"/>
    <w:rsid w:val="53CE7958"/>
    <w:rsid w:val="53D001ED"/>
    <w:rsid w:val="53D067CF"/>
    <w:rsid w:val="53D1562E"/>
    <w:rsid w:val="53D66ABE"/>
    <w:rsid w:val="53D8515A"/>
    <w:rsid w:val="53E454A8"/>
    <w:rsid w:val="53E47FA4"/>
    <w:rsid w:val="53E62CC1"/>
    <w:rsid w:val="53F03A79"/>
    <w:rsid w:val="53F421E1"/>
    <w:rsid w:val="53F514BA"/>
    <w:rsid w:val="53FB0997"/>
    <w:rsid w:val="53FF17B2"/>
    <w:rsid w:val="53FF2567"/>
    <w:rsid w:val="54087897"/>
    <w:rsid w:val="54091FE9"/>
    <w:rsid w:val="540930BB"/>
    <w:rsid w:val="540A4099"/>
    <w:rsid w:val="54103E72"/>
    <w:rsid w:val="54143EB5"/>
    <w:rsid w:val="54161520"/>
    <w:rsid w:val="54191FDC"/>
    <w:rsid w:val="541A0237"/>
    <w:rsid w:val="541C179B"/>
    <w:rsid w:val="541D0C59"/>
    <w:rsid w:val="541E7DE3"/>
    <w:rsid w:val="54204B8C"/>
    <w:rsid w:val="54245270"/>
    <w:rsid w:val="54267E6B"/>
    <w:rsid w:val="54276C14"/>
    <w:rsid w:val="54287F06"/>
    <w:rsid w:val="54310384"/>
    <w:rsid w:val="54380862"/>
    <w:rsid w:val="543B2741"/>
    <w:rsid w:val="543E30A1"/>
    <w:rsid w:val="54407500"/>
    <w:rsid w:val="544113E6"/>
    <w:rsid w:val="544613ED"/>
    <w:rsid w:val="54490CCD"/>
    <w:rsid w:val="544C65A6"/>
    <w:rsid w:val="544C7390"/>
    <w:rsid w:val="54506C40"/>
    <w:rsid w:val="5455680F"/>
    <w:rsid w:val="54591BDD"/>
    <w:rsid w:val="54595127"/>
    <w:rsid w:val="54616086"/>
    <w:rsid w:val="54642C63"/>
    <w:rsid w:val="54677538"/>
    <w:rsid w:val="54684A37"/>
    <w:rsid w:val="546C089D"/>
    <w:rsid w:val="546C5732"/>
    <w:rsid w:val="54722596"/>
    <w:rsid w:val="547225C8"/>
    <w:rsid w:val="547C771D"/>
    <w:rsid w:val="547D454C"/>
    <w:rsid w:val="547F0D3F"/>
    <w:rsid w:val="54852992"/>
    <w:rsid w:val="54887D2B"/>
    <w:rsid w:val="54890248"/>
    <w:rsid w:val="548949B4"/>
    <w:rsid w:val="548976E7"/>
    <w:rsid w:val="548A4748"/>
    <w:rsid w:val="548F3CB2"/>
    <w:rsid w:val="54931BB0"/>
    <w:rsid w:val="549A76B0"/>
    <w:rsid w:val="549F2FF5"/>
    <w:rsid w:val="54A5704F"/>
    <w:rsid w:val="54A71B77"/>
    <w:rsid w:val="54A81644"/>
    <w:rsid w:val="54A8317E"/>
    <w:rsid w:val="54A839DB"/>
    <w:rsid w:val="54A8426C"/>
    <w:rsid w:val="54A91BFA"/>
    <w:rsid w:val="54BA0673"/>
    <w:rsid w:val="54BB4DFD"/>
    <w:rsid w:val="54BD3E64"/>
    <w:rsid w:val="54BE0EDF"/>
    <w:rsid w:val="54C078A9"/>
    <w:rsid w:val="54C61945"/>
    <w:rsid w:val="54C6630D"/>
    <w:rsid w:val="54C706A2"/>
    <w:rsid w:val="54C855D0"/>
    <w:rsid w:val="54C87522"/>
    <w:rsid w:val="54CA14EB"/>
    <w:rsid w:val="54CA4034"/>
    <w:rsid w:val="54CA7EDE"/>
    <w:rsid w:val="54CB1224"/>
    <w:rsid w:val="54CB3308"/>
    <w:rsid w:val="54CF40E2"/>
    <w:rsid w:val="54D75878"/>
    <w:rsid w:val="54DA7E1C"/>
    <w:rsid w:val="54DD17C7"/>
    <w:rsid w:val="54DE2903"/>
    <w:rsid w:val="54E20A75"/>
    <w:rsid w:val="54E60619"/>
    <w:rsid w:val="54EC4EB0"/>
    <w:rsid w:val="54EF0049"/>
    <w:rsid w:val="54F22C98"/>
    <w:rsid w:val="54F34158"/>
    <w:rsid w:val="54F427F5"/>
    <w:rsid w:val="54F74E2D"/>
    <w:rsid w:val="54F95124"/>
    <w:rsid w:val="54FA326F"/>
    <w:rsid w:val="54FD4B6C"/>
    <w:rsid w:val="54FE2FBF"/>
    <w:rsid w:val="550004BE"/>
    <w:rsid w:val="55016C90"/>
    <w:rsid w:val="5503323F"/>
    <w:rsid w:val="55062E08"/>
    <w:rsid w:val="55066913"/>
    <w:rsid w:val="55070652"/>
    <w:rsid w:val="55075EB4"/>
    <w:rsid w:val="550A0AB0"/>
    <w:rsid w:val="550A3760"/>
    <w:rsid w:val="550A68D9"/>
    <w:rsid w:val="550E35AF"/>
    <w:rsid w:val="55105988"/>
    <w:rsid w:val="551368B4"/>
    <w:rsid w:val="55190CD8"/>
    <w:rsid w:val="551B7925"/>
    <w:rsid w:val="551E00A2"/>
    <w:rsid w:val="55237A69"/>
    <w:rsid w:val="5524310E"/>
    <w:rsid w:val="5527501F"/>
    <w:rsid w:val="5532557E"/>
    <w:rsid w:val="553B2CF5"/>
    <w:rsid w:val="553F0796"/>
    <w:rsid w:val="55440BC3"/>
    <w:rsid w:val="55487029"/>
    <w:rsid w:val="554A6079"/>
    <w:rsid w:val="554F336C"/>
    <w:rsid w:val="55526279"/>
    <w:rsid w:val="555450E1"/>
    <w:rsid w:val="5559603A"/>
    <w:rsid w:val="555D49F2"/>
    <w:rsid w:val="555E4911"/>
    <w:rsid w:val="555F2A69"/>
    <w:rsid w:val="55627866"/>
    <w:rsid w:val="55666905"/>
    <w:rsid w:val="55671D85"/>
    <w:rsid w:val="556E31E7"/>
    <w:rsid w:val="55752ECB"/>
    <w:rsid w:val="55762F6D"/>
    <w:rsid w:val="55771553"/>
    <w:rsid w:val="557A2920"/>
    <w:rsid w:val="557B4836"/>
    <w:rsid w:val="557C0E8C"/>
    <w:rsid w:val="55801A9A"/>
    <w:rsid w:val="55851FFA"/>
    <w:rsid w:val="558B1F0D"/>
    <w:rsid w:val="558B7C40"/>
    <w:rsid w:val="55943541"/>
    <w:rsid w:val="55986FD0"/>
    <w:rsid w:val="559E70DE"/>
    <w:rsid w:val="55A559A5"/>
    <w:rsid w:val="55A64379"/>
    <w:rsid w:val="55A737FA"/>
    <w:rsid w:val="55A90CF3"/>
    <w:rsid w:val="55AB4438"/>
    <w:rsid w:val="55AD6BE4"/>
    <w:rsid w:val="55B52680"/>
    <w:rsid w:val="55C55692"/>
    <w:rsid w:val="55C7281A"/>
    <w:rsid w:val="55C77DDC"/>
    <w:rsid w:val="55C8516D"/>
    <w:rsid w:val="55CC5590"/>
    <w:rsid w:val="55D14DB8"/>
    <w:rsid w:val="55D77A05"/>
    <w:rsid w:val="55DA6166"/>
    <w:rsid w:val="55DB7288"/>
    <w:rsid w:val="55DD601F"/>
    <w:rsid w:val="55E34F5A"/>
    <w:rsid w:val="55E80E10"/>
    <w:rsid w:val="55EB6A8D"/>
    <w:rsid w:val="55F20314"/>
    <w:rsid w:val="55F30F73"/>
    <w:rsid w:val="55F534CF"/>
    <w:rsid w:val="55F6389E"/>
    <w:rsid w:val="55FA3D6B"/>
    <w:rsid w:val="55FA6DE6"/>
    <w:rsid w:val="5601723E"/>
    <w:rsid w:val="56032FC7"/>
    <w:rsid w:val="5606613B"/>
    <w:rsid w:val="560B3A60"/>
    <w:rsid w:val="560E70A6"/>
    <w:rsid w:val="561024F8"/>
    <w:rsid w:val="5611251B"/>
    <w:rsid w:val="561171C3"/>
    <w:rsid w:val="5611793B"/>
    <w:rsid w:val="56130D26"/>
    <w:rsid w:val="561978CD"/>
    <w:rsid w:val="561C5C67"/>
    <w:rsid w:val="561E4A7E"/>
    <w:rsid w:val="561E54F6"/>
    <w:rsid w:val="561F41AC"/>
    <w:rsid w:val="56205534"/>
    <w:rsid w:val="56223CC8"/>
    <w:rsid w:val="56231F4D"/>
    <w:rsid w:val="562414CB"/>
    <w:rsid w:val="562652DE"/>
    <w:rsid w:val="56285000"/>
    <w:rsid w:val="562D602A"/>
    <w:rsid w:val="562E759E"/>
    <w:rsid w:val="56304090"/>
    <w:rsid w:val="56304862"/>
    <w:rsid w:val="563205C4"/>
    <w:rsid w:val="56331690"/>
    <w:rsid w:val="563549DF"/>
    <w:rsid w:val="563B3C13"/>
    <w:rsid w:val="563C0B69"/>
    <w:rsid w:val="563D2444"/>
    <w:rsid w:val="563F5D56"/>
    <w:rsid w:val="56460BD5"/>
    <w:rsid w:val="56466FAF"/>
    <w:rsid w:val="56485AD4"/>
    <w:rsid w:val="564D62BC"/>
    <w:rsid w:val="565426A8"/>
    <w:rsid w:val="56545C1B"/>
    <w:rsid w:val="56590A8C"/>
    <w:rsid w:val="565A2FA0"/>
    <w:rsid w:val="565C7B4F"/>
    <w:rsid w:val="565F0EAD"/>
    <w:rsid w:val="565F4183"/>
    <w:rsid w:val="565F6337"/>
    <w:rsid w:val="5661367A"/>
    <w:rsid w:val="566D67F6"/>
    <w:rsid w:val="566E0110"/>
    <w:rsid w:val="566F38E1"/>
    <w:rsid w:val="567938B3"/>
    <w:rsid w:val="567A473C"/>
    <w:rsid w:val="567B6A78"/>
    <w:rsid w:val="5680148A"/>
    <w:rsid w:val="568223E0"/>
    <w:rsid w:val="568301B1"/>
    <w:rsid w:val="56835F46"/>
    <w:rsid w:val="568A2CBF"/>
    <w:rsid w:val="568B487E"/>
    <w:rsid w:val="5694733A"/>
    <w:rsid w:val="56965BC1"/>
    <w:rsid w:val="56A37129"/>
    <w:rsid w:val="56A4343B"/>
    <w:rsid w:val="56A95ABB"/>
    <w:rsid w:val="56AA6397"/>
    <w:rsid w:val="56B12F19"/>
    <w:rsid w:val="56B170DB"/>
    <w:rsid w:val="56B207A2"/>
    <w:rsid w:val="56B55E84"/>
    <w:rsid w:val="56BE4A22"/>
    <w:rsid w:val="56C06C97"/>
    <w:rsid w:val="56C47F90"/>
    <w:rsid w:val="56C70E1F"/>
    <w:rsid w:val="56C86157"/>
    <w:rsid w:val="56CC24AF"/>
    <w:rsid w:val="56CD2034"/>
    <w:rsid w:val="56D00B4B"/>
    <w:rsid w:val="56D1745E"/>
    <w:rsid w:val="56D47F64"/>
    <w:rsid w:val="56D56F67"/>
    <w:rsid w:val="56D62966"/>
    <w:rsid w:val="56D629F1"/>
    <w:rsid w:val="56D65043"/>
    <w:rsid w:val="56DB26E6"/>
    <w:rsid w:val="56E2367F"/>
    <w:rsid w:val="56E34B71"/>
    <w:rsid w:val="56E4622E"/>
    <w:rsid w:val="56E850BF"/>
    <w:rsid w:val="56ED69E5"/>
    <w:rsid w:val="56EF1E7C"/>
    <w:rsid w:val="56F33B82"/>
    <w:rsid w:val="56F92E5F"/>
    <w:rsid w:val="56FD25B9"/>
    <w:rsid w:val="56FE6A97"/>
    <w:rsid w:val="57010652"/>
    <w:rsid w:val="570560BF"/>
    <w:rsid w:val="5706165A"/>
    <w:rsid w:val="5708053E"/>
    <w:rsid w:val="5708670F"/>
    <w:rsid w:val="570B4C27"/>
    <w:rsid w:val="570D41CE"/>
    <w:rsid w:val="57121C67"/>
    <w:rsid w:val="57137E69"/>
    <w:rsid w:val="571775B8"/>
    <w:rsid w:val="57185653"/>
    <w:rsid w:val="571915F2"/>
    <w:rsid w:val="571B7320"/>
    <w:rsid w:val="571D68E9"/>
    <w:rsid w:val="571F4260"/>
    <w:rsid w:val="5721095E"/>
    <w:rsid w:val="572125EE"/>
    <w:rsid w:val="57230889"/>
    <w:rsid w:val="572346C9"/>
    <w:rsid w:val="57241E7D"/>
    <w:rsid w:val="5725224A"/>
    <w:rsid w:val="572A5EA9"/>
    <w:rsid w:val="572D0736"/>
    <w:rsid w:val="572E2B44"/>
    <w:rsid w:val="57305AA4"/>
    <w:rsid w:val="5733476B"/>
    <w:rsid w:val="57346A3C"/>
    <w:rsid w:val="5739540B"/>
    <w:rsid w:val="573C0BD5"/>
    <w:rsid w:val="573F6A43"/>
    <w:rsid w:val="5743198B"/>
    <w:rsid w:val="5744596E"/>
    <w:rsid w:val="57461B89"/>
    <w:rsid w:val="574951FE"/>
    <w:rsid w:val="574D048D"/>
    <w:rsid w:val="574E5D69"/>
    <w:rsid w:val="574F5F76"/>
    <w:rsid w:val="5753340A"/>
    <w:rsid w:val="5754458C"/>
    <w:rsid w:val="575529B0"/>
    <w:rsid w:val="57597C84"/>
    <w:rsid w:val="575C02E5"/>
    <w:rsid w:val="575E502E"/>
    <w:rsid w:val="576027FC"/>
    <w:rsid w:val="57614B15"/>
    <w:rsid w:val="576550F6"/>
    <w:rsid w:val="576958BB"/>
    <w:rsid w:val="576B7E26"/>
    <w:rsid w:val="57704951"/>
    <w:rsid w:val="57723B44"/>
    <w:rsid w:val="577551A0"/>
    <w:rsid w:val="577A011A"/>
    <w:rsid w:val="577B2371"/>
    <w:rsid w:val="577C7466"/>
    <w:rsid w:val="57800351"/>
    <w:rsid w:val="5784753B"/>
    <w:rsid w:val="57862ABE"/>
    <w:rsid w:val="578838C0"/>
    <w:rsid w:val="578A47F3"/>
    <w:rsid w:val="578A5973"/>
    <w:rsid w:val="578E18E9"/>
    <w:rsid w:val="579746AC"/>
    <w:rsid w:val="579F1FE2"/>
    <w:rsid w:val="57A01266"/>
    <w:rsid w:val="57A2219C"/>
    <w:rsid w:val="57A26921"/>
    <w:rsid w:val="57A30BE3"/>
    <w:rsid w:val="57AA1EE8"/>
    <w:rsid w:val="57AF7E7B"/>
    <w:rsid w:val="57B864BE"/>
    <w:rsid w:val="57BD1786"/>
    <w:rsid w:val="57BD3BEA"/>
    <w:rsid w:val="57C0020E"/>
    <w:rsid w:val="57C024B5"/>
    <w:rsid w:val="57C12700"/>
    <w:rsid w:val="57C53366"/>
    <w:rsid w:val="57C53C27"/>
    <w:rsid w:val="57CE1C3D"/>
    <w:rsid w:val="57CE7697"/>
    <w:rsid w:val="57D22812"/>
    <w:rsid w:val="57D40C37"/>
    <w:rsid w:val="57D5748D"/>
    <w:rsid w:val="57D92BF3"/>
    <w:rsid w:val="57DA57B7"/>
    <w:rsid w:val="57DB0FF1"/>
    <w:rsid w:val="57DD4BD7"/>
    <w:rsid w:val="57DF03F6"/>
    <w:rsid w:val="57DF3807"/>
    <w:rsid w:val="57E171E8"/>
    <w:rsid w:val="57E4092E"/>
    <w:rsid w:val="57E65BD7"/>
    <w:rsid w:val="57E7341D"/>
    <w:rsid w:val="57E8647B"/>
    <w:rsid w:val="57EA3B43"/>
    <w:rsid w:val="57EC4EF6"/>
    <w:rsid w:val="57EF6D72"/>
    <w:rsid w:val="57F45600"/>
    <w:rsid w:val="57F83543"/>
    <w:rsid w:val="57FA4CDC"/>
    <w:rsid w:val="57FB6B27"/>
    <w:rsid w:val="57FC26F8"/>
    <w:rsid w:val="57FC794A"/>
    <w:rsid w:val="57FD5394"/>
    <w:rsid w:val="57FE2118"/>
    <w:rsid w:val="580807B7"/>
    <w:rsid w:val="580A3FE4"/>
    <w:rsid w:val="580A4E1E"/>
    <w:rsid w:val="580D235E"/>
    <w:rsid w:val="580E5A83"/>
    <w:rsid w:val="580F37CD"/>
    <w:rsid w:val="58121FE2"/>
    <w:rsid w:val="58126967"/>
    <w:rsid w:val="58155E17"/>
    <w:rsid w:val="58195896"/>
    <w:rsid w:val="581C195B"/>
    <w:rsid w:val="581E44A8"/>
    <w:rsid w:val="581F716E"/>
    <w:rsid w:val="58200D0C"/>
    <w:rsid w:val="582043DD"/>
    <w:rsid w:val="58205D30"/>
    <w:rsid w:val="582332D2"/>
    <w:rsid w:val="58237E35"/>
    <w:rsid w:val="58245F5B"/>
    <w:rsid w:val="5825761A"/>
    <w:rsid w:val="58257AB9"/>
    <w:rsid w:val="582A4B7B"/>
    <w:rsid w:val="582B707B"/>
    <w:rsid w:val="582F6289"/>
    <w:rsid w:val="58334D5D"/>
    <w:rsid w:val="58365673"/>
    <w:rsid w:val="58370BAA"/>
    <w:rsid w:val="583A3546"/>
    <w:rsid w:val="583C2721"/>
    <w:rsid w:val="584017CB"/>
    <w:rsid w:val="58486AF0"/>
    <w:rsid w:val="585243CD"/>
    <w:rsid w:val="58537B82"/>
    <w:rsid w:val="58537D7E"/>
    <w:rsid w:val="58541F5E"/>
    <w:rsid w:val="58562BBD"/>
    <w:rsid w:val="58573BD4"/>
    <w:rsid w:val="58607099"/>
    <w:rsid w:val="58680194"/>
    <w:rsid w:val="58685452"/>
    <w:rsid w:val="586E2A07"/>
    <w:rsid w:val="58731973"/>
    <w:rsid w:val="58735710"/>
    <w:rsid w:val="587A7675"/>
    <w:rsid w:val="587B20D3"/>
    <w:rsid w:val="58816C9E"/>
    <w:rsid w:val="588201B8"/>
    <w:rsid w:val="588215E9"/>
    <w:rsid w:val="588311CD"/>
    <w:rsid w:val="588706EC"/>
    <w:rsid w:val="588813DE"/>
    <w:rsid w:val="588A3944"/>
    <w:rsid w:val="588C044A"/>
    <w:rsid w:val="588E3BF1"/>
    <w:rsid w:val="58944FB3"/>
    <w:rsid w:val="5897119C"/>
    <w:rsid w:val="589B68C1"/>
    <w:rsid w:val="589C5CAF"/>
    <w:rsid w:val="589D3358"/>
    <w:rsid w:val="58A85B74"/>
    <w:rsid w:val="58AC5F1D"/>
    <w:rsid w:val="58AD539F"/>
    <w:rsid w:val="58AF6551"/>
    <w:rsid w:val="58B31B8E"/>
    <w:rsid w:val="58B340C2"/>
    <w:rsid w:val="58B47200"/>
    <w:rsid w:val="58B770D3"/>
    <w:rsid w:val="58BA7A41"/>
    <w:rsid w:val="58BB7705"/>
    <w:rsid w:val="58C171CE"/>
    <w:rsid w:val="58C31A6D"/>
    <w:rsid w:val="58C729F1"/>
    <w:rsid w:val="58C975EE"/>
    <w:rsid w:val="58CF729F"/>
    <w:rsid w:val="58D35735"/>
    <w:rsid w:val="58E64695"/>
    <w:rsid w:val="58E84BD7"/>
    <w:rsid w:val="58EB2D53"/>
    <w:rsid w:val="58EE4DF0"/>
    <w:rsid w:val="58F01BF7"/>
    <w:rsid w:val="58F032E1"/>
    <w:rsid w:val="58F65A2D"/>
    <w:rsid w:val="58F97BC3"/>
    <w:rsid w:val="58FA245A"/>
    <w:rsid w:val="58FB377B"/>
    <w:rsid w:val="58FC779A"/>
    <w:rsid w:val="58FD456F"/>
    <w:rsid w:val="59042655"/>
    <w:rsid w:val="59087E2C"/>
    <w:rsid w:val="59091DA7"/>
    <w:rsid w:val="590C0025"/>
    <w:rsid w:val="590C332E"/>
    <w:rsid w:val="590C3DF4"/>
    <w:rsid w:val="59133B76"/>
    <w:rsid w:val="591623BD"/>
    <w:rsid w:val="591826E6"/>
    <w:rsid w:val="591F53EF"/>
    <w:rsid w:val="5921259A"/>
    <w:rsid w:val="59262541"/>
    <w:rsid w:val="592A61AE"/>
    <w:rsid w:val="592E0C24"/>
    <w:rsid w:val="59317615"/>
    <w:rsid w:val="59337D2C"/>
    <w:rsid w:val="59345B9D"/>
    <w:rsid w:val="593500F6"/>
    <w:rsid w:val="59386251"/>
    <w:rsid w:val="593929F1"/>
    <w:rsid w:val="593B4936"/>
    <w:rsid w:val="593B759D"/>
    <w:rsid w:val="59426AC2"/>
    <w:rsid w:val="59427E35"/>
    <w:rsid w:val="5943349E"/>
    <w:rsid w:val="5943740B"/>
    <w:rsid w:val="59447F3F"/>
    <w:rsid w:val="594577C2"/>
    <w:rsid w:val="5947331A"/>
    <w:rsid w:val="59480B21"/>
    <w:rsid w:val="5957105F"/>
    <w:rsid w:val="59611D50"/>
    <w:rsid w:val="596463AE"/>
    <w:rsid w:val="59650C36"/>
    <w:rsid w:val="596629C0"/>
    <w:rsid w:val="596C138A"/>
    <w:rsid w:val="597045A7"/>
    <w:rsid w:val="59760109"/>
    <w:rsid w:val="597823D6"/>
    <w:rsid w:val="59791BF2"/>
    <w:rsid w:val="597B54E5"/>
    <w:rsid w:val="59807D06"/>
    <w:rsid w:val="5982113C"/>
    <w:rsid w:val="598216E6"/>
    <w:rsid w:val="59846273"/>
    <w:rsid w:val="59874526"/>
    <w:rsid w:val="59897236"/>
    <w:rsid w:val="59934A3A"/>
    <w:rsid w:val="59951162"/>
    <w:rsid w:val="599727A4"/>
    <w:rsid w:val="59977504"/>
    <w:rsid w:val="599859EC"/>
    <w:rsid w:val="59A011B7"/>
    <w:rsid w:val="59A21860"/>
    <w:rsid w:val="59A522BC"/>
    <w:rsid w:val="59A546B2"/>
    <w:rsid w:val="59AB142A"/>
    <w:rsid w:val="59AC41D5"/>
    <w:rsid w:val="59B57D45"/>
    <w:rsid w:val="59B81CC8"/>
    <w:rsid w:val="59BC4A83"/>
    <w:rsid w:val="59BD4AF7"/>
    <w:rsid w:val="59BF5149"/>
    <w:rsid w:val="59C45F27"/>
    <w:rsid w:val="59C51DED"/>
    <w:rsid w:val="59C5633B"/>
    <w:rsid w:val="59C623B9"/>
    <w:rsid w:val="59C822BA"/>
    <w:rsid w:val="59CA5CD3"/>
    <w:rsid w:val="59CB02AC"/>
    <w:rsid w:val="59CC7194"/>
    <w:rsid w:val="59D7756A"/>
    <w:rsid w:val="59DB169D"/>
    <w:rsid w:val="59E07227"/>
    <w:rsid w:val="59E56A8A"/>
    <w:rsid w:val="59E60FF9"/>
    <w:rsid w:val="59E6475F"/>
    <w:rsid w:val="59E7584D"/>
    <w:rsid w:val="59EC5F0E"/>
    <w:rsid w:val="59EF28DD"/>
    <w:rsid w:val="59F273DB"/>
    <w:rsid w:val="59F3107A"/>
    <w:rsid w:val="59F33A56"/>
    <w:rsid w:val="59F4468C"/>
    <w:rsid w:val="59FB0D74"/>
    <w:rsid w:val="59FB1549"/>
    <w:rsid w:val="59FF5C8A"/>
    <w:rsid w:val="5A000A7C"/>
    <w:rsid w:val="5A012443"/>
    <w:rsid w:val="5A017164"/>
    <w:rsid w:val="5A096F9B"/>
    <w:rsid w:val="5A0B7B90"/>
    <w:rsid w:val="5A0C78B7"/>
    <w:rsid w:val="5A0D3124"/>
    <w:rsid w:val="5A0E6892"/>
    <w:rsid w:val="5A1037AC"/>
    <w:rsid w:val="5A107DCA"/>
    <w:rsid w:val="5A117165"/>
    <w:rsid w:val="5A1406BB"/>
    <w:rsid w:val="5A1A70AE"/>
    <w:rsid w:val="5A1B01C3"/>
    <w:rsid w:val="5A1B6C77"/>
    <w:rsid w:val="5A1E5DFD"/>
    <w:rsid w:val="5A23161E"/>
    <w:rsid w:val="5A275F90"/>
    <w:rsid w:val="5A2A54C5"/>
    <w:rsid w:val="5A360E5B"/>
    <w:rsid w:val="5A3628F0"/>
    <w:rsid w:val="5A3F2AB6"/>
    <w:rsid w:val="5A4340B0"/>
    <w:rsid w:val="5A462E77"/>
    <w:rsid w:val="5A4763B9"/>
    <w:rsid w:val="5A4A121E"/>
    <w:rsid w:val="5A4C3CB3"/>
    <w:rsid w:val="5A4F238A"/>
    <w:rsid w:val="5A50211D"/>
    <w:rsid w:val="5A50773C"/>
    <w:rsid w:val="5A527A4C"/>
    <w:rsid w:val="5A53396F"/>
    <w:rsid w:val="5A54095E"/>
    <w:rsid w:val="5A571106"/>
    <w:rsid w:val="5A5C6C7C"/>
    <w:rsid w:val="5A6167DA"/>
    <w:rsid w:val="5A6440D2"/>
    <w:rsid w:val="5A6574B1"/>
    <w:rsid w:val="5A663955"/>
    <w:rsid w:val="5A695631"/>
    <w:rsid w:val="5A731C0A"/>
    <w:rsid w:val="5A7529E8"/>
    <w:rsid w:val="5A754D59"/>
    <w:rsid w:val="5A7C6240"/>
    <w:rsid w:val="5A7F4DF3"/>
    <w:rsid w:val="5A804EDD"/>
    <w:rsid w:val="5A824122"/>
    <w:rsid w:val="5A874E05"/>
    <w:rsid w:val="5A8779AE"/>
    <w:rsid w:val="5A886BAD"/>
    <w:rsid w:val="5A8B326B"/>
    <w:rsid w:val="5A8D5EE9"/>
    <w:rsid w:val="5A9E0CAD"/>
    <w:rsid w:val="5A9F1555"/>
    <w:rsid w:val="5AA11AA2"/>
    <w:rsid w:val="5AA26A95"/>
    <w:rsid w:val="5AA36F56"/>
    <w:rsid w:val="5AA53B50"/>
    <w:rsid w:val="5AAC5F5D"/>
    <w:rsid w:val="5AB07727"/>
    <w:rsid w:val="5AB71514"/>
    <w:rsid w:val="5ABB2654"/>
    <w:rsid w:val="5ABB6C09"/>
    <w:rsid w:val="5ABE024E"/>
    <w:rsid w:val="5AC1348E"/>
    <w:rsid w:val="5AC144C0"/>
    <w:rsid w:val="5AC87781"/>
    <w:rsid w:val="5AC96AE5"/>
    <w:rsid w:val="5AD12678"/>
    <w:rsid w:val="5AD16FB7"/>
    <w:rsid w:val="5AD7080E"/>
    <w:rsid w:val="5ADA10B5"/>
    <w:rsid w:val="5ADB2A57"/>
    <w:rsid w:val="5AE2282F"/>
    <w:rsid w:val="5AE337DC"/>
    <w:rsid w:val="5AEA39BA"/>
    <w:rsid w:val="5AEB244A"/>
    <w:rsid w:val="5AEB6872"/>
    <w:rsid w:val="5AEC0074"/>
    <w:rsid w:val="5AEF3944"/>
    <w:rsid w:val="5AF41016"/>
    <w:rsid w:val="5AF44FEE"/>
    <w:rsid w:val="5AF531CD"/>
    <w:rsid w:val="5AF669C0"/>
    <w:rsid w:val="5AF75E3E"/>
    <w:rsid w:val="5AF86D23"/>
    <w:rsid w:val="5AFA186D"/>
    <w:rsid w:val="5AFA409D"/>
    <w:rsid w:val="5AFD53DD"/>
    <w:rsid w:val="5B000B98"/>
    <w:rsid w:val="5B04278B"/>
    <w:rsid w:val="5B045006"/>
    <w:rsid w:val="5B0543A8"/>
    <w:rsid w:val="5B066B7F"/>
    <w:rsid w:val="5B07774A"/>
    <w:rsid w:val="5B077CF6"/>
    <w:rsid w:val="5B0B6BBF"/>
    <w:rsid w:val="5B13043B"/>
    <w:rsid w:val="5B150ED7"/>
    <w:rsid w:val="5B1734E1"/>
    <w:rsid w:val="5B192D07"/>
    <w:rsid w:val="5B1A7970"/>
    <w:rsid w:val="5B1F56CC"/>
    <w:rsid w:val="5B2319AE"/>
    <w:rsid w:val="5B255C68"/>
    <w:rsid w:val="5B256773"/>
    <w:rsid w:val="5B25791A"/>
    <w:rsid w:val="5B262081"/>
    <w:rsid w:val="5B267556"/>
    <w:rsid w:val="5B2B2F61"/>
    <w:rsid w:val="5B2B4256"/>
    <w:rsid w:val="5B2F461B"/>
    <w:rsid w:val="5B30798E"/>
    <w:rsid w:val="5B370059"/>
    <w:rsid w:val="5B371C12"/>
    <w:rsid w:val="5B386CE1"/>
    <w:rsid w:val="5B3C690F"/>
    <w:rsid w:val="5B3D18CF"/>
    <w:rsid w:val="5B3D746C"/>
    <w:rsid w:val="5B401CF3"/>
    <w:rsid w:val="5B423BE8"/>
    <w:rsid w:val="5B4530C9"/>
    <w:rsid w:val="5B494A24"/>
    <w:rsid w:val="5B4A2152"/>
    <w:rsid w:val="5B4A4AD2"/>
    <w:rsid w:val="5B4D644D"/>
    <w:rsid w:val="5B560A8A"/>
    <w:rsid w:val="5B562082"/>
    <w:rsid w:val="5B5B2FE0"/>
    <w:rsid w:val="5B5E7DBF"/>
    <w:rsid w:val="5B5F4F96"/>
    <w:rsid w:val="5B5F520A"/>
    <w:rsid w:val="5B5F6574"/>
    <w:rsid w:val="5B5F6CA7"/>
    <w:rsid w:val="5B63450D"/>
    <w:rsid w:val="5B642027"/>
    <w:rsid w:val="5B676640"/>
    <w:rsid w:val="5B6B2A71"/>
    <w:rsid w:val="5B7062B2"/>
    <w:rsid w:val="5B712328"/>
    <w:rsid w:val="5B717D08"/>
    <w:rsid w:val="5B744B8C"/>
    <w:rsid w:val="5B76226E"/>
    <w:rsid w:val="5B767A8D"/>
    <w:rsid w:val="5B786425"/>
    <w:rsid w:val="5B7C2D04"/>
    <w:rsid w:val="5B7D0DF5"/>
    <w:rsid w:val="5B7D10B5"/>
    <w:rsid w:val="5B800E98"/>
    <w:rsid w:val="5B851B34"/>
    <w:rsid w:val="5B862BCD"/>
    <w:rsid w:val="5B87412A"/>
    <w:rsid w:val="5B894F0F"/>
    <w:rsid w:val="5B8F01D6"/>
    <w:rsid w:val="5B8F77AF"/>
    <w:rsid w:val="5B90495E"/>
    <w:rsid w:val="5B91369A"/>
    <w:rsid w:val="5B924650"/>
    <w:rsid w:val="5B930D1F"/>
    <w:rsid w:val="5B965838"/>
    <w:rsid w:val="5B9C419D"/>
    <w:rsid w:val="5BA13407"/>
    <w:rsid w:val="5BA64E07"/>
    <w:rsid w:val="5BA679AB"/>
    <w:rsid w:val="5BAB34AC"/>
    <w:rsid w:val="5BAF00EC"/>
    <w:rsid w:val="5BAF038F"/>
    <w:rsid w:val="5BB25860"/>
    <w:rsid w:val="5BB4404B"/>
    <w:rsid w:val="5BB568E5"/>
    <w:rsid w:val="5BB9106E"/>
    <w:rsid w:val="5BBB0BFD"/>
    <w:rsid w:val="5BBB382C"/>
    <w:rsid w:val="5BBF75E0"/>
    <w:rsid w:val="5BC02726"/>
    <w:rsid w:val="5BCA5E7B"/>
    <w:rsid w:val="5BCE5498"/>
    <w:rsid w:val="5BD24430"/>
    <w:rsid w:val="5BD52F7D"/>
    <w:rsid w:val="5BDA1A48"/>
    <w:rsid w:val="5BDA6838"/>
    <w:rsid w:val="5BDC1CF0"/>
    <w:rsid w:val="5BDC6B6D"/>
    <w:rsid w:val="5BDD2FB3"/>
    <w:rsid w:val="5BDE5F4A"/>
    <w:rsid w:val="5BE5630D"/>
    <w:rsid w:val="5BE60726"/>
    <w:rsid w:val="5BE617C3"/>
    <w:rsid w:val="5BE63C8D"/>
    <w:rsid w:val="5BEC0ABF"/>
    <w:rsid w:val="5BED358B"/>
    <w:rsid w:val="5BED6397"/>
    <w:rsid w:val="5BF4688C"/>
    <w:rsid w:val="5BF95572"/>
    <w:rsid w:val="5BFB6592"/>
    <w:rsid w:val="5BFC36A7"/>
    <w:rsid w:val="5BFE18BE"/>
    <w:rsid w:val="5C025293"/>
    <w:rsid w:val="5C032E6F"/>
    <w:rsid w:val="5C0403FF"/>
    <w:rsid w:val="5C043D3A"/>
    <w:rsid w:val="5C05358B"/>
    <w:rsid w:val="5C0C4C65"/>
    <w:rsid w:val="5C103BEA"/>
    <w:rsid w:val="5C126A46"/>
    <w:rsid w:val="5C153084"/>
    <w:rsid w:val="5C156652"/>
    <w:rsid w:val="5C194245"/>
    <w:rsid w:val="5C1A5EF4"/>
    <w:rsid w:val="5C1D2455"/>
    <w:rsid w:val="5C2273EC"/>
    <w:rsid w:val="5C230549"/>
    <w:rsid w:val="5C27530B"/>
    <w:rsid w:val="5C2C7C09"/>
    <w:rsid w:val="5C2D22EC"/>
    <w:rsid w:val="5C2E5035"/>
    <w:rsid w:val="5C354C24"/>
    <w:rsid w:val="5C3868E5"/>
    <w:rsid w:val="5C3A3855"/>
    <w:rsid w:val="5C3E0B77"/>
    <w:rsid w:val="5C3E4468"/>
    <w:rsid w:val="5C445B87"/>
    <w:rsid w:val="5C47578C"/>
    <w:rsid w:val="5C49697A"/>
    <w:rsid w:val="5C4B1B54"/>
    <w:rsid w:val="5C4C6173"/>
    <w:rsid w:val="5C4C66E4"/>
    <w:rsid w:val="5C4D5989"/>
    <w:rsid w:val="5C5176C4"/>
    <w:rsid w:val="5C557A77"/>
    <w:rsid w:val="5C5B4588"/>
    <w:rsid w:val="5C5E5307"/>
    <w:rsid w:val="5C642116"/>
    <w:rsid w:val="5C660FE3"/>
    <w:rsid w:val="5C700C69"/>
    <w:rsid w:val="5C713BAD"/>
    <w:rsid w:val="5C726C5E"/>
    <w:rsid w:val="5C733EE1"/>
    <w:rsid w:val="5C756E6D"/>
    <w:rsid w:val="5C784DDE"/>
    <w:rsid w:val="5C7B6A92"/>
    <w:rsid w:val="5C7E7BBB"/>
    <w:rsid w:val="5C7F2EA3"/>
    <w:rsid w:val="5C8064C5"/>
    <w:rsid w:val="5C82525C"/>
    <w:rsid w:val="5C846237"/>
    <w:rsid w:val="5C886943"/>
    <w:rsid w:val="5C892DF7"/>
    <w:rsid w:val="5C894C91"/>
    <w:rsid w:val="5C907172"/>
    <w:rsid w:val="5C9114AB"/>
    <w:rsid w:val="5C921E92"/>
    <w:rsid w:val="5C9229DC"/>
    <w:rsid w:val="5C936544"/>
    <w:rsid w:val="5C980A71"/>
    <w:rsid w:val="5C982CB0"/>
    <w:rsid w:val="5C9C7D91"/>
    <w:rsid w:val="5C9D2F32"/>
    <w:rsid w:val="5C9F41D9"/>
    <w:rsid w:val="5CA25C65"/>
    <w:rsid w:val="5CA41ABE"/>
    <w:rsid w:val="5CB4401F"/>
    <w:rsid w:val="5CB51A74"/>
    <w:rsid w:val="5CB54D70"/>
    <w:rsid w:val="5CB7006D"/>
    <w:rsid w:val="5CB87C6A"/>
    <w:rsid w:val="5CBA06CC"/>
    <w:rsid w:val="5CC04194"/>
    <w:rsid w:val="5CC800C4"/>
    <w:rsid w:val="5CCE1F73"/>
    <w:rsid w:val="5CD05ECC"/>
    <w:rsid w:val="5CD8534A"/>
    <w:rsid w:val="5CDD6882"/>
    <w:rsid w:val="5CE85BE3"/>
    <w:rsid w:val="5CED2D09"/>
    <w:rsid w:val="5CEF6BD3"/>
    <w:rsid w:val="5CF50892"/>
    <w:rsid w:val="5CF66008"/>
    <w:rsid w:val="5CF84007"/>
    <w:rsid w:val="5CFC4544"/>
    <w:rsid w:val="5D0352D1"/>
    <w:rsid w:val="5D055905"/>
    <w:rsid w:val="5D063C63"/>
    <w:rsid w:val="5D0734D5"/>
    <w:rsid w:val="5D074704"/>
    <w:rsid w:val="5D0A72D3"/>
    <w:rsid w:val="5D0C5A5D"/>
    <w:rsid w:val="5D1067F1"/>
    <w:rsid w:val="5D1241FE"/>
    <w:rsid w:val="5D167603"/>
    <w:rsid w:val="5D1E7211"/>
    <w:rsid w:val="5D235B2D"/>
    <w:rsid w:val="5D252C9E"/>
    <w:rsid w:val="5D2551C8"/>
    <w:rsid w:val="5D261936"/>
    <w:rsid w:val="5D267D71"/>
    <w:rsid w:val="5D2C36A1"/>
    <w:rsid w:val="5D33717C"/>
    <w:rsid w:val="5D35030E"/>
    <w:rsid w:val="5D3636DD"/>
    <w:rsid w:val="5D377147"/>
    <w:rsid w:val="5D396A8C"/>
    <w:rsid w:val="5D3E5028"/>
    <w:rsid w:val="5D44152F"/>
    <w:rsid w:val="5D4A2B0F"/>
    <w:rsid w:val="5D4C4AFA"/>
    <w:rsid w:val="5D4E2888"/>
    <w:rsid w:val="5D4F4308"/>
    <w:rsid w:val="5D5E5932"/>
    <w:rsid w:val="5D6127F2"/>
    <w:rsid w:val="5D684491"/>
    <w:rsid w:val="5D6A1419"/>
    <w:rsid w:val="5D6F7040"/>
    <w:rsid w:val="5D70736C"/>
    <w:rsid w:val="5D734DBB"/>
    <w:rsid w:val="5D751980"/>
    <w:rsid w:val="5D785139"/>
    <w:rsid w:val="5D795C5C"/>
    <w:rsid w:val="5D7A4AAE"/>
    <w:rsid w:val="5D832CE8"/>
    <w:rsid w:val="5D8A72F5"/>
    <w:rsid w:val="5D8C0825"/>
    <w:rsid w:val="5D95144C"/>
    <w:rsid w:val="5D9A1726"/>
    <w:rsid w:val="5D9E5853"/>
    <w:rsid w:val="5DA0301B"/>
    <w:rsid w:val="5DAC29FF"/>
    <w:rsid w:val="5DAC6FD1"/>
    <w:rsid w:val="5DAD5151"/>
    <w:rsid w:val="5DB3312D"/>
    <w:rsid w:val="5DB80062"/>
    <w:rsid w:val="5DBA6AD8"/>
    <w:rsid w:val="5DC05D8B"/>
    <w:rsid w:val="5DC31339"/>
    <w:rsid w:val="5DC7295C"/>
    <w:rsid w:val="5DCA2B3C"/>
    <w:rsid w:val="5DD2755C"/>
    <w:rsid w:val="5DD321F4"/>
    <w:rsid w:val="5DD36C26"/>
    <w:rsid w:val="5DD51B99"/>
    <w:rsid w:val="5DD639F9"/>
    <w:rsid w:val="5DD66FEF"/>
    <w:rsid w:val="5DDB1214"/>
    <w:rsid w:val="5DDE31E0"/>
    <w:rsid w:val="5DE3153B"/>
    <w:rsid w:val="5DE54AEF"/>
    <w:rsid w:val="5DE55A08"/>
    <w:rsid w:val="5DE63D25"/>
    <w:rsid w:val="5DE660F3"/>
    <w:rsid w:val="5DE84681"/>
    <w:rsid w:val="5DED613B"/>
    <w:rsid w:val="5DEF1568"/>
    <w:rsid w:val="5DF2562F"/>
    <w:rsid w:val="5DF57A6E"/>
    <w:rsid w:val="5DF97C7C"/>
    <w:rsid w:val="5DFD4FC2"/>
    <w:rsid w:val="5DFE15E4"/>
    <w:rsid w:val="5E001243"/>
    <w:rsid w:val="5E0339DB"/>
    <w:rsid w:val="5E107435"/>
    <w:rsid w:val="5E1332C3"/>
    <w:rsid w:val="5E1E6603"/>
    <w:rsid w:val="5E201BE2"/>
    <w:rsid w:val="5E202419"/>
    <w:rsid w:val="5E211D34"/>
    <w:rsid w:val="5E22791D"/>
    <w:rsid w:val="5E241B3E"/>
    <w:rsid w:val="5E257681"/>
    <w:rsid w:val="5E267687"/>
    <w:rsid w:val="5E2D4130"/>
    <w:rsid w:val="5E2D6B95"/>
    <w:rsid w:val="5E2E5C2B"/>
    <w:rsid w:val="5E2F3D2C"/>
    <w:rsid w:val="5E343B72"/>
    <w:rsid w:val="5E382D8F"/>
    <w:rsid w:val="5E3D756E"/>
    <w:rsid w:val="5E4521D2"/>
    <w:rsid w:val="5E47175D"/>
    <w:rsid w:val="5E4904AB"/>
    <w:rsid w:val="5E493EB9"/>
    <w:rsid w:val="5E4952BD"/>
    <w:rsid w:val="5E510DF1"/>
    <w:rsid w:val="5E530BED"/>
    <w:rsid w:val="5E535B26"/>
    <w:rsid w:val="5E545735"/>
    <w:rsid w:val="5E5B377D"/>
    <w:rsid w:val="5E5B3821"/>
    <w:rsid w:val="5E5E28BD"/>
    <w:rsid w:val="5E5F0FB9"/>
    <w:rsid w:val="5E5F407C"/>
    <w:rsid w:val="5E604B5F"/>
    <w:rsid w:val="5E616911"/>
    <w:rsid w:val="5E6177A5"/>
    <w:rsid w:val="5E642C55"/>
    <w:rsid w:val="5E664551"/>
    <w:rsid w:val="5E672250"/>
    <w:rsid w:val="5E675B3A"/>
    <w:rsid w:val="5E692DF9"/>
    <w:rsid w:val="5E6B0F9A"/>
    <w:rsid w:val="5E726741"/>
    <w:rsid w:val="5E73037D"/>
    <w:rsid w:val="5E740077"/>
    <w:rsid w:val="5E7A6F78"/>
    <w:rsid w:val="5E7E0214"/>
    <w:rsid w:val="5E8627DE"/>
    <w:rsid w:val="5E883DBE"/>
    <w:rsid w:val="5E8A6DF8"/>
    <w:rsid w:val="5E8B54C7"/>
    <w:rsid w:val="5E917949"/>
    <w:rsid w:val="5E9A0F54"/>
    <w:rsid w:val="5E9C3A2D"/>
    <w:rsid w:val="5E9C48A8"/>
    <w:rsid w:val="5E9D3AC8"/>
    <w:rsid w:val="5E9E619C"/>
    <w:rsid w:val="5EA179C2"/>
    <w:rsid w:val="5EA24A57"/>
    <w:rsid w:val="5EA33130"/>
    <w:rsid w:val="5EA41ECA"/>
    <w:rsid w:val="5EA518D0"/>
    <w:rsid w:val="5EA963FC"/>
    <w:rsid w:val="5EAB0D92"/>
    <w:rsid w:val="5EAF1367"/>
    <w:rsid w:val="5EB256B3"/>
    <w:rsid w:val="5EB42F9A"/>
    <w:rsid w:val="5EB76755"/>
    <w:rsid w:val="5EBE06D3"/>
    <w:rsid w:val="5EC16B6C"/>
    <w:rsid w:val="5EC22E90"/>
    <w:rsid w:val="5EC4181F"/>
    <w:rsid w:val="5EC41B50"/>
    <w:rsid w:val="5EC47E61"/>
    <w:rsid w:val="5EC736A4"/>
    <w:rsid w:val="5EC87C64"/>
    <w:rsid w:val="5ECD3336"/>
    <w:rsid w:val="5ECE3FCF"/>
    <w:rsid w:val="5ED44178"/>
    <w:rsid w:val="5ED51638"/>
    <w:rsid w:val="5ED56B05"/>
    <w:rsid w:val="5ED74E21"/>
    <w:rsid w:val="5EE45F67"/>
    <w:rsid w:val="5EF63273"/>
    <w:rsid w:val="5EF87CDF"/>
    <w:rsid w:val="5EFC5599"/>
    <w:rsid w:val="5EFD1E6E"/>
    <w:rsid w:val="5EFD384A"/>
    <w:rsid w:val="5F00336C"/>
    <w:rsid w:val="5F010062"/>
    <w:rsid w:val="5F046B6A"/>
    <w:rsid w:val="5F0C0B5C"/>
    <w:rsid w:val="5F0E6369"/>
    <w:rsid w:val="5F120094"/>
    <w:rsid w:val="5F1324CC"/>
    <w:rsid w:val="5F181E3F"/>
    <w:rsid w:val="5F1B022F"/>
    <w:rsid w:val="5F1E5D25"/>
    <w:rsid w:val="5F20133E"/>
    <w:rsid w:val="5F244AE3"/>
    <w:rsid w:val="5F245E9E"/>
    <w:rsid w:val="5F293751"/>
    <w:rsid w:val="5F2A0152"/>
    <w:rsid w:val="5F2A5066"/>
    <w:rsid w:val="5F2B76C7"/>
    <w:rsid w:val="5F2D547D"/>
    <w:rsid w:val="5F2E2567"/>
    <w:rsid w:val="5F30038E"/>
    <w:rsid w:val="5F302C1F"/>
    <w:rsid w:val="5F327105"/>
    <w:rsid w:val="5F3454E3"/>
    <w:rsid w:val="5F357010"/>
    <w:rsid w:val="5F36324C"/>
    <w:rsid w:val="5F370F57"/>
    <w:rsid w:val="5F3B0E00"/>
    <w:rsid w:val="5F462577"/>
    <w:rsid w:val="5F4A3877"/>
    <w:rsid w:val="5F4A4E18"/>
    <w:rsid w:val="5F4B08A7"/>
    <w:rsid w:val="5F4C1416"/>
    <w:rsid w:val="5F4F6756"/>
    <w:rsid w:val="5F505310"/>
    <w:rsid w:val="5F5529B5"/>
    <w:rsid w:val="5F5A2395"/>
    <w:rsid w:val="5F5C0CCC"/>
    <w:rsid w:val="5F5E109E"/>
    <w:rsid w:val="5F665DAB"/>
    <w:rsid w:val="5F681A50"/>
    <w:rsid w:val="5F7017BC"/>
    <w:rsid w:val="5F735BB8"/>
    <w:rsid w:val="5F7C7069"/>
    <w:rsid w:val="5F7F4E4A"/>
    <w:rsid w:val="5F864913"/>
    <w:rsid w:val="5F8B71DF"/>
    <w:rsid w:val="5F8C3D36"/>
    <w:rsid w:val="5F930FAB"/>
    <w:rsid w:val="5F937E4C"/>
    <w:rsid w:val="5F9700A6"/>
    <w:rsid w:val="5F9A06C9"/>
    <w:rsid w:val="5F9B5C5F"/>
    <w:rsid w:val="5F9D7FAA"/>
    <w:rsid w:val="5FA065BC"/>
    <w:rsid w:val="5FA275D6"/>
    <w:rsid w:val="5FA55CA9"/>
    <w:rsid w:val="5FA74268"/>
    <w:rsid w:val="5FA8121B"/>
    <w:rsid w:val="5FAA1C23"/>
    <w:rsid w:val="5FAE0C1C"/>
    <w:rsid w:val="5FB010AC"/>
    <w:rsid w:val="5FB50957"/>
    <w:rsid w:val="5FB63BB2"/>
    <w:rsid w:val="5FB77520"/>
    <w:rsid w:val="5FB816E8"/>
    <w:rsid w:val="5FBC399F"/>
    <w:rsid w:val="5FBE67FC"/>
    <w:rsid w:val="5FC24D0E"/>
    <w:rsid w:val="5FC733CC"/>
    <w:rsid w:val="5FCA37B9"/>
    <w:rsid w:val="5FD246C8"/>
    <w:rsid w:val="5FD47A25"/>
    <w:rsid w:val="5FD572EE"/>
    <w:rsid w:val="5FDC5F38"/>
    <w:rsid w:val="5FE15988"/>
    <w:rsid w:val="5FF30605"/>
    <w:rsid w:val="5FF90DC7"/>
    <w:rsid w:val="5FFD687A"/>
    <w:rsid w:val="5FFF3CDF"/>
    <w:rsid w:val="60020888"/>
    <w:rsid w:val="60074EFA"/>
    <w:rsid w:val="60091BA8"/>
    <w:rsid w:val="600A2E87"/>
    <w:rsid w:val="600B6D18"/>
    <w:rsid w:val="600D7BA4"/>
    <w:rsid w:val="600E383A"/>
    <w:rsid w:val="60106F3F"/>
    <w:rsid w:val="601358F5"/>
    <w:rsid w:val="60150179"/>
    <w:rsid w:val="60153BCE"/>
    <w:rsid w:val="60195A25"/>
    <w:rsid w:val="601A6B0B"/>
    <w:rsid w:val="601B426B"/>
    <w:rsid w:val="601D70A7"/>
    <w:rsid w:val="601F6B14"/>
    <w:rsid w:val="60200A2C"/>
    <w:rsid w:val="60234A32"/>
    <w:rsid w:val="60237772"/>
    <w:rsid w:val="602E026C"/>
    <w:rsid w:val="602F6186"/>
    <w:rsid w:val="603222A4"/>
    <w:rsid w:val="60355C66"/>
    <w:rsid w:val="60370403"/>
    <w:rsid w:val="60394ED8"/>
    <w:rsid w:val="603A051E"/>
    <w:rsid w:val="603B37E5"/>
    <w:rsid w:val="603F15C7"/>
    <w:rsid w:val="60422E67"/>
    <w:rsid w:val="60430C2E"/>
    <w:rsid w:val="60440B24"/>
    <w:rsid w:val="604A43C8"/>
    <w:rsid w:val="604E0C85"/>
    <w:rsid w:val="604F68D2"/>
    <w:rsid w:val="6052257E"/>
    <w:rsid w:val="6052588E"/>
    <w:rsid w:val="6054277C"/>
    <w:rsid w:val="60551CCB"/>
    <w:rsid w:val="60555A3F"/>
    <w:rsid w:val="605647F2"/>
    <w:rsid w:val="60592331"/>
    <w:rsid w:val="6059611B"/>
    <w:rsid w:val="605C4EB2"/>
    <w:rsid w:val="605E7654"/>
    <w:rsid w:val="606C6BF5"/>
    <w:rsid w:val="607029A1"/>
    <w:rsid w:val="60704626"/>
    <w:rsid w:val="607215C1"/>
    <w:rsid w:val="607521C4"/>
    <w:rsid w:val="60753E18"/>
    <w:rsid w:val="607746C3"/>
    <w:rsid w:val="607C4B63"/>
    <w:rsid w:val="60802F65"/>
    <w:rsid w:val="6082045C"/>
    <w:rsid w:val="608A05B0"/>
    <w:rsid w:val="608A4842"/>
    <w:rsid w:val="608F45E7"/>
    <w:rsid w:val="609D7E96"/>
    <w:rsid w:val="60A842AA"/>
    <w:rsid w:val="60AA1BEB"/>
    <w:rsid w:val="60AC61DB"/>
    <w:rsid w:val="60AD311A"/>
    <w:rsid w:val="60AE4615"/>
    <w:rsid w:val="60B10D9B"/>
    <w:rsid w:val="60B11B44"/>
    <w:rsid w:val="60B20019"/>
    <w:rsid w:val="60B71825"/>
    <w:rsid w:val="60BD469B"/>
    <w:rsid w:val="60BD6F9F"/>
    <w:rsid w:val="60BE0EBF"/>
    <w:rsid w:val="60BF68EC"/>
    <w:rsid w:val="60C16956"/>
    <w:rsid w:val="60CA26D6"/>
    <w:rsid w:val="60CA3527"/>
    <w:rsid w:val="60D00E55"/>
    <w:rsid w:val="60D12978"/>
    <w:rsid w:val="60D16D07"/>
    <w:rsid w:val="60D21FD7"/>
    <w:rsid w:val="60D23946"/>
    <w:rsid w:val="60D75DA9"/>
    <w:rsid w:val="60DC30CF"/>
    <w:rsid w:val="60DE0870"/>
    <w:rsid w:val="60E55B26"/>
    <w:rsid w:val="60EA09AB"/>
    <w:rsid w:val="60EE65CD"/>
    <w:rsid w:val="60EF116D"/>
    <w:rsid w:val="60EF62CD"/>
    <w:rsid w:val="60FC3F01"/>
    <w:rsid w:val="60FF54F6"/>
    <w:rsid w:val="610267DA"/>
    <w:rsid w:val="61036069"/>
    <w:rsid w:val="610855A4"/>
    <w:rsid w:val="61114ABA"/>
    <w:rsid w:val="6116513E"/>
    <w:rsid w:val="61175F74"/>
    <w:rsid w:val="6119084D"/>
    <w:rsid w:val="611A7D93"/>
    <w:rsid w:val="611B45C0"/>
    <w:rsid w:val="61241762"/>
    <w:rsid w:val="61241E74"/>
    <w:rsid w:val="61263B43"/>
    <w:rsid w:val="612A1BC2"/>
    <w:rsid w:val="61340A36"/>
    <w:rsid w:val="613E4B31"/>
    <w:rsid w:val="6142790E"/>
    <w:rsid w:val="61431C9B"/>
    <w:rsid w:val="6144253F"/>
    <w:rsid w:val="614B40EF"/>
    <w:rsid w:val="614C60F5"/>
    <w:rsid w:val="614F78D4"/>
    <w:rsid w:val="61554738"/>
    <w:rsid w:val="61564437"/>
    <w:rsid w:val="615D5E67"/>
    <w:rsid w:val="615D6503"/>
    <w:rsid w:val="615F2D16"/>
    <w:rsid w:val="6163028D"/>
    <w:rsid w:val="61662C34"/>
    <w:rsid w:val="616648DB"/>
    <w:rsid w:val="61692AC6"/>
    <w:rsid w:val="61695E02"/>
    <w:rsid w:val="616A682E"/>
    <w:rsid w:val="61714912"/>
    <w:rsid w:val="61714DA7"/>
    <w:rsid w:val="61762F6D"/>
    <w:rsid w:val="617A47FB"/>
    <w:rsid w:val="618211ED"/>
    <w:rsid w:val="618379F9"/>
    <w:rsid w:val="618A7A05"/>
    <w:rsid w:val="618B1BE4"/>
    <w:rsid w:val="618B2DD8"/>
    <w:rsid w:val="618E3C2C"/>
    <w:rsid w:val="61901BCF"/>
    <w:rsid w:val="619178D8"/>
    <w:rsid w:val="61927A13"/>
    <w:rsid w:val="61936680"/>
    <w:rsid w:val="619706BE"/>
    <w:rsid w:val="619843AD"/>
    <w:rsid w:val="619B7585"/>
    <w:rsid w:val="619C1383"/>
    <w:rsid w:val="61A1634A"/>
    <w:rsid w:val="61A74D93"/>
    <w:rsid w:val="61AB3CFC"/>
    <w:rsid w:val="61B1272C"/>
    <w:rsid w:val="61B37F3B"/>
    <w:rsid w:val="61B42038"/>
    <w:rsid w:val="61B81D15"/>
    <w:rsid w:val="61B874C2"/>
    <w:rsid w:val="61B875EA"/>
    <w:rsid w:val="61C0123B"/>
    <w:rsid w:val="61C64233"/>
    <w:rsid w:val="61C960FC"/>
    <w:rsid w:val="61CD4FF7"/>
    <w:rsid w:val="61CF7FFB"/>
    <w:rsid w:val="61D22D31"/>
    <w:rsid w:val="61D66BC8"/>
    <w:rsid w:val="61D74AF0"/>
    <w:rsid w:val="61D8574A"/>
    <w:rsid w:val="61D95E4A"/>
    <w:rsid w:val="61D971B3"/>
    <w:rsid w:val="61DA2E84"/>
    <w:rsid w:val="61DE195B"/>
    <w:rsid w:val="61DF7DEE"/>
    <w:rsid w:val="61E16EB5"/>
    <w:rsid w:val="61E46EB1"/>
    <w:rsid w:val="61E5683D"/>
    <w:rsid w:val="61E74DD7"/>
    <w:rsid w:val="61ED735C"/>
    <w:rsid w:val="61F37D7E"/>
    <w:rsid w:val="61F45F23"/>
    <w:rsid w:val="61F60280"/>
    <w:rsid w:val="61F66EA2"/>
    <w:rsid w:val="61F67A49"/>
    <w:rsid w:val="61F71C63"/>
    <w:rsid w:val="61F84840"/>
    <w:rsid w:val="61F873F3"/>
    <w:rsid w:val="61FC0A0E"/>
    <w:rsid w:val="61FD6F04"/>
    <w:rsid w:val="620447C3"/>
    <w:rsid w:val="62062FF0"/>
    <w:rsid w:val="620A5755"/>
    <w:rsid w:val="620C670F"/>
    <w:rsid w:val="62122C1B"/>
    <w:rsid w:val="621623AB"/>
    <w:rsid w:val="6218367B"/>
    <w:rsid w:val="62185D92"/>
    <w:rsid w:val="621C0962"/>
    <w:rsid w:val="621C55E0"/>
    <w:rsid w:val="621C75A6"/>
    <w:rsid w:val="621F5FB8"/>
    <w:rsid w:val="622020F9"/>
    <w:rsid w:val="62257FA1"/>
    <w:rsid w:val="62265940"/>
    <w:rsid w:val="622B6B18"/>
    <w:rsid w:val="622F74FF"/>
    <w:rsid w:val="6232286B"/>
    <w:rsid w:val="62370416"/>
    <w:rsid w:val="623758BB"/>
    <w:rsid w:val="623F1B64"/>
    <w:rsid w:val="6243412E"/>
    <w:rsid w:val="62446A31"/>
    <w:rsid w:val="624553F7"/>
    <w:rsid w:val="62461F10"/>
    <w:rsid w:val="624759E4"/>
    <w:rsid w:val="624A5D81"/>
    <w:rsid w:val="624D3FA3"/>
    <w:rsid w:val="625355A0"/>
    <w:rsid w:val="62557F80"/>
    <w:rsid w:val="625B3673"/>
    <w:rsid w:val="625C7B60"/>
    <w:rsid w:val="625E62F9"/>
    <w:rsid w:val="62602857"/>
    <w:rsid w:val="62612E98"/>
    <w:rsid w:val="62641767"/>
    <w:rsid w:val="626717EB"/>
    <w:rsid w:val="6267465B"/>
    <w:rsid w:val="626D1C34"/>
    <w:rsid w:val="626E2E79"/>
    <w:rsid w:val="627223C6"/>
    <w:rsid w:val="62752DF2"/>
    <w:rsid w:val="627C7C33"/>
    <w:rsid w:val="627E4653"/>
    <w:rsid w:val="627E606D"/>
    <w:rsid w:val="62823D78"/>
    <w:rsid w:val="62824C82"/>
    <w:rsid w:val="62830509"/>
    <w:rsid w:val="628454D1"/>
    <w:rsid w:val="628461EE"/>
    <w:rsid w:val="628560CE"/>
    <w:rsid w:val="62863BBA"/>
    <w:rsid w:val="62864FB8"/>
    <w:rsid w:val="628913FF"/>
    <w:rsid w:val="628A70FD"/>
    <w:rsid w:val="628C5F22"/>
    <w:rsid w:val="62920AF1"/>
    <w:rsid w:val="62946C26"/>
    <w:rsid w:val="629653AB"/>
    <w:rsid w:val="62983486"/>
    <w:rsid w:val="62A03984"/>
    <w:rsid w:val="62A3261C"/>
    <w:rsid w:val="62A414BE"/>
    <w:rsid w:val="62A51148"/>
    <w:rsid w:val="62A65FBB"/>
    <w:rsid w:val="62A71CF2"/>
    <w:rsid w:val="62A72D5C"/>
    <w:rsid w:val="62A77CDF"/>
    <w:rsid w:val="62AD15C4"/>
    <w:rsid w:val="62AD4899"/>
    <w:rsid w:val="62B00FE1"/>
    <w:rsid w:val="62B318FC"/>
    <w:rsid w:val="62B427ED"/>
    <w:rsid w:val="62B43FA8"/>
    <w:rsid w:val="62B868C3"/>
    <w:rsid w:val="62BB05B6"/>
    <w:rsid w:val="62BC2D5B"/>
    <w:rsid w:val="62C033DA"/>
    <w:rsid w:val="62C42799"/>
    <w:rsid w:val="62C64177"/>
    <w:rsid w:val="62D00D47"/>
    <w:rsid w:val="62D232D4"/>
    <w:rsid w:val="62D74779"/>
    <w:rsid w:val="62D96B54"/>
    <w:rsid w:val="62DC4B6B"/>
    <w:rsid w:val="62DE5CB1"/>
    <w:rsid w:val="62DF5E19"/>
    <w:rsid w:val="62E00875"/>
    <w:rsid w:val="62E304CD"/>
    <w:rsid w:val="62E8113B"/>
    <w:rsid w:val="62EB2D74"/>
    <w:rsid w:val="62F462CE"/>
    <w:rsid w:val="62F90429"/>
    <w:rsid w:val="62FC2560"/>
    <w:rsid w:val="62FD11DA"/>
    <w:rsid w:val="62FD16B3"/>
    <w:rsid w:val="630038FE"/>
    <w:rsid w:val="630055C2"/>
    <w:rsid w:val="6305505C"/>
    <w:rsid w:val="63090704"/>
    <w:rsid w:val="630B42CD"/>
    <w:rsid w:val="630F2DB6"/>
    <w:rsid w:val="63101631"/>
    <w:rsid w:val="63123575"/>
    <w:rsid w:val="63140E26"/>
    <w:rsid w:val="631445D1"/>
    <w:rsid w:val="63175615"/>
    <w:rsid w:val="631A1206"/>
    <w:rsid w:val="631B08DA"/>
    <w:rsid w:val="631B4C76"/>
    <w:rsid w:val="631E3CEE"/>
    <w:rsid w:val="631E79CC"/>
    <w:rsid w:val="63232C3A"/>
    <w:rsid w:val="63292E3D"/>
    <w:rsid w:val="632D388A"/>
    <w:rsid w:val="63350368"/>
    <w:rsid w:val="6336124D"/>
    <w:rsid w:val="6337146B"/>
    <w:rsid w:val="633B16F7"/>
    <w:rsid w:val="633B2A28"/>
    <w:rsid w:val="633C35E9"/>
    <w:rsid w:val="633C7E61"/>
    <w:rsid w:val="634025CD"/>
    <w:rsid w:val="63443465"/>
    <w:rsid w:val="634631BF"/>
    <w:rsid w:val="634D6C24"/>
    <w:rsid w:val="634F7048"/>
    <w:rsid w:val="635154AF"/>
    <w:rsid w:val="635D76E1"/>
    <w:rsid w:val="635E73AC"/>
    <w:rsid w:val="63620790"/>
    <w:rsid w:val="63686AC0"/>
    <w:rsid w:val="636A309C"/>
    <w:rsid w:val="636C03CE"/>
    <w:rsid w:val="636F35F8"/>
    <w:rsid w:val="63763641"/>
    <w:rsid w:val="63782DBB"/>
    <w:rsid w:val="63794087"/>
    <w:rsid w:val="637A6050"/>
    <w:rsid w:val="637C1E14"/>
    <w:rsid w:val="637D0CD3"/>
    <w:rsid w:val="637F0F7B"/>
    <w:rsid w:val="6388187C"/>
    <w:rsid w:val="638A582A"/>
    <w:rsid w:val="638B5819"/>
    <w:rsid w:val="638D5969"/>
    <w:rsid w:val="63951738"/>
    <w:rsid w:val="6399090C"/>
    <w:rsid w:val="639C0615"/>
    <w:rsid w:val="639D0D37"/>
    <w:rsid w:val="639E3EEC"/>
    <w:rsid w:val="63A70032"/>
    <w:rsid w:val="63AA67D8"/>
    <w:rsid w:val="63AF4C7C"/>
    <w:rsid w:val="63B153F2"/>
    <w:rsid w:val="63B357EA"/>
    <w:rsid w:val="63B37B59"/>
    <w:rsid w:val="63B40F77"/>
    <w:rsid w:val="63BA3724"/>
    <w:rsid w:val="63BA7D4C"/>
    <w:rsid w:val="63C050CB"/>
    <w:rsid w:val="63C41A9C"/>
    <w:rsid w:val="63C45317"/>
    <w:rsid w:val="63C96D8B"/>
    <w:rsid w:val="63C96E04"/>
    <w:rsid w:val="63CE55C8"/>
    <w:rsid w:val="63D337CC"/>
    <w:rsid w:val="63D62B4C"/>
    <w:rsid w:val="63D7141F"/>
    <w:rsid w:val="63D93F67"/>
    <w:rsid w:val="63D94B53"/>
    <w:rsid w:val="63D9575A"/>
    <w:rsid w:val="63DD0750"/>
    <w:rsid w:val="63E85931"/>
    <w:rsid w:val="63F576B8"/>
    <w:rsid w:val="63F75AC1"/>
    <w:rsid w:val="63F86192"/>
    <w:rsid w:val="64042973"/>
    <w:rsid w:val="64075744"/>
    <w:rsid w:val="64076240"/>
    <w:rsid w:val="6408590B"/>
    <w:rsid w:val="640978BD"/>
    <w:rsid w:val="64135A7F"/>
    <w:rsid w:val="641515A8"/>
    <w:rsid w:val="64152346"/>
    <w:rsid w:val="64163FB1"/>
    <w:rsid w:val="6416602E"/>
    <w:rsid w:val="641E7812"/>
    <w:rsid w:val="64203BF3"/>
    <w:rsid w:val="64250171"/>
    <w:rsid w:val="642640FA"/>
    <w:rsid w:val="64264CAE"/>
    <w:rsid w:val="64273BE5"/>
    <w:rsid w:val="642C40A0"/>
    <w:rsid w:val="64380BE2"/>
    <w:rsid w:val="64392033"/>
    <w:rsid w:val="644303C1"/>
    <w:rsid w:val="64466609"/>
    <w:rsid w:val="645409CE"/>
    <w:rsid w:val="64572560"/>
    <w:rsid w:val="64585048"/>
    <w:rsid w:val="645A349A"/>
    <w:rsid w:val="645B2990"/>
    <w:rsid w:val="64634C17"/>
    <w:rsid w:val="646402CB"/>
    <w:rsid w:val="6464175A"/>
    <w:rsid w:val="64681CC2"/>
    <w:rsid w:val="646904B1"/>
    <w:rsid w:val="646A094A"/>
    <w:rsid w:val="646A4041"/>
    <w:rsid w:val="646A4EA4"/>
    <w:rsid w:val="6470034E"/>
    <w:rsid w:val="64741187"/>
    <w:rsid w:val="647A12A3"/>
    <w:rsid w:val="647A63F2"/>
    <w:rsid w:val="647F1950"/>
    <w:rsid w:val="64812E0D"/>
    <w:rsid w:val="648160CB"/>
    <w:rsid w:val="6484609D"/>
    <w:rsid w:val="648B1F10"/>
    <w:rsid w:val="648E6B46"/>
    <w:rsid w:val="6490145C"/>
    <w:rsid w:val="64903AC8"/>
    <w:rsid w:val="649907E8"/>
    <w:rsid w:val="64995092"/>
    <w:rsid w:val="649C682D"/>
    <w:rsid w:val="64A4060A"/>
    <w:rsid w:val="64A524A0"/>
    <w:rsid w:val="64A617E0"/>
    <w:rsid w:val="64AB2CB8"/>
    <w:rsid w:val="64AE4512"/>
    <w:rsid w:val="64B0279F"/>
    <w:rsid w:val="64B13A1E"/>
    <w:rsid w:val="64B6227D"/>
    <w:rsid w:val="64B7472C"/>
    <w:rsid w:val="64B9345F"/>
    <w:rsid w:val="64BA2213"/>
    <w:rsid w:val="64BA7A43"/>
    <w:rsid w:val="64BC4E0C"/>
    <w:rsid w:val="64BC7BDA"/>
    <w:rsid w:val="64BF7436"/>
    <w:rsid w:val="64C20CBB"/>
    <w:rsid w:val="64C314B6"/>
    <w:rsid w:val="64CD74AB"/>
    <w:rsid w:val="64CE25E3"/>
    <w:rsid w:val="64D24D19"/>
    <w:rsid w:val="64D32BCE"/>
    <w:rsid w:val="64DB7094"/>
    <w:rsid w:val="64E152C8"/>
    <w:rsid w:val="64E51E92"/>
    <w:rsid w:val="64E71C70"/>
    <w:rsid w:val="64E87FA0"/>
    <w:rsid w:val="64ED59F9"/>
    <w:rsid w:val="64EF09EB"/>
    <w:rsid w:val="64F12641"/>
    <w:rsid w:val="64F21B7B"/>
    <w:rsid w:val="64F92D5B"/>
    <w:rsid w:val="64FE6D3B"/>
    <w:rsid w:val="6507777D"/>
    <w:rsid w:val="650A501E"/>
    <w:rsid w:val="650B2322"/>
    <w:rsid w:val="650E48E4"/>
    <w:rsid w:val="650E70C3"/>
    <w:rsid w:val="651126C8"/>
    <w:rsid w:val="651468C0"/>
    <w:rsid w:val="65150499"/>
    <w:rsid w:val="65175821"/>
    <w:rsid w:val="6517694E"/>
    <w:rsid w:val="6518414B"/>
    <w:rsid w:val="65194CB6"/>
    <w:rsid w:val="65240310"/>
    <w:rsid w:val="65255840"/>
    <w:rsid w:val="652813C5"/>
    <w:rsid w:val="652A79A8"/>
    <w:rsid w:val="652B1235"/>
    <w:rsid w:val="652D456A"/>
    <w:rsid w:val="65333771"/>
    <w:rsid w:val="65396E72"/>
    <w:rsid w:val="653E2084"/>
    <w:rsid w:val="6540485F"/>
    <w:rsid w:val="65432166"/>
    <w:rsid w:val="654716DB"/>
    <w:rsid w:val="654B0E65"/>
    <w:rsid w:val="654B3118"/>
    <w:rsid w:val="65502EEB"/>
    <w:rsid w:val="65511A3C"/>
    <w:rsid w:val="65590BF5"/>
    <w:rsid w:val="655A29FD"/>
    <w:rsid w:val="655A68AD"/>
    <w:rsid w:val="655A70CD"/>
    <w:rsid w:val="655B0CED"/>
    <w:rsid w:val="655F3F69"/>
    <w:rsid w:val="6562241E"/>
    <w:rsid w:val="6562574E"/>
    <w:rsid w:val="65641AE5"/>
    <w:rsid w:val="65646EBF"/>
    <w:rsid w:val="656714DB"/>
    <w:rsid w:val="656C203B"/>
    <w:rsid w:val="656F5D28"/>
    <w:rsid w:val="65704965"/>
    <w:rsid w:val="65710045"/>
    <w:rsid w:val="65726CC5"/>
    <w:rsid w:val="65727120"/>
    <w:rsid w:val="65752C9E"/>
    <w:rsid w:val="6578646E"/>
    <w:rsid w:val="657A02B4"/>
    <w:rsid w:val="657E2A13"/>
    <w:rsid w:val="658437E9"/>
    <w:rsid w:val="6586653D"/>
    <w:rsid w:val="65867AB6"/>
    <w:rsid w:val="658B0171"/>
    <w:rsid w:val="658B7DA8"/>
    <w:rsid w:val="65905300"/>
    <w:rsid w:val="65906E71"/>
    <w:rsid w:val="65934BB3"/>
    <w:rsid w:val="65966B24"/>
    <w:rsid w:val="65973098"/>
    <w:rsid w:val="65980A48"/>
    <w:rsid w:val="65A25A5D"/>
    <w:rsid w:val="65A340C7"/>
    <w:rsid w:val="65A404F4"/>
    <w:rsid w:val="65A663B8"/>
    <w:rsid w:val="65A7542C"/>
    <w:rsid w:val="65AB05C6"/>
    <w:rsid w:val="65AB577B"/>
    <w:rsid w:val="65AE2622"/>
    <w:rsid w:val="65AE5FB6"/>
    <w:rsid w:val="65B654AC"/>
    <w:rsid w:val="65BB267B"/>
    <w:rsid w:val="65BE6532"/>
    <w:rsid w:val="65C412FF"/>
    <w:rsid w:val="65C9203D"/>
    <w:rsid w:val="65CA19FD"/>
    <w:rsid w:val="65CD4D90"/>
    <w:rsid w:val="65D00185"/>
    <w:rsid w:val="65D1001F"/>
    <w:rsid w:val="65D5297B"/>
    <w:rsid w:val="65D65622"/>
    <w:rsid w:val="65D67915"/>
    <w:rsid w:val="65D70D14"/>
    <w:rsid w:val="65DD26FF"/>
    <w:rsid w:val="65DD6DBD"/>
    <w:rsid w:val="65E21C31"/>
    <w:rsid w:val="65E25E59"/>
    <w:rsid w:val="65E3376A"/>
    <w:rsid w:val="65E936C1"/>
    <w:rsid w:val="65EB03FE"/>
    <w:rsid w:val="65EB6102"/>
    <w:rsid w:val="65ED39D8"/>
    <w:rsid w:val="65F14477"/>
    <w:rsid w:val="65F549FE"/>
    <w:rsid w:val="65F871B0"/>
    <w:rsid w:val="66032D95"/>
    <w:rsid w:val="660C18B6"/>
    <w:rsid w:val="660C63F8"/>
    <w:rsid w:val="660F1DEB"/>
    <w:rsid w:val="660F7657"/>
    <w:rsid w:val="66157248"/>
    <w:rsid w:val="661753D3"/>
    <w:rsid w:val="661B6A5F"/>
    <w:rsid w:val="6620308E"/>
    <w:rsid w:val="66252916"/>
    <w:rsid w:val="662D082F"/>
    <w:rsid w:val="662F7E78"/>
    <w:rsid w:val="663402D1"/>
    <w:rsid w:val="6635018B"/>
    <w:rsid w:val="663611E1"/>
    <w:rsid w:val="663B565D"/>
    <w:rsid w:val="663E75B5"/>
    <w:rsid w:val="664274E6"/>
    <w:rsid w:val="66436763"/>
    <w:rsid w:val="664408C2"/>
    <w:rsid w:val="664463B9"/>
    <w:rsid w:val="66464E32"/>
    <w:rsid w:val="66471CA4"/>
    <w:rsid w:val="664C2331"/>
    <w:rsid w:val="664E0B45"/>
    <w:rsid w:val="664E56C6"/>
    <w:rsid w:val="66532A4F"/>
    <w:rsid w:val="66551003"/>
    <w:rsid w:val="665723A3"/>
    <w:rsid w:val="665741DD"/>
    <w:rsid w:val="66577E16"/>
    <w:rsid w:val="665D0648"/>
    <w:rsid w:val="665D74C1"/>
    <w:rsid w:val="6660113D"/>
    <w:rsid w:val="66614F45"/>
    <w:rsid w:val="666D50FB"/>
    <w:rsid w:val="666E1BD4"/>
    <w:rsid w:val="66724CE3"/>
    <w:rsid w:val="66731D0E"/>
    <w:rsid w:val="6674701D"/>
    <w:rsid w:val="6675497B"/>
    <w:rsid w:val="66776A39"/>
    <w:rsid w:val="667F1BF2"/>
    <w:rsid w:val="668013CA"/>
    <w:rsid w:val="66805D9E"/>
    <w:rsid w:val="66830ABD"/>
    <w:rsid w:val="66841176"/>
    <w:rsid w:val="66851B65"/>
    <w:rsid w:val="66857BDD"/>
    <w:rsid w:val="668869B4"/>
    <w:rsid w:val="668A581D"/>
    <w:rsid w:val="668F0D4C"/>
    <w:rsid w:val="6691766E"/>
    <w:rsid w:val="66956BFB"/>
    <w:rsid w:val="66960E5F"/>
    <w:rsid w:val="6699215F"/>
    <w:rsid w:val="669B234E"/>
    <w:rsid w:val="669B2A00"/>
    <w:rsid w:val="669C7F95"/>
    <w:rsid w:val="66A33A6D"/>
    <w:rsid w:val="66A53944"/>
    <w:rsid w:val="66A8000E"/>
    <w:rsid w:val="66A90AEF"/>
    <w:rsid w:val="66AA4262"/>
    <w:rsid w:val="66AB7E8A"/>
    <w:rsid w:val="66AE7251"/>
    <w:rsid w:val="66AF21DF"/>
    <w:rsid w:val="66B0003C"/>
    <w:rsid w:val="66B14A59"/>
    <w:rsid w:val="66B16C1F"/>
    <w:rsid w:val="66B52B16"/>
    <w:rsid w:val="66B74FEB"/>
    <w:rsid w:val="66B80A8C"/>
    <w:rsid w:val="66C240F7"/>
    <w:rsid w:val="66C6290E"/>
    <w:rsid w:val="66C9646B"/>
    <w:rsid w:val="66CA4A94"/>
    <w:rsid w:val="66CC69CB"/>
    <w:rsid w:val="66CD4998"/>
    <w:rsid w:val="66CE5CF9"/>
    <w:rsid w:val="66CE5E15"/>
    <w:rsid w:val="66D62029"/>
    <w:rsid w:val="66D7432F"/>
    <w:rsid w:val="66D80B74"/>
    <w:rsid w:val="66D939EF"/>
    <w:rsid w:val="66DB7110"/>
    <w:rsid w:val="66DC06AA"/>
    <w:rsid w:val="66E17C02"/>
    <w:rsid w:val="66E240A6"/>
    <w:rsid w:val="66E31C28"/>
    <w:rsid w:val="66E84C32"/>
    <w:rsid w:val="66EE2DCE"/>
    <w:rsid w:val="66F052A5"/>
    <w:rsid w:val="66F119E5"/>
    <w:rsid w:val="66F824FD"/>
    <w:rsid w:val="66F87B97"/>
    <w:rsid w:val="66F9008A"/>
    <w:rsid w:val="66FA5867"/>
    <w:rsid w:val="66FA65F9"/>
    <w:rsid w:val="66FC61A1"/>
    <w:rsid w:val="67002F52"/>
    <w:rsid w:val="670127E7"/>
    <w:rsid w:val="67014CC7"/>
    <w:rsid w:val="67036973"/>
    <w:rsid w:val="67050051"/>
    <w:rsid w:val="6705362B"/>
    <w:rsid w:val="67080DF0"/>
    <w:rsid w:val="67084CC9"/>
    <w:rsid w:val="670B3544"/>
    <w:rsid w:val="670E3DD2"/>
    <w:rsid w:val="671070A3"/>
    <w:rsid w:val="67155F61"/>
    <w:rsid w:val="6718230C"/>
    <w:rsid w:val="671B396B"/>
    <w:rsid w:val="671C230B"/>
    <w:rsid w:val="671F43C6"/>
    <w:rsid w:val="67205928"/>
    <w:rsid w:val="67226E55"/>
    <w:rsid w:val="67310E46"/>
    <w:rsid w:val="67326E94"/>
    <w:rsid w:val="67471CF7"/>
    <w:rsid w:val="674B49AB"/>
    <w:rsid w:val="674D4475"/>
    <w:rsid w:val="674F732F"/>
    <w:rsid w:val="675403DD"/>
    <w:rsid w:val="67551D85"/>
    <w:rsid w:val="67563C84"/>
    <w:rsid w:val="675B3812"/>
    <w:rsid w:val="675B6E19"/>
    <w:rsid w:val="675C462B"/>
    <w:rsid w:val="67622E12"/>
    <w:rsid w:val="67652DA1"/>
    <w:rsid w:val="67666CF3"/>
    <w:rsid w:val="67676D0E"/>
    <w:rsid w:val="676872F3"/>
    <w:rsid w:val="676F6F9A"/>
    <w:rsid w:val="67703F3E"/>
    <w:rsid w:val="67745A1D"/>
    <w:rsid w:val="677731C9"/>
    <w:rsid w:val="67793D56"/>
    <w:rsid w:val="677A7394"/>
    <w:rsid w:val="677D606E"/>
    <w:rsid w:val="678655C6"/>
    <w:rsid w:val="678708C6"/>
    <w:rsid w:val="67872E61"/>
    <w:rsid w:val="67876368"/>
    <w:rsid w:val="6788288E"/>
    <w:rsid w:val="67887273"/>
    <w:rsid w:val="6792328F"/>
    <w:rsid w:val="6793173F"/>
    <w:rsid w:val="67940B86"/>
    <w:rsid w:val="67951162"/>
    <w:rsid w:val="67955216"/>
    <w:rsid w:val="679A3E71"/>
    <w:rsid w:val="679C4CE1"/>
    <w:rsid w:val="679C7788"/>
    <w:rsid w:val="679F6DD5"/>
    <w:rsid w:val="67A26B91"/>
    <w:rsid w:val="67A6134F"/>
    <w:rsid w:val="67AA33E4"/>
    <w:rsid w:val="67AC4A78"/>
    <w:rsid w:val="67AC4AF1"/>
    <w:rsid w:val="67AD233B"/>
    <w:rsid w:val="67B63823"/>
    <w:rsid w:val="67B73A54"/>
    <w:rsid w:val="67BA142F"/>
    <w:rsid w:val="67BA4345"/>
    <w:rsid w:val="67C3589C"/>
    <w:rsid w:val="67C51F91"/>
    <w:rsid w:val="67CC756B"/>
    <w:rsid w:val="67CD5C4B"/>
    <w:rsid w:val="67CF21AC"/>
    <w:rsid w:val="67D2794D"/>
    <w:rsid w:val="67D30787"/>
    <w:rsid w:val="67D410DE"/>
    <w:rsid w:val="67DB6BAE"/>
    <w:rsid w:val="67DD1B48"/>
    <w:rsid w:val="67DD2B60"/>
    <w:rsid w:val="67DE7E23"/>
    <w:rsid w:val="67E07B9D"/>
    <w:rsid w:val="67E137D0"/>
    <w:rsid w:val="67E209BB"/>
    <w:rsid w:val="67E2119F"/>
    <w:rsid w:val="67E629FB"/>
    <w:rsid w:val="67E651E6"/>
    <w:rsid w:val="67EA1E27"/>
    <w:rsid w:val="67EA64C2"/>
    <w:rsid w:val="67F129B4"/>
    <w:rsid w:val="67F71E5E"/>
    <w:rsid w:val="67F97172"/>
    <w:rsid w:val="680007AC"/>
    <w:rsid w:val="6802563B"/>
    <w:rsid w:val="680302AA"/>
    <w:rsid w:val="6803254F"/>
    <w:rsid w:val="680344A1"/>
    <w:rsid w:val="68034D0B"/>
    <w:rsid w:val="68036E7F"/>
    <w:rsid w:val="680D5079"/>
    <w:rsid w:val="68143EB7"/>
    <w:rsid w:val="681525A9"/>
    <w:rsid w:val="68195AD9"/>
    <w:rsid w:val="68195B99"/>
    <w:rsid w:val="681A30D7"/>
    <w:rsid w:val="681C7DA2"/>
    <w:rsid w:val="681D416A"/>
    <w:rsid w:val="681D5697"/>
    <w:rsid w:val="682071AA"/>
    <w:rsid w:val="682265EA"/>
    <w:rsid w:val="682576CF"/>
    <w:rsid w:val="682C3A38"/>
    <w:rsid w:val="682E1176"/>
    <w:rsid w:val="682E264B"/>
    <w:rsid w:val="6833520E"/>
    <w:rsid w:val="68343034"/>
    <w:rsid w:val="68343EF6"/>
    <w:rsid w:val="683605F8"/>
    <w:rsid w:val="683C2C06"/>
    <w:rsid w:val="683E53BD"/>
    <w:rsid w:val="684E7796"/>
    <w:rsid w:val="68502FDD"/>
    <w:rsid w:val="68532DD5"/>
    <w:rsid w:val="68570F42"/>
    <w:rsid w:val="68572B2F"/>
    <w:rsid w:val="68590B22"/>
    <w:rsid w:val="685910B8"/>
    <w:rsid w:val="685A05A3"/>
    <w:rsid w:val="685C592A"/>
    <w:rsid w:val="685D7FD0"/>
    <w:rsid w:val="686333EF"/>
    <w:rsid w:val="6864414E"/>
    <w:rsid w:val="686660AF"/>
    <w:rsid w:val="68685909"/>
    <w:rsid w:val="686B23DF"/>
    <w:rsid w:val="686C5994"/>
    <w:rsid w:val="686D3B66"/>
    <w:rsid w:val="686F74F1"/>
    <w:rsid w:val="687141D0"/>
    <w:rsid w:val="68750B51"/>
    <w:rsid w:val="68760770"/>
    <w:rsid w:val="68771FB0"/>
    <w:rsid w:val="687846A3"/>
    <w:rsid w:val="687C7419"/>
    <w:rsid w:val="68843AD4"/>
    <w:rsid w:val="68880DA5"/>
    <w:rsid w:val="688F6DD8"/>
    <w:rsid w:val="6895070E"/>
    <w:rsid w:val="68975B1E"/>
    <w:rsid w:val="689B0550"/>
    <w:rsid w:val="689C32E6"/>
    <w:rsid w:val="68A500A4"/>
    <w:rsid w:val="68A7368E"/>
    <w:rsid w:val="68AA2A9F"/>
    <w:rsid w:val="68AA3786"/>
    <w:rsid w:val="68AE5FE9"/>
    <w:rsid w:val="68B8383B"/>
    <w:rsid w:val="68BF7CB9"/>
    <w:rsid w:val="68C20D41"/>
    <w:rsid w:val="68C318A3"/>
    <w:rsid w:val="68C418FC"/>
    <w:rsid w:val="68C72C24"/>
    <w:rsid w:val="68C96122"/>
    <w:rsid w:val="68CA4910"/>
    <w:rsid w:val="68D50CFB"/>
    <w:rsid w:val="68D91D88"/>
    <w:rsid w:val="68DB5704"/>
    <w:rsid w:val="68E42658"/>
    <w:rsid w:val="68E600B8"/>
    <w:rsid w:val="68EB04CB"/>
    <w:rsid w:val="68EB469F"/>
    <w:rsid w:val="68F06778"/>
    <w:rsid w:val="68F37D89"/>
    <w:rsid w:val="68F644B9"/>
    <w:rsid w:val="68F80B82"/>
    <w:rsid w:val="68F90E75"/>
    <w:rsid w:val="68FF6F59"/>
    <w:rsid w:val="69004B7F"/>
    <w:rsid w:val="690D33F8"/>
    <w:rsid w:val="69140784"/>
    <w:rsid w:val="69174556"/>
    <w:rsid w:val="691A24CC"/>
    <w:rsid w:val="691B62F8"/>
    <w:rsid w:val="69286EE4"/>
    <w:rsid w:val="692D765B"/>
    <w:rsid w:val="69302CB6"/>
    <w:rsid w:val="69380DDC"/>
    <w:rsid w:val="693949A1"/>
    <w:rsid w:val="69395F75"/>
    <w:rsid w:val="693D3867"/>
    <w:rsid w:val="693E0860"/>
    <w:rsid w:val="693F5A96"/>
    <w:rsid w:val="694173CC"/>
    <w:rsid w:val="69457539"/>
    <w:rsid w:val="694F3806"/>
    <w:rsid w:val="69536A4A"/>
    <w:rsid w:val="6953779A"/>
    <w:rsid w:val="6958125A"/>
    <w:rsid w:val="6959407C"/>
    <w:rsid w:val="695A74B8"/>
    <w:rsid w:val="696021F9"/>
    <w:rsid w:val="69642ED0"/>
    <w:rsid w:val="696A4645"/>
    <w:rsid w:val="696C04C6"/>
    <w:rsid w:val="696C16EB"/>
    <w:rsid w:val="697B625B"/>
    <w:rsid w:val="697D6CC1"/>
    <w:rsid w:val="69823918"/>
    <w:rsid w:val="69915897"/>
    <w:rsid w:val="69921083"/>
    <w:rsid w:val="699863FA"/>
    <w:rsid w:val="699A556B"/>
    <w:rsid w:val="699A5F9A"/>
    <w:rsid w:val="699B10F9"/>
    <w:rsid w:val="699F49BA"/>
    <w:rsid w:val="69A4142F"/>
    <w:rsid w:val="69A54203"/>
    <w:rsid w:val="69AA2FA1"/>
    <w:rsid w:val="69AC6606"/>
    <w:rsid w:val="69AD3C56"/>
    <w:rsid w:val="69AE011F"/>
    <w:rsid w:val="69B4445E"/>
    <w:rsid w:val="69B54D74"/>
    <w:rsid w:val="69B741D3"/>
    <w:rsid w:val="69BB1548"/>
    <w:rsid w:val="69BD0AD5"/>
    <w:rsid w:val="69C02569"/>
    <w:rsid w:val="69C03F5A"/>
    <w:rsid w:val="69C311CF"/>
    <w:rsid w:val="69C34466"/>
    <w:rsid w:val="69C94885"/>
    <w:rsid w:val="69CA2721"/>
    <w:rsid w:val="69CE07C4"/>
    <w:rsid w:val="69D14D68"/>
    <w:rsid w:val="69D41789"/>
    <w:rsid w:val="69D730A6"/>
    <w:rsid w:val="69DC61DD"/>
    <w:rsid w:val="69E020F1"/>
    <w:rsid w:val="69E203E9"/>
    <w:rsid w:val="69E211E2"/>
    <w:rsid w:val="69E21E77"/>
    <w:rsid w:val="69E42603"/>
    <w:rsid w:val="69E56BDB"/>
    <w:rsid w:val="69F44899"/>
    <w:rsid w:val="69F47779"/>
    <w:rsid w:val="69F52746"/>
    <w:rsid w:val="69F541A5"/>
    <w:rsid w:val="69F6207E"/>
    <w:rsid w:val="69FB2E59"/>
    <w:rsid w:val="69FC71F9"/>
    <w:rsid w:val="69FE788B"/>
    <w:rsid w:val="69FE7E1F"/>
    <w:rsid w:val="6A093093"/>
    <w:rsid w:val="6A0A2312"/>
    <w:rsid w:val="6A0C2D7D"/>
    <w:rsid w:val="6A0C4E09"/>
    <w:rsid w:val="6A0D208E"/>
    <w:rsid w:val="6A1124E5"/>
    <w:rsid w:val="6A114480"/>
    <w:rsid w:val="6A1475EE"/>
    <w:rsid w:val="6A18488E"/>
    <w:rsid w:val="6A194C07"/>
    <w:rsid w:val="6A1D0A09"/>
    <w:rsid w:val="6A200C22"/>
    <w:rsid w:val="6A23506C"/>
    <w:rsid w:val="6A260F91"/>
    <w:rsid w:val="6A2706F8"/>
    <w:rsid w:val="6A276017"/>
    <w:rsid w:val="6A2F03CB"/>
    <w:rsid w:val="6A301AB2"/>
    <w:rsid w:val="6A30494B"/>
    <w:rsid w:val="6A386C89"/>
    <w:rsid w:val="6A3F07FD"/>
    <w:rsid w:val="6A410B22"/>
    <w:rsid w:val="6A4218F3"/>
    <w:rsid w:val="6A443609"/>
    <w:rsid w:val="6A4602FD"/>
    <w:rsid w:val="6A4B51D4"/>
    <w:rsid w:val="6A4D7544"/>
    <w:rsid w:val="6A4E5C09"/>
    <w:rsid w:val="6A4F1E50"/>
    <w:rsid w:val="6A5125C0"/>
    <w:rsid w:val="6A5135AE"/>
    <w:rsid w:val="6A5301FF"/>
    <w:rsid w:val="6A53299B"/>
    <w:rsid w:val="6A59610A"/>
    <w:rsid w:val="6A5B22A0"/>
    <w:rsid w:val="6A63440A"/>
    <w:rsid w:val="6A700A3E"/>
    <w:rsid w:val="6A733C98"/>
    <w:rsid w:val="6A754708"/>
    <w:rsid w:val="6A795C47"/>
    <w:rsid w:val="6A7E2A38"/>
    <w:rsid w:val="6A883473"/>
    <w:rsid w:val="6A8A1D11"/>
    <w:rsid w:val="6A914761"/>
    <w:rsid w:val="6A920C41"/>
    <w:rsid w:val="6A93639F"/>
    <w:rsid w:val="6A973C8E"/>
    <w:rsid w:val="6A995B33"/>
    <w:rsid w:val="6A9B58F7"/>
    <w:rsid w:val="6A9D60F8"/>
    <w:rsid w:val="6A9F32E3"/>
    <w:rsid w:val="6AA47080"/>
    <w:rsid w:val="6AA847EF"/>
    <w:rsid w:val="6AAE2651"/>
    <w:rsid w:val="6AAF6CF2"/>
    <w:rsid w:val="6AB8403C"/>
    <w:rsid w:val="6ABC38A5"/>
    <w:rsid w:val="6ABC6978"/>
    <w:rsid w:val="6ABD5FF5"/>
    <w:rsid w:val="6ABF69FF"/>
    <w:rsid w:val="6AC14BA6"/>
    <w:rsid w:val="6AC37B89"/>
    <w:rsid w:val="6AC63C10"/>
    <w:rsid w:val="6AC83487"/>
    <w:rsid w:val="6AC8503C"/>
    <w:rsid w:val="6AC85CBF"/>
    <w:rsid w:val="6ACC438B"/>
    <w:rsid w:val="6ACC7D6C"/>
    <w:rsid w:val="6ACD38F3"/>
    <w:rsid w:val="6ACE5623"/>
    <w:rsid w:val="6ACF6B60"/>
    <w:rsid w:val="6AD010B2"/>
    <w:rsid w:val="6AD313C2"/>
    <w:rsid w:val="6AD95A7D"/>
    <w:rsid w:val="6ADA3A77"/>
    <w:rsid w:val="6ADE07AF"/>
    <w:rsid w:val="6AE37FB7"/>
    <w:rsid w:val="6AE767E7"/>
    <w:rsid w:val="6AED7B96"/>
    <w:rsid w:val="6AED7D73"/>
    <w:rsid w:val="6AEF1604"/>
    <w:rsid w:val="6AF50566"/>
    <w:rsid w:val="6AF56FB0"/>
    <w:rsid w:val="6AFB3C45"/>
    <w:rsid w:val="6AFC03A8"/>
    <w:rsid w:val="6AFD3B97"/>
    <w:rsid w:val="6AFE7680"/>
    <w:rsid w:val="6B0D1ACC"/>
    <w:rsid w:val="6B0D476E"/>
    <w:rsid w:val="6B0E2375"/>
    <w:rsid w:val="6B0F464E"/>
    <w:rsid w:val="6B132185"/>
    <w:rsid w:val="6B146832"/>
    <w:rsid w:val="6B152E8D"/>
    <w:rsid w:val="6B166399"/>
    <w:rsid w:val="6B1C2403"/>
    <w:rsid w:val="6B2337A7"/>
    <w:rsid w:val="6B3507D9"/>
    <w:rsid w:val="6B35367D"/>
    <w:rsid w:val="6B390AAE"/>
    <w:rsid w:val="6B3D02E3"/>
    <w:rsid w:val="6B3E5214"/>
    <w:rsid w:val="6B3E6975"/>
    <w:rsid w:val="6B414085"/>
    <w:rsid w:val="6B434206"/>
    <w:rsid w:val="6B465579"/>
    <w:rsid w:val="6B4C0CA7"/>
    <w:rsid w:val="6B502F16"/>
    <w:rsid w:val="6B5377B5"/>
    <w:rsid w:val="6B542645"/>
    <w:rsid w:val="6B5B2383"/>
    <w:rsid w:val="6B5B6BC4"/>
    <w:rsid w:val="6B670F99"/>
    <w:rsid w:val="6B73688D"/>
    <w:rsid w:val="6B782947"/>
    <w:rsid w:val="6B7D50A7"/>
    <w:rsid w:val="6B7F07AA"/>
    <w:rsid w:val="6B7F116A"/>
    <w:rsid w:val="6B860F45"/>
    <w:rsid w:val="6B864DED"/>
    <w:rsid w:val="6B892314"/>
    <w:rsid w:val="6B8A27A6"/>
    <w:rsid w:val="6B9627E7"/>
    <w:rsid w:val="6B970ADC"/>
    <w:rsid w:val="6B982AF7"/>
    <w:rsid w:val="6B993EA8"/>
    <w:rsid w:val="6B9D1140"/>
    <w:rsid w:val="6B9D63B9"/>
    <w:rsid w:val="6BA95137"/>
    <w:rsid w:val="6BAA7AE0"/>
    <w:rsid w:val="6BAB6CE9"/>
    <w:rsid w:val="6BAB7D70"/>
    <w:rsid w:val="6BB04652"/>
    <w:rsid w:val="6BB146BF"/>
    <w:rsid w:val="6BB1508F"/>
    <w:rsid w:val="6BBC1A86"/>
    <w:rsid w:val="6BBD6501"/>
    <w:rsid w:val="6BC16486"/>
    <w:rsid w:val="6BC26EDA"/>
    <w:rsid w:val="6BC33C00"/>
    <w:rsid w:val="6BC6435F"/>
    <w:rsid w:val="6BC94E34"/>
    <w:rsid w:val="6BCA4E56"/>
    <w:rsid w:val="6BCF6A67"/>
    <w:rsid w:val="6BD02405"/>
    <w:rsid w:val="6BD13EB4"/>
    <w:rsid w:val="6BD14555"/>
    <w:rsid w:val="6BD15F33"/>
    <w:rsid w:val="6BD363F2"/>
    <w:rsid w:val="6BD47022"/>
    <w:rsid w:val="6BD87A96"/>
    <w:rsid w:val="6BD91A5C"/>
    <w:rsid w:val="6BE10800"/>
    <w:rsid w:val="6BE24609"/>
    <w:rsid w:val="6BE54E83"/>
    <w:rsid w:val="6BEB1581"/>
    <w:rsid w:val="6BEC1ACF"/>
    <w:rsid w:val="6BEE7306"/>
    <w:rsid w:val="6BF11520"/>
    <w:rsid w:val="6BF335A3"/>
    <w:rsid w:val="6BF64FEF"/>
    <w:rsid w:val="6BF85CD5"/>
    <w:rsid w:val="6BFC314E"/>
    <w:rsid w:val="6BFD15E4"/>
    <w:rsid w:val="6BFD7782"/>
    <w:rsid w:val="6C0C7455"/>
    <w:rsid w:val="6C1172F9"/>
    <w:rsid w:val="6C1768EA"/>
    <w:rsid w:val="6C1A6C6D"/>
    <w:rsid w:val="6C1F21D1"/>
    <w:rsid w:val="6C1F5711"/>
    <w:rsid w:val="6C2012B8"/>
    <w:rsid w:val="6C213E26"/>
    <w:rsid w:val="6C232DF0"/>
    <w:rsid w:val="6C2478D9"/>
    <w:rsid w:val="6C2C26BB"/>
    <w:rsid w:val="6C2D3EE2"/>
    <w:rsid w:val="6C2F553D"/>
    <w:rsid w:val="6C375918"/>
    <w:rsid w:val="6C3F530B"/>
    <w:rsid w:val="6C407D19"/>
    <w:rsid w:val="6C41594F"/>
    <w:rsid w:val="6C472560"/>
    <w:rsid w:val="6C497243"/>
    <w:rsid w:val="6C4A50B9"/>
    <w:rsid w:val="6C4B5956"/>
    <w:rsid w:val="6C4E1BC8"/>
    <w:rsid w:val="6C5104E0"/>
    <w:rsid w:val="6C512238"/>
    <w:rsid w:val="6C56245B"/>
    <w:rsid w:val="6C570167"/>
    <w:rsid w:val="6C59004E"/>
    <w:rsid w:val="6C5B624C"/>
    <w:rsid w:val="6C645251"/>
    <w:rsid w:val="6C672E71"/>
    <w:rsid w:val="6C6754B5"/>
    <w:rsid w:val="6C677D56"/>
    <w:rsid w:val="6C6843D5"/>
    <w:rsid w:val="6C697C19"/>
    <w:rsid w:val="6C727948"/>
    <w:rsid w:val="6C737FB8"/>
    <w:rsid w:val="6C737FDB"/>
    <w:rsid w:val="6C763BA5"/>
    <w:rsid w:val="6C785FF4"/>
    <w:rsid w:val="6C7F556A"/>
    <w:rsid w:val="6C825B73"/>
    <w:rsid w:val="6C84083B"/>
    <w:rsid w:val="6C8413BB"/>
    <w:rsid w:val="6C862DD4"/>
    <w:rsid w:val="6C9164E9"/>
    <w:rsid w:val="6C940047"/>
    <w:rsid w:val="6C96052F"/>
    <w:rsid w:val="6C973153"/>
    <w:rsid w:val="6C9D57C2"/>
    <w:rsid w:val="6C9F4B21"/>
    <w:rsid w:val="6C9F4BFB"/>
    <w:rsid w:val="6CA00FB6"/>
    <w:rsid w:val="6CA4453E"/>
    <w:rsid w:val="6CA62B37"/>
    <w:rsid w:val="6CAB758E"/>
    <w:rsid w:val="6CB6506A"/>
    <w:rsid w:val="6CC13F6A"/>
    <w:rsid w:val="6CC47607"/>
    <w:rsid w:val="6CC641AE"/>
    <w:rsid w:val="6CC84423"/>
    <w:rsid w:val="6CCB1BC5"/>
    <w:rsid w:val="6CCD6828"/>
    <w:rsid w:val="6CCE25B3"/>
    <w:rsid w:val="6CD25BB4"/>
    <w:rsid w:val="6CD309B0"/>
    <w:rsid w:val="6CD52EE4"/>
    <w:rsid w:val="6CD872FB"/>
    <w:rsid w:val="6CD90FF8"/>
    <w:rsid w:val="6CDD3B27"/>
    <w:rsid w:val="6CE00DDE"/>
    <w:rsid w:val="6CE20D7B"/>
    <w:rsid w:val="6CE82AAC"/>
    <w:rsid w:val="6CF00F93"/>
    <w:rsid w:val="6CF10E78"/>
    <w:rsid w:val="6CF1114C"/>
    <w:rsid w:val="6CFF6FB9"/>
    <w:rsid w:val="6D020114"/>
    <w:rsid w:val="6D0629BC"/>
    <w:rsid w:val="6D0955F6"/>
    <w:rsid w:val="6D11243A"/>
    <w:rsid w:val="6D166B2B"/>
    <w:rsid w:val="6D194314"/>
    <w:rsid w:val="6D1C0005"/>
    <w:rsid w:val="6D1F7ABA"/>
    <w:rsid w:val="6D21148C"/>
    <w:rsid w:val="6D226986"/>
    <w:rsid w:val="6D2278B8"/>
    <w:rsid w:val="6D2314FE"/>
    <w:rsid w:val="6D271DF1"/>
    <w:rsid w:val="6D284617"/>
    <w:rsid w:val="6D2A471D"/>
    <w:rsid w:val="6D2E67C1"/>
    <w:rsid w:val="6D3451B9"/>
    <w:rsid w:val="6D36786F"/>
    <w:rsid w:val="6D397751"/>
    <w:rsid w:val="6D3C03BE"/>
    <w:rsid w:val="6D3D0077"/>
    <w:rsid w:val="6D3D3687"/>
    <w:rsid w:val="6D3D47B6"/>
    <w:rsid w:val="6D40063E"/>
    <w:rsid w:val="6D456CDA"/>
    <w:rsid w:val="6D457BE3"/>
    <w:rsid w:val="6D486E3A"/>
    <w:rsid w:val="6D504468"/>
    <w:rsid w:val="6D5B0980"/>
    <w:rsid w:val="6D5E53E9"/>
    <w:rsid w:val="6D5E7EEC"/>
    <w:rsid w:val="6D6316AE"/>
    <w:rsid w:val="6D661F1B"/>
    <w:rsid w:val="6D676824"/>
    <w:rsid w:val="6D686691"/>
    <w:rsid w:val="6D695B70"/>
    <w:rsid w:val="6D6A0709"/>
    <w:rsid w:val="6D7C611B"/>
    <w:rsid w:val="6D7E1A81"/>
    <w:rsid w:val="6D8177B0"/>
    <w:rsid w:val="6D826EDE"/>
    <w:rsid w:val="6D836741"/>
    <w:rsid w:val="6D8B177B"/>
    <w:rsid w:val="6D8B72D2"/>
    <w:rsid w:val="6D8D5A35"/>
    <w:rsid w:val="6D8F4CE6"/>
    <w:rsid w:val="6D914E86"/>
    <w:rsid w:val="6D917BFE"/>
    <w:rsid w:val="6D944668"/>
    <w:rsid w:val="6D9A70E6"/>
    <w:rsid w:val="6D9C4458"/>
    <w:rsid w:val="6D9D1711"/>
    <w:rsid w:val="6D9D7EC9"/>
    <w:rsid w:val="6DA623A1"/>
    <w:rsid w:val="6DA85172"/>
    <w:rsid w:val="6DAA333A"/>
    <w:rsid w:val="6DB260A2"/>
    <w:rsid w:val="6DB3222A"/>
    <w:rsid w:val="6DB63F9C"/>
    <w:rsid w:val="6DB9657F"/>
    <w:rsid w:val="6DBE4DC5"/>
    <w:rsid w:val="6DBF7D15"/>
    <w:rsid w:val="6DC05601"/>
    <w:rsid w:val="6DC061BF"/>
    <w:rsid w:val="6DC56C4B"/>
    <w:rsid w:val="6DCB3F38"/>
    <w:rsid w:val="6DCE741D"/>
    <w:rsid w:val="6DD02421"/>
    <w:rsid w:val="6DD32D72"/>
    <w:rsid w:val="6DD80F51"/>
    <w:rsid w:val="6DD94DF8"/>
    <w:rsid w:val="6DDD0EAD"/>
    <w:rsid w:val="6DE07B11"/>
    <w:rsid w:val="6DE20F6A"/>
    <w:rsid w:val="6DE34B44"/>
    <w:rsid w:val="6DE4124B"/>
    <w:rsid w:val="6DE535E8"/>
    <w:rsid w:val="6DE618D3"/>
    <w:rsid w:val="6DE75B54"/>
    <w:rsid w:val="6DF83963"/>
    <w:rsid w:val="6DFE2C63"/>
    <w:rsid w:val="6DFE4C94"/>
    <w:rsid w:val="6DFF5B4C"/>
    <w:rsid w:val="6E04534B"/>
    <w:rsid w:val="6E120981"/>
    <w:rsid w:val="6E13664B"/>
    <w:rsid w:val="6E144E5B"/>
    <w:rsid w:val="6E171640"/>
    <w:rsid w:val="6E181E22"/>
    <w:rsid w:val="6E186FD4"/>
    <w:rsid w:val="6E194192"/>
    <w:rsid w:val="6E194FBA"/>
    <w:rsid w:val="6E1D5CC2"/>
    <w:rsid w:val="6E26270F"/>
    <w:rsid w:val="6E272716"/>
    <w:rsid w:val="6E2B1620"/>
    <w:rsid w:val="6E2F2BE8"/>
    <w:rsid w:val="6E31579E"/>
    <w:rsid w:val="6E317B8D"/>
    <w:rsid w:val="6E35722C"/>
    <w:rsid w:val="6E37124D"/>
    <w:rsid w:val="6E3D273E"/>
    <w:rsid w:val="6E4024D1"/>
    <w:rsid w:val="6E424713"/>
    <w:rsid w:val="6E477297"/>
    <w:rsid w:val="6E4B623A"/>
    <w:rsid w:val="6E4C5FBF"/>
    <w:rsid w:val="6E4D447B"/>
    <w:rsid w:val="6E4D6F7B"/>
    <w:rsid w:val="6E4E0530"/>
    <w:rsid w:val="6E4E43BE"/>
    <w:rsid w:val="6E511D48"/>
    <w:rsid w:val="6E517FD0"/>
    <w:rsid w:val="6E520B89"/>
    <w:rsid w:val="6E555061"/>
    <w:rsid w:val="6E5F5CF4"/>
    <w:rsid w:val="6E661554"/>
    <w:rsid w:val="6E66706C"/>
    <w:rsid w:val="6E7536F6"/>
    <w:rsid w:val="6E79001B"/>
    <w:rsid w:val="6E7D47FE"/>
    <w:rsid w:val="6E7F7010"/>
    <w:rsid w:val="6E833070"/>
    <w:rsid w:val="6E852B1D"/>
    <w:rsid w:val="6E87201A"/>
    <w:rsid w:val="6E8F26DB"/>
    <w:rsid w:val="6E9131AB"/>
    <w:rsid w:val="6E927932"/>
    <w:rsid w:val="6E94490B"/>
    <w:rsid w:val="6E94622F"/>
    <w:rsid w:val="6E963B97"/>
    <w:rsid w:val="6E966BF6"/>
    <w:rsid w:val="6E9914B4"/>
    <w:rsid w:val="6E9A7584"/>
    <w:rsid w:val="6E9D44A1"/>
    <w:rsid w:val="6EA25BE4"/>
    <w:rsid w:val="6EA33124"/>
    <w:rsid w:val="6EA51D0A"/>
    <w:rsid w:val="6EAB72EE"/>
    <w:rsid w:val="6EAB7ECE"/>
    <w:rsid w:val="6EB03737"/>
    <w:rsid w:val="6EB501F7"/>
    <w:rsid w:val="6EB72579"/>
    <w:rsid w:val="6EB96657"/>
    <w:rsid w:val="6EC0007A"/>
    <w:rsid w:val="6EC0134A"/>
    <w:rsid w:val="6EC25E12"/>
    <w:rsid w:val="6EC40F08"/>
    <w:rsid w:val="6EC425A0"/>
    <w:rsid w:val="6ED46591"/>
    <w:rsid w:val="6ED607F3"/>
    <w:rsid w:val="6EDD3004"/>
    <w:rsid w:val="6EEA3A22"/>
    <w:rsid w:val="6EEE632C"/>
    <w:rsid w:val="6EF06753"/>
    <w:rsid w:val="6EF516DD"/>
    <w:rsid w:val="6EF53813"/>
    <w:rsid w:val="6EF74D52"/>
    <w:rsid w:val="6EFD3A1A"/>
    <w:rsid w:val="6F010ED3"/>
    <w:rsid w:val="6F062BB0"/>
    <w:rsid w:val="6F065156"/>
    <w:rsid w:val="6F072AA7"/>
    <w:rsid w:val="6F077C19"/>
    <w:rsid w:val="6F101C54"/>
    <w:rsid w:val="6F10285D"/>
    <w:rsid w:val="6F10538F"/>
    <w:rsid w:val="6F1214CF"/>
    <w:rsid w:val="6F16257F"/>
    <w:rsid w:val="6F164701"/>
    <w:rsid w:val="6F1D11BE"/>
    <w:rsid w:val="6F1F5B36"/>
    <w:rsid w:val="6F226823"/>
    <w:rsid w:val="6F2C6A58"/>
    <w:rsid w:val="6F333D60"/>
    <w:rsid w:val="6F335012"/>
    <w:rsid w:val="6F345EB1"/>
    <w:rsid w:val="6F3678C5"/>
    <w:rsid w:val="6F377216"/>
    <w:rsid w:val="6F39036A"/>
    <w:rsid w:val="6F402B59"/>
    <w:rsid w:val="6F425D07"/>
    <w:rsid w:val="6F46574F"/>
    <w:rsid w:val="6F466372"/>
    <w:rsid w:val="6F4E6974"/>
    <w:rsid w:val="6F54173E"/>
    <w:rsid w:val="6F546DCB"/>
    <w:rsid w:val="6F5B4D6F"/>
    <w:rsid w:val="6F5D6C0D"/>
    <w:rsid w:val="6F5E3E16"/>
    <w:rsid w:val="6F611175"/>
    <w:rsid w:val="6F612B71"/>
    <w:rsid w:val="6F617F12"/>
    <w:rsid w:val="6F625642"/>
    <w:rsid w:val="6F6269B1"/>
    <w:rsid w:val="6F7233CC"/>
    <w:rsid w:val="6F75717A"/>
    <w:rsid w:val="6F7845BE"/>
    <w:rsid w:val="6F79276D"/>
    <w:rsid w:val="6F7A7B1A"/>
    <w:rsid w:val="6F7B7E3D"/>
    <w:rsid w:val="6F7D5964"/>
    <w:rsid w:val="6F7E709C"/>
    <w:rsid w:val="6F810491"/>
    <w:rsid w:val="6F83317E"/>
    <w:rsid w:val="6F834209"/>
    <w:rsid w:val="6F8B3697"/>
    <w:rsid w:val="6F8D33B4"/>
    <w:rsid w:val="6F8E4E7E"/>
    <w:rsid w:val="6F8E57D2"/>
    <w:rsid w:val="6F8F38F0"/>
    <w:rsid w:val="6F901DFC"/>
    <w:rsid w:val="6F941AE5"/>
    <w:rsid w:val="6F980188"/>
    <w:rsid w:val="6F9A22E5"/>
    <w:rsid w:val="6FA437CD"/>
    <w:rsid w:val="6FA4594A"/>
    <w:rsid w:val="6FA55B3D"/>
    <w:rsid w:val="6FA81943"/>
    <w:rsid w:val="6FA9104E"/>
    <w:rsid w:val="6FAA09EE"/>
    <w:rsid w:val="6FAC048B"/>
    <w:rsid w:val="6FB13323"/>
    <w:rsid w:val="6FB22D2E"/>
    <w:rsid w:val="6FB24CBB"/>
    <w:rsid w:val="6FB37C6D"/>
    <w:rsid w:val="6FB40867"/>
    <w:rsid w:val="6FB72895"/>
    <w:rsid w:val="6FB85E36"/>
    <w:rsid w:val="6FBA12DE"/>
    <w:rsid w:val="6FBB7E47"/>
    <w:rsid w:val="6FBF27A4"/>
    <w:rsid w:val="6FC2502A"/>
    <w:rsid w:val="6FC41365"/>
    <w:rsid w:val="6FC60D4E"/>
    <w:rsid w:val="6FC72AB4"/>
    <w:rsid w:val="6FC94985"/>
    <w:rsid w:val="6FCC448F"/>
    <w:rsid w:val="6FCE3A75"/>
    <w:rsid w:val="6FD17EC9"/>
    <w:rsid w:val="6FD2618B"/>
    <w:rsid w:val="6FD65D76"/>
    <w:rsid w:val="6FD83258"/>
    <w:rsid w:val="6FDB2297"/>
    <w:rsid w:val="6FDB3339"/>
    <w:rsid w:val="6FDF25A1"/>
    <w:rsid w:val="6FE10856"/>
    <w:rsid w:val="6FE36945"/>
    <w:rsid w:val="6FE47FD0"/>
    <w:rsid w:val="6FE53F7C"/>
    <w:rsid w:val="6FF828FE"/>
    <w:rsid w:val="6FFA07D5"/>
    <w:rsid w:val="6FFB3561"/>
    <w:rsid w:val="6FFC1A27"/>
    <w:rsid w:val="6FFC5A13"/>
    <w:rsid w:val="700026F6"/>
    <w:rsid w:val="700215D2"/>
    <w:rsid w:val="7005407F"/>
    <w:rsid w:val="7006124F"/>
    <w:rsid w:val="70081C2C"/>
    <w:rsid w:val="70083217"/>
    <w:rsid w:val="700A3886"/>
    <w:rsid w:val="700B40DC"/>
    <w:rsid w:val="700C1224"/>
    <w:rsid w:val="700D56CA"/>
    <w:rsid w:val="700E182B"/>
    <w:rsid w:val="701449FB"/>
    <w:rsid w:val="70156D97"/>
    <w:rsid w:val="70194F75"/>
    <w:rsid w:val="701A3903"/>
    <w:rsid w:val="70200A90"/>
    <w:rsid w:val="702144BA"/>
    <w:rsid w:val="70222B8E"/>
    <w:rsid w:val="70224345"/>
    <w:rsid w:val="702467F7"/>
    <w:rsid w:val="7029072D"/>
    <w:rsid w:val="702B2966"/>
    <w:rsid w:val="702F271B"/>
    <w:rsid w:val="70304733"/>
    <w:rsid w:val="70351F5E"/>
    <w:rsid w:val="7036705D"/>
    <w:rsid w:val="703C483D"/>
    <w:rsid w:val="703C6CA9"/>
    <w:rsid w:val="703E45A6"/>
    <w:rsid w:val="703F310E"/>
    <w:rsid w:val="70410363"/>
    <w:rsid w:val="70436797"/>
    <w:rsid w:val="704537C7"/>
    <w:rsid w:val="70456A6C"/>
    <w:rsid w:val="704A14A7"/>
    <w:rsid w:val="704C15EF"/>
    <w:rsid w:val="704C4C35"/>
    <w:rsid w:val="704D37D3"/>
    <w:rsid w:val="70515403"/>
    <w:rsid w:val="70553829"/>
    <w:rsid w:val="705677B9"/>
    <w:rsid w:val="705E3F36"/>
    <w:rsid w:val="70601CE7"/>
    <w:rsid w:val="7060680A"/>
    <w:rsid w:val="706473E2"/>
    <w:rsid w:val="706C1707"/>
    <w:rsid w:val="706C7E6B"/>
    <w:rsid w:val="706D789B"/>
    <w:rsid w:val="70744D5A"/>
    <w:rsid w:val="70752A21"/>
    <w:rsid w:val="70762716"/>
    <w:rsid w:val="7076476D"/>
    <w:rsid w:val="707755B7"/>
    <w:rsid w:val="70791162"/>
    <w:rsid w:val="707B49D0"/>
    <w:rsid w:val="707B75E6"/>
    <w:rsid w:val="707F49A1"/>
    <w:rsid w:val="70822F98"/>
    <w:rsid w:val="7083686C"/>
    <w:rsid w:val="708A2362"/>
    <w:rsid w:val="708A5E95"/>
    <w:rsid w:val="70986501"/>
    <w:rsid w:val="709D6BD3"/>
    <w:rsid w:val="70A55F3E"/>
    <w:rsid w:val="70AA4DA9"/>
    <w:rsid w:val="70AD4F59"/>
    <w:rsid w:val="70AE32BD"/>
    <w:rsid w:val="70AF5750"/>
    <w:rsid w:val="70B37E0C"/>
    <w:rsid w:val="70B86383"/>
    <w:rsid w:val="70BA4201"/>
    <w:rsid w:val="70BF140D"/>
    <w:rsid w:val="70C07357"/>
    <w:rsid w:val="70C32E56"/>
    <w:rsid w:val="70C35FDA"/>
    <w:rsid w:val="70C442FF"/>
    <w:rsid w:val="70CF6DC6"/>
    <w:rsid w:val="70D15646"/>
    <w:rsid w:val="70D70309"/>
    <w:rsid w:val="70DE4A67"/>
    <w:rsid w:val="70DE5680"/>
    <w:rsid w:val="70E1226A"/>
    <w:rsid w:val="70E908EB"/>
    <w:rsid w:val="70EE132B"/>
    <w:rsid w:val="70F75E5D"/>
    <w:rsid w:val="70F86337"/>
    <w:rsid w:val="70FB53A5"/>
    <w:rsid w:val="710A191F"/>
    <w:rsid w:val="710C18D4"/>
    <w:rsid w:val="7110583A"/>
    <w:rsid w:val="7118653B"/>
    <w:rsid w:val="71196B39"/>
    <w:rsid w:val="711A0AFC"/>
    <w:rsid w:val="711A0B9D"/>
    <w:rsid w:val="71221E24"/>
    <w:rsid w:val="71243F1C"/>
    <w:rsid w:val="712B4E2A"/>
    <w:rsid w:val="71331668"/>
    <w:rsid w:val="71350E19"/>
    <w:rsid w:val="714137C3"/>
    <w:rsid w:val="71414CEB"/>
    <w:rsid w:val="71436346"/>
    <w:rsid w:val="714A2965"/>
    <w:rsid w:val="714D5D65"/>
    <w:rsid w:val="714E3B4E"/>
    <w:rsid w:val="71527808"/>
    <w:rsid w:val="71541BE6"/>
    <w:rsid w:val="715607BC"/>
    <w:rsid w:val="715854A8"/>
    <w:rsid w:val="71593474"/>
    <w:rsid w:val="716116F1"/>
    <w:rsid w:val="71634554"/>
    <w:rsid w:val="71667FEF"/>
    <w:rsid w:val="71670565"/>
    <w:rsid w:val="71674894"/>
    <w:rsid w:val="7169008F"/>
    <w:rsid w:val="716B4FDB"/>
    <w:rsid w:val="716F305F"/>
    <w:rsid w:val="71746FC9"/>
    <w:rsid w:val="71793F91"/>
    <w:rsid w:val="71794C66"/>
    <w:rsid w:val="717B55BE"/>
    <w:rsid w:val="71826B96"/>
    <w:rsid w:val="718354A2"/>
    <w:rsid w:val="71836697"/>
    <w:rsid w:val="7185013C"/>
    <w:rsid w:val="71854C7A"/>
    <w:rsid w:val="71862221"/>
    <w:rsid w:val="718C6D96"/>
    <w:rsid w:val="718E0686"/>
    <w:rsid w:val="71976D97"/>
    <w:rsid w:val="719B439C"/>
    <w:rsid w:val="719D2317"/>
    <w:rsid w:val="719E0D02"/>
    <w:rsid w:val="719F6C9B"/>
    <w:rsid w:val="71A159EF"/>
    <w:rsid w:val="71A43525"/>
    <w:rsid w:val="71A501F1"/>
    <w:rsid w:val="71A56866"/>
    <w:rsid w:val="71A6243A"/>
    <w:rsid w:val="71A677A3"/>
    <w:rsid w:val="71AA4ED7"/>
    <w:rsid w:val="71B64009"/>
    <w:rsid w:val="71BA094E"/>
    <w:rsid w:val="71BC4717"/>
    <w:rsid w:val="71C03DCD"/>
    <w:rsid w:val="71CD1CF2"/>
    <w:rsid w:val="71D22B7C"/>
    <w:rsid w:val="71D55B9F"/>
    <w:rsid w:val="71D9247D"/>
    <w:rsid w:val="71DC4267"/>
    <w:rsid w:val="71E03CFF"/>
    <w:rsid w:val="71E61248"/>
    <w:rsid w:val="71E92B22"/>
    <w:rsid w:val="71EA5D3F"/>
    <w:rsid w:val="71ED78E6"/>
    <w:rsid w:val="71EE0D10"/>
    <w:rsid w:val="71F61AE9"/>
    <w:rsid w:val="71F62666"/>
    <w:rsid w:val="71F8291C"/>
    <w:rsid w:val="71F87B31"/>
    <w:rsid w:val="71F90E9C"/>
    <w:rsid w:val="71FC2811"/>
    <w:rsid w:val="71FD3E63"/>
    <w:rsid w:val="71FE2F9F"/>
    <w:rsid w:val="72035E06"/>
    <w:rsid w:val="72085348"/>
    <w:rsid w:val="7209734C"/>
    <w:rsid w:val="720D040A"/>
    <w:rsid w:val="7210235A"/>
    <w:rsid w:val="72150E68"/>
    <w:rsid w:val="721942C7"/>
    <w:rsid w:val="721B136E"/>
    <w:rsid w:val="721D2451"/>
    <w:rsid w:val="72232DFC"/>
    <w:rsid w:val="722E6EC2"/>
    <w:rsid w:val="72342EFD"/>
    <w:rsid w:val="723C04DE"/>
    <w:rsid w:val="7243238F"/>
    <w:rsid w:val="724447DC"/>
    <w:rsid w:val="72457E9C"/>
    <w:rsid w:val="7249288A"/>
    <w:rsid w:val="724D13EA"/>
    <w:rsid w:val="724F2B9E"/>
    <w:rsid w:val="725213AA"/>
    <w:rsid w:val="72541E27"/>
    <w:rsid w:val="726330E8"/>
    <w:rsid w:val="72656C28"/>
    <w:rsid w:val="72691D97"/>
    <w:rsid w:val="726C71D7"/>
    <w:rsid w:val="726D296A"/>
    <w:rsid w:val="7271653A"/>
    <w:rsid w:val="727712A8"/>
    <w:rsid w:val="727A4A08"/>
    <w:rsid w:val="72824DF3"/>
    <w:rsid w:val="72847AB8"/>
    <w:rsid w:val="728A58AF"/>
    <w:rsid w:val="728C7879"/>
    <w:rsid w:val="728D3CD9"/>
    <w:rsid w:val="72944C91"/>
    <w:rsid w:val="72957AF8"/>
    <w:rsid w:val="729A4045"/>
    <w:rsid w:val="729B5B6B"/>
    <w:rsid w:val="729D1350"/>
    <w:rsid w:val="72A31A86"/>
    <w:rsid w:val="72A426E4"/>
    <w:rsid w:val="72A57620"/>
    <w:rsid w:val="72AF77B7"/>
    <w:rsid w:val="72B2414C"/>
    <w:rsid w:val="72B56E5C"/>
    <w:rsid w:val="72B844CE"/>
    <w:rsid w:val="72BA2763"/>
    <w:rsid w:val="72BA3E43"/>
    <w:rsid w:val="72BA638E"/>
    <w:rsid w:val="72BD42C0"/>
    <w:rsid w:val="72C7322A"/>
    <w:rsid w:val="72CA3752"/>
    <w:rsid w:val="72CB6F0B"/>
    <w:rsid w:val="72CC5DBF"/>
    <w:rsid w:val="72D4223B"/>
    <w:rsid w:val="72D73E3E"/>
    <w:rsid w:val="72D74687"/>
    <w:rsid w:val="72D751F1"/>
    <w:rsid w:val="72D82E2F"/>
    <w:rsid w:val="72D85193"/>
    <w:rsid w:val="72DD4512"/>
    <w:rsid w:val="72DE40DB"/>
    <w:rsid w:val="72DF5EDF"/>
    <w:rsid w:val="72E34EFB"/>
    <w:rsid w:val="72E40B13"/>
    <w:rsid w:val="72E71DD3"/>
    <w:rsid w:val="72E94093"/>
    <w:rsid w:val="72EC330C"/>
    <w:rsid w:val="72ED4FE9"/>
    <w:rsid w:val="72F757A5"/>
    <w:rsid w:val="72F959E0"/>
    <w:rsid w:val="72FA3E39"/>
    <w:rsid w:val="72FD7FA0"/>
    <w:rsid w:val="72FE5503"/>
    <w:rsid w:val="73082796"/>
    <w:rsid w:val="730830EA"/>
    <w:rsid w:val="73087F18"/>
    <w:rsid w:val="730B1AE0"/>
    <w:rsid w:val="73113455"/>
    <w:rsid w:val="7314116E"/>
    <w:rsid w:val="731412BA"/>
    <w:rsid w:val="73142AF0"/>
    <w:rsid w:val="73201887"/>
    <w:rsid w:val="73287577"/>
    <w:rsid w:val="732A3D44"/>
    <w:rsid w:val="733025EE"/>
    <w:rsid w:val="7331658E"/>
    <w:rsid w:val="73367939"/>
    <w:rsid w:val="73377814"/>
    <w:rsid w:val="733B5256"/>
    <w:rsid w:val="733F54FE"/>
    <w:rsid w:val="73420727"/>
    <w:rsid w:val="734304CB"/>
    <w:rsid w:val="73434FFB"/>
    <w:rsid w:val="73442C0B"/>
    <w:rsid w:val="73460068"/>
    <w:rsid w:val="73465DDD"/>
    <w:rsid w:val="73480E14"/>
    <w:rsid w:val="734A18BD"/>
    <w:rsid w:val="734A20E7"/>
    <w:rsid w:val="734D0A78"/>
    <w:rsid w:val="734F1AB7"/>
    <w:rsid w:val="73534F11"/>
    <w:rsid w:val="73554876"/>
    <w:rsid w:val="735A269B"/>
    <w:rsid w:val="73651BCB"/>
    <w:rsid w:val="736729E0"/>
    <w:rsid w:val="73682A54"/>
    <w:rsid w:val="736B64D0"/>
    <w:rsid w:val="736C3007"/>
    <w:rsid w:val="736D23B8"/>
    <w:rsid w:val="73727E46"/>
    <w:rsid w:val="73775FFF"/>
    <w:rsid w:val="73776F11"/>
    <w:rsid w:val="738347E3"/>
    <w:rsid w:val="73837422"/>
    <w:rsid w:val="73850BBD"/>
    <w:rsid w:val="73854684"/>
    <w:rsid w:val="73880BF5"/>
    <w:rsid w:val="73885AC8"/>
    <w:rsid w:val="7394352D"/>
    <w:rsid w:val="739442AE"/>
    <w:rsid w:val="73992C86"/>
    <w:rsid w:val="739C43D1"/>
    <w:rsid w:val="73A46E10"/>
    <w:rsid w:val="73A60A98"/>
    <w:rsid w:val="73A73E80"/>
    <w:rsid w:val="73A77FA8"/>
    <w:rsid w:val="73AF1429"/>
    <w:rsid w:val="73BE6F72"/>
    <w:rsid w:val="73C075A3"/>
    <w:rsid w:val="73C42E82"/>
    <w:rsid w:val="73C62C26"/>
    <w:rsid w:val="73C770A2"/>
    <w:rsid w:val="73C94BD3"/>
    <w:rsid w:val="73D61D70"/>
    <w:rsid w:val="73D80774"/>
    <w:rsid w:val="73DA0CE6"/>
    <w:rsid w:val="73DD28C2"/>
    <w:rsid w:val="73E11B68"/>
    <w:rsid w:val="73E12ADE"/>
    <w:rsid w:val="73E537B3"/>
    <w:rsid w:val="73EF2CD0"/>
    <w:rsid w:val="73F20BC7"/>
    <w:rsid w:val="73F5677B"/>
    <w:rsid w:val="73FC7568"/>
    <w:rsid w:val="73FF318B"/>
    <w:rsid w:val="740161BB"/>
    <w:rsid w:val="74017E28"/>
    <w:rsid w:val="7402318D"/>
    <w:rsid w:val="74043EA7"/>
    <w:rsid w:val="74071460"/>
    <w:rsid w:val="740873D3"/>
    <w:rsid w:val="74090DA2"/>
    <w:rsid w:val="740D3597"/>
    <w:rsid w:val="74153C09"/>
    <w:rsid w:val="74164160"/>
    <w:rsid w:val="741B3D43"/>
    <w:rsid w:val="741E2656"/>
    <w:rsid w:val="74242F52"/>
    <w:rsid w:val="7424513C"/>
    <w:rsid w:val="74262B25"/>
    <w:rsid w:val="742A32C0"/>
    <w:rsid w:val="742D4770"/>
    <w:rsid w:val="74312A74"/>
    <w:rsid w:val="74335D78"/>
    <w:rsid w:val="74347F2D"/>
    <w:rsid w:val="7436039D"/>
    <w:rsid w:val="7438245F"/>
    <w:rsid w:val="74393667"/>
    <w:rsid w:val="743D1790"/>
    <w:rsid w:val="743E64A2"/>
    <w:rsid w:val="74401D91"/>
    <w:rsid w:val="7443554C"/>
    <w:rsid w:val="74453090"/>
    <w:rsid w:val="74483428"/>
    <w:rsid w:val="744A225D"/>
    <w:rsid w:val="744D3424"/>
    <w:rsid w:val="744D3D94"/>
    <w:rsid w:val="74560B1F"/>
    <w:rsid w:val="74576BE1"/>
    <w:rsid w:val="74576E1B"/>
    <w:rsid w:val="74577E7F"/>
    <w:rsid w:val="745B0ED6"/>
    <w:rsid w:val="745B2659"/>
    <w:rsid w:val="745C569E"/>
    <w:rsid w:val="74680929"/>
    <w:rsid w:val="74757E0E"/>
    <w:rsid w:val="747B1A3C"/>
    <w:rsid w:val="747B41C5"/>
    <w:rsid w:val="747B4CA9"/>
    <w:rsid w:val="747B6593"/>
    <w:rsid w:val="747C2CCF"/>
    <w:rsid w:val="747D4D48"/>
    <w:rsid w:val="747E0865"/>
    <w:rsid w:val="747E42D7"/>
    <w:rsid w:val="747F3479"/>
    <w:rsid w:val="74826EEE"/>
    <w:rsid w:val="748540E2"/>
    <w:rsid w:val="74860D41"/>
    <w:rsid w:val="748703B7"/>
    <w:rsid w:val="74871848"/>
    <w:rsid w:val="748B66B1"/>
    <w:rsid w:val="7491561A"/>
    <w:rsid w:val="749439E3"/>
    <w:rsid w:val="7496567D"/>
    <w:rsid w:val="749B7624"/>
    <w:rsid w:val="749D20FE"/>
    <w:rsid w:val="749E7499"/>
    <w:rsid w:val="74A82821"/>
    <w:rsid w:val="74A87940"/>
    <w:rsid w:val="74AB6754"/>
    <w:rsid w:val="74B02585"/>
    <w:rsid w:val="74B04D7A"/>
    <w:rsid w:val="74B23567"/>
    <w:rsid w:val="74B3096C"/>
    <w:rsid w:val="74B41AD7"/>
    <w:rsid w:val="74B51BB3"/>
    <w:rsid w:val="74B942AE"/>
    <w:rsid w:val="74BA4A1D"/>
    <w:rsid w:val="74BB41DE"/>
    <w:rsid w:val="74BD69AC"/>
    <w:rsid w:val="74BF37B1"/>
    <w:rsid w:val="74BF432B"/>
    <w:rsid w:val="74BF43D6"/>
    <w:rsid w:val="74C33BF5"/>
    <w:rsid w:val="74C37E7D"/>
    <w:rsid w:val="74C73FE2"/>
    <w:rsid w:val="74C90910"/>
    <w:rsid w:val="74CA6E93"/>
    <w:rsid w:val="74CC31E1"/>
    <w:rsid w:val="74CC46EB"/>
    <w:rsid w:val="74CD3F69"/>
    <w:rsid w:val="74CF509A"/>
    <w:rsid w:val="74D262AF"/>
    <w:rsid w:val="74D4267C"/>
    <w:rsid w:val="74D70F90"/>
    <w:rsid w:val="74DA3648"/>
    <w:rsid w:val="74DC263F"/>
    <w:rsid w:val="74DD408E"/>
    <w:rsid w:val="74DF4652"/>
    <w:rsid w:val="74E03504"/>
    <w:rsid w:val="74E05401"/>
    <w:rsid w:val="74E41B48"/>
    <w:rsid w:val="74ED384F"/>
    <w:rsid w:val="74EF0E54"/>
    <w:rsid w:val="74EF7137"/>
    <w:rsid w:val="74F55267"/>
    <w:rsid w:val="74F90442"/>
    <w:rsid w:val="74FA79D1"/>
    <w:rsid w:val="7501504F"/>
    <w:rsid w:val="75047E54"/>
    <w:rsid w:val="750930AE"/>
    <w:rsid w:val="750A4508"/>
    <w:rsid w:val="750A7806"/>
    <w:rsid w:val="750B74FE"/>
    <w:rsid w:val="750B77C1"/>
    <w:rsid w:val="750F71A8"/>
    <w:rsid w:val="75121DE6"/>
    <w:rsid w:val="75136494"/>
    <w:rsid w:val="751451CF"/>
    <w:rsid w:val="751C1622"/>
    <w:rsid w:val="751E063C"/>
    <w:rsid w:val="75265301"/>
    <w:rsid w:val="752779D4"/>
    <w:rsid w:val="752A5721"/>
    <w:rsid w:val="75350E3E"/>
    <w:rsid w:val="75361EFD"/>
    <w:rsid w:val="75367AD5"/>
    <w:rsid w:val="753B783D"/>
    <w:rsid w:val="753F6E24"/>
    <w:rsid w:val="754045D5"/>
    <w:rsid w:val="7543657E"/>
    <w:rsid w:val="75470815"/>
    <w:rsid w:val="754D02FC"/>
    <w:rsid w:val="754E1A0E"/>
    <w:rsid w:val="75533EAA"/>
    <w:rsid w:val="75592485"/>
    <w:rsid w:val="75597B66"/>
    <w:rsid w:val="755B0934"/>
    <w:rsid w:val="755D1D77"/>
    <w:rsid w:val="7564197A"/>
    <w:rsid w:val="75652FF0"/>
    <w:rsid w:val="75655B02"/>
    <w:rsid w:val="75661190"/>
    <w:rsid w:val="756933A3"/>
    <w:rsid w:val="756A2701"/>
    <w:rsid w:val="756B1263"/>
    <w:rsid w:val="756C6C03"/>
    <w:rsid w:val="756D51E2"/>
    <w:rsid w:val="756E3375"/>
    <w:rsid w:val="756F7A82"/>
    <w:rsid w:val="757404A9"/>
    <w:rsid w:val="75783163"/>
    <w:rsid w:val="757901CA"/>
    <w:rsid w:val="75794518"/>
    <w:rsid w:val="757A29BD"/>
    <w:rsid w:val="757A2AE2"/>
    <w:rsid w:val="757D59CD"/>
    <w:rsid w:val="7580113A"/>
    <w:rsid w:val="75803E99"/>
    <w:rsid w:val="75816C29"/>
    <w:rsid w:val="75843397"/>
    <w:rsid w:val="7587205C"/>
    <w:rsid w:val="758753A2"/>
    <w:rsid w:val="75887162"/>
    <w:rsid w:val="758E725D"/>
    <w:rsid w:val="758F43E5"/>
    <w:rsid w:val="75952EE8"/>
    <w:rsid w:val="75976C60"/>
    <w:rsid w:val="75977B43"/>
    <w:rsid w:val="759808C7"/>
    <w:rsid w:val="75981E93"/>
    <w:rsid w:val="75986535"/>
    <w:rsid w:val="75A849CA"/>
    <w:rsid w:val="75AA3A6F"/>
    <w:rsid w:val="75AC0B9F"/>
    <w:rsid w:val="75AF1551"/>
    <w:rsid w:val="75B17F1B"/>
    <w:rsid w:val="75B334C5"/>
    <w:rsid w:val="75B37DD9"/>
    <w:rsid w:val="75B40348"/>
    <w:rsid w:val="75B50E95"/>
    <w:rsid w:val="75B51497"/>
    <w:rsid w:val="75BB54E7"/>
    <w:rsid w:val="75BC61C4"/>
    <w:rsid w:val="75BD6163"/>
    <w:rsid w:val="75BD719D"/>
    <w:rsid w:val="75C02084"/>
    <w:rsid w:val="75C05866"/>
    <w:rsid w:val="75C24F24"/>
    <w:rsid w:val="75C56E80"/>
    <w:rsid w:val="75C57E0D"/>
    <w:rsid w:val="75C80CD4"/>
    <w:rsid w:val="75CB1E91"/>
    <w:rsid w:val="75CC3F51"/>
    <w:rsid w:val="75CD61DE"/>
    <w:rsid w:val="75CE0A09"/>
    <w:rsid w:val="75D325AD"/>
    <w:rsid w:val="75D51027"/>
    <w:rsid w:val="75D5203A"/>
    <w:rsid w:val="75DA46B0"/>
    <w:rsid w:val="75DB15BE"/>
    <w:rsid w:val="75E1069E"/>
    <w:rsid w:val="75E11552"/>
    <w:rsid w:val="75E11B30"/>
    <w:rsid w:val="75E209E9"/>
    <w:rsid w:val="75E42CA7"/>
    <w:rsid w:val="75EB25BB"/>
    <w:rsid w:val="75F42CF5"/>
    <w:rsid w:val="75F53C7E"/>
    <w:rsid w:val="75FC0161"/>
    <w:rsid w:val="76001E7B"/>
    <w:rsid w:val="76032AE7"/>
    <w:rsid w:val="760547CF"/>
    <w:rsid w:val="76056AD0"/>
    <w:rsid w:val="76091B0C"/>
    <w:rsid w:val="760A04D7"/>
    <w:rsid w:val="76110423"/>
    <w:rsid w:val="76154976"/>
    <w:rsid w:val="76177B6A"/>
    <w:rsid w:val="761D27CA"/>
    <w:rsid w:val="761F7822"/>
    <w:rsid w:val="762020B3"/>
    <w:rsid w:val="762322B7"/>
    <w:rsid w:val="762560BE"/>
    <w:rsid w:val="76296DBC"/>
    <w:rsid w:val="76317C5D"/>
    <w:rsid w:val="76334A1F"/>
    <w:rsid w:val="764046C8"/>
    <w:rsid w:val="76467489"/>
    <w:rsid w:val="76496952"/>
    <w:rsid w:val="764C7A4B"/>
    <w:rsid w:val="764E04C9"/>
    <w:rsid w:val="764E04F9"/>
    <w:rsid w:val="764E77C4"/>
    <w:rsid w:val="765229F2"/>
    <w:rsid w:val="765236A3"/>
    <w:rsid w:val="76542D25"/>
    <w:rsid w:val="76573CAC"/>
    <w:rsid w:val="76593F16"/>
    <w:rsid w:val="76595E86"/>
    <w:rsid w:val="765C2AEB"/>
    <w:rsid w:val="76664EF4"/>
    <w:rsid w:val="76672324"/>
    <w:rsid w:val="76693740"/>
    <w:rsid w:val="766B3037"/>
    <w:rsid w:val="767450F8"/>
    <w:rsid w:val="76754998"/>
    <w:rsid w:val="76776D4F"/>
    <w:rsid w:val="7678196D"/>
    <w:rsid w:val="767F201A"/>
    <w:rsid w:val="76812886"/>
    <w:rsid w:val="76874D51"/>
    <w:rsid w:val="76895081"/>
    <w:rsid w:val="768F0D80"/>
    <w:rsid w:val="7690021A"/>
    <w:rsid w:val="76952513"/>
    <w:rsid w:val="769940BB"/>
    <w:rsid w:val="769D1084"/>
    <w:rsid w:val="769E444D"/>
    <w:rsid w:val="76A723FE"/>
    <w:rsid w:val="76A72522"/>
    <w:rsid w:val="76A90443"/>
    <w:rsid w:val="76A9158A"/>
    <w:rsid w:val="76AB1332"/>
    <w:rsid w:val="76B11DB0"/>
    <w:rsid w:val="76B21E90"/>
    <w:rsid w:val="76B44046"/>
    <w:rsid w:val="76B7691F"/>
    <w:rsid w:val="76BA2A05"/>
    <w:rsid w:val="76BC1DB1"/>
    <w:rsid w:val="76C11F52"/>
    <w:rsid w:val="76C4051C"/>
    <w:rsid w:val="76C43892"/>
    <w:rsid w:val="76C468F9"/>
    <w:rsid w:val="76CF6407"/>
    <w:rsid w:val="76D17D0A"/>
    <w:rsid w:val="76D377D5"/>
    <w:rsid w:val="76D444E4"/>
    <w:rsid w:val="76DB7826"/>
    <w:rsid w:val="76E06CC6"/>
    <w:rsid w:val="76E12079"/>
    <w:rsid w:val="76E13337"/>
    <w:rsid w:val="76E2712F"/>
    <w:rsid w:val="76E5246A"/>
    <w:rsid w:val="76EC6356"/>
    <w:rsid w:val="76ED145F"/>
    <w:rsid w:val="76ED7B12"/>
    <w:rsid w:val="76EE4DD0"/>
    <w:rsid w:val="76F62C3B"/>
    <w:rsid w:val="76FA4280"/>
    <w:rsid w:val="76FD450D"/>
    <w:rsid w:val="77040EC2"/>
    <w:rsid w:val="7704585E"/>
    <w:rsid w:val="77067C4C"/>
    <w:rsid w:val="770777BB"/>
    <w:rsid w:val="7709241F"/>
    <w:rsid w:val="7712634D"/>
    <w:rsid w:val="77182BC8"/>
    <w:rsid w:val="7719175C"/>
    <w:rsid w:val="77195940"/>
    <w:rsid w:val="771B12E1"/>
    <w:rsid w:val="771B1886"/>
    <w:rsid w:val="771C715F"/>
    <w:rsid w:val="771E4D9F"/>
    <w:rsid w:val="771F29BB"/>
    <w:rsid w:val="771F392B"/>
    <w:rsid w:val="771F49D0"/>
    <w:rsid w:val="77231F28"/>
    <w:rsid w:val="77243104"/>
    <w:rsid w:val="772D2E35"/>
    <w:rsid w:val="77313A09"/>
    <w:rsid w:val="77314B70"/>
    <w:rsid w:val="77342EFE"/>
    <w:rsid w:val="77346C17"/>
    <w:rsid w:val="77346EDC"/>
    <w:rsid w:val="773E13B6"/>
    <w:rsid w:val="77401EFD"/>
    <w:rsid w:val="77420E4E"/>
    <w:rsid w:val="77424E79"/>
    <w:rsid w:val="774334F8"/>
    <w:rsid w:val="77433EDB"/>
    <w:rsid w:val="77452CE7"/>
    <w:rsid w:val="77471C55"/>
    <w:rsid w:val="77477AEB"/>
    <w:rsid w:val="774F576F"/>
    <w:rsid w:val="775078B6"/>
    <w:rsid w:val="77512742"/>
    <w:rsid w:val="77551950"/>
    <w:rsid w:val="775D0951"/>
    <w:rsid w:val="77610F79"/>
    <w:rsid w:val="77624576"/>
    <w:rsid w:val="776732FD"/>
    <w:rsid w:val="776E6092"/>
    <w:rsid w:val="77743469"/>
    <w:rsid w:val="7776206C"/>
    <w:rsid w:val="77813703"/>
    <w:rsid w:val="778421C5"/>
    <w:rsid w:val="77850D36"/>
    <w:rsid w:val="778806FB"/>
    <w:rsid w:val="7789558F"/>
    <w:rsid w:val="778C6421"/>
    <w:rsid w:val="778C6D25"/>
    <w:rsid w:val="77911229"/>
    <w:rsid w:val="77973B72"/>
    <w:rsid w:val="77983CA1"/>
    <w:rsid w:val="779D0503"/>
    <w:rsid w:val="77A2296F"/>
    <w:rsid w:val="77A66509"/>
    <w:rsid w:val="77AA0391"/>
    <w:rsid w:val="77B5517C"/>
    <w:rsid w:val="77B73756"/>
    <w:rsid w:val="77BC11E2"/>
    <w:rsid w:val="77C27A16"/>
    <w:rsid w:val="77C4675F"/>
    <w:rsid w:val="77C648E4"/>
    <w:rsid w:val="77C77670"/>
    <w:rsid w:val="77C92CBB"/>
    <w:rsid w:val="77CC3A1C"/>
    <w:rsid w:val="77D4298D"/>
    <w:rsid w:val="77DB5F30"/>
    <w:rsid w:val="77DF5A8B"/>
    <w:rsid w:val="77E272B0"/>
    <w:rsid w:val="77E44D00"/>
    <w:rsid w:val="77EB6C0E"/>
    <w:rsid w:val="77EC0521"/>
    <w:rsid w:val="77F30E2C"/>
    <w:rsid w:val="77F77608"/>
    <w:rsid w:val="77F959B0"/>
    <w:rsid w:val="77FF4CB3"/>
    <w:rsid w:val="780178C5"/>
    <w:rsid w:val="78041423"/>
    <w:rsid w:val="7804246B"/>
    <w:rsid w:val="78043960"/>
    <w:rsid w:val="780B0DA9"/>
    <w:rsid w:val="781566E6"/>
    <w:rsid w:val="78194771"/>
    <w:rsid w:val="781B5727"/>
    <w:rsid w:val="781C7FED"/>
    <w:rsid w:val="781D6A37"/>
    <w:rsid w:val="78243FCF"/>
    <w:rsid w:val="78247EB0"/>
    <w:rsid w:val="782755A5"/>
    <w:rsid w:val="782D5C99"/>
    <w:rsid w:val="782E3788"/>
    <w:rsid w:val="782F3D70"/>
    <w:rsid w:val="783369E8"/>
    <w:rsid w:val="78342F2C"/>
    <w:rsid w:val="78343110"/>
    <w:rsid w:val="78403B42"/>
    <w:rsid w:val="78403CF6"/>
    <w:rsid w:val="78434100"/>
    <w:rsid w:val="78454752"/>
    <w:rsid w:val="784605F8"/>
    <w:rsid w:val="78500625"/>
    <w:rsid w:val="78531415"/>
    <w:rsid w:val="785719CB"/>
    <w:rsid w:val="78610E82"/>
    <w:rsid w:val="786508D9"/>
    <w:rsid w:val="78672F9F"/>
    <w:rsid w:val="786761FE"/>
    <w:rsid w:val="786D2F26"/>
    <w:rsid w:val="786E40A5"/>
    <w:rsid w:val="786F58EC"/>
    <w:rsid w:val="78717543"/>
    <w:rsid w:val="787251CB"/>
    <w:rsid w:val="78764A81"/>
    <w:rsid w:val="78772ED2"/>
    <w:rsid w:val="787852D2"/>
    <w:rsid w:val="787D0808"/>
    <w:rsid w:val="787F1E8C"/>
    <w:rsid w:val="78813FCC"/>
    <w:rsid w:val="788201FD"/>
    <w:rsid w:val="788478BD"/>
    <w:rsid w:val="7887161E"/>
    <w:rsid w:val="78897583"/>
    <w:rsid w:val="788B5D88"/>
    <w:rsid w:val="788F136F"/>
    <w:rsid w:val="78904B40"/>
    <w:rsid w:val="78910535"/>
    <w:rsid w:val="7891613C"/>
    <w:rsid w:val="7891739B"/>
    <w:rsid w:val="789B7602"/>
    <w:rsid w:val="789D27E0"/>
    <w:rsid w:val="78A06C6E"/>
    <w:rsid w:val="78A13CF9"/>
    <w:rsid w:val="78A66A73"/>
    <w:rsid w:val="78A8275B"/>
    <w:rsid w:val="78A84CE1"/>
    <w:rsid w:val="78AB7920"/>
    <w:rsid w:val="78AE35F0"/>
    <w:rsid w:val="78AF5CC5"/>
    <w:rsid w:val="78B24585"/>
    <w:rsid w:val="78B33DB1"/>
    <w:rsid w:val="78B53C6F"/>
    <w:rsid w:val="78B82839"/>
    <w:rsid w:val="78BB410F"/>
    <w:rsid w:val="78BE390B"/>
    <w:rsid w:val="78BF67A8"/>
    <w:rsid w:val="78C32E8F"/>
    <w:rsid w:val="78C71ABD"/>
    <w:rsid w:val="78C76110"/>
    <w:rsid w:val="78C8045A"/>
    <w:rsid w:val="78CE2973"/>
    <w:rsid w:val="78CE327E"/>
    <w:rsid w:val="78D553A5"/>
    <w:rsid w:val="78D9410A"/>
    <w:rsid w:val="78DC0DE6"/>
    <w:rsid w:val="78E12905"/>
    <w:rsid w:val="78E27654"/>
    <w:rsid w:val="78E41A49"/>
    <w:rsid w:val="78E70910"/>
    <w:rsid w:val="78E90A50"/>
    <w:rsid w:val="78E97A75"/>
    <w:rsid w:val="78F33D9F"/>
    <w:rsid w:val="78F912B5"/>
    <w:rsid w:val="78FE729D"/>
    <w:rsid w:val="78FF3997"/>
    <w:rsid w:val="790165C4"/>
    <w:rsid w:val="79017226"/>
    <w:rsid w:val="7904078C"/>
    <w:rsid w:val="7907037A"/>
    <w:rsid w:val="790979A8"/>
    <w:rsid w:val="790D735E"/>
    <w:rsid w:val="790F0939"/>
    <w:rsid w:val="79165A8C"/>
    <w:rsid w:val="791928F7"/>
    <w:rsid w:val="79195CE9"/>
    <w:rsid w:val="791A56C2"/>
    <w:rsid w:val="79232092"/>
    <w:rsid w:val="79244530"/>
    <w:rsid w:val="79253624"/>
    <w:rsid w:val="792636FA"/>
    <w:rsid w:val="792720A9"/>
    <w:rsid w:val="792852B0"/>
    <w:rsid w:val="79296168"/>
    <w:rsid w:val="792C3626"/>
    <w:rsid w:val="792E7ACA"/>
    <w:rsid w:val="792F3346"/>
    <w:rsid w:val="792F3F53"/>
    <w:rsid w:val="793529F9"/>
    <w:rsid w:val="793810CA"/>
    <w:rsid w:val="79382B89"/>
    <w:rsid w:val="793B7903"/>
    <w:rsid w:val="793C5149"/>
    <w:rsid w:val="79400B4C"/>
    <w:rsid w:val="7940316B"/>
    <w:rsid w:val="7940360C"/>
    <w:rsid w:val="79421C3A"/>
    <w:rsid w:val="794B3D84"/>
    <w:rsid w:val="79503934"/>
    <w:rsid w:val="79515499"/>
    <w:rsid w:val="79573ADC"/>
    <w:rsid w:val="79574721"/>
    <w:rsid w:val="7958315C"/>
    <w:rsid w:val="795837F7"/>
    <w:rsid w:val="79593A03"/>
    <w:rsid w:val="79597335"/>
    <w:rsid w:val="795C4654"/>
    <w:rsid w:val="79626C04"/>
    <w:rsid w:val="796A5AFC"/>
    <w:rsid w:val="796D3733"/>
    <w:rsid w:val="796F50F8"/>
    <w:rsid w:val="797309FC"/>
    <w:rsid w:val="79737145"/>
    <w:rsid w:val="7975365A"/>
    <w:rsid w:val="797704CE"/>
    <w:rsid w:val="797C7BDE"/>
    <w:rsid w:val="797E58E1"/>
    <w:rsid w:val="79823EB3"/>
    <w:rsid w:val="79863274"/>
    <w:rsid w:val="798C2D42"/>
    <w:rsid w:val="798C2F91"/>
    <w:rsid w:val="79971374"/>
    <w:rsid w:val="79A02EE3"/>
    <w:rsid w:val="79A20B13"/>
    <w:rsid w:val="79A429F8"/>
    <w:rsid w:val="79A63712"/>
    <w:rsid w:val="79AA4292"/>
    <w:rsid w:val="79AB3F12"/>
    <w:rsid w:val="79AC6C5B"/>
    <w:rsid w:val="79AD1268"/>
    <w:rsid w:val="79AF69DA"/>
    <w:rsid w:val="79B212DB"/>
    <w:rsid w:val="79B35888"/>
    <w:rsid w:val="79B4732A"/>
    <w:rsid w:val="79B71A51"/>
    <w:rsid w:val="79B87E32"/>
    <w:rsid w:val="79C31852"/>
    <w:rsid w:val="79C4735C"/>
    <w:rsid w:val="79C71E5A"/>
    <w:rsid w:val="79CB5062"/>
    <w:rsid w:val="79CC738B"/>
    <w:rsid w:val="79CF4590"/>
    <w:rsid w:val="79D36E7B"/>
    <w:rsid w:val="79D47385"/>
    <w:rsid w:val="79D47FDA"/>
    <w:rsid w:val="79D6725E"/>
    <w:rsid w:val="79D7541C"/>
    <w:rsid w:val="79DB23FB"/>
    <w:rsid w:val="79E172C6"/>
    <w:rsid w:val="79E34DE8"/>
    <w:rsid w:val="79E76366"/>
    <w:rsid w:val="79E94721"/>
    <w:rsid w:val="79EA1D3E"/>
    <w:rsid w:val="79EA2492"/>
    <w:rsid w:val="79EA40D0"/>
    <w:rsid w:val="79EF1083"/>
    <w:rsid w:val="79F056D2"/>
    <w:rsid w:val="79F425E3"/>
    <w:rsid w:val="79F50172"/>
    <w:rsid w:val="79F560D8"/>
    <w:rsid w:val="79F8180C"/>
    <w:rsid w:val="79FB408E"/>
    <w:rsid w:val="79FC2E67"/>
    <w:rsid w:val="79FC40FD"/>
    <w:rsid w:val="7A012E9A"/>
    <w:rsid w:val="7A054213"/>
    <w:rsid w:val="7A06384D"/>
    <w:rsid w:val="7A0B3779"/>
    <w:rsid w:val="7A0C1CA2"/>
    <w:rsid w:val="7A0D63F8"/>
    <w:rsid w:val="7A1149E8"/>
    <w:rsid w:val="7A12266F"/>
    <w:rsid w:val="7A1632F8"/>
    <w:rsid w:val="7A16488E"/>
    <w:rsid w:val="7A190B34"/>
    <w:rsid w:val="7A1B724A"/>
    <w:rsid w:val="7A1D4483"/>
    <w:rsid w:val="7A1E1BF9"/>
    <w:rsid w:val="7A235E81"/>
    <w:rsid w:val="7A247707"/>
    <w:rsid w:val="7A2514F1"/>
    <w:rsid w:val="7A263B0E"/>
    <w:rsid w:val="7A2818A1"/>
    <w:rsid w:val="7A2C61A9"/>
    <w:rsid w:val="7A2E5035"/>
    <w:rsid w:val="7A345367"/>
    <w:rsid w:val="7A38563B"/>
    <w:rsid w:val="7A3A7084"/>
    <w:rsid w:val="7A3B698F"/>
    <w:rsid w:val="7A3E467F"/>
    <w:rsid w:val="7A415C7B"/>
    <w:rsid w:val="7A476413"/>
    <w:rsid w:val="7A487EAD"/>
    <w:rsid w:val="7A4A3003"/>
    <w:rsid w:val="7A4C2B07"/>
    <w:rsid w:val="7A522A3E"/>
    <w:rsid w:val="7A5268A6"/>
    <w:rsid w:val="7A540C7C"/>
    <w:rsid w:val="7A545120"/>
    <w:rsid w:val="7A551F8B"/>
    <w:rsid w:val="7A5A4888"/>
    <w:rsid w:val="7A5B4C5E"/>
    <w:rsid w:val="7A5B5615"/>
    <w:rsid w:val="7A5C6101"/>
    <w:rsid w:val="7A607C5F"/>
    <w:rsid w:val="7A67379A"/>
    <w:rsid w:val="7A6962B8"/>
    <w:rsid w:val="7A6B3880"/>
    <w:rsid w:val="7A6B44FE"/>
    <w:rsid w:val="7A711185"/>
    <w:rsid w:val="7A71176F"/>
    <w:rsid w:val="7A712544"/>
    <w:rsid w:val="7A716D19"/>
    <w:rsid w:val="7A750B0D"/>
    <w:rsid w:val="7A7A42FB"/>
    <w:rsid w:val="7A7E3183"/>
    <w:rsid w:val="7A8144A8"/>
    <w:rsid w:val="7A8C769F"/>
    <w:rsid w:val="7A8E4409"/>
    <w:rsid w:val="7A91372F"/>
    <w:rsid w:val="7A927D96"/>
    <w:rsid w:val="7A977047"/>
    <w:rsid w:val="7A9F2A3B"/>
    <w:rsid w:val="7AA011D3"/>
    <w:rsid w:val="7AA26DCF"/>
    <w:rsid w:val="7AA75C79"/>
    <w:rsid w:val="7AAA2F92"/>
    <w:rsid w:val="7AAF3C11"/>
    <w:rsid w:val="7AAF644C"/>
    <w:rsid w:val="7AB33589"/>
    <w:rsid w:val="7ABA1EFB"/>
    <w:rsid w:val="7ABB0DF0"/>
    <w:rsid w:val="7ABB468B"/>
    <w:rsid w:val="7ABB4B07"/>
    <w:rsid w:val="7AC214E6"/>
    <w:rsid w:val="7AC534C9"/>
    <w:rsid w:val="7AC72D9E"/>
    <w:rsid w:val="7AC7717A"/>
    <w:rsid w:val="7AC77648"/>
    <w:rsid w:val="7ACA1EAF"/>
    <w:rsid w:val="7ACC2D97"/>
    <w:rsid w:val="7ACF6A56"/>
    <w:rsid w:val="7AD33C08"/>
    <w:rsid w:val="7ADD7F54"/>
    <w:rsid w:val="7AE244DA"/>
    <w:rsid w:val="7AE47332"/>
    <w:rsid w:val="7AE504CA"/>
    <w:rsid w:val="7AE90DAB"/>
    <w:rsid w:val="7AEB7DF3"/>
    <w:rsid w:val="7AEC4EFA"/>
    <w:rsid w:val="7AEF7F0D"/>
    <w:rsid w:val="7AF144DB"/>
    <w:rsid w:val="7AF25C5A"/>
    <w:rsid w:val="7AF34DD3"/>
    <w:rsid w:val="7AF61A53"/>
    <w:rsid w:val="7AF63656"/>
    <w:rsid w:val="7AF902E7"/>
    <w:rsid w:val="7AFA0593"/>
    <w:rsid w:val="7AFF6016"/>
    <w:rsid w:val="7B022200"/>
    <w:rsid w:val="7B04546D"/>
    <w:rsid w:val="7B061E2A"/>
    <w:rsid w:val="7B081827"/>
    <w:rsid w:val="7B1170B7"/>
    <w:rsid w:val="7B12247D"/>
    <w:rsid w:val="7B191F70"/>
    <w:rsid w:val="7B193CBD"/>
    <w:rsid w:val="7B1B162C"/>
    <w:rsid w:val="7B1B7DBF"/>
    <w:rsid w:val="7B226FEE"/>
    <w:rsid w:val="7B272B02"/>
    <w:rsid w:val="7B285EAF"/>
    <w:rsid w:val="7B2D240A"/>
    <w:rsid w:val="7B2D4678"/>
    <w:rsid w:val="7B3047C8"/>
    <w:rsid w:val="7B3048E3"/>
    <w:rsid w:val="7B305F25"/>
    <w:rsid w:val="7B341E12"/>
    <w:rsid w:val="7B3E36DA"/>
    <w:rsid w:val="7B3E497F"/>
    <w:rsid w:val="7B3F069E"/>
    <w:rsid w:val="7B4147AF"/>
    <w:rsid w:val="7B430918"/>
    <w:rsid w:val="7B465148"/>
    <w:rsid w:val="7B484A40"/>
    <w:rsid w:val="7B494592"/>
    <w:rsid w:val="7B4B67C0"/>
    <w:rsid w:val="7B4E55D0"/>
    <w:rsid w:val="7B500448"/>
    <w:rsid w:val="7B5225B7"/>
    <w:rsid w:val="7B53542C"/>
    <w:rsid w:val="7B567F8D"/>
    <w:rsid w:val="7B577F99"/>
    <w:rsid w:val="7B5805B4"/>
    <w:rsid w:val="7B5B760F"/>
    <w:rsid w:val="7B672C31"/>
    <w:rsid w:val="7B676CF7"/>
    <w:rsid w:val="7B6A1A37"/>
    <w:rsid w:val="7B6A22D9"/>
    <w:rsid w:val="7B6B3F21"/>
    <w:rsid w:val="7B7227D5"/>
    <w:rsid w:val="7B744E58"/>
    <w:rsid w:val="7B775DB9"/>
    <w:rsid w:val="7B783303"/>
    <w:rsid w:val="7B7D2E7D"/>
    <w:rsid w:val="7B7E7929"/>
    <w:rsid w:val="7B7F76AD"/>
    <w:rsid w:val="7B800FFD"/>
    <w:rsid w:val="7B96695F"/>
    <w:rsid w:val="7B9818C6"/>
    <w:rsid w:val="7B9B47C7"/>
    <w:rsid w:val="7BA049B0"/>
    <w:rsid w:val="7BA13892"/>
    <w:rsid w:val="7BA17324"/>
    <w:rsid w:val="7BA40933"/>
    <w:rsid w:val="7BA551B5"/>
    <w:rsid w:val="7BA63759"/>
    <w:rsid w:val="7BA9297F"/>
    <w:rsid w:val="7BAC0CD0"/>
    <w:rsid w:val="7BAE294D"/>
    <w:rsid w:val="7BB04407"/>
    <w:rsid w:val="7BB306D8"/>
    <w:rsid w:val="7BB93CBE"/>
    <w:rsid w:val="7BB95E8D"/>
    <w:rsid w:val="7BBB41FF"/>
    <w:rsid w:val="7BBF5795"/>
    <w:rsid w:val="7BBF5FA2"/>
    <w:rsid w:val="7BC26CB3"/>
    <w:rsid w:val="7BC34F05"/>
    <w:rsid w:val="7BCA7E7C"/>
    <w:rsid w:val="7BCC7721"/>
    <w:rsid w:val="7BD03D6F"/>
    <w:rsid w:val="7BD331C5"/>
    <w:rsid w:val="7BD51319"/>
    <w:rsid w:val="7BD5390A"/>
    <w:rsid w:val="7BD541DD"/>
    <w:rsid w:val="7BD806F6"/>
    <w:rsid w:val="7BD841F2"/>
    <w:rsid w:val="7BDE7F63"/>
    <w:rsid w:val="7BE02718"/>
    <w:rsid w:val="7BE24470"/>
    <w:rsid w:val="7BE35E0C"/>
    <w:rsid w:val="7BE53C22"/>
    <w:rsid w:val="7BE6298F"/>
    <w:rsid w:val="7BE94F29"/>
    <w:rsid w:val="7BEC6CE9"/>
    <w:rsid w:val="7BF147D4"/>
    <w:rsid w:val="7C0063E7"/>
    <w:rsid w:val="7C024A55"/>
    <w:rsid w:val="7C031491"/>
    <w:rsid w:val="7C074A4D"/>
    <w:rsid w:val="7C0A569B"/>
    <w:rsid w:val="7C0A6EFD"/>
    <w:rsid w:val="7C0D2BD0"/>
    <w:rsid w:val="7C0D6F41"/>
    <w:rsid w:val="7C195C40"/>
    <w:rsid w:val="7C1F7EBE"/>
    <w:rsid w:val="7C205D8D"/>
    <w:rsid w:val="7C225F77"/>
    <w:rsid w:val="7C254206"/>
    <w:rsid w:val="7C277165"/>
    <w:rsid w:val="7C2E19A1"/>
    <w:rsid w:val="7C2E32B2"/>
    <w:rsid w:val="7C3111DE"/>
    <w:rsid w:val="7C3A4D43"/>
    <w:rsid w:val="7C3A6597"/>
    <w:rsid w:val="7C3E3797"/>
    <w:rsid w:val="7C401D1B"/>
    <w:rsid w:val="7C4252FD"/>
    <w:rsid w:val="7C4D3FBB"/>
    <w:rsid w:val="7C533F48"/>
    <w:rsid w:val="7C596880"/>
    <w:rsid w:val="7C597D58"/>
    <w:rsid w:val="7C5D091F"/>
    <w:rsid w:val="7C5E2A17"/>
    <w:rsid w:val="7C5F489F"/>
    <w:rsid w:val="7C61792C"/>
    <w:rsid w:val="7C627222"/>
    <w:rsid w:val="7C685421"/>
    <w:rsid w:val="7C6A1384"/>
    <w:rsid w:val="7C6E57D7"/>
    <w:rsid w:val="7C712DCF"/>
    <w:rsid w:val="7C745E3C"/>
    <w:rsid w:val="7C7E440E"/>
    <w:rsid w:val="7C8261A6"/>
    <w:rsid w:val="7C827C0D"/>
    <w:rsid w:val="7C8467A7"/>
    <w:rsid w:val="7C877881"/>
    <w:rsid w:val="7C8B3280"/>
    <w:rsid w:val="7C8B5DCD"/>
    <w:rsid w:val="7C8B74A1"/>
    <w:rsid w:val="7C93413A"/>
    <w:rsid w:val="7C944E5B"/>
    <w:rsid w:val="7C980323"/>
    <w:rsid w:val="7C98155C"/>
    <w:rsid w:val="7C997CAA"/>
    <w:rsid w:val="7C9C4FDC"/>
    <w:rsid w:val="7CA12E61"/>
    <w:rsid w:val="7CA76253"/>
    <w:rsid w:val="7CA82C6A"/>
    <w:rsid w:val="7CAC0253"/>
    <w:rsid w:val="7CAE7535"/>
    <w:rsid w:val="7CB40A5F"/>
    <w:rsid w:val="7CB51E81"/>
    <w:rsid w:val="7CB87D0C"/>
    <w:rsid w:val="7CC30F1A"/>
    <w:rsid w:val="7CC96F7A"/>
    <w:rsid w:val="7CD2025B"/>
    <w:rsid w:val="7CD53802"/>
    <w:rsid w:val="7CD75D40"/>
    <w:rsid w:val="7CD805BF"/>
    <w:rsid w:val="7CDC326A"/>
    <w:rsid w:val="7CDC6A70"/>
    <w:rsid w:val="7CE277DB"/>
    <w:rsid w:val="7CE504C9"/>
    <w:rsid w:val="7CEF1722"/>
    <w:rsid w:val="7CF27ADA"/>
    <w:rsid w:val="7CF457F5"/>
    <w:rsid w:val="7CF82188"/>
    <w:rsid w:val="7CF85274"/>
    <w:rsid w:val="7CF96762"/>
    <w:rsid w:val="7CFB05B5"/>
    <w:rsid w:val="7CFB5C1B"/>
    <w:rsid w:val="7CFC53FF"/>
    <w:rsid w:val="7D0006C0"/>
    <w:rsid w:val="7D075829"/>
    <w:rsid w:val="7D076B6E"/>
    <w:rsid w:val="7D0A3107"/>
    <w:rsid w:val="7D0C68F2"/>
    <w:rsid w:val="7D0D790D"/>
    <w:rsid w:val="7D0F532E"/>
    <w:rsid w:val="7D122374"/>
    <w:rsid w:val="7D140B97"/>
    <w:rsid w:val="7D152C1E"/>
    <w:rsid w:val="7D1860DC"/>
    <w:rsid w:val="7D1E01EF"/>
    <w:rsid w:val="7D2131DD"/>
    <w:rsid w:val="7D2420E5"/>
    <w:rsid w:val="7D257C87"/>
    <w:rsid w:val="7D26037D"/>
    <w:rsid w:val="7D2604F1"/>
    <w:rsid w:val="7D260596"/>
    <w:rsid w:val="7D275945"/>
    <w:rsid w:val="7D292007"/>
    <w:rsid w:val="7D2939E8"/>
    <w:rsid w:val="7D2A3F11"/>
    <w:rsid w:val="7D2B231C"/>
    <w:rsid w:val="7D2B4127"/>
    <w:rsid w:val="7D2F4ED8"/>
    <w:rsid w:val="7D2F677B"/>
    <w:rsid w:val="7D3336CF"/>
    <w:rsid w:val="7D350909"/>
    <w:rsid w:val="7D36226D"/>
    <w:rsid w:val="7D3D650C"/>
    <w:rsid w:val="7D3E5A8D"/>
    <w:rsid w:val="7D3F7CB4"/>
    <w:rsid w:val="7D41328F"/>
    <w:rsid w:val="7D422CFF"/>
    <w:rsid w:val="7D460098"/>
    <w:rsid w:val="7D491125"/>
    <w:rsid w:val="7D495E28"/>
    <w:rsid w:val="7D4A19C6"/>
    <w:rsid w:val="7D4C7766"/>
    <w:rsid w:val="7D4E3E6E"/>
    <w:rsid w:val="7D5A446E"/>
    <w:rsid w:val="7D5C31EB"/>
    <w:rsid w:val="7D5D3408"/>
    <w:rsid w:val="7D5E02A0"/>
    <w:rsid w:val="7D5F74F5"/>
    <w:rsid w:val="7D602F75"/>
    <w:rsid w:val="7D60402A"/>
    <w:rsid w:val="7D610646"/>
    <w:rsid w:val="7D6219B5"/>
    <w:rsid w:val="7D6E1F4E"/>
    <w:rsid w:val="7D7274AE"/>
    <w:rsid w:val="7D7450E0"/>
    <w:rsid w:val="7D760B39"/>
    <w:rsid w:val="7D775B39"/>
    <w:rsid w:val="7D7831D6"/>
    <w:rsid w:val="7D796ACF"/>
    <w:rsid w:val="7D7D52E7"/>
    <w:rsid w:val="7D7E0B15"/>
    <w:rsid w:val="7D807FDA"/>
    <w:rsid w:val="7D860384"/>
    <w:rsid w:val="7D871C1B"/>
    <w:rsid w:val="7D875678"/>
    <w:rsid w:val="7D881E47"/>
    <w:rsid w:val="7D8946AD"/>
    <w:rsid w:val="7D8E649E"/>
    <w:rsid w:val="7D8F4608"/>
    <w:rsid w:val="7D953CE8"/>
    <w:rsid w:val="7D9B659B"/>
    <w:rsid w:val="7DAB14FB"/>
    <w:rsid w:val="7DB53139"/>
    <w:rsid w:val="7DB67DD5"/>
    <w:rsid w:val="7DB957E2"/>
    <w:rsid w:val="7DBC7449"/>
    <w:rsid w:val="7DBD6D43"/>
    <w:rsid w:val="7DBE6211"/>
    <w:rsid w:val="7DBF069F"/>
    <w:rsid w:val="7DBF6D54"/>
    <w:rsid w:val="7DC46131"/>
    <w:rsid w:val="7DCB5A0C"/>
    <w:rsid w:val="7DCE343B"/>
    <w:rsid w:val="7DCF2C4B"/>
    <w:rsid w:val="7DCF75B8"/>
    <w:rsid w:val="7DD256D3"/>
    <w:rsid w:val="7DD86A04"/>
    <w:rsid w:val="7DD916E3"/>
    <w:rsid w:val="7DE07A9E"/>
    <w:rsid w:val="7DE44DD9"/>
    <w:rsid w:val="7DE67FE5"/>
    <w:rsid w:val="7DE775A1"/>
    <w:rsid w:val="7DE81982"/>
    <w:rsid w:val="7DE9107C"/>
    <w:rsid w:val="7DEA1DFE"/>
    <w:rsid w:val="7DEC6BB2"/>
    <w:rsid w:val="7DEE3816"/>
    <w:rsid w:val="7DEE7438"/>
    <w:rsid w:val="7DEF5190"/>
    <w:rsid w:val="7DF2194A"/>
    <w:rsid w:val="7DF75B49"/>
    <w:rsid w:val="7DF776C5"/>
    <w:rsid w:val="7DFB2418"/>
    <w:rsid w:val="7DFD4F3B"/>
    <w:rsid w:val="7DFF6DDF"/>
    <w:rsid w:val="7E0102A0"/>
    <w:rsid w:val="7E051283"/>
    <w:rsid w:val="7E0756EC"/>
    <w:rsid w:val="7E0F42DD"/>
    <w:rsid w:val="7E0F7A9A"/>
    <w:rsid w:val="7E1418DB"/>
    <w:rsid w:val="7E155892"/>
    <w:rsid w:val="7E157F0D"/>
    <w:rsid w:val="7E281CA4"/>
    <w:rsid w:val="7E295960"/>
    <w:rsid w:val="7E2A3E0D"/>
    <w:rsid w:val="7E2D0A12"/>
    <w:rsid w:val="7E2D1F10"/>
    <w:rsid w:val="7E300461"/>
    <w:rsid w:val="7E31447D"/>
    <w:rsid w:val="7E3624E2"/>
    <w:rsid w:val="7E374B3D"/>
    <w:rsid w:val="7E39207A"/>
    <w:rsid w:val="7E3923BD"/>
    <w:rsid w:val="7E3A3B9C"/>
    <w:rsid w:val="7E3B6A73"/>
    <w:rsid w:val="7E3E1683"/>
    <w:rsid w:val="7E421EAB"/>
    <w:rsid w:val="7E424DA7"/>
    <w:rsid w:val="7E493316"/>
    <w:rsid w:val="7E494C31"/>
    <w:rsid w:val="7E4B74C4"/>
    <w:rsid w:val="7E4D4970"/>
    <w:rsid w:val="7E56366C"/>
    <w:rsid w:val="7E5C455F"/>
    <w:rsid w:val="7E5D1972"/>
    <w:rsid w:val="7E665C93"/>
    <w:rsid w:val="7E7202C2"/>
    <w:rsid w:val="7E7351C8"/>
    <w:rsid w:val="7E770487"/>
    <w:rsid w:val="7E775170"/>
    <w:rsid w:val="7E7923D0"/>
    <w:rsid w:val="7E7F392C"/>
    <w:rsid w:val="7E8B2AFD"/>
    <w:rsid w:val="7E8B4170"/>
    <w:rsid w:val="7E8C483E"/>
    <w:rsid w:val="7E8D3EA1"/>
    <w:rsid w:val="7E8F654A"/>
    <w:rsid w:val="7E965A3F"/>
    <w:rsid w:val="7E965B3F"/>
    <w:rsid w:val="7E9701A7"/>
    <w:rsid w:val="7E984171"/>
    <w:rsid w:val="7E986BB1"/>
    <w:rsid w:val="7E992495"/>
    <w:rsid w:val="7E993151"/>
    <w:rsid w:val="7E99729E"/>
    <w:rsid w:val="7E9C321D"/>
    <w:rsid w:val="7EA06DFB"/>
    <w:rsid w:val="7EA105A9"/>
    <w:rsid w:val="7EA113FE"/>
    <w:rsid w:val="7EA63840"/>
    <w:rsid w:val="7EA94528"/>
    <w:rsid w:val="7EAF2F96"/>
    <w:rsid w:val="7EB46D5C"/>
    <w:rsid w:val="7EB64085"/>
    <w:rsid w:val="7EB66117"/>
    <w:rsid w:val="7EBE22E5"/>
    <w:rsid w:val="7EC03A5E"/>
    <w:rsid w:val="7EC143A9"/>
    <w:rsid w:val="7EC4540A"/>
    <w:rsid w:val="7EC53A4F"/>
    <w:rsid w:val="7EC6242E"/>
    <w:rsid w:val="7EC66075"/>
    <w:rsid w:val="7ECA4B05"/>
    <w:rsid w:val="7ECE6030"/>
    <w:rsid w:val="7ECE7ABF"/>
    <w:rsid w:val="7ED13FE7"/>
    <w:rsid w:val="7ED41B84"/>
    <w:rsid w:val="7ED43041"/>
    <w:rsid w:val="7EDA4873"/>
    <w:rsid w:val="7EE35514"/>
    <w:rsid w:val="7EEF46B7"/>
    <w:rsid w:val="7EF50CCE"/>
    <w:rsid w:val="7EF55198"/>
    <w:rsid w:val="7EFD3672"/>
    <w:rsid w:val="7EFD6DB4"/>
    <w:rsid w:val="7EFF3F2A"/>
    <w:rsid w:val="7EFF77CC"/>
    <w:rsid w:val="7F05658B"/>
    <w:rsid w:val="7F063B69"/>
    <w:rsid w:val="7F0A3609"/>
    <w:rsid w:val="7F0C43EC"/>
    <w:rsid w:val="7F100840"/>
    <w:rsid w:val="7F125DAC"/>
    <w:rsid w:val="7F166E48"/>
    <w:rsid w:val="7F1D23B0"/>
    <w:rsid w:val="7F2500E7"/>
    <w:rsid w:val="7F272E03"/>
    <w:rsid w:val="7F2B1361"/>
    <w:rsid w:val="7F2B5B94"/>
    <w:rsid w:val="7F2E6807"/>
    <w:rsid w:val="7F2F2DF9"/>
    <w:rsid w:val="7F34107C"/>
    <w:rsid w:val="7F34155B"/>
    <w:rsid w:val="7F393E86"/>
    <w:rsid w:val="7F3A45A7"/>
    <w:rsid w:val="7F3E014D"/>
    <w:rsid w:val="7F43643B"/>
    <w:rsid w:val="7F4377CC"/>
    <w:rsid w:val="7F4403A5"/>
    <w:rsid w:val="7F444117"/>
    <w:rsid w:val="7F4706BC"/>
    <w:rsid w:val="7F4B2023"/>
    <w:rsid w:val="7F4D42A0"/>
    <w:rsid w:val="7F4E51F8"/>
    <w:rsid w:val="7F510EF6"/>
    <w:rsid w:val="7F5304C2"/>
    <w:rsid w:val="7F5804CD"/>
    <w:rsid w:val="7F636E4E"/>
    <w:rsid w:val="7F670619"/>
    <w:rsid w:val="7F691A60"/>
    <w:rsid w:val="7F6D1F2B"/>
    <w:rsid w:val="7F7B3D35"/>
    <w:rsid w:val="7F7F0C6C"/>
    <w:rsid w:val="7F882EB8"/>
    <w:rsid w:val="7F89145D"/>
    <w:rsid w:val="7F89654D"/>
    <w:rsid w:val="7F8A5660"/>
    <w:rsid w:val="7F8E45E4"/>
    <w:rsid w:val="7F944F21"/>
    <w:rsid w:val="7F991BDB"/>
    <w:rsid w:val="7F9C2356"/>
    <w:rsid w:val="7F9D1ADB"/>
    <w:rsid w:val="7FA016C7"/>
    <w:rsid w:val="7FA5461E"/>
    <w:rsid w:val="7FA647F4"/>
    <w:rsid w:val="7FAD0186"/>
    <w:rsid w:val="7FAF6FA6"/>
    <w:rsid w:val="7FB36A1B"/>
    <w:rsid w:val="7FB6277A"/>
    <w:rsid w:val="7FBC4C17"/>
    <w:rsid w:val="7FBE5931"/>
    <w:rsid w:val="7FC201F5"/>
    <w:rsid w:val="7FC2027E"/>
    <w:rsid w:val="7FCB2C98"/>
    <w:rsid w:val="7FCB539B"/>
    <w:rsid w:val="7FD011CB"/>
    <w:rsid w:val="7FD36D8E"/>
    <w:rsid w:val="7FD501FD"/>
    <w:rsid w:val="7FD56F82"/>
    <w:rsid w:val="7FD81641"/>
    <w:rsid w:val="7FDB537B"/>
    <w:rsid w:val="7FDD5305"/>
    <w:rsid w:val="7FDF474C"/>
    <w:rsid w:val="7FE33310"/>
    <w:rsid w:val="7FE64A6C"/>
    <w:rsid w:val="7FED5BA3"/>
    <w:rsid w:val="7FF57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1"/>
    <w:qFormat/>
    <w:uiPriority w:val="0"/>
    <w:pPr>
      <w:keepNext/>
      <w:keepLines/>
      <w:spacing w:line="360" w:lineRule="auto"/>
      <w:jc w:val="left"/>
      <w:outlineLvl w:val="0"/>
    </w:pPr>
    <w:rPr>
      <w:b/>
      <w:bCs/>
      <w:kern w:val="44"/>
      <w:sz w:val="30"/>
      <w:szCs w:val="52"/>
    </w:rPr>
  </w:style>
  <w:style w:type="paragraph" w:styleId="6">
    <w:name w:val="heading 2"/>
    <w:basedOn w:val="1"/>
    <w:next w:val="1"/>
    <w:link w:val="32"/>
    <w:unhideWhenUsed/>
    <w:qFormat/>
    <w:uiPriority w:val="0"/>
    <w:pPr>
      <w:keepNext/>
      <w:keepLines/>
      <w:spacing w:line="360" w:lineRule="auto"/>
      <w:jc w:val="left"/>
      <w:outlineLvl w:val="1"/>
    </w:pPr>
    <w:rPr>
      <w:b/>
      <w:bCs/>
      <w:sz w:val="24"/>
      <w:szCs w:val="32"/>
    </w:rPr>
  </w:style>
  <w:style w:type="paragraph" w:styleId="7">
    <w:name w:val="heading 3"/>
    <w:basedOn w:val="1"/>
    <w:next w:val="1"/>
    <w:unhideWhenUsed/>
    <w:qFormat/>
    <w:uiPriority w:val="0"/>
    <w:pPr>
      <w:keepNext/>
      <w:keepLines/>
      <w:spacing w:line="360" w:lineRule="auto"/>
      <w:outlineLvl w:val="2"/>
    </w:pPr>
    <w:rPr>
      <w:rFonts w:asciiTheme="minorHAnsi" w:hAnsiTheme="minorHAnsi"/>
      <w:b/>
      <w:sz w:val="28"/>
    </w:rPr>
  </w:style>
  <w:style w:type="paragraph" w:styleId="8">
    <w:name w:val="heading 4"/>
    <w:basedOn w:val="1"/>
    <w:next w:val="9"/>
    <w:qFormat/>
    <w:uiPriority w:val="0"/>
    <w:pPr>
      <w:keepNext/>
      <w:spacing w:line="340" w:lineRule="exact"/>
      <w:jc w:val="center"/>
      <w:outlineLvl w:val="3"/>
    </w:pPr>
    <w:rPr>
      <w:b/>
      <w:bCs/>
      <w:sz w:val="24"/>
      <w:szCs w:val="20"/>
    </w:rPr>
  </w:style>
  <w:style w:type="paragraph" w:styleId="10">
    <w:name w:val="heading 5"/>
    <w:basedOn w:val="1"/>
    <w:next w:val="1"/>
    <w:unhideWhenUsed/>
    <w:qFormat/>
    <w:uiPriority w:val="0"/>
    <w:pPr>
      <w:keepNext/>
      <w:adjustRightInd w:val="0"/>
      <w:spacing w:line="320" w:lineRule="exact"/>
      <w:jc w:val="center"/>
      <w:outlineLvl w:val="4"/>
    </w:pPr>
    <w:rPr>
      <w:kern w:val="0"/>
      <w:sz w:val="24"/>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黑体"/>
      <w:szCs w:val="22"/>
    </w:rPr>
  </w:style>
  <w:style w:type="paragraph" w:styleId="3">
    <w:name w:val="Body Text Indent"/>
    <w:basedOn w:val="1"/>
    <w:next w:val="4"/>
    <w:qFormat/>
    <w:uiPriority w:val="0"/>
    <w:pPr>
      <w:spacing w:after="120"/>
      <w:ind w:left="420" w:leftChars="200"/>
    </w:pPr>
    <w:rPr>
      <w:rFonts w:hint="eastAsia"/>
    </w:rPr>
  </w:style>
  <w:style w:type="paragraph" w:styleId="4">
    <w:name w:val="Body Text"/>
    <w:basedOn w:val="1"/>
    <w:next w:val="1"/>
    <w:unhideWhenUsed/>
    <w:qFormat/>
    <w:uiPriority w:val="99"/>
    <w:pPr>
      <w:widowControl/>
      <w:spacing w:line="360" w:lineRule="auto"/>
    </w:pPr>
    <w:rPr>
      <w:kern w:val="0"/>
      <w:sz w:val="28"/>
      <w:szCs w:val="20"/>
    </w:rPr>
  </w:style>
  <w:style w:type="paragraph" w:styleId="9">
    <w:name w:val="Normal Indent"/>
    <w:basedOn w:val="1"/>
    <w:next w:val="1"/>
    <w:qFormat/>
    <w:uiPriority w:val="0"/>
    <w:pPr>
      <w:ind w:firstLine="420" w:firstLineChars="200"/>
    </w:pPr>
    <w:rPr>
      <w:szCs w:val="21"/>
    </w:rPr>
  </w:style>
  <w:style w:type="paragraph" w:styleId="11">
    <w:name w:val="Note Heading"/>
    <w:basedOn w:val="1"/>
    <w:next w:val="1"/>
    <w:qFormat/>
    <w:uiPriority w:val="0"/>
    <w:pPr>
      <w:jc w:val="center"/>
    </w:pPr>
    <w:rPr>
      <w:szCs w:val="20"/>
    </w:rPr>
  </w:style>
  <w:style w:type="paragraph" w:styleId="12">
    <w:name w:val="caption"/>
    <w:basedOn w:val="1"/>
    <w:next w:val="1"/>
    <w:qFormat/>
    <w:uiPriority w:val="35"/>
    <w:pPr>
      <w:spacing w:line="360" w:lineRule="exact"/>
      <w:jc w:val="center"/>
    </w:pPr>
    <w:rPr>
      <w:b/>
      <w:bCs/>
      <w:kern w:val="0"/>
      <w:szCs w:val="21"/>
    </w:rPr>
  </w:style>
  <w:style w:type="paragraph" w:styleId="13">
    <w:name w:val="annotation text"/>
    <w:basedOn w:val="1"/>
    <w:link w:val="60"/>
    <w:qFormat/>
    <w:uiPriority w:val="0"/>
    <w:pPr>
      <w:jc w:val="left"/>
    </w:pPr>
  </w:style>
  <w:style w:type="paragraph" w:styleId="14">
    <w:name w:val="Block Text"/>
    <w:basedOn w:val="1"/>
    <w:next w:val="1"/>
    <w:qFormat/>
    <w:uiPriority w:val="0"/>
    <w:pPr>
      <w:snapToGrid w:val="0"/>
      <w:spacing w:line="408" w:lineRule="auto"/>
      <w:ind w:left="-113" w:right="-510" w:firstLine="510"/>
    </w:pPr>
    <w:rPr>
      <w:sz w:val="24"/>
      <w:szCs w:val="20"/>
    </w:rPr>
  </w:style>
  <w:style w:type="paragraph" w:styleId="15">
    <w:name w:val="Plain Text"/>
    <w:basedOn w:val="1"/>
    <w:qFormat/>
    <w:uiPriority w:val="0"/>
    <w:rPr>
      <w:rFonts w:ascii="宋体" w:hAnsi="Courier New"/>
      <w:szCs w:val="20"/>
    </w:rPr>
  </w:style>
  <w:style w:type="paragraph" w:styleId="16">
    <w:name w:val="List Bullet 5"/>
    <w:basedOn w:val="1"/>
    <w:qFormat/>
    <w:uiPriority w:val="0"/>
    <w:pPr>
      <w:numPr>
        <w:ilvl w:val="0"/>
        <w:numId w:val="1"/>
      </w:numPr>
    </w:pPr>
  </w:style>
  <w:style w:type="paragraph" w:styleId="17">
    <w:name w:val="Date"/>
    <w:basedOn w:val="1"/>
    <w:next w:val="1"/>
    <w:qFormat/>
    <w:uiPriority w:val="0"/>
    <w:rPr>
      <w:sz w:val="28"/>
      <w:szCs w:val="20"/>
    </w:rPr>
  </w:style>
  <w:style w:type="paragraph" w:styleId="18">
    <w:name w:val="Balloon Text"/>
    <w:basedOn w:val="1"/>
    <w:link w:val="52"/>
    <w:qFormat/>
    <w:uiPriority w:val="0"/>
    <w:rPr>
      <w:sz w:val="18"/>
      <w:szCs w:val="18"/>
    </w:rPr>
  </w:style>
  <w:style w:type="paragraph" w:styleId="19">
    <w:name w:val="footer"/>
    <w:basedOn w:val="1"/>
    <w:qFormat/>
    <w:uiPriority w:val="99"/>
    <w:pPr>
      <w:tabs>
        <w:tab w:val="center" w:pos="4153"/>
        <w:tab w:val="right" w:pos="8306"/>
      </w:tabs>
      <w:snapToGrid w:val="0"/>
      <w:jc w:val="left"/>
    </w:pPr>
    <w:rPr>
      <w:kern w:val="0"/>
      <w:sz w:val="18"/>
      <w:szCs w:val="20"/>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List"/>
    <w:basedOn w:val="1"/>
    <w:qFormat/>
    <w:uiPriority w:val="0"/>
    <w:pPr>
      <w:adjustRightInd w:val="0"/>
      <w:spacing w:line="312" w:lineRule="atLeast"/>
      <w:ind w:left="420" w:hanging="420"/>
      <w:textAlignment w:val="baseline"/>
    </w:pPr>
    <w:rPr>
      <w:kern w:val="0"/>
    </w:rPr>
  </w:style>
  <w:style w:type="paragraph" w:styleId="22">
    <w:name w:val="Body Text 2"/>
    <w:basedOn w:val="1"/>
    <w:qFormat/>
    <w:uiPriority w:val="0"/>
    <w:pPr>
      <w:tabs>
        <w:tab w:val="left" w:pos="720"/>
      </w:tabs>
      <w:spacing w:line="360" w:lineRule="auto"/>
    </w:pPr>
    <w:rPr>
      <w:rFonts w:ascii="宋体" w:hAnsi="宋体"/>
      <w:sz w:val="28"/>
      <w:szCs w:val="28"/>
    </w:rPr>
  </w:style>
  <w:style w:type="paragraph" w:styleId="2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4">
    <w:name w:val="annotation subject"/>
    <w:basedOn w:val="13"/>
    <w:next w:val="13"/>
    <w:link w:val="61"/>
    <w:qFormat/>
    <w:uiPriority w:val="0"/>
    <w:rPr>
      <w:b/>
      <w:bCs/>
    </w:rPr>
  </w:style>
  <w:style w:type="paragraph" w:styleId="25">
    <w:name w:val="Body Text First Indent"/>
    <w:basedOn w:val="4"/>
    <w:next w:val="1"/>
    <w:qFormat/>
    <w:uiPriority w:val="0"/>
    <w:pPr>
      <w:ind w:firstLine="420" w:firstLineChars="100"/>
    </w:p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annotation reference"/>
    <w:basedOn w:val="28"/>
    <w:qFormat/>
    <w:uiPriority w:val="0"/>
    <w:rPr>
      <w:sz w:val="21"/>
      <w:szCs w:val="21"/>
    </w:rPr>
  </w:style>
  <w:style w:type="character" w:customStyle="1" w:styleId="31">
    <w:name w:val="标题 1 字符"/>
    <w:basedOn w:val="28"/>
    <w:link w:val="5"/>
    <w:qFormat/>
    <w:locked/>
    <w:uiPriority w:val="99"/>
    <w:rPr>
      <w:rFonts w:ascii="Times New Roman" w:hAnsi="Times New Roman" w:eastAsia="宋体" w:cs="Times New Roman"/>
      <w:b/>
      <w:bCs/>
      <w:kern w:val="44"/>
      <w:sz w:val="30"/>
      <w:szCs w:val="44"/>
    </w:rPr>
  </w:style>
  <w:style w:type="character" w:customStyle="1" w:styleId="32">
    <w:name w:val="标题 2 字符"/>
    <w:basedOn w:val="28"/>
    <w:link w:val="6"/>
    <w:semiHidden/>
    <w:qFormat/>
    <w:locked/>
    <w:uiPriority w:val="99"/>
    <w:rPr>
      <w:rFonts w:ascii="Times New Roman" w:hAnsi="Times New Roman" w:eastAsia="宋体" w:cs="Times New Roman"/>
      <w:b/>
      <w:bCs/>
      <w:sz w:val="24"/>
      <w:szCs w:val="32"/>
    </w:rPr>
  </w:style>
  <w:style w:type="paragraph" w:customStyle="1" w:styleId="33">
    <w:name w:val="7表格内容"/>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34">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5">
    <w:name w:val="07表格内容"/>
    <w:qFormat/>
    <w:uiPriority w:val="0"/>
    <w:pPr>
      <w:widowControl w:val="0"/>
      <w:spacing w:line="360" w:lineRule="exact"/>
      <w:jc w:val="center"/>
    </w:pPr>
    <w:rPr>
      <w:rFonts w:ascii="Times New Roman" w:hAnsi="Times New Roman" w:eastAsia="宋体" w:cs="Times New Roman"/>
      <w:kern w:val="2"/>
      <w:sz w:val="21"/>
      <w:szCs w:val="24"/>
      <w:lang w:val="en-US" w:eastAsia="zh-CN" w:bidi="ar-SA"/>
    </w:rPr>
  </w:style>
  <w:style w:type="character" w:customStyle="1" w:styleId="36">
    <w:name w:val="unnamed1"/>
    <w:qFormat/>
    <w:uiPriority w:val="0"/>
  </w:style>
  <w:style w:type="paragraph" w:customStyle="1" w:styleId="37">
    <w:name w:val="p0"/>
    <w:basedOn w:val="1"/>
    <w:qFormat/>
    <w:uiPriority w:val="0"/>
    <w:rPr>
      <w:szCs w:val="21"/>
    </w:rPr>
  </w:style>
  <w:style w:type="paragraph" w:customStyle="1" w:styleId="38">
    <w:name w:val="Table Paragraph"/>
    <w:basedOn w:val="1"/>
    <w:qFormat/>
    <w:uiPriority w:val="1"/>
    <w:rPr>
      <w:rFonts w:ascii="宋体" w:hAnsi="宋体" w:cs="宋体"/>
      <w:lang w:val="zh-CN" w:bidi="zh-CN"/>
    </w:rPr>
  </w:style>
  <w:style w:type="paragraph" w:customStyle="1" w:styleId="39">
    <w:name w:val="表体（富士康）"/>
    <w:qFormat/>
    <w:uiPriority w:val="0"/>
    <w:pPr>
      <w:adjustRightInd w:val="0"/>
      <w:snapToGrid w:val="0"/>
      <w:jc w:val="center"/>
    </w:pPr>
    <w:rPr>
      <w:rFonts w:ascii="Calibri" w:hAnsi="Calibri" w:eastAsia="宋体" w:cs="宋体"/>
      <w:bCs/>
      <w:kern w:val="2"/>
      <w:sz w:val="21"/>
      <w:szCs w:val="22"/>
      <w:lang w:val="en-US" w:eastAsia="zh-CN" w:bidi="ar-SA"/>
    </w:rPr>
  </w:style>
  <w:style w:type="paragraph" w:customStyle="1" w:styleId="40">
    <w:name w:val="正文1"/>
    <w:basedOn w:val="1"/>
    <w:qFormat/>
    <w:uiPriority w:val="0"/>
    <w:pPr>
      <w:adjustRightInd w:val="0"/>
      <w:snapToGrid w:val="0"/>
      <w:spacing w:line="360" w:lineRule="auto"/>
      <w:ind w:firstLine="510"/>
    </w:pPr>
    <w:rPr>
      <w:sz w:val="24"/>
    </w:rPr>
  </w:style>
  <w:style w:type="paragraph" w:customStyle="1" w:styleId="41">
    <w:name w:val="表头"/>
    <w:basedOn w:val="21"/>
    <w:next w:val="21"/>
    <w:qFormat/>
    <w:uiPriority w:val="0"/>
    <w:pPr>
      <w:snapToGrid w:val="0"/>
      <w:spacing w:line="520" w:lineRule="exact"/>
      <w:ind w:firstLine="360" w:firstLineChars="150"/>
    </w:pPr>
    <w:rPr>
      <w:rFonts w:ascii="黑体" w:hAnsi="宋体" w:eastAsia="黑体"/>
      <w:sz w:val="24"/>
    </w:rPr>
  </w:style>
  <w:style w:type="paragraph" w:customStyle="1" w:styleId="42">
    <w:name w:val="蓝森正文"/>
    <w:basedOn w:val="1"/>
    <w:next w:val="1"/>
    <w:qFormat/>
    <w:uiPriority w:val="0"/>
    <w:pPr>
      <w:spacing w:line="520" w:lineRule="exact"/>
      <w:ind w:firstLine="480" w:firstLineChars="200"/>
    </w:pPr>
    <w:rPr>
      <w:bCs/>
      <w:sz w:val="24"/>
    </w:rPr>
  </w:style>
  <w:style w:type="paragraph" w:customStyle="1" w:styleId="43">
    <w:name w:val="表内字"/>
    <w:basedOn w:val="1"/>
    <w:qFormat/>
    <w:uiPriority w:val="0"/>
    <w:pPr>
      <w:spacing w:line="300" w:lineRule="exact"/>
      <w:jc w:val="center"/>
    </w:pPr>
    <w:rPr>
      <w:szCs w:val="21"/>
    </w:rPr>
  </w:style>
  <w:style w:type="paragraph" w:customStyle="1" w:styleId="44">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45">
    <w:name w:val="表内 定"/>
    <w:basedOn w:val="1"/>
    <w:qFormat/>
    <w:uiPriority w:val="0"/>
    <w:pPr>
      <w:jc w:val="left"/>
    </w:pPr>
    <w:rPr>
      <w:rFonts w:eastAsia="仿宋"/>
      <w:snapToGrid w:val="0"/>
      <w:color w:val="000000"/>
      <w:szCs w:val="22"/>
    </w:rPr>
  </w:style>
  <w:style w:type="paragraph" w:customStyle="1" w:styleId="46">
    <w:name w:val="中文报告书样式"/>
    <w:basedOn w:val="1"/>
    <w:qFormat/>
    <w:uiPriority w:val="0"/>
    <w:pPr>
      <w:adjustRightInd w:val="0"/>
      <w:snapToGrid w:val="0"/>
      <w:spacing w:line="360" w:lineRule="auto"/>
      <w:ind w:firstLine="480" w:firstLineChars="200"/>
      <w:textAlignment w:val="baseline"/>
    </w:pPr>
    <w:rPr>
      <w:kern w:val="24"/>
      <w:sz w:val="24"/>
    </w:rPr>
  </w:style>
  <w:style w:type="paragraph" w:customStyle="1" w:styleId="47">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48">
    <w:name w:val="正文_19"/>
    <w:qFormat/>
    <w:uiPriority w:val="0"/>
    <w:pPr>
      <w:widowControl w:val="0"/>
      <w:jc w:val="both"/>
    </w:pPr>
    <w:rPr>
      <w:rFonts w:ascii="Calibri" w:hAnsi="Calibri" w:eastAsia="宋体" w:cs="Times New Roman"/>
      <w:kern w:val="2"/>
      <w:sz w:val="21"/>
      <w:lang w:val="en-US" w:eastAsia="zh-CN" w:bidi="ar-SA"/>
    </w:rPr>
  </w:style>
  <w:style w:type="paragraph" w:customStyle="1" w:styleId="49">
    <w:name w:val="正文_7"/>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16"/>
    <w:qFormat/>
    <w:uiPriority w:val="0"/>
    <w:pPr>
      <w:widowControl w:val="0"/>
      <w:jc w:val="both"/>
    </w:pPr>
    <w:rPr>
      <w:rFonts w:ascii="Calibri" w:hAnsi="Calibri" w:eastAsia="宋体" w:cs="Times New Roman"/>
      <w:kern w:val="2"/>
      <w:sz w:val="21"/>
      <w:lang w:val="en-US" w:eastAsia="zh-CN" w:bidi="ar-SA"/>
    </w:rPr>
  </w:style>
  <w:style w:type="paragraph" w:customStyle="1" w:styleId="51">
    <w:name w:val="刘正文"/>
    <w:basedOn w:val="1"/>
    <w:qFormat/>
    <w:uiPriority w:val="0"/>
    <w:pPr>
      <w:spacing w:line="460" w:lineRule="exact"/>
      <w:ind w:firstLine="480" w:firstLineChars="200"/>
      <w:jc w:val="left"/>
    </w:pPr>
    <w:rPr>
      <w:color w:val="000000"/>
      <w:sz w:val="24"/>
    </w:rPr>
  </w:style>
  <w:style w:type="character" w:customStyle="1" w:styleId="52">
    <w:name w:val="批注框文本 字符"/>
    <w:basedOn w:val="28"/>
    <w:link w:val="18"/>
    <w:qFormat/>
    <w:uiPriority w:val="0"/>
    <w:rPr>
      <w:kern w:val="2"/>
      <w:sz w:val="18"/>
      <w:szCs w:val="18"/>
    </w:rPr>
  </w:style>
  <w:style w:type="paragraph" w:customStyle="1" w:styleId="53">
    <w:name w:val="Other|1"/>
    <w:basedOn w:val="1"/>
    <w:qFormat/>
    <w:uiPriority w:val="0"/>
    <w:rPr>
      <w:rFonts w:ascii="宋体" w:hAnsi="宋体" w:cs="宋体"/>
      <w:sz w:val="20"/>
      <w:szCs w:val="20"/>
      <w:lang w:val="zh-TW" w:eastAsia="zh-TW" w:bidi="zh-TW"/>
    </w:rPr>
  </w:style>
  <w:style w:type="paragraph" w:customStyle="1" w:styleId="54">
    <w:name w:val="刘表格居中"/>
    <w:basedOn w:val="1"/>
    <w:qFormat/>
    <w:uiPriority w:val="0"/>
    <w:pPr>
      <w:jc w:val="center"/>
    </w:pPr>
    <w:rPr>
      <w:color w:val="000000"/>
      <w:szCs w:val="21"/>
    </w:rPr>
  </w:style>
  <w:style w:type="paragraph" w:customStyle="1" w:styleId="55">
    <w:name w:val="报告表格"/>
    <w:basedOn w:val="1"/>
    <w:qFormat/>
    <w:uiPriority w:val="0"/>
    <w:pPr>
      <w:autoSpaceDE w:val="0"/>
      <w:autoSpaceDN w:val="0"/>
      <w:adjustRightInd w:val="0"/>
      <w:spacing w:before="40" w:after="40"/>
      <w:jc w:val="center"/>
      <w:textAlignment w:val="bottom"/>
    </w:pPr>
    <w:rPr>
      <w:kern w:val="0"/>
      <w:szCs w:val="20"/>
    </w:rPr>
  </w:style>
  <w:style w:type="paragraph" w:customStyle="1" w:styleId="56">
    <w:name w:val="3表格内2级标题"/>
    <w:next w:val="57"/>
    <w:qFormat/>
    <w:uiPriority w:val="0"/>
    <w:pPr>
      <w:spacing w:line="520" w:lineRule="exact"/>
    </w:pPr>
    <w:rPr>
      <w:rFonts w:ascii="Times New Roman" w:hAnsi="Times New Roman" w:eastAsia="楷体" w:cs="Times New Roman"/>
      <w:b/>
      <w:color w:val="000000"/>
      <w:kern w:val="2"/>
      <w:sz w:val="24"/>
      <w:szCs w:val="24"/>
      <w:lang w:val="en-US" w:eastAsia="zh-CN" w:bidi="ar-SA"/>
    </w:rPr>
  </w:style>
  <w:style w:type="paragraph" w:customStyle="1" w:styleId="57">
    <w:name w:val="5正文"/>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8">
    <w:name w:val="05正文"/>
    <w:basedOn w:val="1"/>
    <w:qFormat/>
    <w:uiPriority w:val="0"/>
    <w:pPr>
      <w:spacing w:line="500" w:lineRule="exact"/>
      <w:ind w:firstLine="200" w:firstLineChars="200"/>
    </w:pPr>
    <w:rPr>
      <w:sz w:val="24"/>
    </w:rPr>
  </w:style>
  <w:style w:type="paragraph" w:customStyle="1" w:styleId="59">
    <w:name w:val="铭洁正文 小四 浅蓝 段前: 1 磅 段后: 1 磅 行距: 多倍行距 1.75 字行"/>
    <w:basedOn w:val="1"/>
    <w:qFormat/>
    <w:uiPriority w:val="0"/>
    <w:pPr>
      <w:widowControl/>
      <w:spacing w:before="20" w:after="20" w:line="420" w:lineRule="auto"/>
      <w:ind w:firstLine="200" w:firstLineChars="200"/>
    </w:pPr>
    <w:rPr>
      <w:rFonts w:cs="宋体"/>
      <w:color w:val="3366FF"/>
      <w:sz w:val="24"/>
    </w:rPr>
  </w:style>
  <w:style w:type="character" w:customStyle="1" w:styleId="60">
    <w:name w:val="批注文字 字符"/>
    <w:basedOn w:val="28"/>
    <w:link w:val="13"/>
    <w:qFormat/>
    <w:uiPriority w:val="0"/>
    <w:rPr>
      <w:kern w:val="2"/>
      <w:sz w:val="21"/>
      <w:szCs w:val="24"/>
    </w:rPr>
  </w:style>
  <w:style w:type="character" w:customStyle="1" w:styleId="61">
    <w:name w:val="批注主题 字符"/>
    <w:basedOn w:val="60"/>
    <w:link w:val="24"/>
    <w:qFormat/>
    <w:uiPriority w:val="0"/>
    <w:rPr>
      <w:b/>
      <w:bCs/>
      <w:kern w:val="2"/>
      <w:sz w:val="21"/>
      <w:szCs w:val="24"/>
    </w:rPr>
  </w:style>
  <w:style w:type="paragraph" w:customStyle="1" w:styleId="6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表格文字"/>
    <w:basedOn w:val="1"/>
    <w:qFormat/>
    <w:uiPriority w:val="0"/>
    <w:pPr>
      <w:adjustRightInd w:val="0"/>
      <w:snapToGrid w:val="0"/>
      <w:jc w:val="center"/>
    </w:pPr>
    <w:rPr>
      <w:snapToGrid w:val="0"/>
      <w:kern w:val="0"/>
      <w:sz w:val="24"/>
      <w:szCs w:val="21"/>
    </w:rPr>
  </w:style>
  <w:style w:type="paragraph" w:customStyle="1" w:styleId="64">
    <w:name w:val="内嵌表格"/>
    <w:basedOn w:val="65"/>
    <w:qFormat/>
    <w:uiPriority w:val="0"/>
    <w:rPr>
      <w:b w:val="0"/>
      <w:sz w:val="21"/>
    </w:rPr>
  </w:style>
  <w:style w:type="paragraph" w:customStyle="1" w:styleId="65">
    <w:name w:val="表格表头"/>
    <w:basedOn w:val="1"/>
    <w:qFormat/>
    <w:uiPriority w:val="0"/>
    <w:pPr>
      <w:adjustRightInd w:val="0"/>
      <w:snapToGrid w:val="0"/>
      <w:jc w:val="center"/>
    </w:pPr>
    <w:rPr>
      <w:b/>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56</Pages>
  <Words>35192</Words>
  <Characters>40248</Characters>
  <Lines>445</Lines>
  <Paragraphs>125</Paragraphs>
  <TotalTime>48</TotalTime>
  <ScaleCrop>false</ScaleCrop>
  <LinksUpToDate>false</LinksUpToDate>
  <CharactersWithSpaces>40588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2021-03-05T02:45:00Z</dcterms:created>
  <dc:creator>……</dc:creator>
  <cp:lastModifiedBy>……</cp:lastModifiedBy>
  <cp:lastPrinted>2023-09-06T08:13:44Z</cp:lastPrinted>
  <dcterms:modified xsi:type="dcterms:W3CDTF">2023-09-06T08:52:19Z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61E9694502D946DAA9C9B8540C4AA20F</vt:lpwstr>
  </property>
  <property fmtid="{D5CDD505-2E9C-101B-9397-08002B2CF9AE}" pid="4" name="commondata">
    <vt:lpwstr>eyJoZGlkIjoiNmI2ZDRiODg1ZWQ4NThkZjQwNDJhNjY1NDhlNmQ3ZjQifQ==</vt:lpwstr>
  </property>
</Properties>
</file>