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ascii="方正小标宋简体" w:eastAsia="方正小标宋简体" w:cs="方正小标宋简体" w:hAnsiTheme="majorEastAsia"/>
          <w:bCs/>
          <w:sz w:val="44"/>
          <w:szCs w:val="44"/>
        </w:rPr>
      </w:pPr>
      <w:bookmarkStart w:id="0" w:name="_Toc76683363"/>
      <w:bookmarkStart w:id="1" w:name="_Toc27865"/>
      <w:r>
        <w:rPr>
          <w:rFonts w:hint="eastAsia" w:ascii="方正小标宋简体" w:eastAsia="方正小标宋简体" w:cs="方正小标宋简体" w:hAnsiTheme="majorEastAsia"/>
          <w:bCs/>
          <w:sz w:val="44"/>
          <w:szCs w:val="44"/>
        </w:rPr>
        <w:t>洛阳市偃师区市场监督管理局</w:t>
      </w:r>
      <w:bookmarkEnd w:id="0"/>
      <w:bookmarkEnd w:id="1"/>
    </w:p>
    <w:p>
      <w:pPr>
        <w:spacing w:line="560" w:lineRule="exact"/>
        <w:jc w:val="center"/>
        <w:outlineLvl w:val="0"/>
        <w:rPr>
          <w:rFonts w:ascii="方正小标宋简体" w:eastAsia="方正小标宋简体" w:cs="Mongolian Baiti" w:hAnsiTheme="majorEastAsia"/>
          <w:bCs/>
          <w:color w:val="000000"/>
          <w:sz w:val="44"/>
          <w:szCs w:val="44"/>
        </w:rPr>
      </w:pPr>
      <w:bookmarkStart w:id="2" w:name="_Toc76683364"/>
      <w:r>
        <w:rPr>
          <w:rFonts w:hint="eastAsia" w:ascii="方正小标宋简体" w:eastAsia="方正小标宋简体" w:cs="Mongolian Baiti" w:hAnsiTheme="majorEastAsia"/>
          <w:bCs/>
          <w:color w:val="000000"/>
          <w:sz w:val="44"/>
          <w:szCs w:val="44"/>
        </w:rPr>
        <w:t>行政处罚决定书</w:t>
      </w:r>
      <w:bookmarkEnd w:id="2"/>
    </w:p>
    <w:p>
      <w:pPr>
        <w:widowControl/>
        <w:snapToGrid w:val="0"/>
        <w:spacing w:line="600" w:lineRule="exact"/>
        <w:ind w:firstLine="2560" w:firstLineChars="800"/>
        <w:outlineLvl w:val="1"/>
        <w:rPr>
          <w:rFonts w:ascii="仿宋" w:hAnsi="仿宋" w:eastAsia="仿宋" w:cs="仿宋_GB2312"/>
          <w:bCs/>
          <w:color w:val="000000"/>
          <w:sz w:val="32"/>
          <w:szCs w:val="32"/>
        </w:rPr>
      </w:pPr>
      <w:r>
        <w:rPr>
          <w:rFonts w:hint="eastAsia" w:ascii="仿宋" w:hAnsi="仿宋" w:eastAsia="仿宋" w:cs="仿宋_GB2312"/>
          <w:bCs/>
          <w:color w:val="000000"/>
          <w:sz w:val="32"/>
          <w:szCs w:val="32"/>
        </w:rPr>
        <w:t>偃市监处罚</w:t>
      </w:r>
      <w:bookmarkStart w:id="3" w:name="_Hlk102638369"/>
      <w:r>
        <w:rPr>
          <w:rFonts w:hint="eastAsia" w:ascii="仿宋" w:hAnsi="仿宋" w:eastAsia="仿宋" w:cs="仿宋_GB2312"/>
          <w:bCs/>
          <w:color w:val="000000"/>
          <w:sz w:val="32"/>
          <w:szCs w:val="32"/>
        </w:rPr>
        <w:t>〔2023〕</w:t>
      </w:r>
      <w:bookmarkEnd w:id="3"/>
      <w:r>
        <w:rPr>
          <w:rFonts w:hint="eastAsia" w:ascii="仿宋" w:hAnsi="仿宋" w:eastAsia="仿宋" w:cs="仿宋_GB2312"/>
          <w:bCs/>
          <w:color w:val="000000"/>
          <w:sz w:val="32"/>
          <w:szCs w:val="32"/>
        </w:rPr>
        <w:t>19号</w:t>
      </w:r>
      <w:r>
        <w:rPr>
          <w:rFonts w:ascii="仿宋" w:hAnsi="仿宋" w:eastAsia="仿宋" w:cs="Mongolian Baiti"/>
          <w:color w:val="000000"/>
          <w:sz w:val="32"/>
          <w:szCs w:val="32"/>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20802600</wp:posOffset>
                </wp:positionV>
                <wp:extent cx="5761990" cy="0"/>
                <wp:effectExtent l="0" t="9525" r="10160" b="9525"/>
                <wp:wrapNone/>
                <wp:docPr id="3" name="直接箭头连接符 7"/>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a:effectLst/>
                      </wps:spPr>
                      <wps:bodyPr/>
                    </wps:wsp>
                  </a:graphicData>
                </a:graphic>
              </wp:anchor>
            </w:drawing>
          </mc:Choice>
          <mc:Fallback>
            <w:pict>
              <v:shape id="直接箭头连接符 7" o:spid="_x0000_s1026" o:spt="32" type="#_x0000_t32" style="position:absolute;left:0pt;margin-left:-3pt;margin-top:1638pt;height:0pt;width:453.7pt;z-index:251659264;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grLW/1gAAAAwBAAAPAAAAAAAAAAEAIAAAACIAAABkcnMvZG93&#10;bnJldi54bWxQSwECFAAUAAAACACHTuJAA5KgxgICAAD7AwAADgAAAAAAAAABACAAAAAlAQAAZHJz&#10;L2Uyb0RvYy54bWxQSwUGAAAAAAYABgBZAQAAmQUAAAAA&#10;">
                <v:fill on="f" focussize="0,0"/>
                <v:stroke weight="1.5pt" color="#000000" joinstyle="round"/>
                <v:imagedata o:title=""/>
                <o:lock v:ext="edit" aspectratio="f"/>
              </v:shape>
            </w:pict>
          </mc:Fallback>
        </mc:AlternateContent>
      </w:r>
    </w:p>
    <w:p>
      <w:pPr>
        <w:tabs>
          <w:tab w:val="left" w:pos="284"/>
        </w:tabs>
        <w:spacing w:line="600" w:lineRule="exact"/>
        <w:ind w:right="-197" w:rightChars="-94"/>
        <w:rPr>
          <w:rFonts w:ascii="仿宋" w:hAnsi="仿宋" w:eastAsia="仿宋" w:cs="仿宋"/>
          <w:bCs/>
          <w:sz w:val="32"/>
          <w:szCs w:val="32"/>
        </w:rPr>
      </w:pPr>
    </w:p>
    <w:p>
      <w:pPr>
        <w:tabs>
          <w:tab w:val="left" w:pos="284"/>
        </w:tabs>
        <w:spacing w:line="600" w:lineRule="exact"/>
        <w:ind w:right="-197" w:rightChars="-94"/>
        <w:rPr>
          <w:rFonts w:ascii="仿宋" w:hAnsi="仿宋" w:eastAsia="仿宋"/>
          <w:sz w:val="32"/>
          <w:szCs w:val="32"/>
        </w:rPr>
      </w:pPr>
      <w:r>
        <w:rPr>
          <w:rFonts w:hint="eastAsia" w:ascii="仿宋" w:hAnsi="仿宋" w:eastAsia="仿宋" w:cs="仿宋"/>
          <w:bCs/>
          <w:sz w:val="32"/>
          <w:szCs w:val="32"/>
        </w:rPr>
        <w:t>当事人：</w:t>
      </w:r>
      <w:r>
        <w:rPr>
          <w:rFonts w:hint="eastAsia" w:ascii="仿宋" w:hAnsi="仿宋" w:eastAsia="仿宋"/>
          <w:sz w:val="32"/>
          <w:szCs w:val="32"/>
        </w:rPr>
        <w:t>洛阳市偃师区伊洛街道芳香世家美容店</w:t>
      </w:r>
      <w:bookmarkStart w:id="4" w:name="_GoBack"/>
      <w:bookmarkEnd w:id="4"/>
    </w:p>
    <w:p>
      <w:pPr>
        <w:tabs>
          <w:tab w:val="left" w:pos="284"/>
        </w:tabs>
        <w:spacing w:line="600" w:lineRule="exact"/>
        <w:ind w:right="-197" w:rightChars="-94"/>
        <w:rPr>
          <w:rFonts w:ascii="仿宋" w:hAnsi="仿宋" w:eastAsia="仿宋"/>
          <w:sz w:val="32"/>
          <w:szCs w:val="32"/>
        </w:rPr>
      </w:pPr>
      <w:r>
        <w:rPr>
          <w:rFonts w:hint="eastAsia" w:ascii="仿宋" w:hAnsi="仿宋" w:eastAsia="仿宋"/>
          <w:sz w:val="32"/>
          <w:szCs w:val="32"/>
        </w:rPr>
        <w:t>统一社会信用代码：92410307MA9KTQ238X</w:t>
      </w:r>
    </w:p>
    <w:p>
      <w:pPr>
        <w:tabs>
          <w:tab w:val="left" w:pos="284"/>
        </w:tabs>
        <w:spacing w:line="600" w:lineRule="exact"/>
        <w:ind w:right="-197" w:rightChars="-94"/>
        <w:rPr>
          <w:rFonts w:ascii="仿宋" w:hAnsi="仿宋" w:eastAsia="仿宋" w:cs="仿宋"/>
          <w:bCs/>
          <w:sz w:val="32"/>
          <w:szCs w:val="32"/>
        </w:rPr>
      </w:pPr>
      <w:r>
        <w:rPr>
          <w:rFonts w:hint="eastAsia" w:ascii="仿宋" w:hAnsi="仿宋" w:eastAsia="仿宋" w:cs="仿宋"/>
          <w:bCs/>
          <w:sz w:val="32"/>
          <w:szCs w:val="32"/>
        </w:rPr>
        <w:t>主体资格证照名称：营业执照</w:t>
      </w:r>
    </w:p>
    <w:p>
      <w:pPr>
        <w:tabs>
          <w:tab w:val="left" w:pos="284"/>
        </w:tabs>
        <w:spacing w:line="600" w:lineRule="exact"/>
        <w:ind w:right="-197" w:rightChars="-94"/>
        <w:rPr>
          <w:rFonts w:ascii="仿宋" w:hAnsi="仿宋" w:eastAsia="仿宋" w:cs="仿宋"/>
          <w:sz w:val="32"/>
          <w:szCs w:val="32"/>
        </w:rPr>
      </w:pPr>
      <w:r>
        <w:rPr>
          <w:rFonts w:hint="eastAsia" w:ascii="仿宋" w:hAnsi="仿宋" w:eastAsia="仿宋"/>
          <w:sz w:val="32"/>
          <w:szCs w:val="32"/>
        </w:rPr>
        <w:t>经营者：牛明真</w:t>
      </w:r>
    </w:p>
    <w:p>
      <w:pPr>
        <w:tabs>
          <w:tab w:val="left" w:pos="284"/>
        </w:tabs>
        <w:spacing w:line="600" w:lineRule="exact"/>
        <w:ind w:right="-197" w:rightChars="-94"/>
        <w:rPr>
          <w:rFonts w:ascii="仿宋" w:hAnsi="仿宋" w:eastAsia="仿宋"/>
          <w:sz w:val="32"/>
          <w:szCs w:val="32"/>
        </w:rPr>
      </w:pPr>
      <w:r>
        <w:rPr>
          <w:rFonts w:hint="eastAsia" w:ascii="仿宋" w:hAnsi="仿宋" w:eastAsia="仿宋" w:cs="仿宋"/>
          <w:sz w:val="32"/>
          <w:szCs w:val="32"/>
        </w:rPr>
        <w:t>住所：</w:t>
      </w:r>
      <w:r>
        <w:rPr>
          <w:rFonts w:hint="eastAsia" w:ascii="仿宋" w:hAnsi="仿宋" w:eastAsia="仿宋"/>
          <w:sz w:val="32"/>
          <w:szCs w:val="32"/>
        </w:rPr>
        <w:t>洛阳市偃师区伊洛街道太学路南苑花园东10门市</w:t>
      </w:r>
    </w:p>
    <w:p>
      <w:pPr>
        <w:tabs>
          <w:tab w:val="left" w:pos="284"/>
        </w:tabs>
        <w:spacing w:line="600" w:lineRule="exact"/>
        <w:ind w:right="-197" w:rightChars="-94"/>
        <w:rPr>
          <w:rFonts w:ascii="仿宋" w:hAnsi="仿宋" w:eastAsia="仿宋" w:cs="仿宋"/>
          <w:sz w:val="32"/>
          <w:szCs w:val="32"/>
        </w:rPr>
      </w:pPr>
    </w:p>
    <w:p>
      <w:pPr>
        <w:pStyle w:val="3"/>
        <w:autoSpaceDN/>
        <w:adjustRightInd/>
        <w:spacing w:line="600" w:lineRule="exact"/>
        <w:ind w:left="105" w:leftChars="50" w:right="-105" w:rightChars="-50" w:firstLine="640" w:firstLineChars="200"/>
        <w:rPr>
          <w:rFonts w:ascii="仿宋" w:hAnsi="仿宋" w:eastAsia="仿宋"/>
        </w:rPr>
      </w:pPr>
      <w:r>
        <w:rPr>
          <w:rFonts w:hint="eastAsia" w:ascii="仿宋" w:hAnsi="仿宋" w:eastAsia="仿宋"/>
        </w:rPr>
        <w:t>2023年3月1日，我局执法人员对当事人进行现场检查，发现其店内货架上摆放有3种超过使用期限的化妆品，执法人员依法对涉案超过使用期限的化妆品进行扣押。为进一步调查事实，同日对其立案。立案后执法人员通过询问当事人，调取有关证据等方式对案件进行了调查。</w:t>
      </w:r>
    </w:p>
    <w:p>
      <w:pPr>
        <w:pStyle w:val="3"/>
        <w:autoSpaceDN/>
        <w:adjustRightInd/>
        <w:spacing w:line="600" w:lineRule="exact"/>
        <w:ind w:left="105" w:leftChars="50" w:right="-105" w:rightChars="-50" w:firstLine="640" w:firstLineChars="200"/>
        <w:rPr>
          <w:rFonts w:ascii="仿宋" w:hAnsi="仿宋" w:eastAsia="仿宋"/>
        </w:rPr>
      </w:pPr>
      <w:r>
        <w:rPr>
          <w:rFonts w:hint="eastAsia" w:ascii="仿宋" w:hAnsi="仿宋" w:eastAsia="仿宋"/>
        </w:rPr>
        <w:t>当事人经营超过使用期限的3种化妆品</w:t>
      </w:r>
      <w:r>
        <w:rPr>
          <w:rFonts w:hint="eastAsia" w:ascii="仿宋" w:hAnsi="仿宋" w:eastAsia="仿宋"/>
          <w:spacing w:val="-20"/>
        </w:rPr>
        <w:t>，生产厂家、名称、</w:t>
      </w:r>
      <w:r>
        <w:rPr>
          <w:rFonts w:hint="eastAsia" w:ascii="仿宋" w:hAnsi="仿宋" w:eastAsia="仿宋"/>
        </w:rPr>
        <w:t>数量、标注日期等分别为：</w:t>
      </w:r>
      <w:r>
        <w:rPr>
          <w:rFonts w:hint="eastAsia" w:ascii="仿宋" w:hAnsi="仿宋" w:eastAsia="仿宋"/>
          <w:b/>
          <w:bCs/>
        </w:rPr>
        <w:t>1.</w:t>
      </w:r>
      <w:r>
        <w:rPr>
          <w:rFonts w:hint="eastAsia" w:ascii="仿宋" w:hAnsi="仿宋" w:eastAsia="仿宋"/>
        </w:rPr>
        <w:t>广州森麦生物科技有限公司生产的小灯泡滤颜养肤气垫BB霜两盒，生产批号及限期使用日期</w:t>
      </w:r>
      <w:r>
        <w:rPr>
          <w:rFonts w:hint="eastAsia" w:ascii="仿宋" w:hAnsi="仿宋" w:eastAsia="仿宋"/>
          <w:spacing w:val="-20"/>
        </w:rPr>
        <w:t>：见包</w:t>
      </w:r>
      <w:r>
        <w:rPr>
          <w:rFonts w:hint="eastAsia" w:ascii="仿宋" w:hAnsi="仿宋" w:eastAsia="仿宋"/>
        </w:rPr>
        <w:t>装喷码合格品</w:t>
      </w:r>
      <w:r>
        <w:rPr>
          <w:rFonts w:hint="eastAsia" w:ascii="仿宋" w:hAnsi="仿宋" w:eastAsia="仿宋"/>
          <w:spacing w:val="-20"/>
        </w:rPr>
        <w:t>，</w:t>
      </w:r>
      <w:r>
        <w:rPr>
          <w:rFonts w:hint="eastAsia" w:ascii="仿宋" w:hAnsi="仿宋" w:eastAsia="仿宋"/>
        </w:rPr>
        <w:t>包装喷码显示</w:t>
      </w:r>
      <w:r>
        <w:rPr>
          <w:rFonts w:hint="eastAsia" w:ascii="仿宋" w:hAnsi="仿宋" w:eastAsia="仿宋"/>
          <w:spacing w:val="-20"/>
        </w:rPr>
        <w:t>：合格</w:t>
      </w:r>
      <w:r>
        <w:rPr>
          <w:rFonts w:hint="eastAsia" w:ascii="仿宋" w:hAnsi="仿宋" w:eastAsia="仿宋"/>
        </w:rPr>
        <w:t xml:space="preserve"> SM191219001EXP20221218，两盒为同一批次；</w:t>
      </w:r>
      <w:r>
        <w:rPr>
          <w:rFonts w:hint="eastAsia" w:ascii="仿宋" w:hAnsi="仿宋" w:eastAsia="仿宋"/>
          <w:b/>
          <w:bCs/>
        </w:rPr>
        <w:t>2.</w:t>
      </w:r>
      <w:r>
        <w:rPr>
          <w:rFonts w:hint="eastAsia" w:ascii="仿宋" w:hAnsi="仿宋" w:eastAsia="仿宋"/>
        </w:rPr>
        <w:t>广州暨宣生物科技有限公司生产的如妃黄金焕</w:t>
      </w:r>
      <w:r>
        <w:rPr>
          <w:rFonts w:hint="eastAsia" w:ascii="仿宋" w:hAnsi="仿宋" w:eastAsia="仿宋"/>
          <w:spacing w:val="-20"/>
        </w:rPr>
        <w:t>肤（已开封使用）一盒，生产日期见外盒，保质期两年，</w:t>
      </w:r>
      <w:r>
        <w:rPr>
          <w:rFonts w:hint="eastAsia" w:ascii="仿宋" w:hAnsi="仿宋" w:eastAsia="仿宋"/>
        </w:rPr>
        <w:t>其包装喷码显示：MFG2019/07/18,EXP2021/07/17;</w:t>
      </w:r>
      <w:r>
        <w:rPr>
          <w:rFonts w:hint="eastAsia" w:ascii="仿宋" w:hAnsi="仿宋" w:eastAsia="仿宋"/>
          <w:b/>
          <w:bCs/>
        </w:rPr>
        <w:t>3.</w:t>
      </w:r>
      <w:r>
        <w:rPr>
          <w:rFonts w:hint="eastAsia" w:ascii="仿宋" w:hAnsi="仿宋" w:eastAsia="仿宋"/>
        </w:rPr>
        <w:t>广州暨宣生物科技有限公司生产的如妃巧克力焕肤（已开封使用）</w:t>
      </w:r>
      <w:r>
        <w:rPr>
          <w:rFonts w:hint="eastAsia" w:ascii="仿宋" w:hAnsi="仿宋" w:eastAsia="仿宋"/>
          <w:spacing w:val="-20"/>
        </w:rPr>
        <w:t>一盒，生产日</w:t>
      </w:r>
      <w:r>
        <w:rPr>
          <w:rFonts w:hint="eastAsia" w:ascii="仿宋" w:hAnsi="仿宋" w:eastAsia="仿宋"/>
        </w:rPr>
        <w:t>期见外盒</w:t>
      </w:r>
      <w:r>
        <w:rPr>
          <w:rFonts w:hint="eastAsia" w:ascii="仿宋" w:hAnsi="仿宋" w:eastAsia="仿宋"/>
          <w:spacing w:val="-20"/>
        </w:rPr>
        <w:t>，保质期：两年，</w:t>
      </w:r>
      <w:r>
        <w:rPr>
          <w:rFonts w:hint="eastAsia" w:ascii="仿宋" w:hAnsi="仿宋" w:eastAsia="仿宋"/>
        </w:rPr>
        <w:t>包装喷码显示：MFG2018/10/18,EXP2020/10/17。经查，上述超过使用期限的化妆品：</w:t>
      </w:r>
      <w:r>
        <w:rPr>
          <w:rFonts w:hint="eastAsia" w:ascii="仿宋" w:hAnsi="仿宋" w:eastAsia="仿宋"/>
          <w:b/>
          <w:bCs/>
        </w:rPr>
        <w:t>1.</w:t>
      </w:r>
      <w:r>
        <w:rPr>
          <w:rFonts w:hint="eastAsia" w:ascii="仿宋" w:hAnsi="仿宋" w:eastAsia="仿宋"/>
        </w:rPr>
        <w:t>小灯泡滤颜养肤气垫BB霜是当事人刚开业时进货供货商赠送的，未使用；</w:t>
      </w:r>
      <w:r>
        <w:rPr>
          <w:rFonts w:hint="eastAsia" w:ascii="仿宋" w:hAnsi="仿宋" w:eastAsia="仿宋"/>
          <w:b/>
          <w:bCs/>
        </w:rPr>
        <w:t>2.</w:t>
      </w:r>
      <w:r>
        <w:rPr>
          <w:rFonts w:hint="eastAsia" w:ascii="仿宋" w:hAnsi="仿宋" w:eastAsia="仿宋"/>
        </w:rPr>
        <w:t>如妃黄金焕肤和如妃巧克力焕肤是接店时原店主留下的，已使用。</w:t>
      </w:r>
    </w:p>
    <w:p>
      <w:pPr>
        <w:spacing w:line="600" w:lineRule="exact"/>
        <w:ind w:left="105" w:leftChars="50" w:right="-105" w:rightChars="-50" w:firstLine="640" w:firstLineChars="200"/>
        <w:rPr>
          <w:rFonts w:ascii="仿宋" w:hAnsi="仿宋" w:eastAsia="仿宋"/>
          <w:sz w:val="32"/>
          <w:szCs w:val="32"/>
        </w:rPr>
      </w:pPr>
      <w:r>
        <w:rPr>
          <w:rFonts w:hint="eastAsia" w:ascii="仿宋" w:hAnsi="仿宋" w:eastAsia="仿宋"/>
          <w:sz w:val="32"/>
          <w:szCs w:val="32"/>
        </w:rPr>
        <w:t>上述事实，主要有以下证据证明：</w:t>
      </w:r>
    </w:p>
    <w:p>
      <w:pPr>
        <w:spacing w:line="600" w:lineRule="exact"/>
        <w:ind w:left="105" w:leftChars="50" w:right="-105" w:rightChars="-50" w:firstLine="640" w:firstLineChars="200"/>
        <w:jc w:val="left"/>
        <w:rPr>
          <w:rFonts w:ascii="仿宋" w:hAnsi="仿宋" w:eastAsia="仿宋"/>
          <w:sz w:val="32"/>
          <w:szCs w:val="32"/>
        </w:rPr>
      </w:pPr>
      <w:r>
        <w:rPr>
          <w:rFonts w:hint="eastAsia" w:ascii="仿宋" w:hAnsi="仿宋" w:eastAsia="仿宋"/>
          <w:sz w:val="32"/>
          <w:szCs w:val="32"/>
        </w:rPr>
        <w:t>1.当事人营业执照及经营者身份证复印件各1份，证明当事人经营资格及身份情况；</w:t>
      </w:r>
    </w:p>
    <w:p>
      <w:pPr>
        <w:spacing w:line="600" w:lineRule="exact"/>
        <w:ind w:left="105" w:leftChars="50" w:right="-105" w:rightChars="-50" w:firstLine="640" w:firstLineChars="200"/>
        <w:jc w:val="left"/>
        <w:rPr>
          <w:rFonts w:ascii="仿宋" w:hAnsi="仿宋" w:eastAsia="仿宋"/>
          <w:sz w:val="32"/>
          <w:szCs w:val="32"/>
        </w:rPr>
      </w:pPr>
      <w:r>
        <w:rPr>
          <w:rFonts w:hint="eastAsia" w:ascii="仿宋" w:hAnsi="仿宋" w:eastAsia="仿宋"/>
          <w:sz w:val="32"/>
          <w:szCs w:val="32"/>
        </w:rPr>
        <w:t>2.询问笔录，证明当事人经营超过使用期限的化妆品的情况；</w:t>
      </w:r>
    </w:p>
    <w:p>
      <w:pPr>
        <w:spacing w:line="600" w:lineRule="exact"/>
        <w:ind w:left="105" w:leftChars="50" w:right="-105" w:rightChars="-50" w:firstLine="640" w:firstLineChars="200"/>
        <w:jc w:val="left"/>
        <w:rPr>
          <w:rFonts w:ascii="仿宋" w:hAnsi="仿宋" w:eastAsia="仿宋"/>
          <w:sz w:val="32"/>
          <w:szCs w:val="32"/>
        </w:rPr>
      </w:pPr>
      <w:r>
        <w:rPr>
          <w:rFonts w:hint="eastAsia" w:ascii="仿宋" w:hAnsi="仿宋" w:eastAsia="仿宋"/>
          <w:sz w:val="32"/>
          <w:szCs w:val="32"/>
        </w:rPr>
        <w:t>3.现场笔录，证明对当事人现场检查情况；</w:t>
      </w:r>
    </w:p>
    <w:p>
      <w:pPr>
        <w:spacing w:line="600" w:lineRule="exact"/>
        <w:ind w:left="105" w:leftChars="50" w:right="-105" w:rightChars="-50" w:firstLine="640" w:firstLineChars="200"/>
        <w:jc w:val="left"/>
        <w:rPr>
          <w:rFonts w:ascii="仿宋" w:hAnsi="仿宋" w:eastAsia="仿宋"/>
          <w:sz w:val="32"/>
          <w:szCs w:val="32"/>
        </w:rPr>
      </w:pPr>
      <w:r>
        <w:rPr>
          <w:rFonts w:hint="eastAsia" w:ascii="仿宋" w:hAnsi="仿宋" w:eastAsia="仿宋"/>
          <w:sz w:val="32"/>
          <w:szCs w:val="32"/>
        </w:rPr>
        <w:t xml:space="preserve">4.涉案化妆品的照片，证明涉案化妆品的外观情况。                   </w:t>
      </w:r>
    </w:p>
    <w:p>
      <w:pPr>
        <w:widowControl/>
        <w:spacing w:line="600" w:lineRule="exact"/>
        <w:ind w:left="105" w:leftChars="50" w:right="-105" w:rightChars="-50" w:firstLine="640" w:firstLineChars="200"/>
        <w:jc w:val="left"/>
        <w:rPr>
          <w:rFonts w:ascii="仿宋" w:hAnsi="仿宋" w:eastAsia="仿宋" w:cs="宋体"/>
          <w:color w:val="333333"/>
          <w:kern w:val="0"/>
          <w:sz w:val="32"/>
          <w:szCs w:val="32"/>
        </w:rPr>
      </w:pPr>
      <w:r>
        <w:rPr>
          <w:rFonts w:hint="eastAsia" w:ascii="仿宋" w:hAnsi="仿宋" w:eastAsia="仿宋"/>
          <w:sz w:val="32"/>
          <w:szCs w:val="32"/>
        </w:rPr>
        <w:t>当事人经营超过使用期限的化妆品，其行为违反了</w:t>
      </w:r>
      <w:r>
        <w:rPr>
          <w:rFonts w:hint="eastAsia" w:ascii="仿宋" w:hAnsi="仿宋" w:eastAsia="仿宋" w:cs="仿宋"/>
          <w:sz w:val="32"/>
          <w:szCs w:val="32"/>
        </w:rPr>
        <w:t>《化妆品监督管理条例》</w:t>
      </w:r>
      <w:r>
        <w:rPr>
          <w:rFonts w:ascii="仿宋" w:hAnsi="仿宋" w:eastAsia="仿宋" w:cs="宋体"/>
          <w:color w:val="333333"/>
          <w:kern w:val="0"/>
          <w:sz w:val="32"/>
          <w:szCs w:val="32"/>
        </w:rPr>
        <w:t>第三十九条“化妆品生产经营者应当依照有关法律、法规的规定和化妆品标签标示的要求贮存、运输化妆品，定期检查并及时处理变质或者超过使用期限的化妆品。</w:t>
      </w:r>
      <w:r>
        <w:rPr>
          <w:rFonts w:hint="eastAsia" w:ascii="仿宋" w:hAnsi="仿宋" w:eastAsia="仿宋" w:cs="仿宋"/>
          <w:sz w:val="32"/>
          <w:szCs w:val="32"/>
        </w:rPr>
        <w:t>”之规定。</w:t>
      </w:r>
      <w:r>
        <w:rPr>
          <w:rFonts w:hint="eastAsia" w:ascii="仿宋" w:hAnsi="仿宋" w:eastAsia="仿宋"/>
          <w:sz w:val="32"/>
          <w:szCs w:val="32"/>
        </w:rPr>
        <w:t xml:space="preserve">           </w:t>
      </w:r>
    </w:p>
    <w:p>
      <w:pPr>
        <w:spacing w:line="600" w:lineRule="exact"/>
        <w:ind w:left="105" w:leftChars="50" w:right="-105" w:rightChars="-50" w:firstLine="640" w:firstLineChars="200"/>
        <w:rPr>
          <w:rFonts w:ascii="仿宋" w:hAnsi="仿宋" w:eastAsia="仿宋" w:cs="仿宋"/>
          <w:sz w:val="32"/>
          <w:szCs w:val="32"/>
        </w:rPr>
      </w:pPr>
      <w:r>
        <w:rPr>
          <w:rFonts w:hint="eastAsia" w:ascii="仿宋" w:hAnsi="仿宋" w:eastAsia="仿宋" w:cs="宋体"/>
          <w:color w:val="333333"/>
          <w:kern w:val="0"/>
          <w:sz w:val="32"/>
          <w:szCs w:val="32"/>
        </w:rPr>
        <w:t>2023年9月25日，我局向当事人送达偃市监罚告〔2023〕19号《行政处罚告知书》，告知当事人我局拟做出行政处罚决定的事实、理由、依据、内容以及当事</w:t>
      </w:r>
      <w:r>
        <w:rPr>
          <w:rFonts w:hint="eastAsia" w:ascii="仿宋" w:hAnsi="仿宋" w:eastAsia="仿宋" w:cs="仿宋"/>
          <w:color w:val="333333"/>
          <w:sz w:val="32"/>
          <w:szCs w:val="32"/>
        </w:rPr>
        <w:t>人依法享有的陈述权、申辩权。</w:t>
      </w:r>
      <w:r>
        <w:rPr>
          <w:rFonts w:hint="eastAsia" w:ascii="仿宋" w:hAnsi="仿宋" w:eastAsia="仿宋" w:cs="仿宋"/>
          <w:sz w:val="32"/>
          <w:szCs w:val="32"/>
        </w:rPr>
        <w:t>我局认为，根据当事人违法的事实、性质、情节及社会危害性，参照《河南省市场监督管理行政处罚裁量权适用通则》第十条“有下列情形之一的，可以依法从轻或者减轻行政处罚：（一）积极配合市场监管部门调查，如实陈述违法事实并主动提供证据材料的；（二）违法行为轻微且社会危害性较小的；”之规定，可以依法给予其减轻行政处罚。</w:t>
      </w:r>
    </w:p>
    <w:p>
      <w:pPr>
        <w:spacing w:line="600" w:lineRule="exact"/>
        <w:ind w:left="105" w:leftChars="50" w:right="-105" w:rightChars="-50" w:firstLine="640" w:firstLineChars="200"/>
        <w:rPr>
          <w:rFonts w:ascii="仿宋" w:hAnsi="仿宋" w:eastAsia="仿宋"/>
          <w:sz w:val="32"/>
          <w:szCs w:val="32"/>
        </w:rPr>
      </w:pPr>
      <w:r>
        <w:rPr>
          <w:rFonts w:hint="eastAsia" w:ascii="仿宋" w:hAnsi="仿宋" w:eastAsia="仿宋" w:cs="仿宋"/>
          <w:sz w:val="32"/>
          <w:szCs w:val="32"/>
        </w:rPr>
        <w:t>依据《化妆品监督管理条例》第六十条“有下列情形之一的，由负责药品监督管理的部门没收违法所得、违法生产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五)化妆品经营者擅自配制化妆品，或者经营变质、超过使用期限的化妆品;”和《中华人民共和国行政处罚法》</w:t>
      </w:r>
      <w:r>
        <w:rPr>
          <w:rFonts w:ascii="仿宋" w:hAnsi="仿宋" w:eastAsia="仿宋" w:cs="宋体"/>
          <w:bCs/>
          <w:color w:val="333333"/>
          <w:kern w:val="0"/>
          <w:sz w:val="32"/>
          <w:szCs w:val="32"/>
        </w:rPr>
        <w:t>第二十八条</w:t>
      </w:r>
      <w:r>
        <w:rPr>
          <w:rFonts w:ascii="仿宋" w:hAnsi="仿宋" w:eastAsia="仿宋" w:cs="宋体"/>
          <w:color w:val="333333"/>
          <w:kern w:val="0"/>
          <w:sz w:val="32"/>
          <w:szCs w:val="32"/>
        </w:rPr>
        <w:t>第一款：“行政机关实施行政处罚时，应当责令当事人改正或者限期改正违法行为。”</w:t>
      </w:r>
      <w:r>
        <w:rPr>
          <w:rFonts w:hint="eastAsia" w:ascii="仿宋" w:hAnsi="仿宋" w:eastAsia="仿宋" w:cs="仿宋"/>
          <w:sz w:val="32"/>
          <w:szCs w:val="32"/>
        </w:rPr>
        <w:t>之规定。我局经研究，决定责令</w:t>
      </w:r>
      <w:r>
        <w:rPr>
          <w:rFonts w:hint="eastAsia" w:ascii="仿宋" w:hAnsi="仿宋" w:eastAsia="仿宋"/>
          <w:sz w:val="32"/>
          <w:szCs w:val="32"/>
        </w:rPr>
        <w:t>洛阳市偃师区伊洛街道芳香世家美容店</w:t>
      </w:r>
      <w:r>
        <w:rPr>
          <w:rFonts w:ascii="仿宋" w:hAnsi="仿宋" w:eastAsia="仿宋" w:cs="宋体"/>
          <w:color w:val="333333"/>
          <w:kern w:val="0"/>
          <w:sz w:val="32"/>
          <w:szCs w:val="32"/>
        </w:rPr>
        <w:t>改正违法行为，</w:t>
      </w:r>
      <w:r>
        <w:rPr>
          <w:rFonts w:hint="eastAsia" w:ascii="仿宋" w:hAnsi="仿宋" w:eastAsia="仿宋" w:cs="仿宋"/>
          <w:sz w:val="32"/>
          <w:szCs w:val="32"/>
        </w:rPr>
        <w:t>没收涉案3种超过使用期限化妆品</w:t>
      </w:r>
      <w:r>
        <w:rPr>
          <w:rFonts w:hint="eastAsia" w:ascii="仿宋" w:hAnsi="仿宋" w:eastAsia="仿宋"/>
          <w:sz w:val="32"/>
          <w:szCs w:val="32"/>
        </w:rPr>
        <w:t xml:space="preserve">，并处2000元罚款。 </w:t>
      </w:r>
    </w:p>
    <w:p>
      <w:pPr>
        <w:widowControl/>
        <w:spacing w:line="600" w:lineRule="exact"/>
        <w:ind w:left="105" w:leftChars="50" w:right="-105" w:rightChars="-50" w:firstLine="640" w:firstLineChars="200"/>
        <w:rPr>
          <w:rFonts w:ascii="仿宋" w:hAnsi="仿宋" w:eastAsia="仿宋" w:cs="仿宋"/>
          <w:color w:val="333333"/>
          <w:sz w:val="32"/>
          <w:szCs w:val="32"/>
        </w:rPr>
      </w:pPr>
      <w:r>
        <w:rPr>
          <w:rFonts w:hint="eastAsia" w:ascii="仿宋" w:hAnsi="仿宋" w:eastAsia="仿宋" w:cs="仿宋"/>
          <w:color w:val="333333"/>
          <w:sz w:val="32"/>
          <w:szCs w:val="32"/>
        </w:rPr>
        <w:t xml:space="preserve">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  </w:t>
      </w:r>
    </w:p>
    <w:p>
      <w:pPr>
        <w:widowControl/>
        <w:spacing w:line="600" w:lineRule="exact"/>
        <w:ind w:left="105" w:leftChars="50" w:right="-105" w:rightChars="-50" w:firstLine="640" w:firstLineChars="200"/>
        <w:rPr>
          <w:rFonts w:ascii="仿宋" w:hAnsi="仿宋" w:eastAsia="仿宋" w:cs="仿宋"/>
          <w:color w:val="333333"/>
          <w:sz w:val="32"/>
          <w:szCs w:val="32"/>
        </w:rPr>
      </w:pPr>
      <w:r>
        <w:rPr>
          <w:rFonts w:hint="eastAsia" w:ascii="仿宋" w:hAnsi="仿宋" w:eastAsia="仿宋" w:cs="仿宋"/>
          <w:color w:val="333333"/>
          <w:sz w:val="32"/>
          <w:szCs w:val="32"/>
        </w:rPr>
        <w:t>根据《中华人民共和国行政处罚法》第七十二条规定，当事人逾期不履行行政处罚决定的，本机关可以采取以下措施：（一）到期不缴纳罚款的，每日按罚款数额的百分之三加处罚款；（二）申请人民法院强制执行。</w:t>
      </w:r>
    </w:p>
    <w:p>
      <w:pPr>
        <w:widowControl/>
        <w:spacing w:line="600" w:lineRule="exact"/>
        <w:ind w:left="105" w:leftChars="50" w:right="-105" w:rightChars="-50" w:firstLine="640" w:firstLineChars="200"/>
        <w:rPr>
          <w:rFonts w:ascii="仿宋" w:hAnsi="仿宋" w:eastAsia="仿宋" w:cs="仿宋"/>
          <w:color w:val="333333"/>
          <w:sz w:val="32"/>
          <w:szCs w:val="32"/>
        </w:rPr>
      </w:pPr>
      <w:r>
        <w:rPr>
          <w:rFonts w:hint="eastAsia" w:ascii="仿宋" w:hAnsi="仿宋" w:eastAsia="仿宋" w:cs="仿宋"/>
          <w:color w:val="333333"/>
          <w:sz w:val="32"/>
          <w:szCs w:val="32"/>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pStyle w:val="3"/>
        <w:tabs>
          <w:tab w:val="left" w:pos="9072"/>
        </w:tabs>
        <w:spacing w:line="600" w:lineRule="exact"/>
        <w:ind w:left="105" w:leftChars="50" w:right="-105" w:rightChars="-50" w:firstLine="640" w:firstLineChars="200"/>
        <w:jc w:val="right"/>
        <w:rPr>
          <w:rFonts w:ascii="仿宋" w:hAnsi="仿宋" w:eastAsia="仿宋" w:cs="仿宋"/>
          <w:color w:val="000000"/>
        </w:rPr>
      </w:pPr>
      <w:r>
        <w:rPr>
          <w:rFonts w:hint="eastAsia" w:ascii="仿宋" w:hAnsi="仿宋" w:eastAsia="仿宋" w:cs="仿宋"/>
          <w:color w:val="000000"/>
        </w:rPr>
        <w:t>　　　　　　　　</w:t>
      </w:r>
    </w:p>
    <w:p>
      <w:pPr>
        <w:pStyle w:val="3"/>
        <w:tabs>
          <w:tab w:val="left" w:pos="9072"/>
        </w:tabs>
        <w:spacing w:line="600" w:lineRule="exact"/>
        <w:ind w:right="-92" w:rightChars="-44"/>
        <w:jc w:val="center"/>
        <w:rPr>
          <w:rFonts w:ascii="仿宋" w:hAnsi="仿宋" w:eastAsia="仿宋" w:cs="仿宋"/>
          <w:color w:val="000000"/>
        </w:rPr>
      </w:pPr>
      <w:r>
        <w:rPr>
          <w:rFonts w:hint="eastAsia" w:ascii="仿宋" w:hAnsi="仿宋" w:eastAsia="仿宋" w:cs="仿宋"/>
          <w:color w:val="000000"/>
        </w:rPr>
        <w:t xml:space="preserve">        </w:t>
      </w:r>
    </w:p>
    <w:p>
      <w:pPr>
        <w:pStyle w:val="3"/>
        <w:tabs>
          <w:tab w:val="left" w:pos="9072"/>
        </w:tabs>
        <w:spacing w:line="600" w:lineRule="exact"/>
        <w:ind w:right="-92" w:rightChars="-44"/>
        <w:jc w:val="center"/>
        <w:rPr>
          <w:rFonts w:ascii="仿宋" w:hAnsi="仿宋" w:eastAsia="仿宋" w:cs="仿宋"/>
          <w:color w:val="000000"/>
        </w:rPr>
      </w:pPr>
    </w:p>
    <w:p>
      <w:pPr>
        <w:pStyle w:val="3"/>
        <w:tabs>
          <w:tab w:val="left" w:pos="9072"/>
        </w:tabs>
        <w:spacing w:line="600" w:lineRule="exact"/>
        <w:ind w:right="-92" w:rightChars="-44"/>
        <w:jc w:val="center"/>
        <w:rPr>
          <w:rFonts w:ascii="仿宋" w:hAnsi="仿宋" w:eastAsia="仿宋" w:cs="仿宋"/>
          <w:color w:val="000000"/>
        </w:rPr>
      </w:pPr>
      <w:r>
        <w:rPr>
          <w:rFonts w:hint="eastAsia" w:ascii="仿宋" w:hAnsi="仿宋" w:eastAsia="仿宋" w:cs="仿宋"/>
          <w:color w:val="000000"/>
        </w:rPr>
        <w:t xml:space="preserve">            洛阳市偃师区市场监督管理局</w:t>
      </w:r>
    </w:p>
    <w:p>
      <w:pPr>
        <w:pStyle w:val="3"/>
        <w:tabs>
          <w:tab w:val="left" w:pos="9072"/>
        </w:tabs>
        <w:spacing w:line="600" w:lineRule="exact"/>
        <w:ind w:right="-92" w:rightChars="-44" w:firstLine="640" w:firstLineChars="200"/>
        <w:jc w:val="center"/>
        <w:rPr>
          <w:rFonts w:ascii="仿宋" w:hAnsi="仿宋" w:eastAsia="仿宋" w:cs="仿宋"/>
          <w:color w:val="000000"/>
        </w:rPr>
      </w:pPr>
      <w:r>
        <w:rPr>
          <w:rFonts w:hint="eastAsia" w:ascii="仿宋" w:hAnsi="仿宋" w:eastAsia="仿宋" w:cs="仿宋"/>
          <w:color w:val="000000"/>
        </w:rPr>
        <w:t xml:space="preserve">      </w:t>
      </w:r>
    </w:p>
    <w:p>
      <w:pPr>
        <w:pStyle w:val="3"/>
        <w:tabs>
          <w:tab w:val="left" w:pos="9072"/>
        </w:tabs>
        <w:spacing w:line="600" w:lineRule="exact"/>
        <w:ind w:right="-92" w:rightChars="-44" w:firstLine="640" w:firstLineChars="200"/>
        <w:jc w:val="center"/>
        <w:rPr>
          <w:rFonts w:ascii="仿宋" w:hAnsi="仿宋" w:eastAsia="仿宋" w:cs="仿宋"/>
          <w:color w:val="000000"/>
        </w:rPr>
      </w:pPr>
      <w:r>
        <w:rPr>
          <w:rFonts w:hint="eastAsia" w:ascii="仿宋" w:hAnsi="仿宋" w:eastAsia="仿宋" w:cs="仿宋"/>
          <w:color w:val="000000"/>
        </w:rPr>
        <w:t xml:space="preserve">        2023年10月9日</w:t>
      </w:r>
    </w:p>
    <w:p>
      <w:pPr>
        <w:pStyle w:val="3"/>
        <w:tabs>
          <w:tab w:val="left" w:pos="9072"/>
        </w:tabs>
        <w:spacing w:line="600" w:lineRule="exact"/>
        <w:ind w:right="-92" w:rightChars="-44" w:firstLine="640" w:firstLineChars="200"/>
        <w:jc w:val="right"/>
        <w:rPr>
          <w:rFonts w:hint="eastAsia" w:ascii="仿宋" w:hAnsi="仿宋" w:eastAsia="仿宋" w:cs="仿宋"/>
          <w:color w:val="000000"/>
        </w:rPr>
      </w:pPr>
    </w:p>
    <w:p>
      <w:pPr>
        <w:pStyle w:val="3"/>
        <w:tabs>
          <w:tab w:val="left" w:pos="9072"/>
        </w:tabs>
        <w:spacing w:line="620" w:lineRule="exact"/>
        <w:ind w:right="-197" w:rightChars="-94"/>
        <w:jc w:val="both"/>
        <w:rPr>
          <w:rFonts w:ascii="Times New Roman" w:eastAsia="仿宋_GB2312" w:cs="仿宋"/>
          <w:bCs/>
          <w:color w:val="000000"/>
          <w:sz w:val="44"/>
          <w:szCs w:val="44"/>
        </w:rPr>
      </w:pPr>
      <w:r>
        <w:rPr>
          <w:rFonts w:hint="eastAsia" w:ascii="黑体" w:hAnsi="黑体" w:eastAsia="黑体"/>
          <w:color w:val="231F20"/>
          <w:spacing w:val="-16"/>
        </w:rPr>
        <w:t>（市场监督管理部门将依法向社会公开行政处罚决定信息）</w:t>
      </w:r>
    </w:p>
    <w:p>
      <w:pPr>
        <w:spacing w:line="620" w:lineRule="exact"/>
        <w:ind w:left="105" w:leftChars="50"/>
      </w:pPr>
      <w:r>
        <w:rPr>
          <w:rFonts w:ascii="Times New Roman" w:eastAsia="仿宋_GB2312"/>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40005</wp:posOffset>
                </wp:positionV>
                <wp:extent cx="5341620" cy="38100"/>
                <wp:effectExtent l="0" t="0" r="30480" b="19050"/>
                <wp:wrapNone/>
                <wp:docPr id="4" name="直接连接符 6"/>
                <wp:cNvGraphicFramePr/>
                <a:graphic xmlns:a="http://schemas.openxmlformats.org/drawingml/2006/main">
                  <a:graphicData uri="http://schemas.microsoft.com/office/word/2010/wordprocessingShape">
                    <wps:wsp>
                      <wps:cNvCnPr/>
                      <wps:spPr>
                        <a:xfrm flipV="1">
                          <a:off x="0" y="0"/>
                          <a:ext cx="5341620" cy="3810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6" o:spid="_x0000_s1026" o:spt="20" style="position:absolute;left:0pt;flip:y;margin-left:0pt;margin-top:3.15pt;height:3pt;width:420.6pt;z-index:251660288;mso-width-relative:page;mso-height-relative:page;" filled="f" stroked="t" coordsize="21600,21600" o:gfxdata="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5vO+S0wAAAAUBAAAPAAAAAAAAAAEAIAAAACIAAABkcnMvZG93bnJldi54&#10;bWxQSwECFAAUAAAACACHTuJA9P8TqP8BAAD1AwAADgAAAAAAAAABACAAAAAiAQAAZHJzL2Uyb0Rv&#10;Yy54bWxQSwUGAAAAAAYABgBZAQAAkwUAAAAA&#10;">
                <v:fill on="f" focussize="0,0"/>
                <v:stroke weight="1.25pt" color="#000000" joinstyle="round"/>
                <v:imagedata o:title=""/>
                <o:lock v:ext="edit" aspectratio="f"/>
              </v:line>
            </w:pict>
          </mc:Fallback>
        </mc:AlternateContent>
      </w:r>
      <w:r>
        <w:rPr>
          <w:rFonts w:ascii="Times New Roman" w:hAnsi="Times New Roman" w:eastAsia="仿宋_GB2312" w:cs="仿宋"/>
          <w:bCs/>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5" name="直接连接符 5"/>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vv85HXAAAACgEAAA8AAAAAAAAAAQAgAAAAIgAAAGRycy9kb3ducmV2LnhtbFBLAQIU&#10;ABQAAAAIAIdO4kA0kUzI9AEAAOcDAAAOAAAAAAAAAAEAIAAAACYBAABkcnMvZTJvRG9jLnhtbFBL&#10;BQYAAAAABgAGAFkBAACM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rPr>
        <w:t>本文书一式</w:t>
      </w:r>
      <w:r>
        <w:rPr>
          <w:rFonts w:hint="eastAsia" w:ascii="Times New Roman" w:hAnsi="Times New Roman" w:eastAsia="仿宋_GB2312" w:cs="仿宋"/>
          <w:color w:val="000000"/>
          <w:sz w:val="32"/>
          <w:szCs w:val="32"/>
          <w:u w:val="single"/>
        </w:rPr>
        <w:t>三</w:t>
      </w:r>
      <w:r>
        <w:rPr>
          <w:rFonts w:hint="eastAsia" w:ascii="Times New Roman" w:hAnsi="Times New Roman" w:eastAsia="仿宋_GB2312" w:cs="仿宋"/>
          <w:color w:val="000000"/>
          <w:sz w:val="32"/>
          <w:szCs w:val="32"/>
        </w:rPr>
        <w:t>份，</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份送达，</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份归档，</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份办案机构留存。</w:t>
      </w:r>
    </w:p>
    <w:sectPr>
      <w:footerReference r:id="rId3" w:type="default"/>
      <w:pgSz w:w="11906" w:h="16838"/>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7668103"/>
    </w:sdtPr>
    <w:sdtContent>
      <w:p>
        <w:pPr>
          <w:pStyle w:val="7"/>
          <w:jc w:val="center"/>
        </w:pPr>
        <w:r>
          <w:fldChar w:fldCharType="begin"/>
        </w:r>
        <w:r>
          <w:instrText xml:space="preserve">PAGE   \* MERGEFORMAT</w:instrText>
        </w:r>
        <w:r>
          <w:fldChar w:fldCharType="separate"/>
        </w:r>
        <w:r>
          <w:rPr>
            <w:lang w:val="zh-CN"/>
          </w:rPr>
          <w:t>7</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3E647B"/>
    <w:rsid w:val="00046C35"/>
    <w:rsid w:val="000549E7"/>
    <w:rsid w:val="0006455A"/>
    <w:rsid w:val="00081729"/>
    <w:rsid w:val="00106802"/>
    <w:rsid w:val="0011193D"/>
    <w:rsid w:val="00123547"/>
    <w:rsid w:val="001540C2"/>
    <w:rsid w:val="00157315"/>
    <w:rsid w:val="001625A1"/>
    <w:rsid w:val="00182CEB"/>
    <w:rsid w:val="001C14D0"/>
    <w:rsid w:val="001C406E"/>
    <w:rsid w:val="001C4E81"/>
    <w:rsid w:val="001E212C"/>
    <w:rsid w:val="001F6BAC"/>
    <w:rsid w:val="002A02FF"/>
    <w:rsid w:val="002F38F8"/>
    <w:rsid w:val="00300636"/>
    <w:rsid w:val="00306F98"/>
    <w:rsid w:val="00361C2D"/>
    <w:rsid w:val="00382311"/>
    <w:rsid w:val="003934E4"/>
    <w:rsid w:val="003B1E8D"/>
    <w:rsid w:val="003B3F77"/>
    <w:rsid w:val="003D0988"/>
    <w:rsid w:val="003D3277"/>
    <w:rsid w:val="003D4F20"/>
    <w:rsid w:val="003D5864"/>
    <w:rsid w:val="003E647B"/>
    <w:rsid w:val="003F2CF4"/>
    <w:rsid w:val="00413AA6"/>
    <w:rsid w:val="00431979"/>
    <w:rsid w:val="00450659"/>
    <w:rsid w:val="004741F6"/>
    <w:rsid w:val="004912F3"/>
    <w:rsid w:val="004A35C6"/>
    <w:rsid w:val="004A4160"/>
    <w:rsid w:val="004A7FE3"/>
    <w:rsid w:val="004C77DA"/>
    <w:rsid w:val="004F2B1A"/>
    <w:rsid w:val="004F2E1E"/>
    <w:rsid w:val="00501139"/>
    <w:rsid w:val="00514837"/>
    <w:rsid w:val="005308E1"/>
    <w:rsid w:val="00554245"/>
    <w:rsid w:val="00566DAF"/>
    <w:rsid w:val="00586696"/>
    <w:rsid w:val="005A047F"/>
    <w:rsid w:val="005D2ED6"/>
    <w:rsid w:val="005E18DD"/>
    <w:rsid w:val="0060000A"/>
    <w:rsid w:val="00641313"/>
    <w:rsid w:val="00670764"/>
    <w:rsid w:val="006E0682"/>
    <w:rsid w:val="006F53DF"/>
    <w:rsid w:val="0070092B"/>
    <w:rsid w:val="007207C1"/>
    <w:rsid w:val="00726FCE"/>
    <w:rsid w:val="00746F40"/>
    <w:rsid w:val="00774F7D"/>
    <w:rsid w:val="007946F5"/>
    <w:rsid w:val="007B4BF9"/>
    <w:rsid w:val="007C0885"/>
    <w:rsid w:val="007C2FF7"/>
    <w:rsid w:val="007D18F5"/>
    <w:rsid w:val="007F0321"/>
    <w:rsid w:val="00811BB6"/>
    <w:rsid w:val="0081583D"/>
    <w:rsid w:val="00841C45"/>
    <w:rsid w:val="00856E61"/>
    <w:rsid w:val="008761F6"/>
    <w:rsid w:val="00883536"/>
    <w:rsid w:val="0089608C"/>
    <w:rsid w:val="008B0C53"/>
    <w:rsid w:val="008B77FD"/>
    <w:rsid w:val="008C05D9"/>
    <w:rsid w:val="008E00B5"/>
    <w:rsid w:val="00934A26"/>
    <w:rsid w:val="00994548"/>
    <w:rsid w:val="009A54D8"/>
    <w:rsid w:val="009B4535"/>
    <w:rsid w:val="009F17C3"/>
    <w:rsid w:val="00A1348C"/>
    <w:rsid w:val="00A36BDF"/>
    <w:rsid w:val="00A70CBE"/>
    <w:rsid w:val="00AB6B7F"/>
    <w:rsid w:val="00AD0AFE"/>
    <w:rsid w:val="00AD12CD"/>
    <w:rsid w:val="00B00F92"/>
    <w:rsid w:val="00B02D2D"/>
    <w:rsid w:val="00B30859"/>
    <w:rsid w:val="00B41B06"/>
    <w:rsid w:val="00B46970"/>
    <w:rsid w:val="00B673C3"/>
    <w:rsid w:val="00B76462"/>
    <w:rsid w:val="00B96F19"/>
    <w:rsid w:val="00BD6B33"/>
    <w:rsid w:val="00BF3A1E"/>
    <w:rsid w:val="00C218DF"/>
    <w:rsid w:val="00C60732"/>
    <w:rsid w:val="00C62CBD"/>
    <w:rsid w:val="00CA06E1"/>
    <w:rsid w:val="00CF283D"/>
    <w:rsid w:val="00D0391A"/>
    <w:rsid w:val="00D23099"/>
    <w:rsid w:val="00D40ED5"/>
    <w:rsid w:val="00D51FE4"/>
    <w:rsid w:val="00D71F71"/>
    <w:rsid w:val="00D84B5A"/>
    <w:rsid w:val="00D87AD5"/>
    <w:rsid w:val="00DB7C4F"/>
    <w:rsid w:val="00DD436A"/>
    <w:rsid w:val="00DE5147"/>
    <w:rsid w:val="00E14F08"/>
    <w:rsid w:val="00E5081F"/>
    <w:rsid w:val="00E54EE9"/>
    <w:rsid w:val="00E72921"/>
    <w:rsid w:val="00E7733B"/>
    <w:rsid w:val="00EA171B"/>
    <w:rsid w:val="00F05C55"/>
    <w:rsid w:val="00F262C7"/>
    <w:rsid w:val="00F44A22"/>
    <w:rsid w:val="00F536F2"/>
    <w:rsid w:val="00F63455"/>
    <w:rsid w:val="00F921DF"/>
    <w:rsid w:val="00FB1953"/>
    <w:rsid w:val="00FC1BB6"/>
    <w:rsid w:val="00FE7F62"/>
    <w:rsid w:val="00FF1F8A"/>
    <w:rsid w:val="01EE425D"/>
    <w:rsid w:val="05832791"/>
    <w:rsid w:val="0ABB4F52"/>
    <w:rsid w:val="0D757862"/>
    <w:rsid w:val="0F4A2ED1"/>
    <w:rsid w:val="10B36ECA"/>
    <w:rsid w:val="12CE2013"/>
    <w:rsid w:val="130644E0"/>
    <w:rsid w:val="16851020"/>
    <w:rsid w:val="1BEB02DC"/>
    <w:rsid w:val="1D5A00B4"/>
    <w:rsid w:val="2186637E"/>
    <w:rsid w:val="21A84B2B"/>
    <w:rsid w:val="275B0D04"/>
    <w:rsid w:val="29E82357"/>
    <w:rsid w:val="2AB3780D"/>
    <w:rsid w:val="2CF4766E"/>
    <w:rsid w:val="31CA01EC"/>
    <w:rsid w:val="31D317C4"/>
    <w:rsid w:val="368D36C1"/>
    <w:rsid w:val="3800390E"/>
    <w:rsid w:val="382537C5"/>
    <w:rsid w:val="38B269A6"/>
    <w:rsid w:val="3A5635BF"/>
    <w:rsid w:val="3AD16589"/>
    <w:rsid w:val="3AD2742F"/>
    <w:rsid w:val="3CD46AC6"/>
    <w:rsid w:val="40E53C2C"/>
    <w:rsid w:val="45D27B6E"/>
    <w:rsid w:val="499155BB"/>
    <w:rsid w:val="4B3C5C95"/>
    <w:rsid w:val="4B7E4F9D"/>
    <w:rsid w:val="4C6C0DEF"/>
    <w:rsid w:val="4E3761B1"/>
    <w:rsid w:val="52300070"/>
    <w:rsid w:val="5C1E5005"/>
    <w:rsid w:val="5FCD5F0C"/>
    <w:rsid w:val="603366AC"/>
    <w:rsid w:val="64B97589"/>
    <w:rsid w:val="65116B9B"/>
    <w:rsid w:val="67EF7B27"/>
    <w:rsid w:val="68BD6769"/>
    <w:rsid w:val="6A3C4B51"/>
    <w:rsid w:val="6A3F3C77"/>
    <w:rsid w:val="6D3E20DF"/>
    <w:rsid w:val="707B2941"/>
    <w:rsid w:val="74437E9D"/>
    <w:rsid w:val="7F8408D9"/>
    <w:rsid w:val="7FA607A5"/>
    <w:rsid w:val="7FE81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Body Text Indent"/>
    <w:basedOn w:val="1"/>
    <w:qFormat/>
    <w:uiPriority w:val="0"/>
    <w:pPr>
      <w:spacing w:after="120"/>
      <w:ind w:left="420" w:leftChars="200"/>
    </w:pPr>
  </w:style>
  <w:style w:type="paragraph" w:styleId="5">
    <w:name w:val="Date"/>
    <w:basedOn w:val="1"/>
    <w:next w:val="1"/>
    <w:link w:val="17"/>
    <w:qFormat/>
    <w:uiPriority w:val="0"/>
    <w:pPr>
      <w:ind w:left="100" w:leftChars="2500"/>
    </w:pPr>
  </w:style>
  <w:style w:type="paragraph" w:styleId="6">
    <w:name w:val="Balloon Text"/>
    <w:basedOn w:val="1"/>
    <w:link w:val="18"/>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0">
    <w:name w:val="Body Text First Indent 2"/>
    <w:basedOn w:val="4"/>
    <w:qFormat/>
    <w:uiPriority w:val="0"/>
    <w:pPr>
      <w:ind w:firstLine="420" w:firstLineChars="200"/>
    </w:pPr>
  </w:style>
  <w:style w:type="character" w:styleId="13">
    <w:name w:val="Hyperlink"/>
    <w:basedOn w:val="12"/>
    <w:qFormat/>
    <w:uiPriority w:val="0"/>
    <w:rPr>
      <w:color w:val="0563C1" w:themeColor="hyperlink"/>
      <w:u w:val="single"/>
      <w14:textFill>
        <w14:solidFill>
          <w14:schemeClr w14:val="hlink"/>
        </w14:solidFill>
      </w14:textFill>
    </w:rPr>
  </w:style>
  <w:style w:type="paragraph" w:customStyle="1" w:styleId="14">
    <w:name w:val="Table Paragraph"/>
    <w:basedOn w:val="1"/>
    <w:qFormat/>
    <w:uiPriority w:val="1"/>
  </w:style>
  <w:style w:type="character" w:customStyle="1" w:styleId="15">
    <w:name w:val="页眉 字符"/>
    <w:basedOn w:val="12"/>
    <w:link w:val="8"/>
    <w:qFormat/>
    <w:uiPriority w:val="0"/>
    <w:rPr>
      <w:kern w:val="2"/>
      <w:sz w:val="18"/>
      <w:szCs w:val="18"/>
    </w:rPr>
  </w:style>
  <w:style w:type="character" w:customStyle="1" w:styleId="16">
    <w:name w:val="页脚 字符"/>
    <w:basedOn w:val="12"/>
    <w:link w:val="7"/>
    <w:qFormat/>
    <w:uiPriority w:val="99"/>
    <w:rPr>
      <w:kern w:val="2"/>
      <w:sz w:val="18"/>
      <w:szCs w:val="18"/>
    </w:rPr>
  </w:style>
  <w:style w:type="character" w:customStyle="1" w:styleId="17">
    <w:name w:val="日期 字符"/>
    <w:basedOn w:val="12"/>
    <w:link w:val="5"/>
    <w:qFormat/>
    <w:uiPriority w:val="0"/>
    <w:rPr>
      <w:kern w:val="2"/>
      <w:sz w:val="21"/>
      <w:szCs w:val="24"/>
    </w:rPr>
  </w:style>
  <w:style w:type="character" w:customStyle="1" w:styleId="18">
    <w:name w:val="批注框文本 字符"/>
    <w:basedOn w:val="12"/>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9B026B-4B97-4B36-99A1-748B280B7802}">
  <ds:schemaRefs/>
</ds:datastoreItem>
</file>

<file path=docProps/app.xml><?xml version="1.0" encoding="utf-8"?>
<Properties xmlns="http://schemas.openxmlformats.org/officeDocument/2006/extended-properties" xmlns:vt="http://schemas.openxmlformats.org/officeDocument/2006/docPropsVTypes">
  <Template>Normal.dotm</Template>
  <Pages>4</Pages>
  <Words>351</Words>
  <Characters>2003</Characters>
  <Lines>16</Lines>
  <Paragraphs>4</Paragraphs>
  <TotalTime>2</TotalTime>
  <ScaleCrop>false</ScaleCrop>
  <LinksUpToDate>false</LinksUpToDate>
  <CharactersWithSpaces>2350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2023-10-09T03:19:00Z</dcterms:created>
  <dc:creator>lenovo</dc:creator>
  <cp:lastModifiedBy>王建清</cp:lastModifiedBy>
  <cp:lastPrinted>2022-12-06T09:13:00Z</cp:lastPrinted>
  <dcterms:modified xsi:type="dcterms:W3CDTF">2023-12-04T07:46:19Z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11BAA3EBCA3E4D81848D88A6713A7B06_13</vt:lpwstr>
  </property>
</Properties>
</file>