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jc w:val="right"/>
        <w:rPr>
          <w:rFonts w:ascii="仿宋" w:hAnsi="仿宋" w:eastAsia="仿宋" w:cs="仿宋_GB2312"/>
          <w:sz w:val="36"/>
          <w:szCs w:val="36"/>
        </w:rPr>
      </w:pPr>
      <w:r>
        <w:rPr>
          <w:rFonts w:hint="eastAsia" w:ascii="仿宋" w:hAnsi="仿宋" w:eastAsia="仿宋" w:cs="仿宋_GB2312"/>
          <w:sz w:val="36"/>
          <w:szCs w:val="36"/>
        </w:rPr>
        <w:t>报批版</w:t>
      </w:r>
    </w:p>
    <w:p>
      <w:pPr>
        <w:ind w:firstLine="720"/>
        <w:rPr>
          <w:rFonts w:ascii="仿宋_GB2312" w:hAnsi="仿宋_GB2312" w:eastAsia="仿宋_GB2312" w:cs="仿宋_GB2312"/>
          <w:sz w:val="36"/>
          <w:szCs w:val="36"/>
        </w:rPr>
      </w:pPr>
    </w:p>
    <w:p>
      <w:pPr>
        <w:ind w:firstLine="720"/>
        <w:rPr>
          <w:rFonts w:ascii="仿宋_GB2312" w:hAnsi="仿宋_GB2312" w:eastAsia="仿宋_GB2312" w:cs="仿宋_GB2312"/>
          <w:sz w:val="36"/>
          <w:szCs w:val="36"/>
        </w:rPr>
      </w:pPr>
    </w:p>
    <w:p>
      <w:pPr>
        <w:adjustRightInd w:val="0"/>
        <w:snapToGrid w:val="0"/>
        <w:jc w:val="center"/>
        <w:outlineLvl w:val="0"/>
        <w:rPr>
          <w:rFonts w:ascii="方正小标宋_GBK" w:eastAsia="方正小标宋_GBK"/>
          <w:bCs/>
          <w:sz w:val="72"/>
          <w:szCs w:val="72"/>
        </w:rPr>
      </w:pPr>
      <w:bookmarkStart w:id="0" w:name="_Toc114642203"/>
      <w:r>
        <w:rPr>
          <w:rFonts w:hint="eastAsia" w:ascii="方正小标宋_GBK" w:eastAsia="方正小标宋_GBK"/>
          <w:bCs/>
          <w:sz w:val="72"/>
          <w:szCs w:val="72"/>
        </w:rPr>
        <w:t>建设项目环境影响报告表</w:t>
      </w:r>
      <w:bookmarkEnd w:id="0"/>
    </w:p>
    <w:p>
      <w:pPr>
        <w:adjustRightInd w:val="0"/>
        <w:snapToGrid w:val="0"/>
        <w:spacing w:beforeLines="80"/>
        <w:jc w:val="center"/>
        <w:rPr>
          <w:rFonts w:ascii="楷体_GB2312" w:eastAsia="楷体_GB2312"/>
          <w:bCs/>
          <w:sz w:val="48"/>
          <w:szCs w:val="48"/>
        </w:rPr>
      </w:pPr>
      <w:r>
        <w:rPr>
          <w:rFonts w:hint="eastAsia" w:ascii="楷体_GB2312" w:eastAsia="楷体_GB2312"/>
          <w:bCs/>
          <w:sz w:val="48"/>
          <w:szCs w:val="48"/>
        </w:rPr>
        <w:t>（污染影响类）</w:t>
      </w:r>
    </w:p>
    <w:p>
      <w:pPr>
        <w:adjustRightInd w:val="0"/>
        <w:snapToGrid w:val="0"/>
        <w:spacing w:line="288" w:lineRule="auto"/>
        <w:jc w:val="center"/>
        <w:outlineLvl w:val="0"/>
        <w:rPr>
          <w:rFonts w:ascii="华文仿宋" w:hAnsi="华文仿宋" w:eastAsia="华文仿宋" w:cs="华文仿宋"/>
          <w:kern w:val="44"/>
          <w:sz w:val="44"/>
          <w:szCs w:val="44"/>
        </w:rPr>
      </w:pPr>
    </w:p>
    <w:p>
      <w:pPr>
        <w:jc w:val="center"/>
        <w:rPr>
          <w:rFonts w:eastAsia="仿宋"/>
          <w:sz w:val="52"/>
          <w:szCs w:val="52"/>
        </w:rPr>
      </w:pPr>
    </w:p>
    <w:p>
      <w:pPr>
        <w:ind w:firstLine="880"/>
        <w:rPr>
          <w:rFonts w:eastAsia="仿宋"/>
          <w:sz w:val="44"/>
          <w:szCs w:val="44"/>
        </w:rPr>
      </w:pPr>
    </w:p>
    <w:p>
      <w:pPr>
        <w:ind w:firstLine="880"/>
        <w:rPr>
          <w:rFonts w:eastAsia="仿宋"/>
          <w:sz w:val="44"/>
          <w:szCs w:val="44"/>
        </w:rPr>
      </w:pPr>
    </w:p>
    <w:p>
      <w:pPr>
        <w:ind w:firstLine="880"/>
        <w:rPr>
          <w:rFonts w:eastAsia="仿宋"/>
          <w:sz w:val="44"/>
          <w:szCs w:val="44"/>
        </w:rPr>
      </w:pPr>
    </w:p>
    <w:p>
      <w:pPr>
        <w:ind w:firstLine="880"/>
        <w:rPr>
          <w:rFonts w:eastAsia="仿宋"/>
          <w:sz w:val="44"/>
          <w:szCs w:val="44"/>
        </w:rPr>
      </w:pPr>
    </w:p>
    <w:p>
      <w:pPr>
        <w:ind w:firstLine="880"/>
        <w:rPr>
          <w:rFonts w:eastAsia="仿宋"/>
          <w:sz w:val="44"/>
          <w:szCs w:val="44"/>
        </w:rPr>
      </w:pPr>
    </w:p>
    <w:p>
      <w:pPr>
        <w:ind w:firstLine="880"/>
        <w:rPr>
          <w:rFonts w:eastAsia="仿宋"/>
          <w:sz w:val="44"/>
          <w:szCs w:val="44"/>
        </w:rPr>
      </w:pPr>
    </w:p>
    <w:p>
      <w:pPr>
        <w:ind w:firstLine="880"/>
        <w:rPr>
          <w:rFonts w:eastAsia="仿宋"/>
          <w:sz w:val="44"/>
          <w:szCs w:val="44"/>
        </w:rPr>
      </w:pPr>
    </w:p>
    <w:p>
      <w:pPr>
        <w:ind w:firstLine="880"/>
        <w:rPr>
          <w:rFonts w:eastAsia="仿宋"/>
          <w:sz w:val="44"/>
          <w:szCs w:val="44"/>
        </w:rPr>
      </w:pPr>
    </w:p>
    <w:p>
      <w:pPr>
        <w:ind w:firstLine="880"/>
        <w:rPr>
          <w:rFonts w:hint="eastAsia" w:eastAsia="仿宋"/>
          <w:sz w:val="44"/>
          <w:szCs w:val="44"/>
        </w:rPr>
      </w:pPr>
    </w:p>
    <w:p>
      <w:pPr>
        <w:ind w:firstLine="880"/>
        <w:rPr>
          <w:rFonts w:eastAsia="仿宋"/>
          <w:sz w:val="44"/>
          <w:szCs w:val="44"/>
        </w:rPr>
      </w:pPr>
    </w:p>
    <w:tbl>
      <w:tblPr>
        <w:tblStyle w:val="28"/>
        <w:tblW w:w="4381" w:type="pct"/>
        <w:tblInd w:w="675" w:type="dxa"/>
        <w:tblLayout w:type="autofit"/>
        <w:tblCellMar>
          <w:top w:w="0" w:type="dxa"/>
          <w:left w:w="108" w:type="dxa"/>
          <w:bottom w:w="0" w:type="dxa"/>
          <w:right w:w="108" w:type="dxa"/>
        </w:tblCellMar>
      </w:tblPr>
      <w:tblGrid>
        <w:gridCol w:w="1701"/>
        <w:gridCol w:w="1134"/>
        <w:gridCol w:w="5103"/>
      </w:tblGrid>
      <w:tr>
        <w:tblPrEx>
          <w:tblCellMar>
            <w:top w:w="0" w:type="dxa"/>
            <w:left w:w="108" w:type="dxa"/>
            <w:bottom w:w="0" w:type="dxa"/>
            <w:right w:w="108" w:type="dxa"/>
          </w:tblCellMar>
        </w:tblPrEx>
        <w:tc>
          <w:tcPr>
            <w:tcW w:w="1701" w:type="dxa"/>
            <w:vAlign w:val="center"/>
          </w:tcPr>
          <w:p>
            <w:pPr>
              <w:spacing w:line="288" w:lineRule="auto"/>
              <w:rPr>
                <w:rFonts w:eastAsia="仿宋"/>
                <w:sz w:val="32"/>
                <w:szCs w:val="32"/>
              </w:rPr>
            </w:pPr>
            <w:bookmarkStart w:id="1" w:name="_Hlk57884087"/>
            <w:r>
              <w:rPr>
                <w:rFonts w:hint="eastAsia" w:ascii="仿宋_GB2312" w:eastAsia="仿宋_GB2312"/>
                <w:sz w:val="32"/>
                <w:szCs w:val="32"/>
              </w:rPr>
              <w:t>项目名称：</w:t>
            </w:r>
          </w:p>
        </w:tc>
        <w:tc>
          <w:tcPr>
            <w:tcW w:w="6237" w:type="dxa"/>
            <w:gridSpan w:val="2"/>
            <w:vAlign w:val="center"/>
          </w:tcPr>
          <w:p>
            <w:pPr>
              <w:adjustRightInd w:val="0"/>
              <w:snapToGrid w:val="0"/>
              <w:spacing w:line="288" w:lineRule="auto"/>
              <w:rPr>
                <w:rFonts w:eastAsia="仿宋_GB2312"/>
                <w:spacing w:val="-16"/>
                <w:sz w:val="32"/>
                <w:szCs w:val="32"/>
                <w:u w:val="single"/>
              </w:rPr>
            </w:pPr>
            <w:r>
              <w:rPr>
                <w:rFonts w:hint="eastAsia" w:eastAsia="仿宋_GB2312"/>
                <w:spacing w:val="-16"/>
                <w:sz w:val="32"/>
                <w:szCs w:val="32"/>
                <w:u w:val="single"/>
              </w:rPr>
              <w:t>洛阳东资实业有限公司年产150万条集装袋项目</w:t>
            </w:r>
          </w:p>
        </w:tc>
      </w:tr>
      <w:tr>
        <w:tblPrEx>
          <w:tblCellMar>
            <w:top w:w="0" w:type="dxa"/>
            <w:left w:w="108" w:type="dxa"/>
            <w:bottom w:w="0" w:type="dxa"/>
            <w:right w:w="108" w:type="dxa"/>
          </w:tblCellMar>
        </w:tblPrEx>
        <w:tc>
          <w:tcPr>
            <w:tcW w:w="2835" w:type="dxa"/>
            <w:gridSpan w:val="2"/>
            <w:vAlign w:val="center"/>
          </w:tcPr>
          <w:p>
            <w:pPr>
              <w:spacing w:line="288" w:lineRule="auto"/>
              <w:rPr>
                <w:rFonts w:eastAsia="仿宋"/>
                <w:sz w:val="32"/>
                <w:szCs w:val="32"/>
              </w:rPr>
            </w:pPr>
            <w:r>
              <w:rPr>
                <w:rFonts w:hint="eastAsia" w:eastAsia="仿宋_GB2312"/>
                <w:sz w:val="32"/>
                <w:szCs w:val="32"/>
              </w:rPr>
              <w:t>建设单位（盖章）：</w:t>
            </w:r>
          </w:p>
        </w:tc>
        <w:tc>
          <w:tcPr>
            <w:tcW w:w="5103" w:type="dxa"/>
            <w:vAlign w:val="center"/>
          </w:tcPr>
          <w:p>
            <w:pPr>
              <w:adjustRightInd w:val="0"/>
              <w:snapToGrid w:val="0"/>
              <w:spacing w:line="288" w:lineRule="auto"/>
              <w:rPr>
                <w:rFonts w:eastAsia="仿宋"/>
                <w:sz w:val="32"/>
                <w:szCs w:val="32"/>
                <w:u w:val="single"/>
              </w:rPr>
            </w:pPr>
            <w:r>
              <w:rPr>
                <w:rFonts w:hint="eastAsia" w:eastAsia="仿宋_GB2312"/>
                <w:sz w:val="32"/>
                <w:szCs w:val="32"/>
                <w:u w:val="single"/>
              </w:rPr>
              <w:t xml:space="preserve">洛阳东资实业有限公司           </w:t>
            </w:r>
          </w:p>
        </w:tc>
      </w:tr>
      <w:tr>
        <w:tblPrEx>
          <w:tblCellMar>
            <w:top w:w="0" w:type="dxa"/>
            <w:left w:w="108" w:type="dxa"/>
            <w:bottom w:w="0" w:type="dxa"/>
            <w:right w:w="108" w:type="dxa"/>
          </w:tblCellMar>
        </w:tblPrEx>
        <w:tc>
          <w:tcPr>
            <w:tcW w:w="1701" w:type="dxa"/>
            <w:vAlign w:val="center"/>
          </w:tcPr>
          <w:p>
            <w:pPr>
              <w:spacing w:line="288" w:lineRule="auto"/>
              <w:rPr>
                <w:rFonts w:eastAsia="仿宋"/>
                <w:sz w:val="32"/>
                <w:szCs w:val="32"/>
              </w:rPr>
            </w:pPr>
            <w:r>
              <w:rPr>
                <w:rFonts w:hint="eastAsia" w:eastAsia="仿宋_GB2312"/>
                <w:sz w:val="32"/>
                <w:szCs w:val="32"/>
              </w:rPr>
              <w:t>编制日期：</w:t>
            </w:r>
          </w:p>
        </w:tc>
        <w:tc>
          <w:tcPr>
            <w:tcW w:w="6237" w:type="dxa"/>
            <w:gridSpan w:val="2"/>
            <w:vAlign w:val="center"/>
          </w:tcPr>
          <w:p>
            <w:pPr>
              <w:spacing w:line="288" w:lineRule="auto"/>
              <w:rPr>
                <w:rFonts w:eastAsia="仿宋"/>
                <w:sz w:val="32"/>
                <w:szCs w:val="32"/>
                <w:u w:val="single"/>
              </w:rPr>
            </w:pPr>
            <w:r>
              <w:rPr>
                <w:rFonts w:hint="eastAsia" w:eastAsia="仿宋_GB2312"/>
                <w:sz w:val="32"/>
                <w:szCs w:val="32"/>
                <w:u w:val="single"/>
              </w:rPr>
              <w:t>2023年</w:t>
            </w:r>
            <w:r>
              <w:rPr>
                <w:rFonts w:eastAsia="仿宋_GB2312"/>
                <w:sz w:val="32"/>
                <w:szCs w:val="32"/>
                <w:u w:val="single"/>
              </w:rPr>
              <w:t>1</w:t>
            </w:r>
            <w:r>
              <w:rPr>
                <w:rFonts w:hint="eastAsia" w:eastAsia="仿宋_GB2312"/>
                <w:sz w:val="32"/>
                <w:szCs w:val="32"/>
                <w:u w:val="single"/>
              </w:rPr>
              <w:t xml:space="preserve">2月                          </w:t>
            </w:r>
          </w:p>
        </w:tc>
      </w:tr>
    </w:tbl>
    <w:p>
      <w:pPr>
        <w:adjustRightInd w:val="0"/>
        <w:snapToGrid w:val="0"/>
        <w:spacing w:line="288" w:lineRule="auto"/>
        <w:ind w:firstLine="720"/>
        <w:rPr>
          <w:rFonts w:ascii="仿宋_GB2312" w:eastAsia="仿宋_GB2312"/>
          <w:sz w:val="36"/>
          <w:szCs w:val="36"/>
          <w:u w:val="single"/>
        </w:rPr>
      </w:pPr>
    </w:p>
    <w:bookmarkEnd w:id="1"/>
    <w:p>
      <w:pPr>
        <w:adjustRightInd w:val="0"/>
        <w:snapToGrid w:val="0"/>
        <w:spacing w:line="288" w:lineRule="auto"/>
        <w:jc w:val="center"/>
        <w:rPr>
          <w:rFonts w:ascii="楷体_GB2312" w:eastAsia="楷体_GB2312"/>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r>
        <w:rPr>
          <w:rFonts w:hint="eastAsia" w:ascii="楷体_GB2312" w:eastAsia="楷体_GB2312"/>
          <w:sz w:val="36"/>
          <w:szCs w:val="36"/>
        </w:rPr>
        <w:t>中华人民共和国生态环境部制</w:t>
      </w:r>
    </w:p>
    <w:p>
      <w:pPr>
        <w:pStyle w:val="24"/>
        <w:spacing w:before="120"/>
        <w:rPr>
          <w:snapToGrid w:val="0"/>
        </w:rPr>
      </w:pPr>
      <w:bookmarkStart w:id="2" w:name="_Toc114642628"/>
      <w:r>
        <w:rPr>
          <w:rFonts w:hint="eastAsia"/>
          <w:snapToGrid w:val="0"/>
        </w:rPr>
        <w:t>一、建设项目基本情况</w:t>
      </w:r>
      <w:bookmarkEnd w:id="2"/>
    </w:p>
    <w:tbl>
      <w:tblPr>
        <w:tblStyle w:val="28"/>
        <w:tblW w:w="88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60"/>
        <w:gridCol w:w="1560"/>
        <w:gridCol w:w="1990"/>
        <w:gridCol w:w="1819"/>
        <w:gridCol w:w="224"/>
        <w:gridCol w:w="26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0" w:type="dxa"/>
            <w:gridSpan w:val="2"/>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建设项目名称</w:t>
            </w:r>
          </w:p>
        </w:tc>
        <w:tc>
          <w:tcPr>
            <w:tcW w:w="6710" w:type="dxa"/>
            <w:gridSpan w:val="4"/>
            <w:vAlign w:val="center"/>
          </w:tcPr>
          <w:p>
            <w:pPr>
              <w:adjustRightInd w:val="0"/>
              <w:snapToGrid w:val="0"/>
              <w:jc w:val="center"/>
              <w:rPr>
                <w:sz w:val="24"/>
              </w:rPr>
            </w:pPr>
            <w:r>
              <w:rPr>
                <w:rFonts w:hAnsi="宋体"/>
                <w:sz w:val="24"/>
              </w:rPr>
              <w:t>洛阳东资实业有限公司年产150万条集装袋项目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0" w:type="dxa"/>
            <w:gridSpan w:val="2"/>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项目代码</w:t>
            </w:r>
          </w:p>
        </w:tc>
        <w:tc>
          <w:tcPr>
            <w:tcW w:w="6710" w:type="dxa"/>
            <w:gridSpan w:val="4"/>
            <w:vAlign w:val="center"/>
          </w:tcPr>
          <w:p>
            <w:pPr>
              <w:adjustRightInd w:val="0"/>
              <w:snapToGrid w:val="0"/>
              <w:jc w:val="center"/>
              <w:rPr>
                <w:sz w:val="24"/>
              </w:rPr>
            </w:pPr>
            <w:r>
              <w:rPr>
                <w:rFonts w:hint="eastAsia"/>
                <w:sz w:val="24"/>
              </w:rPr>
              <w:t>2</w:t>
            </w:r>
            <w:r>
              <w:rPr>
                <w:sz w:val="24"/>
              </w:rPr>
              <w:t>301</w:t>
            </w:r>
            <w:r>
              <w:rPr>
                <w:rFonts w:hint="eastAsia"/>
                <w:sz w:val="24"/>
              </w:rPr>
              <w:t>-</w:t>
            </w:r>
            <w:r>
              <w:rPr>
                <w:sz w:val="24"/>
              </w:rPr>
              <w:t>410381</w:t>
            </w:r>
            <w:r>
              <w:rPr>
                <w:rFonts w:hint="eastAsia"/>
                <w:sz w:val="24"/>
              </w:rPr>
              <w:t>-</w:t>
            </w:r>
            <w:r>
              <w:rPr>
                <w:sz w:val="24"/>
              </w:rPr>
              <w:t>04</w:t>
            </w:r>
            <w:r>
              <w:rPr>
                <w:rFonts w:hint="eastAsia"/>
                <w:sz w:val="24"/>
              </w:rPr>
              <w:t>-</w:t>
            </w:r>
            <w:r>
              <w:rPr>
                <w:sz w:val="24"/>
              </w:rPr>
              <w:t>01</w:t>
            </w:r>
            <w:r>
              <w:rPr>
                <w:rFonts w:hint="eastAsia"/>
                <w:sz w:val="24"/>
              </w:rPr>
              <w:t>-</w:t>
            </w:r>
            <w:r>
              <w:rPr>
                <w:sz w:val="24"/>
              </w:rPr>
              <w:t>942083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0" w:type="dxa"/>
            <w:gridSpan w:val="2"/>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建设单位联系人</w:t>
            </w:r>
          </w:p>
        </w:tc>
        <w:tc>
          <w:tcPr>
            <w:tcW w:w="1990" w:type="dxa"/>
            <w:vAlign w:val="center"/>
          </w:tcPr>
          <w:p>
            <w:pPr>
              <w:adjustRightInd w:val="0"/>
              <w:snapToGrid w:val="0"/>
              <w:jc w:val="center"/>
              <w:rPr>
                <w:rFonts w:hint="eastAsia" w:eastAsia="宋体"/>
                <w:sz w:val="24"/>
                <w:lang w:val="en-US" w:eastAsia="zh-CN"/>
              </w:rPr>
            </w:pPr>
            <w:r>
              <w:rPr>
                <w:rFonts w:hint="eastAsia" w:ascii="宋体"/>
                <w:kern w:val="0"/>
                <w:sz w:val="24"/>
              </w:rPr>
              <w:t>薛</w:t>
            </w:r>
            <w:r>
              <w:rPr>
                <w:rFonts w:hint="eastAsia" w:ascii="宋体"/>
                <w:kern w:val="0"/>
                <w:sz w:val="24"/>
                <w:lang w:val="en-US" w:eastAsia="zh-CN"/>
              </w:rPr>
              <w:t>*</w:t>
            </w:r>
          </w:p>
        </w:tc>
        <w:tc>
          <w:tcPr>
            <w:tcW w:w="2043" w:type="dxa"/>
            <w:gridSpan w:val="2"/>
            <w:vAlign w:val="center"/>
          </w:tcPr>
          <w:p>
            <w:pPr>
              <w:adjustRightInd w:val="0"/>
              <w:snapToGrid w:val="0"/>
              <w:jc w:val="center"/>
              <w:rPr>
                <w:sz w:val="24"/>
              </w:rPr>
            </w:pPr>
            <w:r>
              <w:rPr>
                <w:rFonts w:hAnsi="宋体"/>
                <w:sz w:val="24"/>
              </w:rPr>
              <w:t>联系方式</w:t>
            </w:r>
          </w:p>
        </w:tc>
        <w:tc>
          <w:tcPr>
            <w:tcW w:w="2677" w:type="dxa"/>
            <w:vAlign w:val="center"/>
          </w:tcPr>
          <w:p>
            <w:pPr>
              <w:adjustRightInd w:val="0"/>
              <w:snapToGrid w:val="0"/>
              <w:jc w:val="center"/>
              <w:rPr>
                <w:rFonts w:hint="eastAsia" w:eastAsia="宋体"/>
                <w:sz w:val="24"/>
                <w:lang w:eastAsia="zh-CN"/>
              </w:rPr>
            </w:pPr>
            <w:r>
              <w:rPr>
                <w:kern w:val="0"/>
                <w:sz w:val="24"/>
              </w:rPr>
              <w:t>137</w:t>
            </w:r>
            <w:r>
              <w:rPr>
                <w:rFonts w:hint="eastAsia"/>
                <w:kern w:val="0"/>
                <w:sz w:val="24"/>
                <w:lang w:val="en-US" w:eastAsia="zh-CN"/>
              </w:rPr>
              <w:t>*</w:t>
            </w:r>
            <w:bookmarkStart w:id="11" w:name="_GoBack"/>
            <w:bookmarkEnd w:id="1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0" w:type="dxa"/>
            <w:gridSpan w:val="2"/>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建设地点</w:t>
            </w:r>
          </w:p>
        </w:tc>
        <w:tc>
          <w:tcPr>
            <w:tcW w:w="6710" w:type="dxa"/>
            <w:gridSpan w:val="4"/>
            <w:vAlign w:val="center"/>
          </w:tcPr>
          <w:p>
            <w:pPr>
              <w:adjustRightInd w:val="0"/>
              <w:snapToGrid w:val="0"/>
              <w:jc w:val="center"/>
              <w:rPr>
                <w:rFonts w:ascii="宋体" w:hAnsi="宋体" w:cs="宋体"/>
                <w:sz w:val="24"/>
              </w:rPr>
            </w:pPr>
            <w:r>
              <w:rPr>
                <w:rFonts w:hint="eastAsia" w:ascii="宋体" w:hAnsi="宋体" w:cs="宋体"/>
                <w:sz w:val="24"/>
              </w:rPr>
              <w:t>河南省</w:t>
            </w:r>
            <w:r>
              <w:rPr>
                <w:rFonts w:ascii="宋体" w:hAnsi="宋体" w:cs="宋体"/>
                <w:sz w:val="24"/>
              </w:rPr>
              <w:t>洛阳市偃师</w:t>
            </w:r>
            <w:r>
              <w:rPr>
                <w:rFonts w:hint="eastAsia" w:ascii="宋体" w:hAnsi="宋体" w:cs="宋体"/>
                <w:sz w:val="24"/>
              </w:rPr>
              <w:t>区首阳山镇香峪村</w:t>
            </w:r>
          </w:p>
          <w:p>
            <w:pPr>
              <w:adjustRightInd w:val="0"/>
              <w:snapToGrid w:val="0"/>
              <w:jc w:val="center"/>
              <w:rPr>
                <w:sz w:val="24"/>
              </w:rPr>
            </w:pPr>
            <w:r>
              <w:rPr>
                <w:rFonts w:hint="eastAsia" w:ascii="宋体" w:hAnsi="宋体" w:cs="宋体"/>
                <w:sz w:val="24"/>
              </w:rPr>
              <w:t>（偃师区先进制造业开发区北环板块）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0" w:type="dxa"/>
            <w:gridSpan w:val="2"/>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地理坐标</w:t>
            </w:r>
          </w:p>
        </w:tc>
        <w:tc>
          <w:tcPr>
            <w:tcW w:w="6710" w:type="dxa"/>
            <w:gridSpan w:val="4"/>
            <w:vAlign w:val="center"/>
          </w:tcPr>
          <w:p>
            <w:pPr>
              <w:jc w:val="center"/>
              <w:rPr>
                <w:sz w:val="24"/>
              </w:rPr>
            </w:pPr>
            <w:r>
              <w:rPr>
                <w:rFonts w:hAnsi="宋体"/>
                <w:sz w:val="24"/>
              </w:rPr>
              <w:t>（</w:t>
            </w:r>
            <w:r>
              <w:rPr>
                <w:rFonts w:hint="eastAsia"/>
                <w:sz w:val="24"/>
                <w:u w:val="single"/>
              </w:rPr>
              <w:t>112</w:t>
            </w:r>
            <w:r>
              <w:rPr>
                <w:rFonts w:hAnsi="宋体"/>
                <w:sz w:val="24"/>
              </w:rPr>
              <w:t>度</w:t>
            </w:r>
            <w:r>
              <w:rPr>
                <w:rFonts w:hint="eastAsia"/>
                <w:sz w:val="24"/>
                <w:u w:val="single"/>
              </w:rPr>
              <w:t>4</w:t>
            </w:r>
            <w:r>
              <w:rPr>
                <w:sz w:val="24"/>
                <w:u w:val="single"/>
              </w:rPr>
              <w:t>3</w:t>
            </w:r>
            <w:r>
              <w:rPr>
                <w:rFonts w:hAnsi="宋体"/>
                <w:sz w:val="24"/>
              </w:rPr>
              <w:t>分</w:t>
            </w:r>
            <w:r>
              <w:rPr>
                <w:sz w:val="24"/>
                <w:u w:val="single"/>
              </w:rPr>
              <w:t>38.620</w:t>
            </w:r>
            <w:r>
              <w:rPr>
                <w:rFonts w:hAnsi="宋体"/>
                <w:sz w:val="24"/>
              </w:rPr>
              <w:t>秒，</w:t>
            </w:r>
            <w:r>
              <w:rPr>
                <w:rFonts w:hint="eastAsia"/>
                <w:sz w:val="24"/>
                <w:u w:val="single"/>
              </w:rPr>
              <w:t>34</w:t>
            </w:r>
            <w:r>
              <w:rPr>
                <w:rFonts w:hAnsi="宋体"/>
                <w:sz w:val="24"/>
              </w:rPr>
              <w:t>度</w:t>
            </w:r>
            <w:r>
              <w:rPr>
                <w:sz w:val="24"/>
                <w:u w:val="single"/>
              </w:rPr>
              <w:t>4</w:t>
            </w:r>
            <w:r>
              <w:rPr>
                <w:rFonts w:hint="eastAsia"/>
                <w:sz w:val="24"/>
                <w:u w:val="single"/>
              </w:rPr>
              <w:t>4</w:t>
            </w:r>
            <w:r>
              <w:rPr>
                <w:rFonts w:hAnsi="宋体"/>
                <w:sz w:val="24"/>
              </w:rPr>
              <w:t>分</w:t>
            </w:r>
            <w:r>
              <w:rPr>
                <w:rFonts w:hint="eastAsia"/>
                <w:sz w:val="24"/>
                <w:u w:val="single"/>
              </w:rPr>
              <w:t>27.</w:t>
            </w:r>
            <w:r>
              <w:rPr>
                <w:sz w:val="24"/>
                <w:u w:val="single"/>
              </w:rPr>
              <w:t>043</w:t>
            </w:r>
            <w:r>
              <w:rPr>
                <w:rFonts w:hAnsi="宋体"/>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120" w:type="dxa"/>
            <w:gridSpan w:val="2"/>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国民经济</w:t>
            </w:r>
          </w:p>
          <w:p>
            <w:pPr>
              <w:adjustRightInd w:val="0"/>
              <w:snapToGrid w:val="0"/>
              <w:jc w:val="center"/>
              <w:rPr>
                <w:rFonts w:ascii="宋体" w:hAnsi="宋体" w:cs="宋体"/>
                <w:sz w:val="24"/>
              </w:rPr>
            </w:pPr>
            <w:r>
              <w:rPr>
                <w:rFonts w:hint="eastAsia" w:ascii="宋体" w:hAnsi="宋体" w:cs="宋体"/>
                <w:sz w:val="24"/>
              </w:rPr>
              <w:t>行业类别</w:t>
            </w:r>
          </w:p>
        </w:tc>
        <w:tc>
          <w:tcPr>
            <w:tcW w:w="1990" w:type="dxa"/>
            <w:vAlign w:val="center"/>
          </w:tcPr>
          <w:p>
            <w:pPr>
              <w:adjustRightInd w:val="0"/>
              <w:snapToGrid w:val="0"/>
              <w:jc w:val="center"/>
              <w:rPr>
                <w:sz w:val="24"/>
              </w:rPr>
            </w:pPr>
            <w:r>
              <w:rPr>
                <w:rFonts w:hint="eastAsia"/>
                <w:kern w:val="28"/>
                <w:sz w:val="24"/>
              </w:rPr>
              <w:t>C2923</w:t>
            </w:r>
            <w:r>
              <w:rPr>
                <w:rFonts w:hint="eastAsia"/>
                <w:kern w:val="0"/>
                <w:sz w:val="24"/>
              </w:rPr>
              <w:t>塑料丝、绳及编制品制造</w:t>
            </w:r>
          </w:p>
        </w:tc>
        <w:tc>
          <w:tcPr>
            <w:tcW w:w="1819" w:type="dxa"/>
            <w:vAlign w:val="center"/>
          </w:tcPr>
          <w:p>
            <w:pPr>
              <w:adjustRightInd w:val="0"/>
              <w:snapToGrid w:val="0"/>
              <w:jc w:val="center"/>
              <w:rPr>
                <w:sz w:val="24"/>
              </w:rPr>
            </w:pPr>
            <w:bookmarkStart w:id="3" w:name="_Hlk49843745"/>
            <w:r>
              <w:rPr>
                <w:sz w:val="24"/>
              </w:rPr>
              <w:t>建设项目</w:t>
            </w:r>
          </w:p>
          <w:p>
            <w:pPr>
              <w:adjustRightInd w:val="0"/>
              <w:snapToGrid w:val="0"/>
              <w:jc w:val="center"/>
              <w:rPr>
                <w:sz w:val="24"/>
              </w:rPr>
            </w:pPr>
            <w:r>
              <w:rPr>
                <w:sz w:val="24"/>
              </w:rPr>
              <w:t>行业类别</w:t>
            </w:r>
            <w:bookmarkEnd w:id="3"/>
          </w:p>
        </w:tc>
        <w:tc>
          <w:tcPr>
            <w:tcW w:w="2901" w:type="dxa"/>
            <w:gridSpan w:val="2"/>
            <w:vAlign w:val="center"/>
          </w:tcPr>
          <w:p>
            <w:pPr>
              <w:rPr>
                <w:sz w:val="24"/>
              </w:rPr>
            </w:pPr>
            <w:r>
              <w:rPr>
                <w:sz w:val="24"/>
              </w:rPr>
              <w:t>第</w:t>
            </w:r>
            <w:r>
              <w:rPr>
                <w:rFonts w:hint="eastAsia"/>
                <w:sz w:val="24"/>
              </w:rPr>
              <w:t>二十</w:t>
            </w:r>
            <w:r>
              <w:rPr>
                <w:sz w:val="24"/>
              </w:rPr>
              <w:t>六、</w:t>
            </w:r>
            <w:r>
              <w:rPr>
                <w:rFonts w:hint="eastAsia"/>
                <w:sz w:val="24"/>
              </w:rPr>
              <w:t>橡胶和塑料制品业29</w:t>
            </w:r>
            <w:r>
              <w:rPr>
                <w:sz w:val="24"/>
              </w:rPr>
              <w:t>-</w:t>
            </w:r>
            <w:r>
              <w:rPr>
                <w:rFonts w:hint="eastAsia"/>
                <w:sz w:val="24"/>
              </w:rPr>
              <w:t>52塑料制品业292</w:t>
            </w:r>
            <w:r>
              <w:rPr>
                <w:sz w:val="24"/>
              </w:rPr>
              <w:t>-</w:t>
            </w:r>
            <w:r>
              <w:rPr>
                <w:rFonts w:hint="eastAsia"/>
                <w:sz w:val="24"/>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120" w:type="dxa"/>
            <w:gridSpan w:val="2"/>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建设性质</w:t>
            </w:r>
          </w:p>
        </w:tc>
        <w:tc>
          <w:tcPr>
            <w:tcW w:w="1990" w:type="dxa"/>
            <w:vAlign w:val="center"/>
          </w:tcPr>
          <w:p>
            <w:pPr>
              <w:jc w:val="left"/>
              <w:rPr>
                <w:sz w:val="24"/>
                <w:u w:val="single"/>
              </w:rPr>
            </w:pPr>
            <w:r>
              <w:rPr>
                <w:sz w:val="24"/>
              </w:rPr>
              <w:sym w:font="Wingdings 2" w:char="00A3"/>
            </w:r>
            <w:r>
              <w:rPr>
                <w:sz w:val="24"/>
              </w:rPr>
              <w:t>新建（迁建）</w:t>
            </w:r>
          </w:p>
          <w:p>
            <w:pPr>
              <w:jc w:val="left"/>
              <w:rPr>
                <w:sz w:val="24"/>
              </w:rPr>
            </w:pPr>
            <w:r>
              <w:rPr>
                <w:sz w:val="24"/>
              </w:rPr>
              <w:sym w:font="Wingdings 2" w:char="00A3"/>
            </w:r>
            <w:r>
              <w:rPr>
                <w:sz w:val="24"/>
              </w:rPr>
              <w:t>改建</w:t>
            </w:r>
          </w:p>
          <w:p>
            <w:pPr>
              <w:jc w:val="left"/>
              <w:rPr>
                <w:sz w:val="24"/>
              </w:rPr>
            </w:pPr>
            <w:r>
              <w:rPr>
                <w:sz w:val="24"/>
              </w:rPr>
              <w:sym w:font="Wingdings 2" w:char="0052"/>
            </w:r>
            <w:r>
              <w:rPr>
                <w:sz w:val="24"/>
              </w:rPr>
              <w:t>扩建</w:t>
            </w:r>
          </w:p>
          <w:p>
            <w:pPr>
              <w:jc w:val="left"/>
              <w:rPr>
                <w:sz w:val="24"/>
              </w:rPr>
            </w:pPr>
            <w:r>
              <w:rPr>
                <w:sz w:val="24"/>
              </w:rPr>
              <w:sym w:font="Wingdings 2" w:char="00A3"/>
            </w:r>
            <w:r>
              <w:rPr>
                <w:sz w:val="24"/>
              </w:rPr>
              <w:t>技术改造</w:t>
            </w:r>
          </w:p>
        </w:tc>
        <w:tc>
          <w:tcPr>
            <w:tcW w:w="1819" w:type="dxa"/>
            <w:vAlign w:val="center"/>
          </w:tcPr>
          <w:p>
            <w:pPr>
              <w:adjustRightInd w:val="0"/>
              <w:snapToGrid w:val="0"/>
              <w:jc w:val="center"/>
              <w:rPr>
                <w:sz w:val="24"/>
              </w:rPr>
            </w:pPr>
            <w:r>
              <w:rPr>
                <w:rFonts w:hAnsi="宋体"/>
                <w:sz w:val="24"/>
              </w:rPr>
              <w:t>建设项目</w:t>
            </w:r>
          </w:p>
          <w:p>
            <w:pPr>
              <w:adjustRightInd w:val="0"/>
              <w:snapToGrid w:val="0"/>
              <w:jc w:val="center"/>
              <w:rPr>
                <w:sz w:val="24"/>
              </w:rPr>
            </w:pPr>
            <w:r>
              <w:rPr>
                <w:rFonts w:hAnsi="宋体"/>
                <w:sz w:val="24"/>
              </w:rPr>
              <w:t>申报情形</w:t>
            </w:r>
          </w:p>
        </w:tc>
        <w:tc>
          <w:tcPr>
            <w:tcW w:w="2901" w:type="dxa"/>
            <w:gridSpan w:val="2"/>
            <w:vAlign w:val="center"/>
          </w:tcPr>
          <w:p>
            <w:pPr>
              <w:jc w:val="left"/>
              <w:rPr>
                <w:sz w:val="24"/>
              </w:rPr>
            </w:pPr>
            <w:r>
              <w:rPr>
                <w:sz w:val="24"/>
              </w:rPr>
              <w:sym w:font="Wingdings 2" w:char="0052"/>
            </w:r>
            <w:r>
              <w:rPr>
                <w:rFonts w:hAnsi="宋体"/>
                <w:sz w:val="24"/>
              </w:rPr>
              <w:t>首次申报项目</w:t>
            </w:r>
          </w:p>
          <w:p>
            <w:pPr>
              <w:rPr>
                <w:sz w:val="24"/>
              </w:rPr>
            </w:pPr>
            <w:r>
              <w:rPr>
                <w:sz w:val="24"/>
              </w:rPr>
              <w:sym w:font="Wingdings 2" w:char="00A3"/>
            </w:r>
            <w:r>
              <w:rPr>
                <w:rFonts w:hAnsi="宋体"/>
                <w:sz w:val="24"/>
              </w:rPr>
              <w:t>不予批准后再次申报项目</w:t>
            </w:r>
          </w:p>
          <w:p>
            <w:pPr>
              <w:jc w:val="left"/>
              <w:rPr>
                <w:sz w:val="24"/>
              </w:rPr>
            </w:pPr>
            <w:r>
              <w:rPr>
                <w:sz w:val="24"/>
              </w:rPr>
              <w:sym w:font="Wingdings 2" w:char="00A3"/>
            </w:r>
            <w:r>
              <w:rPr>
                <w:rFonts w:hAnsi="宋体"/>
                <w:sz w:val="24"/>
              </w:rPr>
              <w:t>超五年重新审核项目</w:t>
            </w:r>
          </w:p>
          <w:p>
            <w:pPr>
              <w:rPr>
                <w:sz w:val="24"/>
              </w:rPr>
            </w:pPr>
            <w:r>
              <w:rPr>
                <w:sz w:val="24"/>
              </w:rPr>
              <w:sym w:font="Wingdings 2" w:char="00A3"/>
            </w:r>
            <w:r>
              <w:rPr>
                <w:rFonts w:hAnsi="宋体"/>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120" w:type="dxa"/>
            <w:gridSpan w:val="2"/>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项目审批（核准</w:t>
            </w:r>
            <w:r>
              <w:rPr>
                <w:rFonts w:ascii="宋体" w:hAnsi="宋体" w:cs="宋体"/>
                <w:sz w:val="24"/>
              </w:rPr>
              <w:t>/</w:t>
            </w:r>
          </w:p>
          <w:p>
            <w:pPr>
              <w:adjustRightInd w:val="0"/>
              <w:snapToGrid w:val="0"/>
              <w:jc w:val="center"/>
              <w:rPr>
                <w:rFonts w:ascii="宋体" w:hAnsi="宋体" w:cs="宋体"/>
                <w:sz w:val="24"/>
              </w:rPr>
            </w:pPr>
            <w:r>
              <w:rPr>
                <w:rFonts w:hint="eastAsia" w:ascii="宋体" w:hAnsi="宋体" w:cs="宋体"/>
                <w:sz w:val="24"/>
              </w:rPr>
              <w:t>备案）部门（选填）</w:t>
            </w:r>
          </w:p>
        </w:tc>
        <w:tc>
          <w:tcPr>
            <w:tcW w:w="1990" w:type="dxa"/>
            <w:vAlign w:val="center"/>
          </w:tcPr>
          <w:p>
            <w:pPr>
              <w:adjustRightInd w:val="0"/>
              <w:snapToGrid w:val="0"/>
              <w:jc w:val="center"/>
              <w:rPr>
                <w:sz w:val="24"/>
              </w:rPr>
            </w:pPr>
            <w:r>
              <w:rPr>
                <w:rFonts w:hint="eastAsia"/>
                <w:sz w:val="24"/>
              </w:rPr>
              <w:t>洛阳市</w:t>
            </w:r>
            <w:r>
              <w:rPr>
                <w:sz w:val="24"/>
              </w:rPr>
              <w:t>偃师</w:t>
            </w:r>
            <w:r>
              <w:rPr>
                <w:rFonts w:hint="eastAsia"/>
                <w:sz w:val="24"/>
              </w:rPr>
              <w:t>区</w:t>
            </w:r>
            <w:r>
              <w:rPr>
                <w:sz w:val="24"/>
              </w:rPr>
              <w:t>发展和改革委员会</w:t>
            </w:r>
          </w:p>
        </w:tc>
        <w:tc>
          <w:tcPr>
            <w:tcW w:w="1819" w:type="dxa"/>
            <w:vAlign w:val="center"/>
          </w:tcPr>
          <w:p>
            <w:pPr>
              <w:adjustRightInd w:val="0"/>
              <w:snapToGrid w:val="0"/>
              <w:jc w:val="center"/>
              <w:rPr>
                <w:sz w:val="24"/>
              </w:rPr>
            </w:pPr>
            <w:r>
              <w:rPr>
                <w:rFonts w:hAnsi="宋体"/>
                <w:sz w:val="24"/>
              </w:rPr>
              <w:t>项目审批（核准</w:t>
            </w:r>
            <w:r>
              <w:rPr>
                <w:sz w:val="24"/>
              </w:rPr>
              <w:t>/</w:t>
            </w:r>
          </w:p>
          <w:p>
            <w:pPr>
              <w:adjustRightInd w:val="0"/>
              <w:snapToGrid w:val="0"/>
              <w:jc w:val="center"/>
              <w:rPr>
                <w:sz w:val="24"/>
              </w:rPr>
            </w:pPr>
            <w:r>
              <w:rPr>
                <w:rFonts w:hAnsi="宋体"/>
                <w:sz w:val="24"/>
              </w:rPr>
              <w:t>备案）文号（选填）</w:t>
            </w:r>
          </w:p>
        </w:tc>
        <w:tc>
          <w:tcPr>
            <w:tcW w:w="2901" w:type="dxa"/>
            <w:gridSpan w:val="2"/>
            <w:vAlign w:val="center"/>
          </w:tcPr>
          <w:p>
            <w:pPr>
              <w:adjustRightInd w:val="0"/>
              <w:snapToGrid w:val="0"/>
              <w:jc w:val="center"/>
              <w:rPr>
                <w:szCs w:val="21"/>
              </w:rPr>
            </w:pP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0" w:type="dxa"/>
            <w:gridSpan w:val="2"/>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总投资（万元）</w:t>
            </w:r>
          </w:p>
        </w:tc>
        <w:tc>
          <w:tcPr>
            <w:tcW w:w="1990" w:type="dxa"/>
            <w:vAlign w:val="center"/>
          </w:tcPr>
          <w:p>
            <w:pPr>
              <w:adjustRightInd w:val="0"/>
              <w:snapToGrid w:val="0"/>
              <w:jc w:val="center"/>
              <w:rPr>
                <w:sz w:val="24"/>
              </w:rPr>
            </w:pPr>
            <w:r>
              <w:rPr>
                <w:sz w:val="24"/>
              </w:rPr>
              <w:t>9</w:t>
            </w:r>
            <w:r>
              <w:rPr>
                <w:rFonts w:hint="eastAsia"/>
                <w:sz w:val="24"/>
              </w:rPr>
              <w:t>00</w:t>
            </w:r>
          </w:p>
        </w:tc>
        <w:tc>
          <w:tcPr>
            <w:tcW w:w="1819" w:type="dxa"/>
            <w:tcMar>
              <w:top w:w="16" w:type="dxa"/>
              <w:left w:w="16" w:type="dxa"/>
              <w:right w:w="16" w:type="dxa"/>
            </w:tcMar>
            <w:vAlign w:val="center"/>
          </w:tcPr>
          <w:p>
            <w:pPr>
              <w:adjustRightInd w:val="0"/>
              <w:snapToGrid w:val="0"/>
              <w:jc w:val="center"/>
              <w:rPr>
                <w:sz w:val="24"/>
              </w:rPr>
            </w:pPr>
            <w:r>
              <w:rPr>
                <w:rFonts w:hAnsi="宋体"/>
                <w:sz w:val="24"/>
              </w:rPr>
              <w:t>环保投资（万元）</w:t>
            </w:r>
          </w:p>
        </w:tc>
        <w:tc>
          <w:tcPr>
            <w:tcW w:w="2901" w:type="dxa"/>
            <w:gridSpan w:val="2"/>
            <w:vAlign w:val="center"/>
          </w:tcPr>
          <w:p>
            <w:pPr>
              <w:adjustRightInd w:val="0"/>
              <w:snapToGrid w:val="0"/>
              <w:jc w:val="center"/>
              <w:rPr>
                <w:sz w:val="24"/>
                <w:u w:val="single"/>
              </w:rPr>
            </w:pPr>
            <w:r>
              <w:rPr>
                <w:rFonts w:hint="eastAsia"/>
                <w:sz w:val="24"/>
                <w:u w:val="single"/>
              </w:rPr>
              <w:t>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0" w:type="dxa"/>
            <w:gridSpan w:val="2"/>
            <w:tcMar>
              <w:top w:w="16" w:type="dxa"/>
              <w:left w:w="16" w:type="dxa"/>
              <w:right w:w="16" w:type="dxa"/>
            </w:tcMar>
            <w:vAlign w:val="center"/>
          </w:tcPr>
          <w:p>
            <w:pPr>
              <w:adjustRightInd w:val="0"/>
              <w:snapToGrid w:val="0"/>
              <w:jc w:val="center"/>
              <w:rPr>
                <w:sz w:val="24"/>
              </w:rPr>
            </w:pPr>
            <w:r>
              <w:rPr>
                <w:rFonts w:hAnsi="宋体"/>
                <w:sz w:val="24"/>
              </w:rPr>
              <w:t>环保投资占比（</w:t>
            </w:r>
            <w:r>
              <w:rPr>
                <w:sz w:val="24"/>
              </w:rPr>
              <w:t>%</w:t>
            </w:r>
            <w:r>
              <w:rPr>
                <w:rFonts w:hAnsi="宋体"/>
                <w:sz w:val="24"/>
              </w:rPr>
              <w:t>）</w:t>
            </w:r>
          </w:p>
        </w:tc>
        <w:tc>
          <w:tcPr>
            <w:tcW w:w="1990" w:type="dxa"/>
            <w:vAlign w:val="center"/>
          </w:tcPr>
          <w:p>
            <w:pPr>
              <w:adjustRightInd w:val="0"/>
              <w:snapToGrid w:val="0"/>
              <w:jc w:val="center"/>
              <w:rPr>
                <w:sz w:val="24"/>
                <w:u w:val="single"/>
              </w:rPr>
            </w:pPr>
            <w:r>
              <w:rPr>
                <w:rFonts w:hint="eastAsia"/>
                <w:sz w:val="24"/>
                <w:u w:val="single"/>
              </w:rPr>
              <w:t>3</w:t>
            </w:r>
          </w:p>
        </w:tc>
        <w:tc>
          <w:tcPr>
            <w:tcW w:w="1819" w:type="dxa"/>
            <w:tcMar>
              <w:top w:w="16" w:type="dxa"/>
              <w:left w:w="16" w:type="dxa"/>
              <w:right w:w="16" w:type="dxa"/>
            </w:tcMar>
            <w:vAlign w:val="center"/>
          </w:tcPr>
          <w:p>
            <w:pPr>
              <w:adjustRightInd w:val="0"/>
              <w:snapToGrid w:val="0"/>
              <w:jc w:val="center"/>
              <w:rPr>
                <w:sz w:val="24"/>
              </w:rPr>
            </w:pPr>
            <w:r>
              <w:rPr>
                <w:rFonts w:hAnsi="宋体"/>
                <w:sz w:val="24"/>
              </w:rPr>
              <w:t>施工工期</w:t>
            </w:r>
          </w:p>
        </w:tc>
        <w:tc>
          <w:tcPr>
            <w:tcW w:w="2901" w:type="dxa"/>
            <w:gridSpan w:val="2"/>
            <w:vAlign w:val="center"/>
          </w:tcPr>
          <w:p>
            <w:pPr>
              <w:jc w:val="center"/>
              <w:rPr>
                <w:sz w:val="24"/>
              </w:rPr>
            </w:pPr>
            <w:r>
              <w:rPr>
                <w:rFonts w:hint="eastAsia"/>
                <w:sz w:val="24"/>
              </w:rPr>
              <w:t>3个月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0" w:type="dxa"/>
            <w:gridSpan w:val="2"/>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是否开工建设</w:t>
            </w:r>
          </w:p>
        </w:tc>
        <w:tc>
          <w:tcPr>
            <w:tcW w:w="1990" w:type="dxa"/>
            <w:vAlign w:val="center"/>
          </w:tcPr>
          <w:p>
            <w:pPr>
              <w:adjustRightInd w:val="0"/>
              <w:snapToGrid w:val="0"/>
              <w:rPr>
                <w:sz w:val="24"/>
              </w:rPr>
            </w:pPr>
            <w:r>
              <w:rPr>
                <w:sz w:val="24"/>
              </w:rPr>
              <w:sym w:font="Wingdings 2" w:char="0052"/>
            </w:r>
            <w:r>
              <w:rPr>
                <w:sz w:val="24"/>
              </w:rPr>
              <w:t>否</w:t>
            </w:r>
          </w:p>
          <w:p>
            <w:pPr>
              <w:adjustRightInd w:val="0"/>
              <w:snapToGrid w:val="0"/>
              <w:rPr>
                <w:sz w:val="24"/>
              </w:rPr>
            </w:pPr>
            <w:r>
              <w:rPr>
                <w:sz w:val="24"/>
              </w:rPr>
              <w:sym w:font="Wingdings 2" w:char="00A3"/>
            </w:r>
            <w:r>
              <w:rPr>
                <w:sz w:val="24"/>
              </w:rPr>
              <w:t>是</w:t>
            </w:r>
          </w:p>
        </w:tc>
        <w:tc>
          <w:tcPr>
            <w:tcW w:w="1819" w:type="dxa"/>
            <w:tcMar>
              <w:top w:w="16" w:type="dxa"/>
              <w:left w:w="16" w:type="dxa"/>
              <w:right w:w="16" w:type="dxa"/>
            </w:tcMar>
            <w:vAlign w:val="center"/>
          </w:tcPr>
          <w:p>
            <w:pPr>
              <w:adjustRightInd w:val="0"/>
              <w:snapToGrid w:val="0"/>
              <w:jc w:val="center"/>
              <w:rPr>
                <w:spacing w:val="-6"/>
                <w:sz w:val="24"/>
              </w:rPr>
            </w:pPr>
            <w:r>
              <w:rPr>
                <w:rFonts w:hAnsi="宋体"/>
                <w:spacing w:val="-6"/>
                <w:sz w:val="24"/>
              </w:rPr>
              <w:t>用地（用海）</w:t>
            </w:r>
          </w:p>
          <w:p>
            <w:pPr>
              <w:adjustRightInd w:val="0"/>
              <w:snapToGrid w:val="0"/>
              <w:jc w:val="center"/>
              <w:rPr>
                <w:sz w:val="24"/>
              </w:rPr>
            </w:pPr>
            <w:r>
              <w:rPr>
                <w:rFonts w:hAnsi="宋体"/>
                <w:spacing w:val="-6"/>
                <w:sz w:val="24"/>
              </w:rPr>
              <w:t>面积</w:t>
            </w:r>
            <w:r>
              <w:rPr>
                <w:spacing w:val="-6"/>
                <w:sz w:val="24"/>
              </w:rPr>
              <w:t>（m</w:t>
            </w:r>
            <w:r>
              <w:rPr>
                <w:spacing w:val="-6"/>
                <w:sz w:val="24"/>
                <w:vertAlign w:val="superscript"/>
              </w:rPr>
              <w:t>2</w:t>
            </w:r>
            <w:r>
              <w:rPr>
                <w:spacing w:val="-6"/>
                <w:sz w:val="24"/>
              </w:rPr>
              <w:t>）</w:t>
            </w:r>
          </w:p>
        </w:tc>
        <w:tc>
          <w:tcPr>
            <w:tcW w:w="2901" w:type="dxa"/>
            <w:gridSpan w:val="2"/>
            <w:vAlign w:val="center"/>
          </w:tcPr>
          <w:p>
            <w:pPr>
              <w:adjustRightInd w:val="0"/>
              <w:snapToGrid w:val="0"/>
              <w:jc w:val="center"/>
              <w:rPr>
                <w:sz w:val="24"/>
                <w:u w:val="single"/>
              </w:rPr>
            </w:pPr>
            <w:r>
              <w:rPr>
                <w:rFonts w:hint="eastAsia"/>
                <w:sz w:val="24"/>
                <w:u w:val="single"/>
              </w:rPr>
              <w:t>9000（租赁厂房）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0" w:type="dxa"/>
            <w:gridSpan w:val="2"/>
            <w:vAlign w:val="center"/>
          </w:tcPr>
          <w:p>
            <w:pPr>
              <w:autoSpaceDE w:val="0"/>
              <w:autoSpaceDN w:val="0"/>
              <w:adjustRightInd w:val="0"/>
              <w:snapToGrid w:val="0"/>
              <w:jc w:val="center"/>
              <w:rPr>
                <w:rFonts w:ascii="宋体" w:hAnsi="宋体" w:cs="宋体"/>
                <w:kern w:val="0"/>
                <w:sz w:val="24"/>
              </w:rPr>
            </w:pPr>
            <w:r>
              <w:rPr>
                <w:rFonts w:hint="eastAsia" w:ascii="宋体" w:hAnsi="宋体" w:cs="宋体"/>
                <w:kern w:val="0"/>
                <w:sz w:val="24"/>
              </w:rPr>
              <w:t>专项评价设置情况</w:t>
            </w:r>
          </w:p>
        </w:tc>
        <w:tc>
          <w:tcPr>
            <w:tcW w:w="6710" w:type="dxa"/>
            <w:gridSpan w:val="4"/>
            <w:vAlign w:val="center"/>
          </w:tcPr>
          <w:p>
            <w:pPr>
              <w:autoSpaceDE w:val="0"/>
              <w:autoSpaceDN w:val="0"/>
              <w:adjustRightInd w:val="0"/>
              <w:snapToGrid w:val="0"/>
              <w:rPr>
                <w:kern w:val="0"/>
                <w:sz w:val="24"/>
              </w:rPr>
            </w:pPr>
            <w:r>
              <w:rPr>
                <w:rFonts w:hint="eastAsia" w:hAnsi="宋体"/>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Align w:val="center"/>
          </w:tcPr>
          <w:p>
            <w:pPr>
              <w:autoSpaceDE w:val="0"/>
              <w:autoSpaceDN w:val="0"/>
              <w:adjustRightInd w:val="0"/>
              <w:snapToGrid w:val="0"/>
              <w:jc w:val="center"/>
              <w:rPr>
                <w:rFonts w:ascii="宋体" w:hAnsi="宋体" w:cs="宋体"/>
                <w:kern w:val="0"/>
                <w:sz w:val="24"/>
              </w:rPr>
            </w:pPr>
            <w:r>
              <w:rPr>
                <w:rFonts w:hint="eastAsia" w:ascii="宋体" w:hAnsi="宋体" w:cs="宋体"/>
                <w:sz w:val="24"/>
              </w:rPr>
              <w:t>规划情况</w:t>
            </w:r>
          </w:p>
        </w:tc>
        <w:tc>
          <w:tcPr>
            <w:tcW w:w="8270" w:type="dxa"/>
            <w:gridSpan w:val="5"/>
            <w:vAlign w:val="center"/>
          </w:tcPr>
          <w:p>
            <w:pPr>
              <w:autoSpaceDE w:val="0"/>
              <w:autoSpaceDN w:val="0"/>
              <w:adjustRightInd w:val="0"/>
              <w:snapToGrid w:val="0"/>
              <w:spacing w:line="360" w:lineRule="auto"/>
              <w:jc w:val="center"/>
              <w:rPr>
                <w:kern w:val="0"/>
                <w:sz w:val="24"/>
              </w:rPr>
            </w:pPr>
            <w:r>
              <w:rPr>
                <w:sz w:val="24"/>
              </w:rPr>
              <w:t>《洛阳偃师区先进制造业开发区发展规划（2022</w:t>
            </w:r>
            <w:r>
              <w:rPr>
                <w:rFonts w:hint="eastAsia"/>
                <w:sz w:val="24"/>
              </w:rPr>
              <w:t>-</w:t>
            </w:r>
            <w:r>
              <w:rPr>
                <w:sz w:val="24"/>
              </w:rPr>
              <w:t>2035年）》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Align w:val="center"/>
          </w:tcPr>
          <w:p>
            <w:pPr>
              <w:adjustRightInd w:val="0"/>
              <w:snapToGrid w:val="0"/>
              <w:jc w:val="center"/>
              <w:rPr>
                <w:rFonts w:ascii="宋体" w:hAnsi="宋体" w:cs="宋体"/>
                <w:sz w:val="24"/>
              </w:rPr>
            </w:pPr>
            <w:r>
              <w:rPr>
                <w:rFonts w:hint="eastAsia" w:ascii="宋体" w:hAnsi="宋体" w:cs="宋体"/>
                <w:sz w:val="24"/>
              </w:rPr>
              <w:t>规划环境影响评价情况</w:t>
            </w:r>
          </w:p>
        </w:tc>
        <w:tc>
          <w:tcPr>
            <w:tcW w:w="8270" w:type="dxa"/>
            <w:gridSpan w:val="5"/>
            <w:vAlign w:val="center"/>
          </w:tcPr>
          <w:p>
            <w:pPr>
              <w:autoSpaceDE w:val="0"/>
              <w:autoSpaceDN w:val="0"/>
              <w:adjustRightInd w:val="0"/>
              <w:snapToGrid w:val="0"/>
              <w:spacing w:line="360" w:lineRule="auto"/>
              <w:rPr>
                <w:kern w:val="0"/>
                <w:sz w:val="24"/>
              </w:rPr>
            </w:pPr>
            <w:r>
              <w:rPr>
                <w:kern w:val="0"/>
                <w:sz w:val="24"/>
              </w:rPr>
              <w:t>规划环评名称：《洛阳偃师区先进制造业开发区发展规划（2022</w:t>
            </w:r>
            <w:r>
              <w:rPr>
                <w:rFonts w:hint="eastAsia"/>
                <w:kern w:val="0"/>
                <w:sz w:val="24"/>
              </w:rPr>
              <w:t>-</w:t>
            </w:r>
            <w:r>
              <w:rPr>
                <w:kern w:val="0"/>
                <w:sz w:val="24"/>
              </w:rPr>
              <w:t>2035年）环境影响报告书》；</w:t>
            </w:r>
          </w:p>
          <w:p>
            <w:pPr>
              <w:autoSpaceDE w:val="0"/>
              <w:autoSpaceDN w:val="0"/>
              <w:adjustRightInd w:val="0"/>
              <w:snapToGrid w:val="0"/>
              <w:spacing w:line="360" w:lineRule="auto"/>
              <w:rPr>
                <w:kern w:val="0"/>
                <w:sz w:val="24"/>
              </w:rPr>
            </w:pPr>
            <w:r>
              <w:rPr>
                <w:kern w:val="0"/>
                <w:sz w:val="24"/>
              </w:rPr>
              <w:t>审查机关：河南省生态环境厅；</w:t>
            </w:r>
          </w:p>
          <w:p>
            <w:pPr>
              <w:autoSpaceDE w:val="0"/>
              <w:autoSpaceDN w:val="0"/>
              <w:adjustRightInd w:val="0"/>
              <w:snapToGrid w:val="0"/>
              <w:spacing w:line="360" w:lineRule="auto"/>
              <w:rPr>
                <w:rFonts w:ascii="宋体" w:hAnsi="宋体" w:cs="宋体"/>
                <w:kern w:val="0"/>
                <w:sz w:val="24"/>
              </w:rPr>
            </w:pPr>
            <w:r>
              <w:rPr>
                <w:kern w:val="0"/>
                <w:sz w:val="24"/>
              </w:rPr>
              <w:t>审查文件名称及文号：《河南省生态环境厅洛阳偃师区先进制造业开发区发展规划（2022-2035年）环境影响报告书的审查意见》（豫环函〔202</w:t>
            </w:r>
            <w:r>
              <w:rPr>
                <w:rFonts w:hint="eastAsia"/>
                <w:kern w:val="0"/>
                <w:sz w:val="24"/>
              </w:rPr>
              <w:t>3</w:t>
            </w:r>
            <w:r>
              <w:rPr>
                <w:kern w:val="0"/>
                <w:sz w:val="24"/>
              </w:rPr>
              <w:t>〕103号）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Align w:val="center"/>
          </w:tcPr>
          <w:p>
            <w:pPr>
              <w:adjustRightInd w:val="0"/>
              <w:snapToGrid w:val="0"/>
              <w:jc w:val="center"/>
              <w:rPr>
                <w:bCs/>
                <w:szCs w:val="21"/>
              </w:rPr>
            </w:pPr>
            <w:r>
              <w:rPr>
                <w:rFonts w:hint="eastAsia" w:ascii="宋体" w:hAnsi="宋体" w:cs="宋体"/>
                <w:kern w:val="0"/>
                <w:sz w:val="24"/>
              </w:rPr>
              <w:t>规划及规划环境影响评价符合性分析</w:t>
            </w:r>
          </w:p>
        </w:tc>
        <w:tc>
          <w:tcPr>
            <w:tcW w:w="8270" w:type="dxa"/>
            <w:gridSpan w:val="5"/>
            <w:vAlign w:val="center"/>
          </w:tcPr>
          <w:p>
            <w:pPr>
              <w:autoSpaceDE w:val="0"/>
              <w:autoSpaceDN w:val="0"/>
              <w:adjustRightInd w:val="0"/>
              <w:snapToGrid w:val="0"/>
              <w:spacing w:line="360" w:lineRule="auto"/>
              <w:rPr>
                <w:b/>
                <w:kern w:val="0"/>
                <w:sz w:val="24"/>
              </w:rPr>
            </w:pPr>
            <w:r>
              <w:rPr>
                <w:b/>
                <w:kern w:val="0"/>
                <w:sz w:val="24"/>
              </w:rPr>
              <w:t>1《洛阳偃师区先进制造业开发区发展规划（2022</w:t>
            </w:r>
            <w:r>
              <w:rPr>
                <w:rFonts w:hint="eastAsia"/>
                <w:b/>
                <w:kern w:val="0"/>
                <w:sz w:val="24"/>
              </w:rPr>
              <w:t>-</w:t>
            </w:r>
            <w:r>
              <w:rPr>
                <w:b/>
                <w:kern w:val="0"/>
                <w:sz w:val="24"/>
              </w:rPr>
              <w:t>2035年）》</w:t>
            </w:r>
            <w:r>
              <w:rPr>
                <w:rFonts w:hint="eastAsia"/>
                <w:b/>
                <w:kern w:val="0"/>
                <w:sz w:val="24"/>
              </w:rPr>
              <w:t>相符性分析</w:t>
            </w:r>
          </w:p>
          <w:p>
            <w:pPr>
              <w:adjustRightInd w:val="0"/>
              <w:snapToGrid w:val="0"/>
              <w:spacing w:line="360" w:lineRule="auto"/>
              <w:rPr>
                <w:b/>
                <w:sz w:val="24"/>
                <w:szCs w:val="20"/>
              </w:rPr>
            </w:pPr>
            <w:r>
              <w:rPr>
                <w:b/>
                <w:sz w:val="24"/>
                <w:szCs w:val="20"/>
              </w:rPr>
              <w:t>1.1规划范围</w:t>
            </w:r>
          </w:p>
          <w:p>
            <w:pPr>
              <w:adjustRightInd w:val="0"/>
              <w:snapToGrid w:val="0"/>
              <w:spacing w:line="360" w:lineRule="auto"/>
              <w:ind w:firstLine="480" w:firstLineChars="200"/>
              <w:rPr>
                <w:sz w:val="24"/>
              </w:rPr>
            </w:pPr>
            <w:r>
              <w:rPr>
                <w:sz w:val="24"/>
              </w:rPr>
              <w:t>洛阳偃师区先进制造业开发区整体空间发展布局结构为“一园区三板块”，“三板块”分别为北环板块、岳滩板块、东南板块，本次规划各板块结合洛阳市国土空间规划开发边界和现状产业发展态势，对板块边界进行优化，规划总用地面积约21.44平方公里。</w:t>
            </w:r>
          </w:p>
          <w:p>
            <w:pPr>
              <w:adjustRightInd w:val="0"/>
              <w:snapToGrid w:val="0"/>
              <w:spacing w:line="360" w:lineRule="auto"/>
              <w:ind w:firstLine="480" w:firstLineChars="200"/>
              <w:rPr>
                <w:sz w:val="24"/>
              </w:rPr>
            </w:pPr>
            <w:r>
              <w:rPr>
                <w:sz w:val="24"/>
              </w:rPr>
              <w:t>北环板块：位于偃师中心城区西北区域，空间范围为东至华润热电，西至龙海玻璃，南至陇海铁路，北至邙山大道、招商大道北侧300米，片区范围面积约5.09平方公里。</w:t>
            </w:r>
          </w:p>
          <w:p>
            <w:pPr>
              <w:adjustRightInd w:val="0"/>
              <w:snapToGrid w:val="0"/>
              <w:spacing w:line="360" w:lineRule="auto"/>
              <w:ind w:firstLine="480" w:firstLineChars="200"/>
              <w:rPr>
                <w:sz w:val="24"/>
              </w:rPr>
            </w:pPr>
            <w:r>
              <w:rPr>
                <w:sz w:val="24"/>
              </w:rPr>
              <w:t>岳滩板块：位于偃师中心城区西南部区域，空间范围为东至杜甫大道，西至恒东新能源，南起规划创业路，北至规划科创路，片区范围面积约3.75平方公里。</w:t>
            </w:r>
          </w:p>
          <w:p>
            <w:pPr>
              <w:adjustRightInd w:val="0"/>
              <w:snapToGrid w:val="0"/>
              <w:spacing w:line="360" w:lineRule="auto"/>
              <w:ind w:firstLine="480" w:firstLineChars="200"/>
              <w:rPr>
                <w:sz w:val="24"/>
              </w:rPr>
            </w:pPr>
            <w:r>
              <w:rPr>
                <w:sz w:val="24"/>
              </w:rPr>
              <w:t>东南板块：位于偃师中心城区东南区域，空间范围为西起S539、商汤大道、规划岭西路，东至洛河堤、干沟河堤、规划岭东路，北至陇海铁路、滨河南路、郑西高铁，南至规划岭南路，片区范围面积约12.60平方公里。</w:t>
            </w:r>
          </w:p>
          <w:p>
            <w:pPr>
              <w:adjustRightInd w:val="0"/>
              <w:snapToGrid w:val="0"/>
              <w:spacing w:line="360" w:lineRule="auto"/>
              <w:rPr>
                <w:b/>
                <w:sz w:val="24"/>
                <w:szCs w:val="20"/>
              </w:rPr>
            </w:pPr>
            <w:r>
              <w:rPr>
                <w:b/>
                <w:sz w:val="24"/>
                <w:szCs w:val="20"/>
              </w:rPr>
              <w:t>1.2产业定位</w:t>
            </w:r>
          </w:p>
          <w:p>
            <w:pPr>
              <w:adjustRightInd w:val="0"/>
              <w:snapToGrid w:val="0"/>
              <w:spacing w:line="360" w:lineRule="auto"/>
              <w:ind w:firstLine="480" w:firstLineChars="200"/>
              <w:rPr>
                <w:sz w:val="24"/>
              </w:rPr>
            </w:pPr>
            <w:r>
              <w:rPr>
                <w:sz w:val="24"/>
              </w:rPr>
              <w:t>以无机及有色金属新材料、装备制造、节能环保产业作为洛阳偃师区先进制造业开发区的主导产业。</w:t>
            </w:r>
          </w:p>
          <w:p>
            <w:pPr>
              <w:adjustRightInd w:val="0"/>
              <w:snapToGrid w:val="0"/>
              <w:spacing w:line="360" w:lineRule="auto"/>
              <w:rPr>
                <w:b/>
                <w:sz w:val="24"/>
                <w:szCs w:val="20"/>
              </w:rPr>
            </w:pPr>
            <w:r>
              <w:rPr>
                <w:b/>
                <w:sz w:val="24"/>
                <w:szCs w:val="20"/>
              </w:rPr>
              <w:t>1.3产业布局</w:t>
            </w:r>
          </w:p>
          <w:p>
            <w:pPr>
              <w:adjustRightInd w:val="0"/>
              <w:snapToGrid w:val="0"/>
              <w:spacing w:line="360" w:lineRule="auto"/>
              <w:ind w:firstLine="480" w:firstLineChars="200"/>
              <w:rPr>
                <w:sz w:val="24"/>
              </w:rPr>
            </w:pPr>
            <w:r>
              <w:rPr>
                <w:sz w:val="24"/>
              </w:rPr>
              <w:t>洛阳偃师区先进制造业开发区以无机及有色金属新材料、装备制造、节能环保产业为三大主导产业，综合考量开发区现有产业基础与未来发展趋势，合理布局产业开发区产业门类，形成“一区三板块”的产业布局结构，“一区”为洛阳偃师区先进制造业开发区；“三板块”分别北环板块、岳滩板块、东南板块，分别重点发展分子筛、信息显示、有色金属为主的新材料产业，三轮摩托、新能源车、智能装备为主的装备制造业，节能环保、新能源、储能备制造产业，有色金属及特种电缆制造产业，新材料、新装备产业，制鞋产业等。</w:t>
            </w:r>
          </w:p>
          <w:p>
            <w:pPr>
              <w:adjustRightInd w:val="0"/>
              <w:snapToGrid w:val="0"/>
              <w:spacing w:line="360" w:lineRule="auto"/>
              <w:rPr>
                <w:b/>
                <w:sz w:val="24"/>
                <w:szCs w:val="20"/>
              </w:rPr>
            </w:pPr>
            <w:r>
              <w:rPr>
                <w:b/>
                <w:sz w:val="24"/>
                <w:szCs w:val="20"/>
              </w:rPr>
              <w:t>1.</w:t>
            </w:r>
            <w:r>
              <w:rPr>
                <w:rFonts w:hint="eastAsia"/>
                <w:b/>
                <w:sz w:val="24"/>
                <w:szCs w:val="20"/>
              </w:rPr>
              <w:t>4本项目相符性分析</w:t>
            </w:r>
          </w:p>
          <w:p>
            <w:pPr>
              <w:adjustRightInd w:val="0"/>
              <w:snapToGrid w:val="0"/>
              <w:spacing w:line="360" w:lineRule="auto"/>
              <w:ind w:firstLine="480" w:firstLineChars="200"/>
              <w:rPr>
                <w:sz w:val="24"/>
                <w:szCs w:val="20"/>
              </w:rPr>
            </w:pPr>
            <w:r>
              <w:rPr>
                <w:rFonts w:hint="eastAsia"/>
                <w:sz w:val="24"/>
                <w:szCs w:val="20"/>
              </w:rPr>
              <w:t>本</w:t>
            </w:r>
            <w:r>
              <w:rPr>
                <w:sz w:val="24"/>
                <w:szCs w:val="20"/>
              </w:rPr>
              <w:t>项目位于洛阳偃师区先进制造业开发区</w:t>
            </w:r>
            <w:r>
              <w:rPr>
                <w:rFonts w:hint="eastAsia"/>
                <w:sz w:val="24"/>
                <w:szCs w:val="20"/>
              </w:rPr>
              <w:t>北环板块，</w:t>
            </w:r>
            <w:r>
              <w:rPr>
                <w:rFonts w:hint="eastAsia"/>
                <w:sz w:val="24"/>
                <w:szCs w:val="20"/>
                <w:u w:val="single"/>
              </w:rPr>
              <w:t>根据</w:t>
            </w:r>
            <w:r>
              <w:rPr>
                <w:sz w:val="24"/>
                <w:szCs w:val="20"/>
                <w:u w:val="single"/>
              </w:rPr>
              <w:t>《洛阳偃师区先进制造业开发区发展规划（2022</w:t>
            </w:r>
            <w:r>
              <w:rPr>
                <w:rFonts w:hint="eastAsia"/>
                <w:sz w:val="24"/>
                <w:szCs w:val="20"/>
                <w:u w:val="single"/>
              </w:rPr>
              <w:t>-</w:t>
            </w:r>
            <w:r>
              <w:rPr>
                <w:sz w:val="24"/>
                <w:szCs w:val="20"/>
                <w:u w:val="single"/>
              </w:rPr>
              <w:t>2035年）》</w:t>
            </w:r>
            <w:r>
              <w:rPr>
                <w:rFonts w:hint="eastAsia"/>
                <w:sz w:val="24"/>
                <w:szCs w:val="20"/>
                <w:u w:val="single"/>
              </w:rPr>
              <w:t>-用地功能布局图、产业功能布局图，</w:t>
            </w:r>
            <w:r>
              <w:rPr>
                <w:rFonts w:hAnsi="宋体"/>
                <w:bCs/>
                <w:kern w:val="0"/>
                <w:sz w:val="24"/>
                <w:u w:val="single"/>
              </w:rPr>
              <w:t>该区域用地规划为工业用地</w:t>
            </w:r>
            <w:r>
              <w:rPr>
                <w:rFonts w:hint="eastAsia" w:hAnsi="宋体"/>
                <w:bCs/>
                <w:kern w:val="0"/>
                <w:sz w:val="24"/>
                <w:u w:val="single"/>
              </w:rPr>
              <w:t>，产业布局规划为</w:t>
            </w:r>
            <w:r>
              <w:rPr>
                <w:sz w:val="24"/>
                <w:u w:val="single"/>
              </w:rPr>
              <w:t>分子筛、信息显示、有色金属为主的新材料产业</w:t>
            </w:r>
            <w:r>
              <w:rPr>
                <w:rFonts w:hint="eastAsia"/>
                <w:sz w:val="24"/>
                <w:u w:val="single"/>
              </w:rPr>
              <w:t>，</w:t>
            </w:r>
            <w:r>
              <w:rPr>
                <w:rFonts w:hint="eastAsia" w:hAnsi="宋体"/>
                <w:bCs/>
                <w:kern w:val="0"/>
                <w:sz w:val="24"/>
                <w:u w:val="single"/>
              </w:rPr>
              <w:t>本项目用地</w:t>
            </w:r>
            <w:r>
              <w:rPr>
                <w:sz w:val="24"/>
                <w:szCs w:val="20"/>
                <w:u w:val="single"/>
              </w:rPr>
              <w:t>符合集聚区用地规划要求。</w:t>
            </w:r>
            <w:r>
              <w:rPr>
                <w:rFonts w:hint="eastAsia"/>
                <w:sz w:val="24"/>
                <w:szCs w:val="20"/>
                <w:u w:val="single"/>
              </w:rPr>
              <w:t>本项目为塑料制品行业，与开发区主导产业相关，有利于</w:t>
            </w:r>
            <w:r>
              <w:rPr>
                <w:sz w:val="24"/>
                <w:szCs w:val="20"/>
                <w:u w:val="single"/>
              </w:rPr>
              <w:t>促进开发区经济发展</w:t>
            </w:r>
            <w:r>
              <w:rPr>
                <w:rFonts w:hint="eastAsia"/>
                <w:sz w:val="24"/>
                <w:szCs w:val="20"/>
                <w:u w:val="single"/>
              </w:rPr>
              <w:t>，符合开发区规划产业布局</w:t>
            </w:r>
            <w:r>
              <w:rPr>
                <w:sz w:val="24"/>
                <w:szCs w:val="20"/>
                <w:u w:val="single"/>
              </w:rPr>
              <w:t>。</w:t>
            </w:r>
            <w:r>
              <w:rPr>
                <w:rFonts w:hint="eastAsia"/>
                <w:sz w:val="24"/>
                <w:szCs w:val="20"/>
                <w:u w:val="single"/>
              </w:rPr>
              <w:t>偃师区先进制造业开发区用地功能布局</w:t>
            </w:r>
            <w:r>
              <w:rPr>
                <w:rFonts w:hint="eastAsia" w:hAnsi="宋体"/>
                <w:bCs/>
                <w:kern w:val="0"/>
                <w:sz w:val="24"/>
                <w:u w:val="single"/>
              </w:rPr>
              <w:t>见附图4-1、附图4-2。</w:t>
            </w:r>
            <w:r>
              <w:rPr>
                <w:rFonts w:hint="eastAsia" w:hAnsi="宋体"/>
                <w:bCs/>
                <w:kern w:val="0"/>
                <w:sz w:val="24"/>
              </w:rPr>
              <w:t>本项目已经</w:t>
            </w:r>
            <w:r>
              <w:rPr>
                <w:rFonts w:hint="eastAsia"/>
                <w:sz w:val="24"/>
              </w:rPr>
              <w:t>洛阳市</w:t>
            </w:r>
            <w:r>
              <w:rPr>
                <w:sz w:val="24"/>
              </w:rPr>
              <w:t>偃师</w:t>
            </w:r>
            <w:r>
              <w:rPr>
                <w:rFonts w:hint="eastAsia"/>
                <w:sz w:val="24"/>
              </w:rPr>
              <w:t>区</w:t>
            </w:r>
            <w:r>
              <w:rPr>
                <w:sz w:val="24"/>
              </w:rPr>
              <w:t>发展和改革委员会</w:t>
            </w:r>
            <w:r>
              <w:rPr>
                <w:rFonts w:hint="eastAsia"/>
                <w:sz w:val="24"/>
              </w:rPr>
              <w:t>备案，备案证明见附件2。本项目租赁洛阳市凯胜实业有限公司厂房建设，</w:t>
            </w:r>
            <w:r>
              <w:rPr>
                <w:rFonts w:hint="eastAsia"/>
                <w:sz w:val="24"/>
                <w:u w:val="single"/>
              </w:rPr>
              <w:t>凯胜公司租赁协议及土地证见附件3、4。</w:t>
            </w:r>
          </w:p>
          <w:p>
            <w:pPr>
              <w:autoSpaceDE w:val="0"/>
              <w:autoSpaceDN w:val="0"/>
              <w:adjustRightInd w:val="0"/>
              <w:snapToGrid w:val="0"/>
              <w:spacing w:line="360" w:lineRule="auto"/>
              <w:rPr>
                <w:b/>
                <w:kern w:val="0"/>
                <w:sz w:val="24"/>
              </w:rPr>
            </w:pPr>
            <w:r>
              <w:rPr>
                <w:rFonts w:hint="eastAsia"/>
                <w:b/>
                <w:kern w:val="0"/>
                <w:sz w:val="24"/>
              </w:rPr>
              <w:t>2</w:t>
            </w:r>
            <w:r>
              <w:rPr>
                <w:b/>
                <w:kern w:val="0"/>
                <w:sz w:val="24"/>
              </w:rPr>
              <w:t>《洛阳偃师区先进制造业开发区发展规划（2022</w:t>
            </w:r>
            <w:r>
              <w:rPr>
                <w:rFonts w:hint="eastAsia"/>
                <w:b/>
                <w:kern w:val="0"/>
                <w:sz w:val="24"/>
              </w:rPr>
              <w:t>-</w:t>
            </w:r>
            <w:r>
              <w:rPr>
                <w:b/>
                <w:kern w:val="0"/>
                <w:sz w:val="24"/>
              </w:rPr>
              <w:t>2035年）环境影响报告书》</w:t>
            </w:r>
            <w:r>
              <w:rPr>
                <w:rFonts w:hint="eastAsia"/>
                <w:b/>
                <w:kern w:val="0"/>
                <w:sz w:val="24"/>
              </w:rPr>
              <w:t>生态环境准入条件及审查意见</w:t>
            </w:r>
            <w:r>
              <w:rPr>
                <w:b/>
                <w:kern w:val="0"/>
                <w:sz w:val="24"/>
              </w:rPr>
              <w:t>（豫环函〔202</w:t>
            </w:r>
            <w:r>
              <w:rPr>
                <w:rFonts w:hint="eastAsia"/>
                <w:b/>
                <w:kern w:val="0"/>
                <w:sz w:val="24"/>
              </w:rPr>
              <w:t>3</w:t>
            </w:r>
            <w:r>
              <w:rPr>
                <w:b/>
                <w:kern w:val="0"/>
                <w:sz w:val="24"/>
              </w:rPr>
              <w:t>〕103号）</w:t>
            </w:r>
            <w:r>
              <w:rPr>
                <w:rFonts w:hint="eastAsia"/>
                <w:b/>
                <w:kern w:val="0"/>
                <w:sz w:val="24"/>
              </w:rPr>
              <w:t>相符性分析</w:t>
            </w:r>
          </w:p>
          <w:p>
            <w:pPr>
              <w:spacing w:line="360" w:lineRule="auto"/>
              <w:ind w:firstLine="480" w:firstLineChars="200"/>
              <w:rPr>
                <w:bCs/>
                <w:sz w:val="24"/>
              </w:rPr>
            </w:pPr>
            <w:r>
              <w:rPr>
                <w:rFonts w:hint="eastAsia"/>
                <w:bCs/>
                <w:sz w:val="24"/>
              </w:rPr>
              <w:t>根据</w:t>
            </w:r>
            <w:r>
              <w:rPr>
                <w:kern w:val="0"/>
                <w:sz w:val="24"/>
              </w:rPr>
              <w:t>《洛阳偃师区先进制造业开发区发展规划（2022</w:t>
            </w:r>
            <w:r>
              <w:rPr>
                <w:rFonts w:hint="eastAsia"/>
                <w:kern w:val="0"/>
                <w:sz w:val="24"/>
              </w:rPr>
              <w:t>-</w:t>
            </w:r>
            <w:r>
              <w:rPr>
                <w:kern w:val="0"/>
                <w:sz w:val="24"/>
              </w:rPr>
              <w:t>2035年）环境影响报告书》</w:t>
            </w:r>
            <w:r>
              <w:rPr>
                <w:rFonts w:hint="eastAsia"/>
                <w:bCs/>
                <w:sz w:val="24"/>
              </w:rPr>
              <w:t>生态环境准入条件及审查意见</w:t>
            </w:r>
            <w:r>
              <w:rPr>
                <w:kern w:val="0"/>
                <w:sz w:val="24"/>
              </w:rPr>
              <w:t>（豫环函〔202</w:t>
            </w:r>
            <w:r>
              <w:rPr>
                <w:rFonts w:hint="eastAsia"/>
                <w:kern w:val="0"/>
                <w:sz w:val="24"/>
              </w:rPr>
              <w:t>3</w:t>
            </w:r>
            <w:r>
              <w:rPr>
                <w:kern w:val="0"/>
                <w:sz w:val="24"/>
              </w:rPr>
              <w:t>〕103号）</w:t>
            </w:r>
            <w:r>
              <w:rPr>
                <w:rFonts w:hint="eastAsia"/>
                <w:kern w:val="0"/>
                <w:sz w:val="24"/>
              </w:rPr>
              <w:t>文件</w:t>
            </w:r>
            <w:r>
              <w:rPr>
                <w:rFonts w:hint="eastAsia"/>
                <w:bCs/>
                <w:sz w:val="24"/>
              </w:rPr>
              <w:t>，本项目相符性分析见下表。</w:t>
            </w:r>
          </w:p>
          <w:p>
            <w:pPr>
              <w:pStyle w:val="53"/>
              <w:numPr>
                <w:ilvl w:val="0"/>
                <w:numId w:val="2"/>
              </w:numPr>
              <w:adjustRightInd/>
              <w:snapToGrid/>
              <w:ind w:left="0" w:firstLine="0"/>
              <w:rPr>
                <w:kern w:val="0"/>
              </w:rPr>
            </w:pPr>
            <w:r>
              <w:rPr>
                <w:kern w:val="0"/>
              </w:rPr>
              <w:t>洛阳偃师区先进制造业开发区生态环境准入清单</w:t>
            </w:r>
            <w:r>
              <w:rPr>
                <w:rFonts w:hint="eastAsia"/>
                <w:kern w:val="0"/>
              </w:rPr>
              <w:t>相符性分析</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8"/>
              <w:gridCol w:w="3260"/>
              <w:gridCol w:w="3119"/>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blHeader/>
                <w:jc w:val="center"/>
              </w:trPr>
              <w:tc>
                <w:tcPr>
                  <w:tcW w:w="738" w:type="dxa"/>
                  <w:tcMar>
                    <w:left w:w="108" w:type="dxa"/>
                    <w:right w:w="108" w:type="dxa"/>
                  </w:tcMar>
                  <w:vAlign w:val="center"/>
                </w:tcPr>
                <w:p>
                  <w:pPr>
                    <w:pStyle w:val="80"/>
                    <w:rPr>
                      <w:kern w:val="0"/>
                    </w:rPr>
                  </w:pPr>
                  <w:r>
                    <w:rPr>
                      <w:kern w:val="0"/>
                    </w:rPr>
                    <w:t>类别</w:t>
                  </w:r>
                </w:p>
              </w:tc>
              <w:tc>
                <w:tcPr>
                  <w:tcW w:w="3260" w:type="dxa"/>
                  <w:tcMar>
                    <w:left w:w="108" w:type="dxa"/>
                    <w:right w:w="108" w:type="dxa"/>
                  </w:tcMar>
                  <w:vAlign w:val="center"/>
                </w:tcPr>
                <w:p>
                  <w:pPr>
                    <w:pStyle w:val="80"/>
                    <w:rPr>
                      <w:kern w:val="0"/>
                    </w:rPr>
                  </w:pPr>
                  <w:r>
                    <w:rPr>
                      <w:kern w:val="0"/>
                    </w:rPr>
                    <w:t>要求</w:t>
                  </w:r>
                </w:p>
              </w:tc>
              <w:tc>
                <w:tcPr>
                  <w:tcW w:w="3119" w:type="dxa"/>
                  <w:tcMar>
                    <w:left w:w="108" w:type="dxa"/>
                    <w:right w:w="108" w:type="dxa"/>
                  </w:tcMar>
                  <w:vAlign w:val="center"/>
                </w:tcPr>
                <w:p>
                  <w:pPr>
                    <w:pStyle w:val="80"/>
                    <w:rPr>
                      <w:kern w:val="0"/>
                    </w:rPr>
                  </w:pPr>
                  <w:r>
                    <w:rPr>
                      <w:kern w:val="0"/>
                    </w:rPr>
                    <w:t>本</w:t>
                  </w:r>
                  <w:r>
                    <w:rPr>
                      <w:rFonts w:hint="eastAsia"/>
                      <w:kern w:val="0"/>
                    </w:rPr>
                    <w:t>项目</w:t>
                  </w:r>
                </w:p>
              </w:tc>
              <w:tc>
                <w:tcPr>
                  <w:tcW w:w="927" w:type="dxa"/>
                  <w:tcMar>
                    <w:left w:w="108" w:type="dxa"/>
                    <w:right w:w="108" w:type="dxa"/>
                  </w:tcMar>
                  <w:vAlign w:val="center"/>
                </w:tcPr>
                <w:p>
                  <w:pPr>
                    <w:pStyle w:val="80"/>
                    <w:rPr>
                      <w:kern w:val="0"/>
                    </w:rPr>
                  </w:pPr>
                  <w:r>
                    <w:rPr>
                      <w:rFonts w:hint="eastAsia"/>
                      <w:kern w:val="0"/>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8" w:type="dxa"/>
                  <w:vMerge w:val="restart"/>
                  <w:tcMar>
                    <w:left w:w="108" w:type="dxa"/>
                    <w:right w:w="108" w:type="dxa"/>
                  </w:tcMar>
                  <w:vAlign w:val="center"/>
                </w:tcPr>
                <w:p>
                  <w:pPr>
                    <w:autoSpaceDE w:val="0"/>
                    <w:autoSpaceDN w:val="0"/>
                    <w:adjustRightInd w:val="0"/>
                    <w:snapToGrid w:val="0"/>
                    <w:spacing w:line="320" w:lineRule="exact"/>
                    <w:jc w:val="center"/>
                    <w:rPr>
                      <w:kern w:val="0"/>
                      <w:szCs w:val="21"/>
                    </w:rPr>
                  </w:pPr>
                  <w:r>
                    <w:rPr>
                      <w:kern w:val="0"/>
                      <w:szCs w:val="21"/>
                    </w:rPr>
                    <w:t>产业发展</w:t>
                  </w:r>
                </w:p>
              </w:tc>
              <w:tc>
                <w:tcPr>
                  <w:tcW w:w="3260"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禁止《产业结构调整指导目录》淘汰类项目入驻。</w:t>
                  </w:r>
                </w:p>
              </w:tc>
              <w:tc>
                <w:tcPr>
                  <w:tcW w:w="3119" w:type="dxa"/>
                  <w:tcMar>
                    <w:left w:w="108" w:type="dxa"/>
                    <w:right w:w="108" w:type="dxa"/>
                  </w:tcMar>
                  <w:vAlign w:val="center"/>
                </w:tcPr>
                <w:p>
                  <w:pPr>
                    <w:autoSpaceDE w:val="0"/>
                    <w:autoSpaceDN w:val="0"/>
                    <w:adjustRightInd w:val="0"/>
                    <w:snapToGrid w:val="0"/>
                    <w:spacing w:line="320" w:lineRule="exact"/>
                    <w:rPr>
                      <w:kern w:val="0"/>
                      <w:szCs w:val="21"/>
                    </w:rPr>
                  </w:pPr>
                  <w:r>
                    <w:rPr>
                      <w:bCs/>
                      <w:szCs w:val="21"/>
                    </w:rPr>
                    <w:t>本项目</w:t>
                  </w:r>
                  <w:r>
                    <w:rPr>
                      <w:szCs w:val="21"/>
                    </w:rPr>
                    <w:t>不属于《产业结构调整指导目录（2019年本）》（2021修订版）淘汰、限制类项目，属于允许</w:t>
                  </w:r>
                  <w:r>
                    <w:rPr>
                      <w:rFonts w:hint="eastAsia"/>
                      <w:szCs w:val="21"/>
                    </w:rPr>
                    <w:t>建设</w:t>
                  </w:r>
                  <w:r>
                    <w:rPr>
                      <w:szCs w:val="21"/>
                    </w:rPr>
                    <w:t>项目。</w:t>
                  </w:r>
                </w:p>
              </w:tc>
              <w:tc>
                <w:tcPr>
                  <w:tcW w:w="927" w:type="dxa"/>
                  <w:tcMar>
                    <w:left w:w="108" w:type="dxa"/>
                    <w:right w:w="108" w:type="dxa"/>
                  </w:tcMar>
                  <w:vAlign w:val="center"/>
                </w:tcPr>
                <w:p>
                  <w:pPr>
                    <w:autoSpaceDE w:val="0"/>
                    <w:autoSpaceDN w:val="0"/>
                    <w:adjustRightInd w:val="0"/>
                    <w:snapToGrid w:val="0"/>
                    <w:spacing w:line="320" w:lineRule="exact"/>
                    <w:jc w:val="center"/>
                    <w:rPr>
                      <w:bCs/>
                      <w:szCs w:val="21"/>
                    </w:rPr>
                  </w:pPr>
                  <w:r>
                    <w:rPr>
                      <w:rFonts w:hint="eastAsia"/>
                      <w:bCs/>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8" w:type="dxa"/>
                  <w:vMerge w:val="continue"/>
                  <w:tcMar>
                    <w:left w:w="108" w:type="dxa"/>
                    <w:right w:w="108" w:type="dxa"/>
                  </w:tcMar>
                  <w:vAlign w:val="center"/>
                </w:tcPr>
                <w:p>
                  <w:pPr>
                    <w:autoSpaceDE w:val="0"/>
                    <w:autoSpaceDN w:val="0"/>
                    <w:adjustRightInd w:val="0"/>
                    <w:snapToGrid w:val="0"/>
                    <w:spacing w:line="320" w:lineRule="exact"/>
                    <w:jc w:val="center"/>
                    <w:rPr>
                      <w:kern w:val="0"/>
                      <w:szCs w:val="21"/>
                    </w:rPr>
                  </w:pPr>
                </w:p>
              </w:tc>
              <w:tc>
                <w:tcPr>
                  <w:tcW w:w="3260"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原则上入驻项目应符合开发区规划主导产业或与主导产业具备一定的相关性，属于主导产业上下游产业延伸链项目。</w:t>
                  </w:r>
                </w:p>
              </w:tc>
              <w:tc>
                <w:tcPr>
                  <w:tcW w:w="3119"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本项目为</w:t>
                  </w:r>
                  <w:r>
                    <w:rPr>
                      <w:rFonts w:hint="eastAsia"/>
                      <w:kern w:val="0"/>
                      <w:szCs w:val="21"/>
                    </w:rPr>
                    <w:t>塑料制品生产项目，</w:t>
                  </w:r>
                  <w:r>
                    <w:rPr>
                      <w:kern w:val="0"/>
                      <w:szCs w:val="21"/>
                    </w:rPr>
                    <w:t>与开发区主导产业具备一定的相关性。</w:t>
                  </w:r>
                </w:p>
              </w:tc>
              <w:tc>
                <w:tcPr>
                  <w:tcW w:w="927" w:type="dxa"/>
                  <w:tcMar>
                    <w:left w:w="108" w:type="dxa"/>
                    <w:right w:w="108" w:type="dxa"/>
                  </w:tcMar>
                  <w:vAlign w:val="center"/>
                </w:tcPr>
                <w:p>
                  <w:pPr>
                    <w:autoSpaceDE w:val="0"/>
                    <w:autoSpaceDN w:val="0"/>
                    <w:adjustRightInd w:val="0"/>
                    <w:snapToGrid w:val="0"/>
                    <w:spacing w:line="320" w:lineRule="exact"/>
                    <w:jc w:val="center"/>
                    <w:rPr>
                      <w:kern w:val="0"/>
                      <w:szCs w:val="21"/>
                    </w:rPr>
                  </w:pPr>
                  <w:r>
                    <w:rPr>
                      <w:rFonts w:hint="eastAsia"/>
                      <w:bCs/>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8" w:type="dxa"/>
                  <w:vMerge w:val="continue"/>
                  <w:tcMar>
                    <w:left w:w="108" w:type="dxa"/>
                    <w:right w:w="108" w:type="dxa"/>
                  </w:tcMar>
                  <w:vAlign w:val="center"/>
                </w:tcPr>
                <w:p>
                  <w:pPr>
                    <w:autoSpaceDE w:val="0"/>
                    <w:autoSpaceDN w:val="0"/>
                    <w:adjustRightInd w:val="0"/>
                    <w:snapToGrid w:val="0"/>
                    <w:spacing w:line="320" w:lineRule="exact"/>
                    <w:jc w:val="center"/>
                    <w:rPr>
                      <w:kern w:val="0"/>
                      <w:szCs w:val="21"/>
                    </w:rPr>
                  </w:pPr>
                </w:p>
              </w:tc>
              <w:tc>
                <w:tcPr>
                  <w:tcW w:w="3260"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从严控制新增高污染、高耗能、高排放、高耗水项目建设，开发区入区两高项目应符合有关产业规划，应满足有关产能置换及环境管理文件要求（豫环文〔2021〕100号文等）。原则上禁止新改扩建有色金属冶炼项目（再生有色金属项目除外）、普通平板玻璃项目（电子玻璃、光伏玻璃等特种玻璃项目除外）入驻开发区。</w:t>
                  </w:r>
                </w:p>
              </w:tc>
              <w:tc>
                <w:tcPr>
                  <w:tcW w:w="3119"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本项目为</w:t>
                  </w:r>
                  <w:r>
                    <w:rPr>
                      <w:rFonts w:hint="eastAsia"/>
                      <w:kern w:val="0"/>
                      <w:szCs w:val="21"/>
                    </w:rPr>
                    <w:t>扩建塑料制品生产项目，</w:t>
                  </w:r>
                  <w:r>
                    <w:rPr>
                      <w:kern w:val="0"/>
                      <w:szCs w:val="21"/>
                    </w:rPr>
                    <w:t>不属于高污染、高耗能、高排放、高耗水的项目，不属于“两高”项目，不属于</w:t>
                  </w:r>
                  <w:r>
                    <w:t>左列禁止入驻项目。</w:t>
                  </w:r>
                </w:p>
              </w:tc>
              <w:tc>
                <w:tcPr>
                  <w:tcW w:w="927" w:type="dxa"/>
                  <w:tcMar>
                    <w:left w:w="108" w:type="dxa"/>
                    <w:right w:w="108" w:type="dxa"/>
                  </w:tcMar>
                  <w:vAlign w:val="center"/>
                </w:tcPr>
                <w:p>
                  <w:pPr>
                    <w:autoSpaceDE w:val="0"/>
                    <w:autoSpaceDN w:val="0"/>
                    <w:adjustRightInd w:val="0"/>
                    <w:snapToGrid w:val="0"/>
                    <w:spacing w:line="320" w:lineRule="exact"/>
                    <w:jc w:val="center"/>
                    <w:rPr>
                      <w:kern w:val="0"/>
                      <w:szCs w:val="21"/>
                    </w:rPr>
                  </w:pPr>
                  <w:r>
                    <w:rPr>
                      <w:rFonts w:hint="eastAsia"/>
                      <w:bCs/>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8" w:type="dxa"/>
                  <w:vMerge w:val="continue"/>
                  <w:tcMar>
                    <w:left w:w="108" w:type="dxa"/>
                    <w:right w:w="108" w:type="dxa"/>
                  </w:tcMar>
                  <w:vAlign w:val="center"/>
                </w:tcPr>
                <w:p>
                  <w:pPr>
                    <w:autoSpaceDE w:val="0"/>
                    <w:autoSpaceDN w:val="0"/>
                    <w:adjustRightInd w:val="0"/>
                    <w:snapToGrid w:val="0"/>
                    <w:spacing w:line="320" w:lineRule="exact"/>
                    <w:jc w:val="center"/>
                    <w:rPr>
                      <w:kern w:val="0"/>
                      <w:szCs w:val="21"/>
                    </w:rPr>
                  </w:pPr>
                </w:p>
              </w:tc>
              <w:tc>
                <w:tcPr>
                  <w:tcW w:w="3260" w:type="dxa"/>
                  <w:tcMar>
                    <w:left w:w="108" w:type="dxa"/>
                    <w:right w:w="108" w:type="dxa"/>
                  </w:tcMar>
                  <w:vAlign w:val="center"/>
                </w:tcPr>
                <w:p>
                  <w:pPr>
                    <w:autoSpaceDE w:val="0"/>
                    <w:autoSpaceDN w:val="0"/>
                    <w:adjustRightInd w:val="0"/>
                    <w:snapToGrid w:val="0"/>
                    <w:spacing w:line="320" w:lineRule="exact"/>
                    <w:jc w:val="left"/>
                    <w:rPr>
                      <w:kern w:val="0"/>
                      <w:szCs w:val="21"/>
                    </w:rPr>
                  </w:pPr>
                  <w:r>
                    <w:rPr>
                      <w:kern w:val="0"/>
                      <w:szCs w:val="21"/>
                    </w:rPr>
                    <w:t>禁止涉及炼化、硫化工艺项目和有毒材料的人造革、发泡胶等项目入驻。</w:t>
                  </w:r>
                </w:p>
              </w:tc>
              <w:tc>
                <w:tcPr>
                  <w:tcW w:w="3119" w:type="dxa"/>
                  <w:tcMar>
                    <w:left w:w="108" w:type="dxa"/>
                    <w:right w:w="108" w:type="dxa"/>
                  </w:tcMar>
                  <w:vAlign w:val="center"/>
                </w:tcPr>
                <w:p>
                  <w:pPr>
                    <w:autoSpaceDE w:val="0"/>
                    <w:autoSpaceDN w:val="0"/>
                    <w:adjustRightInd w:val="0"/>
                    <w:snapToGrid w:val="0"/>
                    <w:spacing w:line="320" w:lineRule="exact"/>
                    <w:jc w:val="center"/>
                    <w:rPr>
                      <w:kern w:val="0"/>
                      <w:szCs w:val="21"/>
                    </w:rPr>
                  </w:pPr>
                  <w:r>
                    <w:rPr>
                      <w:kern w:val="0"/>
                      <w:szCs w:val="21"/>
                    </w:rPr>
                    <w:t>不涉及</w:t>
                  </w:r>
                </w:p>
              </w:tc>
              <w:tc>
                <w:tcPr>
                  <w:tcW w:w="927" w:type="dxa"/>
                  <w:tcMar>
                    <w:left w:w="108" w:type="dxa"/>
                    <w:right w:w="108" w:type="dxa"/>
                  </w:tcMar>
                  <w:vAlign w:val="center"/>
                </w:tcPr>
                <w:p>
                  <w:pPr>
                    <w:autoSpaceDE w:val="0"/>
                    <w:autoSpaceDN w:val="0"/>
                    <w:adjustRightInd w:val="0"/>
                    <w:snapToGrid w:val="0"/>
                    <w:spacing w:line="320" w:lineRule="exact"/>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8" w:type="dxa"/>
                  <w:vMerge w:val="continue"/>
                  <w:tcMar>
                    <w:left w:w="108" w:type="dxa"/>
                    <w:right w:w="108" w:type="dxa"/>
                  </w:tcMar>
                  <w:vAlign w:val="center"/>
                </w:tcPr>
                <w:p>
                  <w:pPr>
                    <w:autoSpaceDE w:val="0"/>
                    <w:autoSpaceDN w:val="0"/>
                    <w:adjustRightInd w:val="0"/>
                    <w:snapToGrid w:val="0"/>
                    <w:spacing w:line="320" w:lineRule="exact"/>
                    <w:jc w:val="center"/>
                    <w:rPr>
                      <w:kern w:val="0"/>
                      <w:szCs w:val="21"/>
                    </w:rPr>
                  </w:pPr>
                </w:p>
              </w:tc>
              <w:tc>
                <w:tcPr>
                  <w:tcW w:w="3260" w:type="dxa"/>
                  <w:tcMar>
                    <w:left w:w="108" w:type="dxa"/>
                    <w:right w:w="108" w:type="dxa"/>
                  </w:tcMar>
                  <w:vAlign w:val="center"/>
                </w:tcPr>
                <w:p>
                  <w:pPr>
                    <w:autoSpaceDE w:val="0"/>
                    <w:autoSpaceDN w:val="0"/>
                    <w:adjustRightInd w:val="0"/>
                    <w:snapToGrid w:val="0"/>
                    <w:spacing w:line="320" w:lineRule="exact"/>
                    <w:jc w:val="left"/>
                    <w:rPr>
                      <w:kern w:val="0"/>
                      <w:szCs w:val="21"/>
                    </w:rPr>
                  </w:pPr>
                  <w:r>
                    <w:rPr>
                      <w:kern w:val="0"/>
                      <w:szCs w:val="21"/>
                    </w:rPr>
                    <w:t>原则上禁止独立电镀项目入驻。</w:t>
                  </w:r>
                </w:p>
              </w:tc>
              <w:tc>
                <w:tcPr>
                  <w:tcW w:w="3119" w:type="dxa"/>
                  <w:tcMar>
                    <w:left w:w="108" w:type="dxa"/>
                    <w:right w:w="108" w:type="dxa"/>
                  </w:tcMar>
                  <w:vAlign w:val="center"/>
                </w:tcPr>
                <w:p>
                  <w:pPr>
                    <w:autoSpaceDE w:val="0"/>
                    <w:autoSpaceDN w:val="0"/>
                    <w:adjustRightInd w:val="0"/>
                    <w:snapToGrid w:val="0"/>
                    <w:spacing w:line="320" w:lineRule="exact"/>
                    <w:jc w:val="center"/>
                    <w:rPr>
                      <w:kern w:val="0"/>
                      <w:szCs w:val="21"/>
                    </w:rPr>
                  </w:pPr>
                  <w:r>
                    <w:rPr>
                      <w:kern w:val="0"/>
                      <w:szCs w:val="21"/>
                    </w:rPr>
                    <w:t>不涉及</w:t>
                  </w:r>
                </w:p>
              </w:tc>
              <w:tc>
                <w:tcPr>
                  <w:tcW w:w="927" w:type="dxa"/>
                  <w:tcMar>
                    <w:left w:w="108" w:type="dxa"/>
                    <w:right w:w="108" w:type="dxa"/>
                  </w:tcMar>
                  <w:vAlign w:val="center"/>
                </w:tcPr>
                <w:p>
                  <w:pPr>
                    <w:autoSpaceDE w:val="0"/>
                    <w:autoSpaceDN w:val="0"/>
                    <w:adjustRightInd w:val="0"/>
                    <w:snapToGrid w:val="0"/>
                    <w:spacing w:line="320" w:lineRule="exact"/>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8" w:type="dxa"/>
                  <w:vMerge w:val="continue"/>
                  <w:tcMar>
                    <w:left w:w="108" w:type="dxa"/>
                    <w:right w:w="108" w:type="dxa"/>
                  </w:tcMar>
                  <w:vAlign w:val="center"/>
                </w:tcPr>
                <w:p>
                  <w:pPr>
                    <w:autoSpaceDE w:val="0"/>
                    <w:autoSpaceDN w:val="0"/>
                    <w:adjustRightInd w:val="0"/>
                    <w:snapToGrid w:val="0"/>
                    <w:spacing w:line="320" w:lineRule="exact"/>
                    <w:jc w:val="center"/>
                    <w:rPr>
                      <w:kern w:val="0"/>
                      <w:szCs w:val="21"/>
                    </w:rPr>
                  </w:pPr>
                </w:p>
              </w:tc>
              <w:tc>
                <w:tcPr>
                  <w:tcW w:w="3260"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强化煤炭消费总量管控，严格控制新增燃煤项目，原则上不再新增非电行业耗煤项目，确因产业和民生需要新上的，需落实煤炭减量替代。</w:t>
                  </w:r>
                </w:p>
              </w:tc>
              <w:tc>
                <w:tcPr>
                  <w:tcW w:w="3119" w:type="dxa"/>
                  <w:tcMar>
                    <w:left w:w="108" w:type="dxa"/>
                    <w:right w:w="108" w:type="dxa"/>
                  </w:tcMar>
                  <w:vAlign w:val="center"/>
                </w:tcPr>
                <w:p>
                  <w:pPr>
                    <w:autoSpaceDE w:val="0"/>
                    <w:autoSpaceDN w:val="0"/>
                    <w:adjustRightInd w:val="0"/>
                    <w:snapToGrid w:val="0"/>
                    <w:spacing w:line="320" w:lineRule="exact"/>
                    <w:jc w:val="center"/>
                    <w:rPr>
                      <w:kern w:val="0"/>
                      <w:szCs w:val="21"/>
                    </w:rPr>
                  </w:pPr>
                  <w:r>
                    <w:rPr>
                      <w:kern w:val="0"/>
                      <w:szCs w:val="21"/>
                    </w:rPr>
                    <w:t>不涉及</w:t>
                  </w:r>
                </w:p>
              </w:tc>
              <w:tc>
                <w:tcPr>
                  <w:tcW w:w="927" w:type="dxa"/>
                  <w:tcMar>
                    <w:left w:w="108" w:type="dxa"/>
                    <w:right w:w="108" w:type="dxa"/>
                  </w:tcMar>
                  <w:vAlign w:val="center"/>
                </w:tcPr>
                <w:p>
                  <w:pPr>
                    <w:autoSpaceDE w:val="0"/>
                    <w:autoSpaceDN w:val="0"/>
                    <w:adjustRightInd w:val="0"/>
                    <w:snapToGrid w:val="0"/>
                    <w:spacing w:line="320" w:lineRule="exact"/>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8" w:type="dxa"/>
                  <w:vMerge w:val="continue"/>
                  <w:tcMar>
                    <w:left w:w="108" w:type="dxa"/>
                    <w:right w:w="108" w:type="dxa"/>
                  </w:tcMar>
                  <w:vAlign w:val="center"/>
                </w:tcPr>
                <w:p>
                  <w:pPr>
                    <w:autoSpaceDE w:val="0"/>
                    <w:autoSpaceDN w:val="0"/>
                    <w:adjustRightInd w:val="0"/>
                    <w:snapToGrid w:val="0"/>
                    <w:spacing w:line="320" w:lineRule="exact"/>
                    <w:jc w:val="center"/>
                    <w:rPr>
                      <w:kern w:val="0"/>
                      <w:szCs w:val="21"/>
                    </w:rPr>
                  </w:pPr>
                </w:p>
              </w:tc>
              <w:tc>
                <w:tcPr>
                  <w:tcW w:w="3260"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禁止新建燃煤、重油及高污染燃料的锅炉项目，锅炉应采用清洁能源。在开发区实现集中供热之后，在保障各企业工业用蒸汽的等级、压力及用汽的连续性的基础上，原则上不再新增分散式燃气锅炉项目。</w:t>
                  </w:r>
                </w:p>
              </w:tc>
              <w:tc>
                <w:tcPr>
                  <w:tcW w:w="3119"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本项目</w:t>
                  </w:r>
                  <w:r>
                    <w:rPr>
                      <w:rFonts w:hint="eastAsia"/>
                      <w:kern w:val="0"/>
                      <w:szCs w:val="21"/>
                    </w:rPr>
                    <w:t>生产使用电能，不涉及锅炉，不涉及使用蒸汽。</w:t>
                  </w:r>
                </w:p>
              </w:tc>
              <w:tc>
                <w:tcPr>
                  <w:tcW w:w="927" w:type="dxa"/>
                  <w:tcMar>
                    <w:left w:w="108" w:type="dxa"/>
                    <w:right w:w="108" w:type="dxa"/>
                  </w:tcMar>
                  <w:vAlign w:val="center"/>
                </w:tcPr>
                <w:p>
                  <w:pPr>
                    <w:autoSpaceDE w:val="0"/>
                    <w:autoSpaceDN w:val="0"/>
                    <w:adjustRightInd w:val="0"/>
                    <w:snapToGrid w:val="0"/>
                    <w:spacing w:line="320" w:lineRule="exact"/>
                    <w:jc w:val="center"/>
                    <w:rPr>
                      <w:kern w:val="0"/>
                      <w:szCs w:val="21"/>
                    </w:rPr>
                  </w:pPr>
                  <w:r>
                    <w:rPr>
                      <w:rFonts w:hint="eastAsia"/>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8" w:type="dxa"/>
                  <w:vMerge w:val="restart"/>
                  <w:tcMar>
                    <w:left w:w="108" w:type="dxa"/>
                    <w:right w:w="108" w:type="dxa"/>
                  </w:tcMar>
                  <w:vAlign w:val="center"/>
                </w:tcPr>
                <w:p>
                  <w:pPr>
                    <w:autoSpaceDE w:val="0"/>
                    <w:autoSpaceDN w:val="0"/>
                    <w:adjustRightInd w:val="0"/>
                    <w:snapToGrid w:val="0"/>
                    <w:spacing w:line="320" w:lineRule="exact"/>
                    <w:jc w:val="center"/>
                    <w:rPr>
                      <w:kern w:val="0"/>
                      <w:szCs w:val="21"/>
                    </w:rPr>
                  </w:pPr>
                  <w:r>
                    <w:rPr>
                      <w:kern w:val="0"/>
                      <w:szCs w:val="21"/>
                    </w:rPr>
                    <w:t>生产工艺与装备水平</w:t>
                  </w:r>
                </w:p>
              </w:tc>
              <w:tc>
                <w:tcPr>
                  <w:tcW w:w="3260"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新建、改建、扩建“两高”项目应采用先进的工艺技术和装备，单位产品能耗、物耗、水耗等清洁生产水平和污染物排放强度应达到清洁生产先进水平，国家、省绩效分级重点行业新建、扩建项目达到A级水平，改建项目达到B级以上水平。其他绩效分级重点行业新建、改建、扩建项目应达到B级及以上要求。</w:t>
                  </w:r>
                </w:p>
              </w:tc>
              <w:tc>
                <w:tcPr>
                  <w:tcW w:w="3119"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本项目</w:t>
                  </w:r>
                  <w:r>
                    <w:rPr>
                      <w:rFonts w:hint="eastAsia"/>
                      <w:kern w:val="0"/>
                      <w:szCs w:val="21"/>
                    </w:rPr>
                    <w:t>属于塑料制品生产项目，</w:t>
                  </w:r>
                  <w:r>
                    <w:rPr>
                      <w:kern w:val="0"/>
                      <w:szCs w:val="21"/>
                    </w:rPr>
                    <w:t>不属于“两高”行业，采用目前行业内先进的工艺和装备；</w:t>
                  </w:r>
                  <w:r>
                    <w:rPr>
                      <w:rFonts w:hint="eastAsia"/>
                      <w:kern w:val="0"/>
                      <w:szCs w:val="21"/>
                    </w:rPr>
                    <w:t>本项目属于“塑料制品业”，</w:t>
                  </w:r>
                  <w:r>
                    <w:rPr>
                      <w:rFonts w:hAnsi="宋体"/>
                      <w:bCs/>
                      <w:kern w:val="0"/>
                      <w:szCs w:val="21"/>
                    </w:rPr>
                    <w:t>对照</w:t>
                  </w:r>
                  <w:r>
                    <w:rPr>
                      <w:rFonts w:hint="eastAsia" w:hAnsi="宋体"/>
                      <w:bCs/>
                      <w:kern w:val="0"/>
                      <w:szCs w:val="21"/>
                    </w:rPr>
                    <w:t>《</w:t>
                  </w:r>
                  <w:r>
                    <w:rPr>
                      <w:rFonts w:hAnsi="宋体"/>
                      <w:bCs/>
                      <w:kern w:val="0"/>
                      <w:szCs w:val="21"/>
                    </w:rPr>
                    <w:t>河南省重污染天气重点行业应急减排措施制定技术指南</w:t>
                  </w:r>
                  <w:r>
                    <w:rPr>
                      <w:rFonts w:hint="eastAsia" w:hAnsi="宋体"/>
                      <w:bCs/>
                      <w:kern w:val="0"/>
                      <w:szCs w:val="21"/>
                    </w:rPr>
                    <w:t>》</w:t>
                  </w:r>
                  <w:r>
                    <w:rPr>
                      <w:rFonts w:hAnsi="宋体"/>
                      <w:bCs/>
                      <w:kern w:val="0"/>
                      <w:szCs w:val="21"/>
                    </w:rPr>
                    <w:t>（</w:t>
                  </w:r>
                  <w:r>
                    <w:rPr>
                      <w:bCs/>
                      <w:kern w:val="0"/>
                      <w:szCs w:val="21"/>
                    </w:rPr>
                    <w:t>2021</w:t>
                  </w:r>
                  <w:r>
                    <w:rPr>
                      <w:rFonts w:hAnsi="宋体"/>
                      <w:bCs/>
                      <w:kern w:val="0"/>
                      <w:szCs w:val="21"/>
                    </w:rPr>
                    <w:t>年修订版），本</w:t>
                  </w:r>
                  <w:r>
                    <w:rPr>
                      <w:rFonts w:hint="eastAsia" w:hAnsi="宋体"/>
                      <w:bCs/>
                      <w:kern w:val="0"/>
                      <w:szCs w:val="21"/>
                    </w:rPr>
                    <w:t>项目应达到A级绩效水平</w:t>
                  </w:r>
                  <w:r>
                    <w:rPr>
                      <w:rFonts w:hAnsi="宋体"/>
                      <w:bCs/>
                      <w:kern w:val="0"/>
                      <w:szCs w:val="21"/>
                    </w:rPr>
                    <w:t>。</w:t>
                  </w:r>
                </w:p>
              </w:tc>
              <w:tc>
                <w:tcPr>
                  <w:tcW w:w="927" w:type="dxa"/>
                  <w:tcMar>
                    <w:left w:w="108" w:type="dxa"/>
                    <w:right w:w="108" w:type="dxa"/>
                  </w:tcMar>
                  <w:vAlign w:val="center"/>
                </w:tcPr>
                <w:p>
                  <w:pPr>
                    <w:autoSpaceDE w:val="0"/>
                    <w:autoSpaceDN w:val="0"/>
                    <w:adjustRightInd w:val="0"/>
                    <w:snapToGrid w:val="0"/>
                    <w:spacing w:line="320" w:lineRule="exact"/>
                    <w:jc w:val="center"/>
                    <w:rPr>
                      <w:kern w:val="0"/>
                      <w:szCs w:val="21"/>
                    </w:rPr>
                  </w:pPr>
                  <w:r>
                    <w:rPr>
                      <w:rFonts w:hint="eastAsia"/>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8" w:type="dxa"/>
                  <w:vMerge w:val="continue"/>
                  <w:tcMar>
                    <w:left w:w="108" w:type="dxa"/>
                    <w:right w:w="108" w:type="dxa"/>
                  </w:tcMar>
                  <w:vAlign w:val="center"/>
                </w:tcPr>
                <w:p>
                  <w:pPr>
                    <w:autoSpaceDE w:val="0"/>
                    <w:autoSpaceDN w:val="0"/>
                    <w:adjustRightInd w:val="0"/>
                    <w:snapToGrid w:val="0"/>
                    <w:spacing w:line="320" w:lineRule="exact"/>
                    <w:jc w:val="center"/>
                    <w:rPr>
                      <w:kern w:val="0"/>
                      <w:szCs w:val="21"/>
                    </w:rPr>
                  </w:pPr>
                </w:p>
              </w:tc>
              <w:tc>
                <w:tcPr>
                  <w:tcW w:w="3260"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禁止新建生产和使用高VOCs含量的溶剂型涂料、油墨、胶粘剂、清洁剂等项目。</w:t>
                  </w:r>
                </w:p>
              </w:tc>
              <w:tc>
                <w:tcPr>
                  <w:tcW w:w="3119" w:type="dxa"/>
                  <w:tcMar>
                    <w:left w:w="108" w:type="dxa"/>
                    <w:right w:w="108" w:type="dxa"/>
                  </w:tcMar>
                  <w:vAlign w:val="center"/>
                </w:tcPr>
                <w:p>
                  <w:pPr>
                    <w:autoSpaceDE w:val="0"/>
                    <w:autoSpaceDN w:val="0"/>
                    <w:adjustRightInd w:val="0"/>
                    <w:snapToGrid w:val="0"/>
                    <w:spacing w:line="320" w:lineRule="exact"/>
                    <w:jc w:val="center"/>
                    <w:rPr>
                      <w:kern w:val="0"/>
                      <w:szCs w:val="21"/>
                    </w:rPr>
                  </w:pPr>
                  <w:r>
                    <w:rPr>
                      <w:kern w:val="0"/>
                      <w:szCs w:val="21"/>
                    </w:rPr>
                    <w:t>不涉及</w:t>
                  </w:r>
                </w:p>
              </w:tc>
              <w:tc>
                <w:tcPr>
                  <w:tcW w:w="927" w:type="dxa"/>
                  <w:tcMar>
                    <w:left w:w="108" w:type="dxa"/>
                    <w:right w:w="108" w:type="dxa"/>
                  </w:tcMar>
                  <w:vAlign w:val="center"/>
                </w:tcPr>
                <w:p>
                  <w:pPr>
                    <w:autoSpaceDE w:val="0"/>
                    <w:autoSpaceDN w:val="0"/>
                    <w:adjustRightInd w:val="0"/>
                    <w:snapToGrid w:val="0"/>
                    <w:spacing w:line="320" w:lineRule="exact"/>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8" w:type="dxa"/>
                  <w:vMerge w:val="continue"/>
                  <w:tcMar>
                    <w:left w:w="108" w:type="dxa"/>
                    <w:right w:w="108" w:type="dxa"/>
                  </w:tcMar>
                  <w:vAlign w:val="center"/>
                </w:tcPr>
                <w:p>
                  <w:pPr>
                    <w:autoSpaceDE w:val="0"/>
                    <w:autoSpaceDN w:val="0"/>
                    <w:adjustRightInd w:val="0"/>
                    <w:snapToGrid w:val="0"/>
                    <w:spacing w:line="320" w:lineRule="exact"/>
                    <w:jc w:val="center"/>
                    <w:rPr>
                      <w:kern w:val="0"/>
                      <w:szCs w:val="21"/>
                    </w:rPr>
                  </w:pPr>
                </w:p>
              </w:tc>
              <w:tc>
                <w:tcPr>
                  <w:tcW w:w="3260"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禁止物料输送设备、生产车间非全密闭且未配置收尘设施；禁止露天喷漆项目。</w:t>
                  </w:r>
                </w:p>
              </w:tc>
              <w:tc>
                <w:tcPr>
                  <w:tcW w:w="3119"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本项目生产车间全密闭，生产设备均安装于密闭生产车间内。生产过程不涉及喷漆。</w:t>
                  </w:r>
                </w:p>
              </w:tc>
              <w:tc>
                <w:tcPr>
                  <w:tcW w:w="927" w:type="dxa"/>
                  <w:tcMar>
                    <w:left w:w="108" w:type="dxa"/>
                    <w:right w:w="108" w:type="dxa"/>
                  </w:tcMar>
                  <w:vAlign w:val="center"/>
                </w:tcPr>
                <w:p>
                  <w:pPr>
                    <w:autoSpaceDE w:val="0"/>
                    <w:autoSpaceDN w:val="0"/>
                    <w:adjustRightInd w:val="0"/>
                    <w:snapToGrid w:val="0"/>
                    <w:spacing w:line="320" w:lineRule="exact"/>
                    <w:jc w:val="center"/>
                    <w:rPr>
                      <w:kern w:val="0"/>
                      <w:szCs w:val="21"/>
                    </w:rPr>
                  </w:pPr>
                  <w:r>
                    <w:rPr>
                      <w:rFonts w:hint="eastAsia"/>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8" w:type="dxa"/>
                  <w:vMerge w:val="restart"/>
                  <w:tcMar>
                    <w:left w:w="108" w:type="dxa"/>
                    <w:right w:w="108" w:type="dxa"/>
                  </w:tcMar>
                  <w:vAlign w:val="center"/>
                </w:tcPr>
                <w:p>
                  <w:pPr>
                    <w:autoSpaceDE w:val="0"/>
                    <w:autoSpaceDN w:val="0"/>
                    <w:adjustRightInd w:val="0"/>
                    <w:snapToGrid w:val="0"/>
                    <w:spacing w:line="320" w:lineRule="exact"/>
                    <w:jc w:val="center"/>
                    <w:rPr>
                      <w:kern w:val="0"/>
                      <w:szCs w:val="21"/>
                    </w:rPr>
                  </w:pPr>
                  <w:r>
                    <w:rPr>
                      <w:kern w:val="0"/>
                      <w:szCs w:val="21"/>
                    </w:rPr>
                    <w:t>污染控制</w:t>
                  </w:r>
                </w:p>
              </w:tc>
              <w:tc>
                <w:tcPr>
                  <w:tcW w:w="3260"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对于废水水量较大、水质浓度较高，对开发区污水处理厂易造成冲击，影响污水处理厂稳定运行达标排放的项目，禁止入驻。</w:t>
                  </w:r>
                </w:p>
                <w:p>
                  <w:pPr>
                    <w:autoSpaceDE w:val="0"/>
                    <w:autoSpaceDN w:val="0"/>
                    <w:adjustRightInd w:val="0"/>
                    <w:snapToGrid w:val="0"/>
                    <w:spacing w:line="320" w:lineRule="exact"/>
                    <w:rPr>
                      <w:kern w:val="0"/>
                      <w:szCs w:val="21"/>
                    </w:rPr>
                  </w:pPr>
                  <w:r>
                    <w:rPr>
                      <w:kern w:val="0"/>
                      <w:szCs w:val="21"/>
                    </w:rPr>
                    <w:t>入驻开发区企业废水需通过污水管网排入开发区污水处理厂处理，生产废水不得直排外环境。</w:t>
                  </w:r>
                </w:p>
              </w:tc>
              <w:tc>
                <w:tcPr>
                  <w:tcW w:w="3119" w:type="dxa"/>
                  <w:tcMar>
                    <w:left w:w="108" w:type="dxa"/>
                    <w:right w:w="108" w:type="dxa"/>
                  </w:tcMar>
                  <w:vAlign w:val="center"/>
                </w:tcPr>
                <w:p>
                  <w:pPr>
                    <w:autoSpaceDE w:val="0"/>
                    <w:autoSpaceDN w:val="0"/>
                    <w:adjustRightInd w:val="0"/>
                    <w:snapToGrid w:val="0"/>
                    <w:spacing w:line="320" w:lineRule="exact"/>
                    <w:rPr>
                      <w:kern w:val="0"/>
                      <w:szCs w:val="21"/>
                    </w:rPr>
                  </w:pPr>
                  <w:r>
                    <w:rPr>
                      <w:rFonts w:hint="eastAsia"/>
                      <w:kern w:val="0"/>
                      <w:szCs w:val="21"/>
                    </w:rPr>
                    <w:t>本</w:t>
                  </w:r>
                  <w:r>
                    <w:rPr>
                      <w:kern w:val="0"/>
                      <w:szCs w:val="21"/>
                    </w:rPr>
                    <w:t>项目</w:t>
                  </w:r>
                  <w:r>
                    <w:rPr>
                      <w:rFonts w:hint="eastAsia"/>
                      <w:kern w:val="0"/>
                      <w:szCs w:val="21"/>
                    </w:rPr>
                    <w:t>用水主要为职工生活用水和设备循环冷却水，</w:t>
                  </w:r>
                  <w:r>
                    <w:rPr>
                      <w:kern w:val="0"/>
                      <w:szCs w:val="21"/>
                    </w:rPr>
                    <w:t>不属于废水水量较大、水质浓度较高、对开发区污水处理厂易造成冲击、影响污水处理厂稳定运行达标排放的项目。</w:t>
                  </w:r>
                </w:p>
                <w:p>
                  <w:pPr>
                    <w:autoSpaceDE w:val="0"/>
                    <w:autoSpaceDN w:val="0"/>
                    <w:adjustRightInd w:val="0"/>
                    <w:snapToGrid w:val="0"/>
                    <w:spacing w:line="320" w:lineRule="exact"/>
                    <w:rPr>
                      <w:kern w:val="0"/>
                      <w:szCs w:val="21"/>
                      <w:u w:val="single"/>
                    </w:rPr>
                  </w:pPr>
                  <w:r>
                    <w:rPr>
                      <w:rFonts w:hint="eastAsia"/>
                      <w:kern w:val="0"/>
                      <w:szCs w:val="21"/>
                    </w:rPr>
                    <w:t>本</w:t>
                  </w:r>
                  <w:r>
                    <w:rPr>
                      <w:kern w:val="0"/>
                      <w:szCs w:val="21"/>
                    </w:rPr>
                    <w:t>项目</w:t>
                  </w:r>
                  <w:r>
                    <w:rPr>
                      <w:rFonts w:hint="eastAsia"/>
                      <w:kern w:val="0"/>
                      <w:szCs w:val="21"/>
                    </w:rPr>
                    <w:t>冷却水循环使用，定期更换，用于厂区洒水绿化降尘。生活用水依托厂区现有污水处理设施，</w:t>
                  </w:r>
                  <w:r>
                    <w:rPr>
                      <w:rFonts w:hint="eastAsia"/>
                      <w:kern w:val="0"/>
                      <w:szCs w:val="21"/>
                      <w:u w:val="single"/>
                    </w:rPr>
                    <w:t>处理后用于厂区绿化，远期排入偃师区第二污水处理厂。</w:t>
                  </w:r>
                </w:p>
              </w:tc>
              <w:tc>
                <w:tcPr>
                  <w:tcW w:w="927" w:type="dxa"/>
                  <w:tcMar>
                    <w:left w:w="108" w:type="dxa"/>
                    <w:right w:w="108" w:type="dxa"/>
                  </w:tcMar>
                  <w:vAlign w:val="center"/>
                </w:tcPr>
                <w:p>
                  <w:pPr>
                    <w:autoSpaceDE w:val="0"/>
                    <w:autoSpaceDN w:val="0"/>
                    <w:adjustRightInd w:val="0"/>
                    <w:snapToGrid w:val="0"/>
                    <w:spacing w:line="320" w:lineRule="exact"/>
                    <w:jc w:val="center"/>
                    <w:rPr>
                      <w:kern w:val="0"/>
                      <w:szCs w:val="21"/>
                    </w:rPr>
                  </w:pPr>
                  <w:r>
                    <w:rPr>
                      <w:rFonts w:hint="eastAsia"/>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8" w:type="dxa"/>
                  <w:vMerge w:val="continue"/>
                  <w:tcMar>
                    <w:left w:w="108" w:type="dxa"/>
                    <w:right w:w="108" w:type="dxa"/>
                  </w:tcMar>
                  <w:vAlign w:val="center"/>
                </w:tcPr>
                <w:p>
                  <w:pPr>
                    <w:autoSpaceDE w:val="0"/>
                    <w:autoSpaceDN w:val="0"/>
                    <w:adjustRightInd w:val="0"/>
                    <w:snapToGrid w:val="0"/>
                    <w:spacing w:line="320" w:lineRule="exact"/>
                    <w:rPr>
                      <w:kern w:val="0"/>
                      <w:szCs w:val="21"/>
                    </w:rPr>
                  </w:pPr>
                </w:p>
              </w:tc>
              <w:tc>
                <w:tcPr>
                  <w:tcW w:w="3260"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重点行业二氧化硫、氮氧化物、颗粒物、VOCs全面执行大气污染物特别排放限值。</w:t>
                  </w:r>
                </w:p>
              </w:tc>
              <w:tc>
                <w:tcPr>
                  <w:tcW w:w="3119" w:type="dxa"/>
                  <w:tcMar>
                    <w:left w:w="108" w:type="dxa"/>
                    <w:right w:w="108" w:type="dxa"/>
                  </w:tcMar>
                  <w:vAlign w:val="center"/>
                </w:tcPr>
                <w:p>
                  <w:pPr>
                    <w:autoSpaceDE w:val="0"/>
                    <w:autoSpaceDN w:val="0"/>
                    <w:adjustRightInd w:val="0"/>
                    <w:snapToGrid w:val="0"/>
                    <w:spacing w:line="320" w:lineRule="exact"/>
                    <w:rPr>
                      <w:kern w:val="0"/>
                      <w:szCs w:val="21"/>
                    </w:rPr>
                  </w:pPr>
                  <w:r>
                    <w:rPr>
                      <w:rFonts w:hint="eastAsia"/>
                      <w:kern w:val="0"/>
                      <w:szCs w:val="21"/>
                    </w:rPr>
                    <w:t>本项目废气污染物涉及颗粒物、</w:t>
                  </w:r>
                  <w:r>
                    <w:rPr>
                      <w:kern w:val="0"/>
                      <w:szCs w:val="21"/>
                    </w:rPr>
                    <w:t>VOCs</w:t>
                  </w:r>
                  <w:r>
                    <w:rPr>
                      <w:rFonts w:hint="eastAsia"/>
                      <w:kern w:val="0"/>
                      <w:szCs w:val="21"/>
                    </w:rPr>
                    <w:t>，执行</w:t>
                  </w:r>
                  <w:r>
                    <w:rPr>
                      <w:rFonts w:hint="eastAsia"/>
                      <w:szCs w:val="21"/>
                    </w:rPr>
                    <w:t>《合成树脂工业污染物排放标准》（GB31572-2015）特别排放限值</w:t>
                  </w:r>
                  <w:r>
                    <w:rPr>
                      <w:rFonts w:hint="eastAsia" w:hAnsi="宋体"/>
                      <w:szCs w:val="21"/>
                    </w:rPr>
                    <w:t>。</w:t>
                  </w:r>
                </w:p>
              </w:tc>
              <w:tc>
                <w:tcPr>
                  <w:tcW w:w="927" w:type="dxa"/>
                  <w:tcMar>
                    <w:left w:w="108" w:type="dxa"/>
                    <w:right w:w="108" w:type="dxa"/>
                  </w:tcMar>
                  <w:vAlign w:val="center"/>
                </w:tcPr>
                <w:p>
                  <w:pPr>
                    <w:autoSpaceDE w:val="0"/>
                    <w:autoSpaceDN w:val="0"/>
                    <w:adjustRightInd w:val="0"/>
                    <w:snapToGrid w:val="0"/>
                    <w:spacing w:line="320" w:lineRule="exact"/>
                    <w:jc w:val="center"/>
                    <w:rPr>
                      <w:kern w:val="0"/>
                      <w:szCs w:val="21"/>
                    </w:rPr>
                  </w:pPr>
                  <w:r>
                    <w:rPr>
                      <w:rFonts w:hint="eastAsia"/>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8" w:type="dxa"/>
                  <w:vMerge w:val="continue"/>
                  <w:tcMar>
                    <w:left w:w="108" w:type="dxa"/>
                    <w:right w:w="108" w:type="dxa"/>
                  </w:tcMar>
                  <w:vAlign w:val="center"/>
                </w:tcPr>
                <w:p>
                  <w:pPr>
                    <w:autoSpaceDE w:val="0"/>
                    <w:autoSpaceDN w:val="0"/>
                    <w:adjustRightInd w:val="0"/>
                    <w:snapToGrid w:val="0"/>
                    <w:spacing w:line="320" w:lineRule="exact"/>
                    <w:rPr>
                      <w:kern w:val="0"/>
                      <w:szCs w:val="21"/>
                    </w:rPr>
                  </w:pPr>
                </w:p>
              </w:tc>
              <w:tc>
                <w:tcPr>
                  <w:tcW w:w="3260"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入区项目新增主要污染物总量指标需满足区域或行业替代的有关要求。新、改、扩建重点行业涉重点重金属（铅、汞、镉、铬、砷）项目需实行排放等量置换或减量置换，禁止入驻不满足重金属排放控制要求的建设项目。</w:t>
                  </w:r>
                </w:p>
              </w:tc>
              <w:tc>
                <w:tcPr>
                  <w:tcW w:w="3119" w:type="dxa"/>
                  <w:tcMar>
                    <w:left w:w="108" w:type="dxa"/>
                    <w:right w:w="108" w:type="dxa"/>
                  </w:tcMar>
                  <w:vAlign w:val="center"/>
                </w:tcPr>
                <w:p>
                  <w:pPr>
                    <w:autoSpaceDE w:val="0"/>
                    <w:autoSpaceDN w:val="0"/>
                    <w:adjustRightInd w:val="0"/>
                    <w:snapToGrid w:val="0"/>
                    <w:spacing w:line="320" w:lineRule="exact"/>
                    <w:rPr>
                      <w:kern w:val="0"/>
                      <w:szCs w:val="21"/>
                    </w:rPr>
                  </w:pPr>
                  <w:r>
                    <w:rPr>
                      <w:rFonts w:hint="eastAsia"/>
                      <w:szCs w:val="21"/>
                    </w:rPr>
                    <w:t>本项目废气经治理后颗粒物、</w:t>
                  </w:r>
                  <w:r>
                    <w:rPr>
                      <w:rFonts w:hint="eastAsia" w:hAnsi="宋体"/>
                      <w:szCs w:val="21"/>
                    </w:rPr>
                    <w:t>VOCs排放满足</w:t>
                  </w:r>
                  <w:r>
                    <w:rPr>
                      <w:rFonts w:hint="eastAsia"/>
                      <w:szCs w:val="21"/>
                    </w:rPr>
                    <w:t>《合成树脂工业污染物排放标准》（GB31572-2015）特别排放限值</w:t>
                  </w:r>
                  <w:r>
                    <w:rPr>
                      <w:rFonts w:hint="eastAsia" w:hAnsi="宋体"/>
                      <w:szCs w:val="21"/>
                    </w:rPr>
                    <w:t>要求，</w:t>
                  </w:r>
                  <w:r>
                    <w:rPr>
                      <w:kern w:val="0"/>
                      <w:szCs w:val="21"/>
                    </w:rPr>
                    <w:t>新增污染物总量指标从区域进行倍量替代，满足区域替代的有关要求；</w:t>
                  </w:r>
                  <w:r>
                    <w:rPr>
                      <w:rFonts w:hint="eastAsia"/>
                      <w:kern w:val="0"/>
                      <w:szCs w:val="21"/>
                    </w:rPr>
                    <w:t>本</w:t>
                  </w:r>
                  <w:r>
                    <w:rPr>
                      <w:kern w:val="0"/>
                      <w:szCs w:val="21"/>
                    </w:rPr>
                    <w:t>项目不涉及重金属排放。</w:t>
                  </w:r>
                </w:p>
              </w:tc>
              <w:tc>
                <w:tcPr>
                  <w:tcW w:w="927" w:type="dxa"/>
                  <w:tcMar>
                    <w:left w:w="108" w:type="dxa"/>
                    <w:right w:w="108" w:type="dxa"/>
                  </w:tcMar>
                  <w:vAlign w:val="center"/>
                </w:tcPr>
                <w:p>
                  <w:pPr>
                    <w:autoSpaceDE w:val="0"/>
                    <w:autoSpaceDN w:val="0"/>
                    <w:adjustRightInd w:val="0"/>
                    <w:snapToGrid w:val="0"/>
                    <w:spacing w:line="320" w:lineRule="exact"/>
                    <w:jc w:val="center"/>
                    <w:rPr>
                      <w:kern w:val="0"/>
                      <w:szCs w:val="21"/>
                    </w:rPr>
                  </w:pPr>
                  <w:r>
                    <w:rPr>
                      <w:rFonts w:hint="eastAsia"/>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8" w:type="dxa"/>
                  <w:vMerge w:val="continue"/>
                  <w:tcMar>
                    <w:left w:w="108" w:type="dxa"/>
                    <w:right w:w="108" w:type="dxa"/>
                  </w:tcMar>
                  <w:vAlign w:val="center"/>
                </w:tcPr>
                <w:p>
                  <w:pPr>
                    <w:autoSpaceDE w:val="0"/>
                    <w:autoSpaceDN w:val="0"/>
                    <w:adjustRightInd w:val="0"/>
                    <w:snapToGrid w:val="0"/>
                    <w:spacing w:line="320" w:lineRule="exact"/>
                    <w:jc w:val="center"/>
                    <w:rPr>
                      <w:kern w:val="0"/>
                      <w:szCs w:val="21"/>
                    </w:rPr>
                  </w:pPr>
                </w:p>
              </w:tc>
              <w:tc>
                <w:tcPr>
                  <w:tcW w:w="3260"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涉及VOCs废气排放的项目应根据废气产生情况，选择合理处理工艺，对于VOCs产生浓度高、气量大的涉VOCs重点行业项目，应采用RTO或催化燃烧等高效处理工艺，其他涉VOCs项目应采用低温等离子体技术、UV光催化氧化技术、活性炭吸附技术等两种或两种以上组合工艺，禁止使用单一吸附、催化氧化等处理技术。</w:t>
                  </w:r>
                </w:p>
              </w:tc>
              <w:tc>
                <w:tcPr>
                  <w:tcW w:w="3119" w:type="dxa"/>
                  <w:tcMar>
                    <w:left w:w="108" w:type="dxa"/>
                    <w:right w:w="108" w:type="dxa"/>
                  </w:tcMar>
                  <w:vAlign w:val="center"/>
                </w:tcPr>
                <w:p>
                  <w:pPr>
                    <w:autoSpaceDE w:val="0"/>
                    <w:autoSpaceDN w:val="0"/>
                    <w:adjustRightInd w:val="0"/>
                    <w:snapToGrid w:val="0"/>
                    <w:spacing w:line="320" w:lineRule="exact"/>
                    <w:rPr>
                      <w:szCs w:val="21"/>
                    </w:rPr>
                  </w:pPr>
                  <w:r>
                    <w:rPr>
                      <w:rFonts w:hint="eastAsia"/>
                      <w:szCs w:val="21"/>
                    </w:rPr>
                    <w:t>本项目产生</w:t>
                  </w:r>
                  <w:r>
                    <w:t>VOCs</w:t>
                  </w:r>
                  <w:r>
                    <w:rPr>
                      <w:rFonts w:hint="eastAsia"/>
                      <w:szCs w:val="21"/>
                    </w:rPr>
                    <w:t>废气属于低浓度有机废气，废气经收集后通过“光氧催化+活性炭吸附装置”处理，满足左列治理工艺要求。</w:t>
                  </w:r>
                </w:p>
              </w:tc>
              <w:tc>
                <w:tcPr>
                  <w:tcW w:w="927" w:type="dxa"/>
                  <w:tcMar>
                    <w:left w:w="108" w:type="dxa"/>
                    <w:right w:w="108" w:type="dxa"/>
                  </w:tcMar>
                  <w:vAlign w:val="center"/>
                </w:tcPr>
                <w:p>
                  <w:pPr>
                    <w:autoSpaceDE w:val="0"/>
                    <w:autoSpaceDN w:val="0"/>
                    <w:adjustRightInd w:val="0"/>
                    <w:snapToGrid w:val="0"/>
                    <w:spacing w:line="320" w:lineRule="exact"/>
                    <w:jc w:val="center"/>
                  </w:pPr>
                  <w:r>
                    <w:rPr>
                      <w:rFonts w:hint="eastAsia"/>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8" w:type="dxa"/>
                  <w:vMerge w:val="restart"/>
                  <w:tcMar>
                    <w:left w:w="108" w:type="dxa"/>
                    <w:right w:w="108" w:type="dxa"/>
                  </w:tcMar>
                  <w:vAlign w:val="center"/>
                </w:tcPr>
                <w:p>
                  <w:pPr>
                    <w:autoSpaceDE w:val="0"/>
                    <w:autoSpaceDN w:val="0"/>
                    <w:adjustRightInd w:val="0"/>
                    <w:snapToGrid w:val="0"/>
                    <w:spacing w:line="320" w:lineRule="exact"/>
                    <w:jc w:val="center"/>
                    <w:rPr>
                      <w:kern w:val="0"/>
                      <w:szCs w:val="21"/>
                    </w:rPr>
                  </w:pPr>
                  <w:r>
                    <w:rPr>
                      <w:kern w:val="0"/>
                      <w:szCs w:val="21"/>
                    </w:rPr>
                    <w:t>环境风险</w:t>
                  </w:r>
                </w:p>
              </w:tc>
              <w:tc>
                <w:tcPr>
                  <w:tcW w:w="3260"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涉及危险化学品、危险废物及可能发生突发环境事件的污染物排放企业，应按照突发环境事件应急预案备案管理办法的要求，制定完善的环境应急预案，并报环境管理部门备案管理。未落实有关要求的，应停产整改。</w:t>
                  </w:r>
                </w:p>
              </w:tc>
              <w:tc>
                <w:tcPr>
                  <w:tcW w:w="3119"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本项目</w:t>
                  </w:r>
                  <w:r>
                    <w:rPr>
                      <w:rFonts w:hint="eastAsia"/>
                      <w:kern w:val="0"/>
                      <w:szCs w:val="21"/>
                    </w:rPr>
                    <w:t>不涉及危险化学品，产生危废经危废暂存间暂存，交有资质单位处理处置。</w:t>
                  </w:r>
                  <w:r>
                    <w:rPr>
                      <w:kern w:val="0"/>
                      <w:szCs w:val="21"/>
                    </w:rPr>
                    <w:t>加强环境管理的情况下，发生风险事故的可能性较低，风险处于可接受水平。</w:t>
                  </w:r>
                </w:p>
              </w:tc>
              <w:tc>
                <w:tcPr>
                  <w:tcW w:w="927" w:type="dxa"/>
                  <w:tcMar>
                    <w:left w:w="108" w:type="dxa"/>
                    <w:right w:w="108" w:type="dxa"/>
                  </w:tcMar>
                  <w:vAlign w:val="center"/>
                </w:tcPr>
                <w:p>
                  <w:pPr>
                    <w:autoSpaceDE w:val="0"/>
                    <w:autoSpaceDN w:val="0"/>
                    <w:adjustRightInd w:val="0"/>
                    <w:snapToGrid w:val="0"/>
                    <w:spacing w:line="320" w:lineRule="exact"/>
                    <w:jc w:val="center"/>
                    <w:rPr>
                      <w:kern w:val="0"/>
                      <w:szCs w:val="21"/>
                    </w:rPr>
                  </w:pPr>
                  <w:r>
                    <w:rPr>
                      <w:rFonts w:hint="eastAsia"/>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8" w:type="dxa"/>
                  <w:vMerge w:val="continue"/>
                  <w:tcMar>
                    <w:left w:w="108" w:type="dxa"/>
                    <w:right w:w="108" w:type="dxa"/>
                  </w:tcMar>
                  <w:vAlign w:val="center"/>
                </w:tcPr>
                <w:p>
                  <w:pPr>
                    <w:autoSpaceDE w:val="0"/>
                    <w:autoSpaceDN w:val="0"/>
                    <w:adjustRightInd w:val="0"/>
                    <w:snapToGrid w:val="0"/>
                    <w:spacing w:line="320" w:lineRule="exact"/>
                    <w:jc w:val="center"/>
                    <w:rPr>
                      <w:kern w:val="0"/>
                      <w:szCs w:val="21"/>
                    </w:rPr>
                  </w:pPr>
                </w:p>
              </w:tc>
              <w:tc>
                <w:tcPr>
                  <w:tcW w:w="3260"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入区项目应按照有关行业规范要求，建设初期雨水池和事故水池，做好事故风险管控联动，防止初期雨水及事故废水排入雨水管网或未经处理直接进入地表水体。</w:t>
                  </w:r>
                </w:p>
              </w:tc>
              <w:tc>
                <w:tcPr>
                  <w:tcW w:w="3119" w:type="dxa"/>
                  <w:tcMar>
                    <w:left w:w="108" w:type="dxa"/>
                    <w:right w:w="108" w:type="dxa"/>
                  </w:tcMar>
                  <w:vAlign w:val="center"/>
                </w:tcPr>
                <w:p>
                  <w:pPr>
                    <w:autoSpaceDE w:val="0"/>
                    <w:autoSpaceDN w:val="0"/>
                    <w:adjustRightInd w:val="0"/>
                    <w:snapToGrid w:val="0"/>
                    <w:spacing w:line="320" w:lineRule="exact"/>
                    <w:rPr>
                      <w:kern w:val="0"/>
                      <w:szCs w:val="21"/>
                    </w:rPr>
                  </w:pPr>
                  <w:r>
                    <w:rPr>
                      <w:rFonts w:hint="eastAsia"/>
                      <w:kern w:val="0"/>
                      <w:szCs w:val="21"/>
                    </w:rPr>
                    <w:t>本项目</w:t>
                  </w:r>
                  <w:r>
                    <w:rPr>
                      <w:kern w:val="0"/>
                      <w:szCs w:val="21"/>
                    </w:rPr>
                    <w:t>原料、产品堆存以及生产、转运过程均位于封闭车间内，初期雨水为较干净雨水，可不设初期雨水池。</w:t>
                  </w:r>
                </w:p>
              </w:tc>
              <w:tc>
                <w:tcPr>
                  <w:tcW w:w="927" w:type="dxa"/>
                  <w:tcMar>
                    <w:left w:w="108" w:type="dxa"/>
                    <w:right w:w="108" w:type="dxa"/>
                  </w:tcMar>
                  <w:vAlign w:val="center"/>
                </w:tcPr>
                <w:p>
                  <w:pPr>
                    <w:autoSpaceDE w:val="0"/>
                    <w:autoSpaceDN w:val="0"/>
                    <w:adjustRightInd w:val="0"/>
                    <w:snapToGrid w:val="0"/>
                    <w:spacing w:line="320" w:lineRule="exact"/>
                    <w:jc w:val="center"/>
                    <w:rPr>
                      <w:kern w:val="0"/>
                      <w:szCs w:val="21"/>
                    </w:rPr>
                  </w:pPr>
                  <w:r>
                    <w:rPr>
                      <w:rFonts w:hint="eastAsia"/>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8" w:type="dxa"/>
                  <w:vMerge w:val="continue"/>
                  <w:tcMar>
                    <w:left w:w="108" w:type="dxa"/>
                    <w:right w:w="108" w:type="dxa"/>
                  </w:tcMar>
                  <w:vAlign w:val="center"/>
                </w:tcPr>
                <w:p>
                  <w:pPr>
                    <w:autoSpaceDE w:val="0"/>
                    <w:autoSpaceDN w:val="0"/>
                    <w:adjustRightInd w:val="0"/>
                    <w:snapToGrid w:val="0"/>
                    <w:spacing w:line="320" w:lineRule="exact"/>
                    <w:rPr>
                      <w:kern w:val="0"/>
                      <w:szCs w:val="21"/>
                    </w:rPr>
                  </w:pPr>
                </w:p>
              </w:tc>
              <w:tc>
                <w:tcPr>
                  <w:tcW w:w="3260"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涉重金属及难降解类有机污染物的重点排污单位，应按照排污许可执行监测要求，对土壤、地下水进行监测，发现问题，及时采取有效防治措施，避免对土壤、地下水造成污染。</w:t>
                  </w:r>
                </w:p>
              </w:tc>
              <w:tc>
                <w:tcPr>
                  <w:tcW w:w="3119" w:type="dxa"/>
                  <w:tcMar>
                    <w:left w:w="108" w:type="dxa"/>
                    <w:right w:w="108" w:type="dxa"/>
                  </w:tcMar>
                  <w:vAlign w:val="center"/>
                </w:tcPr>
                <w:p>
                  <w:pPr>
                    <w:autoSpaceDE w:val="0"/>
                    <w:autoSpaceDN w:val="0"/>
                    <w:adjustRightInd w:val="0"/>
                    <w:snapToGrid w:val="0"/>
                    <w:spacing w:line="320" w:lineRule="exact"/>
                    <w:rPr>
                      <w:kern w:val="0"/>
                      <w:szCs w:val="21"/>
                    </w:rPr>
                  </w:pPr>
                  <w:r>
                    <w:rPr>
                      <w:rFonts w:hint="eastAsia"/>
                      <w:kern w:val="0"/>
                      <w:szCs w:val="21"/>
                    </w:rPr>
                    <w:t>本</w:t>
                  </w:r>
                  <w:r>
                    <w:rPr>
                      <w:kern w:val="0"/>
                      <w:szCs w:val="21"/>
                    </w:rPr>
                    <w:t>项目不属于涉重金属及难降解类有机污染物的重点排污单位。</w:t>
                  </w:r>
                </w:p>
              </w:tc>
              <w:tc>
                <w:tcPr>
                  <w:tcW w:w="927" w:type="dxa"/>
                  <w:tcMar>
                    <w:left w:w="108" w:type="dxa"/>
                    <w:right w:w="108" w:type="dxa"/>
                  </w:tcMar>
                  <w:vAlign w:val="center"/>
                </w:tcPr>
                <w:p>
                  <w:pPr>
                    <w:autoSpaceDE w:val="0"/>
                    <w:autoSpaceDN w:val="0"/>
                    <w:adjustRightInd w:val="0"/>
                    <w:snapToGrid w:val="0"/>
                    <w:spacing w:line="320" w:lineRule="exact"/>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8" w:type="dxa"/>
                  <w:vMerge w:val="restart"/>
                  <w:tcMar>
                    <w:left w:w="108" w:type="dxa"/>
                    <w:right w:w="108" w:type="dxa"/>
                  </w:tcMar>
                  <w:vAlign w:val="center"/>
                </w:tcPr>
                <w:p>
                  <w:pPr>
                    <w:autoSpaceDE w:val="0"/>
                    <w:autoSpaceDN w:val="0"/>
                    <w:adjustRightInd w:val="0"/>
                    <w:snapToGrid w:val="0"/>
                    <w:spacing w:line="320" w:lineRule="exact"/>
                    <w:jc w:val="center"/>
                    <w:rPr>
                      <w:kern w:val="0"/>
                      <w:szCs w:val="21"/>
                    </w:rPr>
                  </w:pPr>
                  <w:r>
                    <w:rPr>
                      <w:kern w:val="0"/>
                      <w:szCs w:val="21"/>
                    </w:rPr>
                    <w:t>资源利用</w:t>
                  </w:r>
                </w:p>
              </w:tc>
              <w:tc>
                <w:tcPr>
                  <w:tcW w:w="3260"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入区项目在条件具备的情况下，应加大中水回用力度，建设再生水回用配套设施，提高再生水利用率。</w:t>
                  </w:r>
                </w:p>
              </w:tc>
              <w:tc>
                <w:tcPr>
                  <w:tcW w:w="3119"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本项目生产用水主要</w:t>
                  </w:r>
                  <w:r>
                    <w:rPr>
                      <w:rFonts w:hint="eastAsia"/>
                      <w:kern w:val="0"/>
                      <w:szCs w:val="21"/>
                    </w:rPr>
                    <w:t>为设备循环冷却水，冷却水循环使用，定期更换，用于厂区洒水绿化降尘。</w:t>
                  </w:r>
                </w:p>
              </w:tc>
              <w:tc>
                <w:tcPr>
                  <w:tcW w:w="927" w:type="dxa"/>
                  <w:tcMar>
                    <w:left w:w="108" w:type="dxa"/>
                    <w:right w:w="108" w:type="dxa"/>
                  </w:tcMar>
                  <w:vAlign w:val="center"/>
                </w:tcPr>
                <w:p>
                  <w:pPr>
                    <w:autoSpaceDE w:val="0"/>
                    <w:autoSpaceDN w:val="0"/>
                    <w:adjustRightInd w:val="0"/>
                    <w:snapToGrid w:val="0"/>
                    <w:spacing w:line="320" w:lineRule="exact"/>
                    <w:jc w:val="center"/>
                    <w:rPr>
                      <w:kern w:val="0"/>
                      <w:szCs w:val="21"/>
                    </w:rPr>
                  </w:pPr>
                  <w:r>
                    <w:rPr>
                      <w:rFonts w:hint="eastAsia"/>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8" w:type="dxa"/>
                  <w:vMerge w:val="continue"/>
                  <w:tcMar>
                    <w:left w:w="108" w:type="dxa"/>
                    <w:right w:w="108" w:type="dxa"/>
                  </w:tcMar>
                  <w:vAlign w:val="center"/>
                </w:tcPr>
                <w:p>
                  <w:pPr>
                    <w:autoSpaceDE w:val="0"/>
                    <w:autoSpaceDN w:val="0"/>
                    <w:adjustRightInd w:val="0"/>
                    <w:snapToGrid w:val="0"/>
                    <w:spacing w:line="320" w:lineRule="exact"/>
                    <w:rPr>
                      <w:kern w:val="0"/>
                      <w:szCs w:val="21"/>
                    </w:rPr>
                  </w:pPr>
                </w:p>
              </w:tc>
              <w:tc>
                <w:tcPr>
                  <w:tcW w:w="3260" w:type="dxa"/>
                  <w:tcMar>
                    <w:left w:w="108" w:type="dxa"/>
                    <w:right w:w="108" w:type="dxa"/>
                  </w:tcMar>
                  <w:vAlign w:val="center"/>
                </w:tcPr>
                <w:p>
                  <w:pPr>
                    <w:autoSpaceDE w:val="0"/>
                    <w:autoSpaceDN w:val="0"/>
                    <w:adjustRightInd w:val="0"/>
                    <w:snapToGrid w:val="0"/>
                    <w:spacing w:line="320" w:lineRule="exact"/>
                    <w:rPr>
                      <w:kern w:val="0"/>
                      <w:szCs w:val="21"/>
                    </w:rPr>
                  </w:pPr>
                  <w:r>
                    <w:rPr>
                      <w:kern w:val="0"/>
                      <w:szCs w:val="21"/>
                    </w:rPr>
                    <w:t>入区新改扩建设项目的清洁生产水平应达到国内先进水平。</w:t>
                  </w:r>
                </w:p>
              </w:tc>
              <w:tc>
                <w:tcPr>
                  <w:tcW w:w="3119" w:type="dxa"/>
                  <w:tcMar>
                    <w:left w:w="108" w:type="dxa"/>
                    <w:right w:w="108" w:type="dxa"/>
                  </w:tcMar>
                  <w:vAlign w:val="center"/>
                </w:tcPr>
                <w:p>
                  <w:pPr>
                    <w:autoSpaceDE w:val="0"/>
                    <w:autoSpaceDN w:val="0"/>
                    <w:adjustRightInd w:val="0"/>
                    <w:snapToGrid w:val="0"/>
                    <w:spacing w:line="320" w:lineRule="exact"/>
                    <w:rPr>
                      <w:bCs/>
                      <w:szCs w:val="21"/>
                    </w:rPr>
                  </w:pPr>
                  <w:r>
                    <w:rPr>
                      <w:rFonts w:hint="eastAsia"/>
                      <w:kern w:val="0"/>
                      <w:szCs w:val="21"/>
                    </w:rPr>
                    <w:t>本</w:t>
                  </w:r>
                  <w:r>
                    <w:rPr>
                      <w:kern w:val="0"/>
                      <w:szCs w:val="21"/>
                    </w:rPr>
                    <w:t>项目</w:t>
                  </w:r>
                  <w:r>
                    <w:rPr>
                      <w:snapToGrid w:val="0"/>
                      <w:kern w:val="0"/>
                      <w:szCs w:val="21"/>
                    </w:rPr>
                    <w:t>生</w:t>
                  </w:r>
                  <w:r>
                    <w:rPr>
                      <w:bCs/>
                      <w:szCs w:val="21"/>
                    </w:rPr>
                    <w:t>产工艺、设备、污染治理技术等符合国家和行业环境保护标准要求，</w:t>
                  </w:r>
                  <w:r>
                    <w:rPr>
                      <w:kern w:val="0"/>
                      <w:szCs w:val="21"/>
                    </w:rPr>
                    <w:t>清洁生产水平应达到国内先进水平。</w:t>
                  </w:r>
                </w:p>
              </w:tc>
              <w:tc>
                <w:tcPr>
                  <w:tcW w:w="927" w:type="dxa"/>
                  <w:tcMar>
                    <w:left w:w="108" w:type="dxa"/>
                    <w:right w:w="108" w:type="dxa"/>
                  </w:tcMar>
                  <w:vAlign w:val="center"/>
                </w:tcPr>
                <w:p>
                  <w:pPr>
                    <w:autoSpaceDE w:val="0"/>
                    <w:autoSpaceDN w:val="0"/>
                    <w:adjustRightInd w:val="0"/>
                    <w:snapToGrid w:val="0"/>
                    <w:spacing w:line="320" w:lineRule="exact"/>
                    <w:jc w:val="center"/>
                    <w:rPr>
                      <w:kern w:val="0"/>
                      <w:szCs w:val="21"/>
                    </w:rPr>
                  </w:pPr>
                  <w:r>
                    <w:rPr>
                      <w:rFonts w:hint="eastAsia"/>
                      <w:kern w:val="0"/>
                      <w:szCs w:val="21"/>
                    </w:rPr>
                    <w:t>相符</w:t>
                  </w:r>
                </w:p>
              </w:tc>
            </w:tr>
          </w:tbl>
          <w:p>
            <w:pPr>
              <w:pStyle w:val="53"/>
              <w:numPr>
                <w:ilvl w:val="0"/>
                <w:numId w:val="2"/>
              </w:numPr>
              <w:adjustRightInd/>
              <w:snapToGrid/>
              <w:ind w:left="0" w:firstLine="0"/>
            </w:pPr>
            <w:r>
              <w:rPr>
                <w:kern w:val="0"/>
              </w:rPr>
              <w:t>偃师区先进制造业开发区</w:t>
            </w:r>
            <w:r>
              <w:rPr>
                <w:rFonts w:hint="eastAsia"/>
                <w:bCs/>
              </w:rPr>
              <w:t>审查意见</w:t>
            </w:r>
            <w:r>
              <w:rPr>
                <w:rFonts w:hint="eastAsia"/>
              </w:rPr>
              <w:t>相符性分析</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2410"/>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707" w:type="dxa"/>
                  <w:vAlign w:val="center"/>
                </w:tcPr>
                <w:p>
                  <w:pPr>
                    <w:pStyle w:val="80"/>
                  </w:pPr>
                  <w:r>
                    <w:rPr>
                      <w:rFonts w:hint="eastAsia"/>
                    </w:rPr>
                    <w:t>审查意见</w:t>
                  </w:r>
                  <w:r>
                    <w:t>具体内容</w:t>
                  </w:r>
                </w:p>
              </w:tc>
              <w:tc>
                <w:tcPr>
                  <w:tcW w:w="2410" w:type="dxa"/>
                  <w:vAlign w:val="center"/>
                </w:tcPr>
                <w:p>
                  <w:pPr>
                    <w:pStyle w:val="80"/>
                  </w:pPr>
                  <w:r>
                    <w:t>本</w:t>
                  </w:r>
                  <w:r>
                    <w:rPr>
                      <w:rFonts w:hint="eastAsia"/>
                    </w:rPr>
                    <w:t>项目</w:t>
                  </w:r>
                </w:p>
              </w:tc>
              <w:tc>
                <w:tcPr>
                  <w:tcW w:w="927" w:type="dxa"/>
                  <w:vAlign w:val="center"/>
                </w:tcPr>
                <w:p>
                  <w:pPr>
                    <w:pStyle w:val="80"/>
                  </w:pPr>
                  <w: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44" w:type="dxa"/>
                  <w:gridSpan w:val="3"/>
                  <w:vAlign w:val="center"/>
                </w:tcPr>
                <w:p>
                  <w:pPr>
                    <w:adjustRightInd w:val="0"/>
                    <w:snapToGrid w:val="0"/>
                    <w:spacing w:line="320" w:lineRule="exact"/>
                    <w:rPr>
                      <w:rFonts w:eastAsia="黑体"/>
                      <w:bCs/>
                      <w:szCs w:val="21"/>
                    </w:rPr>
                  </w:pPr>
                  <w:r>
                    <w:rPr>
                      <w:bCs/>
                      <w:szCs w:val="21"/>
                    </w:rPr>
                    <w:t>三、对规划优化调整和实施的意见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707" w:type="dxa"/>
                  <w:vAlign w:val="center"/>
                </w:tcPr>
                <w:p>
                  <w:pPr>
                    <w:adjustRightInd w:val="0"/>
                    <w:snapToGrid w:val="0"/>
                    <w:spacing w:line="320" w:lineRule="exact"/>
                    <w:rPr>
                      <w:bCs/>
                      <w:szCs w:val="21"/>
                    </w:rPr>
                  </w:pPr>
                  <w:r>
                    <w:rPr>
                      <w:bCs/>
                      <w:szCs w:val="21"/>
                    </w:rPr>
                    <w:t>（二）加快推进产业转型。开发区应遵循循环经济理念，积极推进产业技术进步和园区循环化改造；入区新、改、扩建项目应实施清洁生产，生产工艺、设备、污染治理技术，以及单位产品能耗、物耗、污染物排放和资源利用率均需达到同行业国内先进水平，确保产业发展与生态环境保护相协调。</w:t>
                  </w:r>
                </w:p>
              </w:tc>
              <w:tc>
                <w:tcPr>
                  <w:tcW w:w="2410" w:type="dxa"/>
                  <w:vAlign w:val="center"/>
                </w:tcPr>
                <w:p>
                  <w:pPr>
                    <w:adjustRightInd w:val="0"/>
                    <w:snapToGrid w:val="0"/>
                    <w:spacing w:line="320" w:lineRule="exact"/>
                    <w:rPr>
                      <w:bCs/>
                      <w:szCs w:val="21"/>
                    </w:rPr>
                  </w:pPr>
                  <w:r>
                    <w:rPr>
                      <w:bCs/>
                      <w:szCs w:val="21"/>
                    </w:rPr>
                    <w:t>本项目为</w:t>
                  </w:r>
                  <w:r>
                    <w:rPr>
                      <w:rFonts w:hint="eastAsia"/>
                      <w:kern w:val="0"/>
                      <w:szCs w:val="21"/>
                    </w:rPr>
                    <w:t>塑料制品生产项目</w:t>
                  </w:r>
                  <w:r>
                    <w:rPr>
                      <w:rFonts w:hint="eastAsia"/>
                      <w:bCs/>
                      <w:szCs w:val="21"/>
                    </w:rPr>
                    <w:t>，</w:t>
                  </w:r>
                  <w:r>
                    <w:rPr>
                      <w:snapToGrid w:val="0"/>
                      <w:kern w:val="0"/>
                      <w:szCs w:val="21"/>
                    </w:rPr>
                    <w:t>生</w:t>
                  </w:r>
                  <w:r>
                    <w:rPr>
                      <w:bCs/>
                      <w:szCs w:val="21"/>
                    </w:rPr>
                    <w:t>产工艺、设备、污染治理技术等符合国家和行业环境保护标准要求，确保与生态环境保护相协调。</w:t>
                  </w:r>
                </w:p>
              </w:tc>
              <w:tc>
                <w:tcPr>
                  <w:tcW w:w="927" w:type="dxa"/>
                  <w:vAlign w:val="center"/>
                </w:tcPr>
                <w:p>
                  <w:pPr>
                    <w:adjustRightInd w:val="0"/>
                    <w:snapToGrid w:val="0"/>
                    <w:spacing w:line="320" w:lineRule="exact"/>
                    <w:jc w:val="center"/>
                    <w:rPr>
                      <w:bCs/>
                      <w:szCs w:val="21"/>
                    </w:rPr>
                  </w:pPr>
                  <w:r>
                    <w:rPr>
                      <w:rFonts w:hint="eastAsia"/>
                      <w:bCs/>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707" w:type="dxa"/>
                  <w:vAlign w:val="center"/>
                </w:tcPr>
                <w:p>
                  <w:pPr>
                    <w:adjustRightInd w:val="0"/>
                    <w:snapToGrid w:val="0"/>
                    <w:spacing w:line="320" w:lineRule="exact"/>
                    <w:rPr>
                      <w:bCs/>
                      <w:szCs w:val="21"/>
                    </w:rPr>
                  </w:pPr>
                  <w:r>
                    <w:rPr>
                      <w:bCs/>
                      <w:szCs w:val="21"/>
                    </w:rPr>
                    <w:t>（三）优化空间布局严格空间管控。进一步加强与国土空间规划的街接，保持规划之间协调一致；做好规划控制和生态隔离带建设，加强对开发区及周边生活区的防护，确保开发区产业布局与生态环境保护、人居环境安全相协调，其中，开发区部分区域与邙山陵墓群重点保护区相重叠，应慎重开发布局项目，在文物保护单位的保护范围和建设控制地带内，不得建设污染文物保护单位及其环境的设施，相关开发建设活动应满足文物保护相关要求，避免对文物保护区产生不良影响。</w:t>
                  </w:r>
                </w:p>
              </w:tc>
              <w:tc>
                <w:tcPr>
                  <w:tcW w:w="2410" w:type="dxa"/>
                  <w:vAlign w:val="center"/>
                </w:tcPr>
                <w:p>
                  <w:pPr>
                    <w:adjustRightInd w:val="0"/>
                    <w:snapToGrid w:val="0"/>
                    <w:spacing w:line="320" w:lineRule="exact"/>
                    <w:rPr>
                      <w:bCs/>
                      <w:szCs w:val="21"/>
                    </w:rPr>
                  </w:pPr>
                  <w:r>
                    <w:rPr>
                      <w:rFonts w:hint="eastAsia"/>
                      <w:bCs/>
                      <w:szCs w:val="21"/>
                    </w:rPr>
                    <w:t>本</w:t>
                  </w:r>
                  <w:r>
                    <w:rPr>
                      <w:bCs/>
                      <w:szCs w:val="21"/>
                    </w:rPr>
                    <w:t>项目位于偃师区</w:t>
                  </w:r>
                  <w:r>
                    <w:rPr>
                      <w:rFonts w:hint="eastAsia"/>
                      <w:bCs/>
                      <w:szCs w:val="21"/>
                    </w:rPr>
                    <w:t>首阳山</w:t>
                  </w:r>
                  <w:r>
                    <w:rPr>
                      <w:bCs/>
                      <w:szCs w:val="21"/>
                    </w:rPr>
                    <w:t>镇，用地为工业用地，符合相关规划要求，</w:t>
                  </w:r>
                  <w:r>
                    <w:rPr>
                      <w:rFonts w:hint="eastAsia"/>
                      <w:bCs/>
                      <w:szCs w:val="21"/>
                    </w:rPr>
                    <w:t>本</w:t>
                  </w:r>
                  <w:r>
                    <w:rPr>
                      <w:bCs/>
                      <w:szCs w:val="21"/>
                    </w:rPr>
                    <w:t>项目</w:t>
                  </w:r>
                  <w:r>
                    <w:rPr>
                      <w:rFonts w:hint="eastAsia"/>
                      <w:bCs/>
                      <w:szCs w:val="21"/>
                    </w:rPr>
                    <w:t>租赁厂房建设，租赁企业用地已经过文物部门勘探，无古文化遗存，本项目</w:t>
                  </w:r>
                  <w:r>
                    <w:rPr>
                      <w:bCs/>
                      <w:szCs w:val="21"/>
                    </w:rPr>
                    <w:t>建设不会对文物造成影响。</w:t>
                  </w:r>
                </w:p>
              </w:tc>
              <w:tc>
                <w:tcPr>
                  <w:tcW w:w="927" w:type="dxa"/>
                  <w:vAlign w:val="center"/>
                </w:tcPr>
                <w:p>
                  <w:pPr>
                    <w:adjustRightInd w:val="0"/>
                    <w:snapToGrid w:val="0"/>
                    <w:spacing w:line="320" w:lineRule="exact"/>
                    <w:jc w:val="center"/>
                    <w:rPr>
                      <w:bCs/>
                      <w:szCs w:val="21"/>
                    </w:rPr>
                  </w:pPr>
                  <w:r>
                    <w:rPr>
                      <w:rFonts w:hint="eastAsia"/>
                      <w:bCs/>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707" w:type="dxa"/>
                  <w:vAlign w:val="center"/>
                </w:tcPr>
                <w:p>
                  <w:pPr>
                    <w:adjustRightInd w:val="0"/>
                    <w:snapToGrid w:val="0"/>
                    <w:spacing w:line="320" w:lineRule="exact"/>
                  </w:pPr>
                  <w:r>
                    <w:t>（四）强化减污降碳协同增效。根据国家和河南省关于挥发性有机物、工业炉窑等大气和水、土壤污染防治相关要求，严格执行相关行业污染物排放标准及特别排放限值；严格执行污染物排放总量控制制度，新增污染物排放指标应做到“等量或倍量替代”，确保区域环境质量持续改善。</w:t>
                  </w:r>
                </w:p>
              </w:tc>
              <w:tc>
                <w:tcPr>
                  <w:tcW w:w="2410" w:type="dxa"/>
                  <w:vAlign w:val="center"/>
                </w:tcPr>
                <w:p>
                  <w:pPr>
                    <w:adjustRightInd w:val="0"/>
                    <w:snapToGrid w:val="0"/>
                    <w:spacing w:line="320" w:lineRule="exact"/>
                    <w:rPr>
                      <w:kern w:val="0"/>
                      <w:szCs w:val="21"/>
                    </w:rPr>
                  </w:pPr>
                  <w:r>
                    <w:rPr>
                      <w:rFonts w:hint="eastAsia"/>
                      <w:kern w:val="0"/>
                      <w:szCs w:val="21"/>
                    </w:rPr>
                    <w:t>本</w:t>
                  </w:r>
                  <w:r>
                    <w:rPr>
                      <w:kern w:val="0"/>
                      <w:szCs w:val="21"/>
                    </w:rPr>
                    <w:t>项目</w:t>
                  </w:r>
                  <w:r>
                    <w:rPr>
                      <w:rFonts w:hint="eastAsia"/>
                      <w:kern w:val="0"/>
                      <w:szCs w:val="21"/>
                    </w:rPr>
                    <w:t>产生废气污染物为颗粒物、VOCs，</w:t>
                  </w:r>
                  <w:r>
                    <w:rPr>
                      <w:kern w:val="0"/>
                      <w:szCs w:val="21"/>
                    </w:rPr>
                    <w:t>不涉及工业炉窑，</w:t>
                  </w:r>
                  <w:r>
                    <w:rPr>
                      <w:rFonts w:hint="eastAsia"/>
                      <w:kern w:val="0"/>
                      <w:szCs w:val="21"/>
                    </w:rPr>
                    <w:t>本</w:t>
                  </w:r>
                  <w:r>
                    <w:rPr>
                      <w:kern w:val="0"/>
                      <w:szCs w:val="21"/>
                    </w:rPr>
                    <w:t>项目符合大气、水、土壤污染防治相关要求，</w:t>
                  </w:r>
                  <w:r>
                    <w:t>新增颗粒物</w:t>
                  </w:r>
                  <w:r>
                    <w:rPr>
                      <w:rFonts w:hint="eastAsia"/>
                      <w:kern w:val="0"/>
                      <w:szCs w:val="21"/>
                    </w:rPr>
                    <w:t>、VOCs</w:t>
                  </w:r>
                  <w:r>
                    <w:t>实行总量</w:t>
                  </w:r>
                  <w:r>
                    <w:rPr>
                      <w:rFonts w:hint="eastAsia"/>
                    </w:rPr>
                    <w:t>倍量</w:t>
                  </w:r>
                  <w:r>
                    <w:t>替代</w:t>
                  </w:r>
                  <w:r>
                    <w:rPr>
                      <w:bCs/>
                      <w:kern w:val="0"/>
                      <w:szCs w:val="21"/>
                    </w:rPr>
                    <w:t>。</w:t>
                  </w:r>
                </w:p>
              </w:tc>
              <w:tc>
                <w:tcPr>
                  <w:tcW w:w="927" w:type="dxa"/>
                  <w:vAlign w:val="center"/>
                </w:tcPr>
                <w:p>
                  <w:pPr>
                    <w:adjustRightInd w:val="0"/>
                    <w:snapToGrid w:val="0"/>
                    <w:spacing w:line="320" w:lineRule="exact"/>
                    <w:jc w:val="center"/>
                    <w:rPr>
                      <w:kern w:val="0"/>
                      <w:szCs w:val="21"/>
                    </w:rPr>
                  </w:pPr>
                  <w:r>
                    <w:rPr>
                      <w:rFonts w:hint="eastAsia"/>
                      <w:bCs/>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707" w:type="dxa"/>
                  <w:vAlign w:val="center"/>
                </w:tcPr>
                <w:p>
                  <w:pPr>
                    <w:adjustRightInd w:val="0"/>
                    <w:snapToGrid w:val="0"/>
                    <w:spacing w:line="320" w:lineRule="exact"/>
                  </w:pPr>
                  <w:r>
                    <w:t>（五）严格落实项目入驻要求。严格落实《报告书》生态环境准入要求，鼓励符合开发区功能定位、国家产业政策鼓励的项目入驻；从严控制新增高污染、高耗能、高耗水项目；禁止新建、扩建、改建有色金属冶炼项目（再生有色金属项目除外）、平板玻璃项目（电子玻璃、光伏玻璃等特种玻璃项目除外）、使用高污染燃料的项目（集中供热、热电联产设施除外）；禁止新建生产和使用高VOCs含量的溶剂型涂料、油墨、胶粘剂、清洗剂等项目、废水直接外排环境的项目。</w:t>
                  </w:r>
                </w:p>
              </w:tc>
              <w:tc>
                <w:tcPr>
                  <w:tcW w:w="2410" w:type="dxa"/>
                  <w:vAlign w:val="center"/>
                </w:tcPr>
                <w:p>
                  <w:pPr>
                    <w:adjustRightInd w:val="0"/>
                    <w:snapToGrid w:val="0"/>
                    <w:spacing w:line="320" w:lineRule="exact"/>
                    <w:rPr>
                      <w:kern w:val="0"/>
                      <w:szCs w:val="21"/>
                    </w:rPr>
                  </w:pPr>
                  <w:r>
                    <w:rPr>
                      <w:rFonts w:hint="eastAsia"/>
                    </w:rPr>
                    <w:t>本</w:t>
                  </w:r>
                  <w:r>
                    <w:t>项目符合《报告书》生态环境准入要求，不属于高污染、高耗能、高耗水项目</w:t>
                  </w:r>
                  <w:r>
                    <w:rPr>
                      <w:rFonts w:hint="eastAsia"/>
                    </w:rPr>
                    <w:t>，不属于左列禁止</w:t>
                  </w:r>
                  <w:r>
                    <w:t>新建、扩建、改建</w:t>
                  </w:r>
                  <w:r>
                    <w:rPr>
                      <w:rFonts w:hint="eastAsia"/>
                    </w:rPr>
                    <w:t>项目。</w:t>
                  </w:r>
                </w:p>
              </w:tc>
              <w:tc>
                <w:tcPr>
                  <w:tcW w:w="927" w:type="dxa"/>
                  <w:vAlign w:val="center"/>
                </w:tcPr>
                <w:p>
                  <w:pPr>
                    <w:adjustRightInd w:val="0"/>
                    <w:snapToGrid w:val="0"/>
                    <w:spacing w:line="320" w:lineRule="exact"/>
                    <w:jc w:val="center"/>
                  </w:pPr>
                  <w:r>
                    <w:rPr>
                      <w:rFonts w:hint="eastAsia"/>
                      <w:bCs/>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707" w:type="dxa"/>
                  <w:vAlign w:val="center"/>
                </w:tcPr>
                <w:p>
                  <w:pPr>
                    <w:adjustRightInd w:val="0"/>
                    <w:snapToGrid w:val="0"/>
                    <w:spacing w:line="320" w:lineRule="exact"/>
                  </w:pPr>
                  <w:r>
                    <w:t>（六）加快开发区环境基础设施建设。建设完善集中排水、供热、供水等基础设施，加快实施北环板块配套污水管网铺设工程，加快东南板块顾县片区依托的偃师区第四污水处理厂及配套污水管网的建设，根据开发时序适时建设东南板块山化片区污水处理厂，根据确保企业外排废水全部有效收集，开发区各污水处理厂出水满足《河南省黄河流域水污染物排放标准》（DB41/2087-2021）一级标准；不断提高水资源利用率，减少废水排放；园区固废应有安全可行的处理处置措施，不得随意弃置，危险固废严格按照有关规定收集、贮存、转运、处置，确保100%安全处置。</w:t>
                  </w:r>
                </w:p>
              </w:tc>
              <w:tc>
                <w:tcPr>
                  <w:tcW w:w="2410" w:type="dxa"/>
                  <w:vAlign w:val="center"/>
                </w:tcPr>
                <w:p>
                  <w:pPr>
                    <w:adjustRightInd w:val="0"/>
                    <w:snapToGrid w:val="0"/>
                    <w:spacing w:line="320" w:lineRule="exact"/>
                    <w:rPr>
                      <w:kern w:val="0"/>
                      <w:szCs w:val="21"/>
                    </w:rPr>
                  </w:pPr>
                  <w:r>
                    <w:rPr>
                      <w:kern w:val="0"/>
                      <w:szCs w:val="21"/>
                    </w:rPr>
                    <w:t>本项目位于洛阳偃师区先进制造业开发区</w:t>
                  </w:r>
                  <w:r>
                    <w:t>北环板块</w:t>
                  </w:r>
                  <w:r>
                    <w:rPr>
                      <w:rFonts w:hint="eastAsia"/>
                    </w:rPr>
                    <w:t>。本项目</w:t>
                  </w:r>
                  <w:r>
                    <w:rPr>
                      <w:rFonts w:hint="eastAsia"/>
                      <w:kern w:val="0"/>
                      <w:szCs w:val="21"/>
                    </w:rPr>
                    <w:t>设备冷却水循环使用，定期更换，用于厂区洒水绿化降尘。生活用水依托厂区现有污水处理设施，</w:t>
                  </w:r>
                  <w:r>
                    <w:rPr>
                      <w:rFonts w:hint="eastAsia"/>
                      <w:kern w:val="0"/>
                      <w:szCs w:val="21"/>
                      <w:u w:val="single"/>
                    </w:rPr>
                    <w:t>处理后用于厂区绿化，远期排入偃师区第二污水处理厂</w:t>
                  </w:r>
                  <w:r>
                    <w:rPr>
                      <w:kern w:val="0"/>
                      <w:szCs w:val="21"/>
                    </w:rPr>
                    <w:t>。</w:t>
                  </w:r>
                </w:p>
                <w:p>
                  <w:pPr>
                    <w:adjustRightInd w:val="0"/>
                    <w:snapToGrid w:val="0"/>
                    <w:spacing w:line="320" w:lineRule="exact"/>
                    <w:rPr>
                      <w:kern w:val="0"/>
                      <w:szCs w:val="21"/>
                    </w:rPr>
                  </w:pPr>
                  <w:r>
                    <w:rPr>
                      <w:rFonts w:hint="eastAsia"/>
                    </w:rPr>
                    <w:t>本</w:t>
                  </w:r>
                  <w:r>
                    <w:rPr>
                      <w:szCs w:val="21"/>
                    </w:rPr>
                    <w:t>项目一般固废经暂存后外售，危废分类收集经危废间暂存后交有资质单位进行处置，</w:t>
                  </w:r>
                  <w:r>
                    <w:t>收集、贮存、转运等严格按照危废相关规定进行，确保100%安全处置。</w:t>
                  </w:r>
                </w:p>
              </w:tc>
              <w:tc>
                <w:tcPr>
                  <w:tcW w:w="927" w:type="dxa"/>
                  <w:vAlign w:val="center"/>
                </w:tcPr>
                <w:p>
                  <w:pPr>
                    <w:adjustRightInd w:val="0"/>
                    <w:snapToGrid w:val="0"/>
                    <w:spacing w:line="320" w:lineRule="exact"/>
                    <w:jc w:val="center"/>
                    <w:rPr>
                      <w:kern w:val="0"/>
                      <w:szCs w:val="21"/>
                    </w:rPr>
                  </w:pPr>
                  <w:r>
                    <w:rPr>
                      <w:rFonts w:hint="eastAsia"/>
                      <w:bCs/>
                      <w:szCs w:val="21"/>
                    </w:rPr>
                    <w:t>相符</w:t>
                  </w:r>
                </w:p>
              </w:tc>
            </w:tr>
          </w:tbl>
          <w:p>
            <w:pPr>
              <w:adjustRightInd w:val="0"/>
              <w:spacing w:line="360" w:lineRule="auto"/>
              <w:ind w:firstLine="480" w:firstLineChars="200"/>
              <w:rPr>
                <w:bCs/>
                <w:kern w:val="0"/>
                <w:sz w:val="24"/>
              </w:rPr>
            </w:pPr>
            <w:r>
              <w:rPr>
                <w:rFonts w:hint="eastAsia"/>
                <w:sz w:val="24"/>
              </w:rPr>
              <w:t>根据上表分析，</w:t>
            </w:r>
            <w:r>
              <w:rPr>
                <w:sz w:val="24"/>
              </w:rPr>
              <w:t>本项目建设符合洛阳偃师区先进制造业开发区</w:t>
            </w:r>
            <w:r>
              <w:rPr>
                <w:bCs/>
                <w:sz w:val="24"/>
              </w:rPr>
              <w:t>生态环境准入清单</w:t>
            </w:r>
            <w:r>
              <w:rPr>
                <w:sz w:val="24"/>
              </w:rPr>
              <w:t>要求条件</w:t>
            </w:r>
            <w:r>
              <w:rPr>
                <w:rFonts w:hint="eastAsia"/>
                <w:sz w:val="24"/>
              </w:rPr>
              <w:t>及</w:t>
            </w:r>
            <w:r>
              <w:rPr>
                <w:sz w:val="24"/>
              </w:rPr>
              <w:t>审核意见要求</w:t>
            </w:r>
            <w:r>
              <w:rPr>
                <w:rFonts w:hint="eastAsia"/>
                <w:sz w:val="24"/>
              </w:rPr>
              <w:t>，</w:t>
            </w:r>
            <w:r>
              <w:rPr>
                <w:rFonts w:hint="eastAsia"/>
                <w:bCs/>
                <w:kern w:val="0"/>
                <w:sz w:val="24"/>
              </w:rPr>
              <w:t>本项目符合</w:t>
            </w:r>
            <w:r>
              <w:rPr>
                <w:sz w:val="24"/>
              </w:rPr>
              <w:t>偃师区先进制造业开发区</w:t>
            </w:r>
            <w:r>
              <w:rPr>
                <w:rFonts w:hint="eastAsia"/>
                <w:bCs/>
                <w:kern w:val="0"/>
                <w:sz w:val="24"/>
              </w:rPr>
              <w:t>规划环评的要求。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Align w:val="center"/>
          </w:tcPr>
          <w:p>
            <w:pPr>
              <w:adjustRightInd w:val="0"/>
              <w:snapToGrid w:val="0"/>
              <w:jc w:val="center"/>
              <w:rPr>
                <w:rFonts w:ascii="宋体" w:hAnsi="宋体" w:cs="宋体"/>
                <w:kern w:val="0"/>
                <w:sz w:val="24"/>
              </w:rPr>
            </w:pPr>
            <w:r>
              <w:rPr>
                <w:rFonts w:hint="eastAsia" w:ascii="宋体" w:hAnsi="宋体" w:cs="宋体"/>
                <w:kern w:val="0"/>
                <w:sz w:val="24"/>
              </w:rPr>
              <w:t>其他符合性分析</w:t>
            </w:r>
          </w:p>
        </w:tc>
        <w:tc>
          <w:tcPr>
            <w:tcW w:w="8270" w:type="dxa"/>
            <w:gridSpan w:val="5"/>
            <w:vAlign w:val="center"/>
          </w:tcPr>
          <w:p>
            <w:pPr>
              <w:autoSpaceDE w:val="0"/>
              <w:autoSpaceDN w:val="0"/>
              <w:adjustRightInd w:val="0"/>
              <w:snapToGrid w:val="0"/>
              <w:spacing w:line="360" w:lineRule="auto"/>
              <w:rPr>
                <w:b/>
                <w:kern w:val="0"/>
                <w:sz w:val="24"/>
              </w:rPr>
            </w:pPr>
            <w:r>
              <w:rPr>
                <w:rFonts w:hint="eastAsia"/>
                <w:b/>
                <w:kern w:val="0"/>
                <w:sz w:val="24"/>
              </w:rPr>
              <w:t>1产业政策相符性分析</w:t>
            </w:r>
          </w:p>
          <w:p>
            <w:pPr>
              <w:autoSpaceDE w:val="0"/>
              <w:autoSpaceDN w:val="0"/>
              <w:adjustRightInd w:val="0"/>
              <w:snapToGrid w:val="0"/>
              <w:spacing w:line="360" w:lineRule="auto"/>
              <w:ind w:firstLine="480" w:firstLineChars="200"/>
              <w:rPr>
                <w:bCs/>
                <w:sz w:val="24"/>
              </w:rPr>
            </w:pPr>
            <w:r>
              <w:rPr>
                <w:rFonts w:hint="eastAsia"/>
                <w:sz w:val="24"/>
              </w:rPr>
              <w:t>本项目为塑料制品生产项目，对照</w:t>
            </w:r>
            <w:r>
              <w:rPr>
                <w:bCs/>
                <w:sz w:val="24"/>
              </w:rPr>
              <w:t>《产业结构调整指导目录（20</w:t>
            </w:r>
            <w:r>
              <w:rPr>
                <w:rFonts w:hint="eastAsia"/>
                <w:bCs/>
                <w:sz w:val="24"/>
              </w:rPr>
              <w:t>19</w:t>
            </w:r>
            <w:r>
              <w:rPr>
                <w:bCs/>
                <w:sz w:val="24"/>
              </w:rPr>
              <w:t>年本）》</w:t>
            </w:r>
            <w:r>
              <w:rPr>
                <w:rFonts w:hint="eastAsia"/>
                <w:bCs/>
                <w:sz w:val="24"/>
              </w:rPr>
              <w:t>（2021年修订版），本项目不属于</w:t>
            </w:r>
            <w:r>
              <w:rPr>
                <w:sz w:val="24"/>
              </w:rPr>
              <w:t>“鼓励类”、“限制类”及“淘汰类”，属于允许建设项目</w:t>
            </w:r>
            <w:r>
              <w:rPr>
                <w:rFonts w:hint="eastAsia"/>
                <w:sz w:val="24"/>
              </w:rPr>
              <w:t>，</w:t>
            </w:r>
            <w:r>
              <w:rPr>
                <w:rFonts w:hint="eastAsia"/>
                <w:bCs/>
                <w:sz w:val="24"/>
              </w:rPr>
              <w:t>本</w:t>
            </w:r>
            <w:r>
              <w:rPr>
                <w:bCs/>
                <w:sz w:val="24"/>
              </w:rPr>
              <w:t>项目的建设符合</w:t>
            </w:r>
            <w:r>
              <w:rPr>
                <w:rFonts w:hint="eastAsia"/>
                <w:bCs/>
                <w:sz w:val="24"/>
              </w:rPr>
              <w:t>当前</w:t>
            </w:r>
            <w:r>
              <w:rPr>
                <w:bCs/>
                <w:sz w:val="24"/>
              </w:rPr>
              <w:t>国家产业政策。本项目已</w:t>
            </w:r>
            <w:r>
              <w:rPr>
                <w:rFonts w:hint="eastAsia"/>
                <w:bCs/>
                <w:sz w:val="24"/>
              </w:rPr>
              <w:t>经</w:t>
            </w:r>
            <w:r>
              <w:rPr>
                <w:rFonts w:hint="eastAsia"/>
                <w:sz w:val="24"/>
              </w:rPr>
              <w:t>洛阳市</w:t>
            </w:r>
            <w:r>
              <w:rPr>
                <w:sz w:val="24"/>
              </w:rPr>
              <w:t>偃师</w:t>
            </w:r>
            <w:r>
              <w:rPr>
                <w:rFonts w:hint="eastAsia"/>
                <w:sz w:val="24"/>
              </w:rPr>
              <w:t>区</w:t>
            </w:r>
            <w:r>
              <w:rPr>
                <w:sz w:val="24"/>
              </w:rPr>
              <w:t>发展和改革委员会</w:t>
            </w:r>
            <w:r>
              <w:rPr>
                <w:bCs/>
                <w:sz w:val="24"/>
              </w:rPr>
              <w:t>备案，</w:t>
            </w:r>
            <w:r>
              <w:rPr>
                <w:rFonts w:hint="eastAsia"/>
                <w:bCs/>
                <w:sz w:val="24"/>
              </w:rPr>
              <w:t>项目代码为：</w:t>
            </w:r>
            <w:r>
              <w:rPr>
                <w:rFonts w:hint="eastAsia"/>
                <w:sz w:val="24"/>
              </w:rPr>
              <w:t>2</w:t>
            </w:r>
            <w:r>
              <w:rPr>
                <w:sz w:val="24"/>
              </w:rPr>
              <w:t>301</w:t>
            </w:r>
            <w:r>
              <w:rPr>
                <w:rFonts w:hint="eastAsia"/>
                <w:sz w:val="24"/>
              </w:rPr>
              <w:t>-</w:t>
            </w:r>
            <w:r>
              <w:rPr>
                <w:sz w:val="24"/>
              </w:rPr>
              <w:t>410381</w:t>
            </w:r>
            <w:r>
              <w:rPr>
                <w:rFonts w:hint="eastAsia"/>
                <w:sz w:val="24"/>
              </w:rPr>
              <w:t>-</w:t>
            </w:r>
            <w:r>
              <w:rPr>
                <w:sz w:val="24"/>
              </w:rPr>
              <w:t>04</w:t>
            </w:r>
            <w:r>
              <w:rPr>
                <w:rFonts w:hint="eastAsia"/>
                <w:sz w:val="24"/>
              </w:rPr>
              <w:t>-</w:t>
            </w:r>
            <w:r>
              <w:rPr>
                <w:sz w:val="24"/>
              </w:rPr>
              <w:t>01</w:t>
            </w:r>
            <w:r>
              <w:rPr>
                <w:rFonts w:hint="eastAsia"/>
                <w:sz w:val="24"/>
              </w:rPr>
              <w:t>-</w:t>
            </w:r>
            <w:r>
              <w:rPr>
                <w:sz w:val="24"/>
              </w:rPr>
              <w:t>942083</w:t>
            </w:r>
            <w:r>
              <w:rPr>
                <w:rFonts w:hint="eastAsia"/>
                <w:sz w:val="24"/>
              </w:rPr>
              <w:t>，备案证明见附件2。</w:t>
            </w:r>
          </w:p>
          <w:p>
            <w:pPr>
              <w:autoSpaceDE w:val="0"/>
              <w:autoSpaceDN w:val="0"/>
              <w:adjustRightInd w:val="0"/>
              <w:snapToGrid w:val="0"/>
              <w:spacing w:line="360" w:lineRule="auto"/>
              <w:rPr>
                <w:b/>
                <w:kern w:val="0"/>
                <w:sz w:val="24"/>
              </w:rPr>
            </w:pPr>
            <w:r>
              <w:rPr>
                <w:rFonts w:hint="eastAsia"/>
                <w:b/>
                <w:kern w:val="0"/>
                <w:sz w:val="24"/>
              </w:rPr>
              <w:t>2</w:t>
            </w:r>
            <w:r>
              <w:rPr>
                <w:b/>
                <w:kern w:val="0"/>
                <w:sz w:val="24"/>
              </w:rPr>
              <w:t>“</w:t>
            </w:r>
            <w:r>
              <w:rPr>
                <w:rFonts w:hint="eastAsia"/>
                <w:b/>
                <w:kern w:val="0"/>
                <w:sz w:val="24"/>
              </w:rPr>
              <w:t>三线一单”相符性分析</w:t>
            </w:r>
          </w:p>
          <w:p>
            <w:pPr>
              <w:autoSpaceDE w:val="0"/>
              <w:autoSpaceDN w:val="0"/>
              <w:adjustRightInd w:val="0"/>
              <w:snapToGrid w:val="0"/>
              <w:spacing w:line="360" w:lineRule="auto"/>
              <w:rPr>
                <w:b/>
                <w:kern w:val="0"/>
                <w:sz w:val="24"/>
              </w:rPr>
            </w:pPr>
            <w:r>
              <w:rPr>
                <w:rFonts w:hint="eastAsia"/>
                <w:b/>
                <w:kern w:val="0"/>
                <w:sz w:val="24"/>
              </w:rPr>
              <w:t>2.1生态保护红线</w:t>
            </w:r>
          </w:p>
          <w:p>
            <w:pPr>
              <w:autoSpaceDE w:val="0"/>
              <w:autoSpaceDN w:val="0"/>
              <w:adjustRightInd w:val="0"/>
              <w:snapToGrid w:val="0"/>
              <w:spacing w:line="360" w:lineRule="auto"/>
              <w:ind w:firstLine="480" w:firstLineChars="200"/>
              <w:rPr>
                <w:kern w:val="44"/>
                <w:sz w:val="24"/>
              </w:rPr>
            </w:pPr>
            <w:r>
              <w:rPr>
                <w:rFonts w:hint="eastAsia"/>
                <w:kern w:val="0"/>
                <w:sz w:val="24"/>
              </w:rPr>
              <w:t>本项目位于</w:t>
            </w:r>
            <w:r>
              <w:rPr>
                <w:rFonts w:ascii="宋体" w:hAnsi="宋体" w:cs="宋体"/>
                <w:sz w:val="24"/>
              </w:rPr>
              <w:t>洛阳市偃师</w:t>
            </w:r>
            <w:r>
              <w:rPr>
                <w:rFonts w:hint="eastAsia" w:ascii="宋体" w:hAnsi="宋体" w:cs="宋体"/>
                <w:sz w:val="24"/>
              </w:rPr>
              <w:t>区首阳山镇香峪村（偃师区先进制造业开发区北环板块）</w:t>
            </w:r>
            <w:r>
              <w:rPr>
                <w:rFonts w:hint="eastAsia" w:ascii="宋体"/>
                <w:sz w:val="24"/>
              </w:rPr>
              <w:t>，</w:t>
            </w:r>
            <w:r>
              <w:rPr>
                <w:kern w:val="44"/>
                <w:sz w:val="24"/>
              </w:rPr>
              <w:t>经过现场踏勘，本项目不在自然保护区、风景名胜区、森林公园、地质公园、重要生态功能区、生态敏感区和脆弱区以及其他要求禁止建设的环境敏感区内。根据</w:t>
            </w:r>
            <w:r>
              <w:rPr>
                <w:rFonts w:hint="eastAsia"/>
                <w:kern w:val="0"/>
                <w:sz w:val="24"/>
              </w:rPr>
              <w:t>《洛阳市人民政府关于实施“三线一单”生态环境分区管控的意见》（洛政</w:t>
            </w:r>
            <w:r>
              <w:rPr>
                <w:rFonts w:hint="eastAsia"/>
                <w:bCs/>
                <w:sz w:val="24"/>
              </w:rPr>
              <w:t>〔2021〕</w:t>
            </w:r>
            <w:r>
              <w:rPr>
                <w:rFonts w:hint="eastAsia"/>
                <w:kern w:val="0"/>
                <w:sz w:val="24"/>
              </w:rPr>
              <w:t>7号）</w:t>
            </w:r>
            <w:r>
              <w:rPr>
                <w:kern w:val="44"/>
                <w:sz w:val="24"/>
              </w:rPr>
              <w:t>，</w:t>
            </w:r>
            <w:r>
              <w:rPr>
                <w:rFonts w:hint="eastAsia"/>
                <w:kern w:val="44"/>
                <w:sz w:val="24"/>
              </w:rPr>
              <w:t>本</w:t>
            </w:r>
            <w:r>
              <w:rPr>
                <w:kern w:val="44"/>
                <w:sz w:val="24"/>
              </w:rPr>
              <w:t>项目所在地不属于生态红线区域。</w:t>
            </w:r>
            <w:r>
              <w:rPr>
                <w:rFonts w:hint="eastAsia"/>
                <w:kern w:val="44"/>
                <w:sz w:val="24"/>
              </w:rPr>
              <w:t>对照洛阳市生态环境管控单元分布图，本项目所在位置属于重点管控单元，本项目在河南省“三线一单”成果的位置关系图见附图6。</w:t>
            </w:r>
          </w:p>
          <w:p>
            <w:pPr>
              <w:autoSpaceDE w:val="0"/>
              <w:autoSpaceDN w:val="0"/>
              <w:adjustRightInd w:val="0"/>
              <w:snapToGrid w:val="0"/>
              <w:spacing w:line="360" w:lineRule="auto"/>
              <w:ind w:firstLine="482" w:firstLineChars="200"/>
              <w:rPr>
                <w:bCs/>
                <w:sz w:val="24"/>
              </w:rPr>
            </w:pPr>
            <w:r>
              <w:rPr>
                <w:rFonts w:hint="eastAsia"/>
                <w:b/>
                <w:kern w:val="44"/>
                <w:sz w:val="24"/>
              </w:rPr>
              <w:t>饮用水源保护区划调查：</w:t>
            </w:r>
            <w:r>
              <w:rPr>
                <w:rFonts w:hint="eastAsia"/>
                <w:kern w:val="0"/>
                <w:sz w:val="24"/>
              </w:rPr>
              <w:t>本项目位于</w:t>
            </w:r>
            <w:r>
              <w:rPr>
                <w:rFonts w:ascii="宋体" w:hAnsi="宋体" w:cs="宋体"/>
                <w:sz w:val="24"/>
              </w:rPr>
              <w:t>洛阳市偃师</w:t>
            </w:r>
            <w:r>
              <w:rPr>
                <w:rFonts w:hint="eastAsia" w:ascii="宋体" w:hAnsi="宋体" w:cs="宋体"/>
                <w:sz w:val="24"/>
              </w:rPr>
              <w:t>区首阳山镇香峪村</w:t>
            </w:r>
            <w:r>
              <w:rPr>
                <w:rFonts w:hint="eastAsia" w:ascii="宋体"/>
                <w:sz w:val="24"/>
              </w:rPr>
              <w:t>，</w:t>
            </w:r>
            <w:r>
              <w:rPr>
                <w:rFonts w:hint="eastAsia"/>
                <w:bCs/>
                <w:sz w:val="24"/>
              </w:rPr>
              <w:t>调查并查阅《河南省县级集中式饮用水水源保护区划》（豫政办〔2013〕107号）及《河南省乡镇级集中式饮用水源保护区划》（豫政办〔2016〕23号）、《河南省人民政府关于调整取消部分集中式饮用水水源保护区的通知》（豫政文〔2023〕153号），距离本项目较近的饮用水源地为偃师区二水厂地下水井群以及</w:t>
            </w:r>
            <w:r>
              <w:rPr>
                <w:sz w:val="24"/>
              </w:rPr>
              <w:t>偃师</w:t>
            </w:r>
            <w:r>
              <w:rPr>
                <w:rFonts w:hint="eastAsia"/>
                <w:sz w:val="24"/>
              </w:rPr>
              <w:t>区</w:t>
            </w:r>
            <w:r>
              <w:rPr>
                <w:sz w:val="24"/>
              </w:rPr>
              <w:t>首阳山镇供水厂</w:t>
            </w:r>
            <w:r>
              <w:rPr>
                <w:rFonts w:hint="eastAsia"/>
                <w:bCs/>
                <w:sz w:val="24"/>
              </w:rPr>
              <w:t>地下水井（2眼井），保护范围分别如下：</w:t>
            </w:r>
          </w:p>
          <w:p>
            <w:pPr>
              <w:autoSpaceDE w:val="0"/>
              <w:autoSpaceDN w:val="0"/>
              <w:adjustRightInd w:val="0"/>
              <w:snapToGrid w:val="0"/>
              <w:spacing w:line="360" w:lineRule="auto"/>
              <w:ind w:firstLine="480" w:firstLineChars="200"/>
              <w:rPr>
                <w:bCs/>
                <w:sz w:val="24"/>
              </w:rPr>
            </w:pPr>
            <w:r>
              <w:rPr>
                <w:rFonts w:hint="eastAsia"/>
                <w:bCs/>
                <w:sz w:val="24"/>
              </w:rPr>
              <w:t>偃师区二水厂地下水井群一级保护区：现1~2号取水井外围45米至二水厂厂区的区域，现5号取水井外围45米东至荣泰金属制品有限公司西边界、西至聚贤路东侧红线的四边形区域，现10号取水井外围45米东至聚贤路西侧红线的四边形区域，现13号取水井外围45米西至蔡侯路东侧红线的四边形区域，现14~15号、X11号取水井外围45米南至永宁路北侧红线的四边形区域，X6~X9号、X14号、X16号、X19~X22号、X24号取水井外围45米的区域，X10号取水井外围45米北至永宁路南侧红线的四边形区域，X13号取水井外围45米东至开阳路西侧红线的四边形区域，X15号取水井外围45米西至汉魏路东侧红线、南至永宁路北侧红线的四边形区域，X17号取水井外围45米西至开阳路东侧红线、南至永宁路北侧红线的四边形区域，X18号取水井外围45米西至津阳路东侧红线、北至中州路南侧红线的四边形区域，X23号取水井外围45米南至堤顶路北侧红线的四边形区域。</w:t>
            </w:r>
          </w:p>
          <w:p>
            <w:pPr>
              <w:autoSpaceDE w:val="0"/>
              <w:autoSpaceDN w:val="0"/>
              <w:adjustRightInd w:val="0"/>
              <w:snapToGrid w:val="0"/>
              <w:spacing w:line="360" w:lineRule="auto"/>
              <w:ind w:firstLine="480" w:firstLineChars="200"/>
              <w:rPr>
                <w:bCs/>
                <w:sz w:val="24"/>
              </w:rPr>
            </w:pPr>
            <w:r>
              <w:rPr>
                <w:sz w:val="24"/>
              </w:rPr>
              <w:t>偃师</w:t>
            </w:r>
            <w:r>
              <w:rPr>
                <w:rFonts w:hint="eastAsia"/>
                <w:sz w:val="24"/>
              </w:rPr>
              <w:t>区</w:t>
            </w:r>
            <w:r>
              <w:rPr>
                <w:sz w:val="24"/>
              </w:rPr>
              <w:t>首阳山镇供水厂</w:t>
            </w:r>
            <w:r>
              <w:rPr>
                <w:rFonts w:hint="eastAsia"/>
                <w:bCs/>
                <w:sz w:val="24"/>
              </w:rPr>
              <w:t>地下水井一级保护区：</w:t>
            </w:r>
            <w:r>
              <w:rPr>
                <w:sz w:val="24"/>
              </w:rPr>
              <w:t>水厂厂区及外围东118米、西60米、南85米、北90米的区域</w:t>
            </w:r>
            <w:r>
              <w:rPr>
                <w:rFonts w:hint="eastAsia"/>
                <w:sz w:val="24"/>
              </w:rPr>
              <w:t>。</w:t>
            </w:r>
          </w:p>
          <w:p>
            <w:pPr>
              <w:pStyle w:val="6"/>
              <w:ind w:firstLine="480"/>
              <w:rPr>
                <w:bCs/>
                <w:sz w:val="24"/>
              </w:rPr>
            </w:pPr>
            <w:r>
              <w:rPr>
                <w:rFonts w:hint="eastAsia"/>
                <w:bCs/>
                <w:sz w:val="24"/>
              </w:rPr>
              <w:t>本项目位置距离最近的水井为现13号取水井，距离其一级保护区约1.4km，距离</w:t>
            </w:r>
            <w:r>
              <w:rPr>
                <w:sz w:val="24"/>
              </w:rPr>
              <w:t>偃师</w:t>
            </w:r>
            <w:r>
              <w:rPr>
                <w:rFonts w:hint="eastAsia"/>
                <w:sz w:val="24"/>
              </w:rPr>
              <w:t>区</w:t>
            </w:r>
            <w:r>
              <w:rPr>
                <w:sz w:val="24"/>
              </w:rPr>
              <w:t>首阳山镇供水厂</w:t>
            </w:r>
            <w:r>
              <w:rPr>
                <w:rFonts w:hint="eastAsia"/>
                <w:bCs/>
                <w:sz w:val="24"/>
              </w:rPr>
              <w:t>地下水井一级保护区约1.8km，</w:t>
            </w:r>
            <w:r>
              <w:rPr>
                <w:rFonts w:hint="eastAsia"/>
                <w:bCs/>
                <w:sz w:val="24"/>
                <w:u w:val="single"/>
              </w:rPr>
              <w:t>本项目不涉及城市水源保护区及乡镇水源保护区</w:t>
            </w:r>
            <w:r>
              <w:rPr>
                <w:bCs/>
                <w:sz w:val="24"/>
                <w:u w:val="single"/>
              </w:rPr>
              <w:t>，</w:t>
            </w:r>
            <w:r>
              <w:rPr>
                <w:sz w:val="24"/>
              </w:rPr>
              <w:t>符合水源保护区划要求</w:t>
            </w:r>
            <w:r>
              <w:rPr>
                <w:rFonts w:hint="eastAsia"/>
                <w:sz w:val="24"/>
                <w:szCs w:val="24"/>
              </w:rPr>
              <w:t>。</w:t>
            </w:r>
            <w:r>
              <w:rPr>
                <w:rFonts w:hint="eastAsia"/>
                <w:bCs/>
                <w:sz w:val="24"/>
              </w:rPr>
              <w:t>本项目厂址与水源地位置关系见附图3-2。</w:t>
            </w:r>
          </w:p>
          <w:p>
            <w:pPr>
              <w:spacing w:line="360" w:lineRule="auto"/>
              <w:ind w:firstLine="482" w:firstLineChars="200"/>
              <w:rPr>
                <w:sz w:val="24"/>
              </w:rPr>
            </w:pPr>
            <w:r>
              <w:rPr>
                <w:rFonts w:hint="eastAsia"/>
                <w:b/>
                <w:kern w:val="0"/>
                <w:sz w:val="24"/>
              </w:rPr>
              <w:t>文物调查：</w:t>
            </w:r>
            <w:r>
              <w:rPr>
                <w:rFonts w:hint="eastAsia"/>
                <w:kern w:val="0"/>
                <w:sz w:val="24"/>
              </w:rPr>
              <w:t>本项目位于</w:t>
            </w:r>
            <w:r>
              <w:rPr>
                <w:rFonts w:ascii="宋体" w:hAnsi="宋体" w:cs="宋体"/>
                <w:sz w:val="24"/>
              </w:rPr>
              <w:t>洛阳市偃师</w:t>
            </w:r>
            <w:r>
              <w:rPr>
                <w:rFonts w:hint="eastAsia" w:ascii="宋体" w:hAnsi="宋体" w:cs="宋体"/>
                <w:sz w:val="24"/>
              </w:rPr>
              <w:t>区首阳山镇香峪村</w:t>
            </w:r>
            <w:r>
              <w:rPr>
                <w:rFonts w:hint="eastAsia" w:ascii="宋体"/>
                <w:sz w:val="24"/>
              </w:rPr>
              <w:t>，</w:t>
            </w:r>
            <w:r>
              <w:rPr>
                <w:sz w:val="24"/>
              </w:rPr>
              <w:t>与本项目相关的文物单位为大遗址保护区中的邙山陵墓群。根据《洛阳市邙山陵墓群保护条例》，邙山陵墓群东段保护范围：北界首阳山一线；西界偃师市首阳山镇寨后村、保庄村——偃师市首阳山镇小湾村、义井铺村；东界首阳山主峰——偃师市老城乡塔庄村；南界偃师市首阳山镇小湾村——老城乡塔庄村之间的洛河北堤），</w:t>
            </w:r>
            <w:r>
              <w:rPr>
                <w:rFonts w:hint="eastAsia"/>
                <w:sz w:val="24"/>
              </w:rPr>
              <w:t>对照大遗址保护区划，</w:t>
            </w:r>
            <w:r>
              <w:rPr>
                <w:sz w:val="24"/>
              </w:rPr>
              <w:t>本项目位于邙山陵墓群东段保护范围内</w:t>
            </w:r>
            <w:r>
              <w:rPr>
                <w:rFonts w:hint="eastAsia"/>
                <w:sz w:val="24"/>
              </w:rPr>
              <w:t>。</w:t>
            </w:r>
            <w:r>
              <w:rPr>
                <w:rFonts w:hint="eastAsia" w:hAnsi="宋体"/>
                <w:kern w:val="0"/>
                <w:sz w:val="24"/>
              </w:rPr>
              <w:t>本</w:t>
            </w:r>
            <w:r>
              <w:rPr>
                <w:rFonts w:hAnsi="宋体"/>
                <w:kern w:val="0"/>
                <w:sz w:val="24"/>
              </w:rPr>
              <w:t>项目</w:t>
            </w:r>
            <w:r>
              <w:rPr>
                <w:rFonts w:hint="eastAsia" w:hAnsi="宋体"/>
                <w:kern w:val="0"/>
                <w:sz w:val="24"/>
              </w:rPr>
              <w:t>租赁厂房</w:t>
            </w:r>
            <w:r>
              <w:rPr>
                <w:rFonts w:hint="eastAsia"/>
                <w:sz w:val="24"/>
              </w:rPr>
              <w:t>布置生产设备设施进行</w:t>
            </w:r>
            <w:r>
              <w:rPr>
                <w:rFonts w:hint="eastAsia" w:hAnsi="宋体"/>
                <w:kern w:val="0"/>
                <w:sz w:val="24"/>
              </w:rPr>
              <w:t>建设，租赁企业用地已经过文物部门勘探，无古文化遗存，本项目</w:t>
            </w:r>
            <w:r>
              <w:rPr>
                <w:rFonts w:hAnsi="宋体"/>
                <w:kern w:val="0"/>
                <w:sz w:val="24"/>
              </w:rPr>
              <w:t>建设不会对文物造成影响。</w:t>
            </w:r>
            <w:r>
              <w:rPr>
                <w:rFonts w:hint="eastAsia"/>
                <w:sz w:val="24"/>
              </w:rPr>
              <w:t>本项目与大遗址保护区划相对位置见附图5。</w:t>
            </w:r>
            <w:r>
              <w:rPr>
                <w:rFonts w:hint="eastAsia" w:hAnsi="宋体"/>
                <w:kern w:val="0"/>
                <w:sz w:val="24"/>
              </w:rPr>
              <w:t>文物证明见附件5。</w:t>
            </w:r>
          </w:p>
          <w:p>
            <w:pPr>
              <w:autoSpaceDE w:val="0"/>
              <w:autoSpaceDN w:val="0"/>
              <w:adjustRightInd w:val="0"/>
              <w:snapToGrid w:val="0"/>
              <w:spacing w:line="360" w:lineRule="auto"/>
              <w:rPr>
                <w:b/>
                <w:kern w:val="0"/>
                <w:sz w:val="24"/>
              </w:rPr>
            </w:pPr>
            <w:r>
              <w:rPr>
                <w:rFonts w:hint="eastAsia"/>
                <w:b/>
                <w:kern w:val="0"/>
                <w:sz w:val="24"/>
              </w:rPr>
              <w:t>2.2环境质量底线</w:t>
            </w:r>
          </w:p>
          <w:p>
            <w:pPr>
              <w:spacing w:line="360" w:lineRule="auto"/>
              <w:ind w:firstLine="480"/>
              <w:rPr>
                <w:spacing w:val="-4"/>
                <w:sz w:val="24"/>
              </w:rPr>
            </w:pPr>
            <w:r>
              <w:rPr>
                <w:rFonts w:hint="eastAsia"/>
                <w:spacing w:val="-4"/>
                <w:kern w:val="44"/>
                <w:sz w:val="24"/>
              </w:rPr>
              <w:t>根据</w:t>
            </w:r>
            <w:r>
              <w:rPr>
                <w:rFonts w:hint="eastAsia"/>
                <w:bCs/>
                <w:spacing w:val="-4"/>
                <w:sz w:val="24"/>
              </w:rPr>
              <w:t>《</w:t>
            </w:r>
            <w:r>
              <w:rPr>
                <w:bCs/>
                <w:spacing w:val="-4"/>
                <w:sz w:val="24"/>
              </w:rPr>
              <w:t>2022</w:t>
            </w:r>
            <w:r>
              <w:rPr>
                <w:rFonts w:hint="eastAsia"/>
                <w:bCs/>
                <w:spacing w:val="-4"/>
                <w:sz w:val="24"/>
              </w:rPr>
              <w:t>年洛阳市生态环境状况公报》，</w:t>
            </w:r>
            <w:r>
              <w:rPr>
                <w:bCs/>
                <w:spacing w:val="-4"/>
                <w:sz w:val="24"/>
              </w:rPr>
              <w:t>2022</w:t>
            </w:r>
            <w:r>
              <w:rPr>
                <w:rFonts w:hint="eastAsia"/>
                <w:bCs/>
                <w:spacing w:val="-4"/>
                <w:sz w:val="24"/>
              </w:rPr>
              <w:t>年洛阳市城区环境空气质量优、良天数为</w:t>
            </w:r>
            <w:r>
              <w:rPr>
                <w:bCs/>
                <w:spacing w:val="-4"/>
                <w:sz w:val="24"/>
              </w:rPr>
              <w:t>230</w:t>
            </w:r>
            <w:r>
              <w:rPr>
                <w:rFonts w:hint="eastAsia"/>
                <w:bCs/>
                <w:spacing w:val="-4"/>
                <w:sz w:val="24"/>
              </w:rPr>
              <w:t>天，较</w:t>
            </w:r>
            <w:r>
              <w:rPr>
                <w:bCs/>
                <w:spacing w:val="-4"/>
                <w:sz w:val="24"/>
              </w:rPr>
              <w:t>2021</w:t>
            </w:r>
            <w:r>
              <w:rPr>
                <w:rFonts w:hint="eastAsia"/>
                <w:bCs/>
                <w:spacing w:val="-4"/>
                <w:sz w:val="24"/>
              </w:rPr>
              <w:t>年（</w:t>
            </w:r>
            <w:r>
              <w:rPr>
                <w:bCs/>
                <w:spacing w:val="-4"/>
                <w:sz w:val="24"/>
              </w:rPr>
              <w:t>246</w:t>
            </w:r>
            <w:r>
              <w:rPr>
                <w:rFonts w:hint="eastAsia"/>
                <w:bCs/>
                <w:spacing w:val="-4"/>
                <w:sz w:val="24"/>
              </w:rPr>
              <w:t>天）减少</w:t>
            </w:r>
            <w:r>
              <w:rPr>
                <w:bCs/>
                <w:spacing w:val="-4"/>
                <w:sz w:val="24"/>
              </w:rPr>
              <w:t>16</w:t>
            </w:r>
            <w:r>
              <w:rPr>
                <w:rFonts w:hint="eastAsia"/>
                <w:bCs/>
                <w:spacing w:val="-4"/>
                <w:sz w:val="24"/>
              </w:rPr>
              <w:t>天，达标率为</w:t>
            </w:r>
            <w:r>
              <w:rPr>
                <w:bCs/>
                <w:spacing w:val="-4"/>
                <w:sz w:val="24"/>
              </w:rPr>
              <w:t>63.0%</w:t>
            </w:r>
            <w:r>
              <w:rPr>
                <w:rFonts w:hint="eastAsia"/>
                <w:bCs/>
                <w:spacing w:val="-4"/>
                <w:sz w:val="24"/>
              </w:rPr>
              <w:t>。</w:t>
            </w:r>
            <w:r>
              <w:rPr>
                <w:rFonts w:hint="eastAsia"/>
                <w:spacing w:val="-4"/>
                <w:sz w:val="24"/>
              </w:rPr>
              <w:t>偃师区</w:t>
            </w:r>
            <w:r>
              <w:rPr>
                <w:spacing w:val="-4"/>
                <w:sz w:val="24"/>
              </w:rPr>
              <w:t>2022</w:t>
            </w:r>
            <w:r>
              <w:rPr>
                <w:rFonts w:hint="eastAsia"/>
                <w:spacing w:val="-4"/>
                <w:sz w:val="24"/>
              </w:rPr>
              <w:t>年</w:t>
            </w:r>
            <w:r>
              <w:rPr>
                <w:spacing w:val="-4"/>
                <w:sz w:val="24"/>
              </w:rPr>
              <w:t>PM</w:t>
            </w:r>
            <w:r>
              <w:rPr>
                <w:spacing w:val="-4"/>
                <w:sz w:val="24"/>
                <w:vertAlign w:val="subscript"/>
              </w:rPr>
              <w:t>10</w:t>
            </w:r>
            <w:r>
              <w:rPr>
                <w:rFonts w:hint="eastAsia"/>
                <w:spacing w:val="-4"/>
                <w:sz w:val="24"/>
              </w:rPr>
              <w:t>、</w:t>
            </w:r>
            <w:r>
              <w:rPr>
                <w:spacing w:val="-4"/>
                <w:sz w:val="24"/>
              </w:rPr>
              <w:t>PM</w:t>
            </w:r>
            <w:r>
              <w:rPr>
                <w:spacing w:val="-4"/>
                <w:sz w:val="24"/>
                <w:vertAlign w:val="subscript"/>
              </w:rPr>
              <w:t>2.5</w:t>
            </w:r>
            <w:r>
              <w:rPr>
                <w:rFonts w:hint="eastAsia"/>
                <w:spacing w:val="-4"/>
                <w:sz w:val="24"/>
              </w:rPr>
              <w:t>的年均质量浓度不满足《环境空气质量标准》（</w:t>
            </w:r>
            <w:r>
              <w:rPr>
                <w:spacing w:val="-4"/>
                <w:sz w:val="24"/>
              </w:rPr>
              <w:t>GB3095-2012</w:t>
            </w:r>
            <w:r>
              <w:rPr>
                <w:rFonts w:hint="eastAsia"/>
                <w:spacing w:val="-4"/>
                <w:sz w:val="24"/>
              </w:rPr>
              <w:t>）标准限值。针对区域大气环境质量现状超标的情况，偃师区正在实施《偃师区</w:t>
            </w:r>
            <w:r>
              <w:rPr>
                <w:spacing w:val="-4"/>
                <w:sz w:val="24"/>
              </w:rPr>
              <w:t>2023</w:t>
            </w:r>
            <w:r>
              <w:rPr>
                <w:rFonts w:hint="eastAsia"/>
                <w:spacing w:val="-4"/>
                <w:sz w:val="24"/>
              </w:rPr>
              <w:t>年蓝天、碧水、净土保卫战实施方案》（偃环委办〔</w:t>
            </w:r>
            <w:r>
              <w:rPr>
                <w:spacing w:val="-4"/>
                <w:sz w:val="24"/>
              </w:rPr>
              <w:t>2023</w:t>
            </w:r>
            <w:r>
              <w:rPr>
                <w:rFonts w:hint="eastAsia"/>
                <w:spacing w:val="-4"/>
                <w:sz w:val="24"/>
              </w:rPr>
              <w:t>〕</w:t>
            </w:r>
            <w:r>
              <w:rPr>
                <w:spacing w:val="-4"/>
                <w:sz w:val="24"/>
              </w:rPr>
              <w:t>3</w:t>
            </w:r>
            <w:r>
              <w:rPr>
                <w:rFonts w:hint="eastAsia"/>
                <w:spacing w:val="-4"/>
                <w:sz w:val="24"/>
              </w:rPr>
              <w:t>号）、</w:t>
            </w:r>
            <w:r>
              <w:rPr>
                <w:rFonts w:eastAsiaTheme="majorEastAsia"/>
                <w:spacing w:val="-4"/>
                <w:sz w:val="24"/>
              </w:rPr>
              <w:t>《偃师区2023年夏季挥发性有机物污染防治实施方案》</w:t>
            </w:r>
            <w:r>
              <w:rPr>
                <w:rFonts w:hint="eastAsia" w:eastAsiaTheme="majorEastAsia"/>
                <w:spacing w:val="-4"/>
                <w:sz w:val="24"/>
              </w:rPr>
              <w:t>（</w:t>
            </w:r>
            <w:r>
              <w:rPr>
                <w:rFonts w:eastAsiaTheme="majorEastAsia"/>
                <w:spacing w:val="-4"/>
                <w:sz w:val="24"/>
              </w:rPr>
              <w:t>偃环委办</w:t>
            </w:r>
            <w:r>
              <w:rPr>
                <w:rFonts w:hint="eastAsia"/>
                <w:spacing w:val="-4"/>
                <w:sz w:val="24"/>
              </w:rPr>
              <w:t>〔2023〕</w:t>
            </w:r>
            <w:r>
              <w:rPr>
                <w:rFonts w:eastAsiaTheme="majorEastAsia"/>
                <w:spacing w:val="-4"/>
                <w:sz w:val="24"/>
              </w:rPr>
              <w:t>5号</w:t>
            </w:r>
            <w:r>
              <w:rPr>
                <w:rFonts w:hint="eastAsia" w:eastAsiaTheme="majorEastAsia"/>
                <w:spacing w:val="-4"/>
                <w:sz w:val="24"/>
              </w:rPr>
              <w:t>）</w:t>
            </w:r>
            <w:r>
              <w:rPr>
                <w:rFonts w:hint="eastAsia"/>
                <w:spacing w:val="-4"/>
                <w:sz w:val="24"/>
              </w:rPr>
              <w:t>等文件中要求的一系列措施，通过治理，区域环境质量状况正在逐步好转。</w:t>
            </w:r>
          </w:p>
          <w:p>
            <w:pPr>
              <w:autoSpaceDE w:val="0"/>
              <w:autoSpaceDN w:val="0"/>
              <w:adjustRightInd w:val="0"/>
              <w:snapToGrid w:val="0"/>
              <w:spacing w:line="360" w:lineRule="auto"/>
              <w:ind w:firstLine="480" w:firstLineChars="200"/>
              <w:rPr>
                <w:rFonts w:hAnsi="宋体"/>
                <w:bCs/>
                <w:sz w:val="24"/>
                <w:u w:val="single"/>
              </w:rPr>
            </w:pPr>
            <w:r>
              <w:rPr>
                <w:rFonts w:hint="eastAsia" w:hAnsi="宋体"/>
                <w:sz w:val="24"/>
              </w:rPr>
              <w:t>本项目产生的颗粒物经收集后通过袋式除尘器处理，有机废气经收集后通过“光氧催化+活性炭吸附装置”处理</w:t>
            </w:r>
            <w:r>
              <w:rPr>
                <w:rFonts w:hAnsi="宋体"/>
                <w:sz w:val="24"/>
              </w:rPr>
              <w:t>，</w:t>
            </w:r>
            <w:r>
              <w:rPr>
                <w:rFonts w:hint="eastAsia" w:hAnsi="宋体"/>
                <w:sz w:val="24"/>
              </w:rPr>
              <w:t>废气经治理后达标排放；</w:t>
            </w:r>
            <w:r>
              <w:rPr>
                <w:rFonts w:hint="eastAsia" w:hAnsi="宋体"/>
                <w:bCs/>
                <w:sz w:val="24"/>
                <w:u w:val="single"/>
              </w:rPr>
              <w:t>生活污水经污水处理设施处理后</w:t>
            </w:r>
            <w:r>
              <w:rPr>
                <w:rFonts w:hint="eastAsia" w:hAnsi="宋体"/>
                <w:sz w:val="24"/>
                <w:u w:val="single"/>
              </w:rPr>
              <w:t>用于厂区绿化，远期排入偃师区第二污水处理厂</w:t>
            </w:r>
            <w:r>
              <w:rPr>
                <w:rFonts w:hint="eastAsia"/>
                <w:kern w:val="0"/>
                <w:sz w:val="24"/>
              </w:rPr>
              <w:t>；设备冷却水循环使用，定期更换，用于厂区洒水绿化降尘；废丝、废边角料、废包装材料等一般固废暂存间暂存，定期外售综合利用；</w:t>
            </w:r>
            <w:r>
              <w:rPr>
                <w:rFonts w:hint="eastAsia"/>
                <w:sz w:val="24"/>
              </w:rPr>
              <w:t>废活性炭、废光氧灯管、废润滑油分类暂存于危险废物暂存间内，定期交有资质</w:t>
            </w:r>
            <w:r>
              <w:rPr>
                <w:sz w:val="24"/>
              </w:rPr>
              <w:t>单位</w:t>
            </w:r>
            <w:r>
              <w:rPr>
                <w:rFonts w:hint="eastAsia"/>
                <w:sz w:val="24"/>
              </w:rPr>
              <w:t>处理处置。</w:t>
            </w:r>
          </w:p>
          <w:p>
            <w:pPr>
              <w:autoSpaceDE w:val="0"/>
              <w:autoSpaceDN w:val="0"/>
              <w:adjustRightInd w:val="0"/>
              <w:snapToGrid w:val="0"/>
              <w:spacing w:line="360" w:lineRule="auto"/>
              <w:ind w:firstLine="480" w:firstLineChars="200"/>
              <w:rPr>
                <w:rFonts w:hAnsi="宋体"/>
                <w:sz w:val="24"/>
              </w:rPr>
            </w:pPr>
            <w:r>
              <w:rPr>
                <w:rFonts w:hint="eastAsia" w:hAnsi="宋体"/>
                <w:sz w:val="24"/>
              </w:rPr>
              <w:t>本项目</w:t>
            </w:r>
            <w:r>
              <w:rPr>
                <w:sz w:val="24"/>
              </w:rPr>
              <w:t>排放的</w:t>
            </w:r>
            <w:r>
              <w:rPr>
                <w:rFonts w:hint="eastAsia"/>
                <w:sz w:val="24"/>
              </w:rPr>
              <w:t>颗粒物、</w:t>
            </w:r>
            <w:r>
              <w:rPr>
                <w:sz w:val="24"/>
              </w:rPr>
              <w:t>VOCs在偃师区区域内</w:t>
            </w:r>
            <w:r>
              <w:rPr>
                <w:rFonts w:hint="eastAsia"/>
                <w:sz w:val="24"/>
              </w:rPr>
              <w:t>倍量</w:t>
            </w:r>
            <w:r>
              <w:rPr>
                <w:sz w:val="24"/>
              </w:rPr>
              <w:t>替代，</w:t>
            </w:r>
            <w:r>
              <w:rPr>
                <w:rFonts w:hint="eastAsia" w:hAnsi="宋体"/>
                <w:sz w:val="24"/>
              </w:rPr>
              <w:t>区域内</w:t>
            </w:r>
            <w:r>
              <w:rPr>
                <w:rFonts w:hAnsi="宋体"/>
                <w:sz w:val="24"/>
              </w:rPr>
              <w:t>不新增大气污染物的排放量，因此项目建设不会增加区域环境压力。</w:t>
            </w:r>
          </w:p>
          <w:p>
            <w:pPr>
              <w:autoSpaceDE w:val="0"/>
              <w:autoSpaceDN w:val="0"/>
              <w:adjustRightInd w:val="0"/>
              <w:snapToGrid w:val="0"/>
              <w:spacing w:line="360" w:lineRule="auto"/>
              <w:rPr>
                <w:b/>
                <w:kern w:val="0"/>
                <w:sz w:val="24"/>
              </w:rPr>
            </w:pPr>
            <w:r>
              <w:rPr>
                <w:rFonts w:hint="eastAsia"/>
                <w:b/>
                <w:kern w:val="0"/>
                <w:sz w:val="24"/>
              </w:rPr>
              <w:t>2.3资源利用上线</w:t>
            </w:r>
          </w:p>
          <w:p>
            <w:pPr>
              <w:autoSpaceDE w:val="0"/>
              <w:autoSpaceDN w:val="0"/>
              <w:adjustRightInd w:val="0"/>
              <w:snapToGrid w:val="0"/>
              <w:spacing w:line="360" w:lineRule="auto"/>
              <w:ind w:firstLine="480" w:firstLineChars="200"/>
              <w:rPr>
                <w:rFonts w:ascii="宋体"/>
                <w:sz w:val="24"/>
              </w:rPr>
            </w:pPr>
            <w:r>
              <w:rPr>
                <w:rFonts w:hint="eastAsia"/>
                <w:kern w:val="0"/>
                <w:sz w:val="24"/>
              </w:rPr>
              <w:t>本项目</w:t>
            </w:r>
            <w:r>
              <w:rPr>
                <w:rFonts w:hint="eastAsia" w:ascii="宋体"/>
                <w:sz w:val="24"/>
              </w:rPr>
              <w:t>在现有厂区内建设，不新增占地，使用土地为工业用地，符合土地资源利用上限管控要求。本项目用水使用市政自来水，</w:t>
            </w:r>
            <w:r>
              <w:rPr>
                <w:rFonts w:hint="eastAsia"/>
                <w:sz w:val="24"/>
              </w:rPr>
              <w:t>使用能源为电能，</w:t>
            </w:r>
            <w:r>
              <w:rPr>
                <w:sz w:val="24"/>
              </w:rPr>
              <w:t>不涉及燃煤设施</w:t>
            </w:r>
            <w:r>
              <w:rPr>
                <w:rFonts w:hint="eastAsia"/>
                <w:sz w:val="24"/>
              </w:rPr>
              <w:t>，本</w:t>
            </w:r>
            <w:r>
              <w:rPr>
                <w:sz w:val="24"/>
              </w:rPr>
              <w:t>项目建设符合资源利用上线要求。</w:t>
            </w:r>
          </w:p>
          <w:p>
            <w:pPr>
              <w:autoSpaceDE w:val="0"/>
              <w:autoSpaceDN w:val="0"/>
              <w:adjustRightInd w:val="0"/>
              <w:snapToGrid w:val="0"/>
              <w:spacing w:line="360" w:lineRule="auto"/>
              <w:rPr>
                <w:b/>
                <w:kern w:val="0"/>
                <w:sz w:val="24"/>
              </w:rPr>
            </w:pPr>
            <w:r>
              <w:rPr>
                <w:rFonts w:hint="eastAsia"/>
                <w:b/>
                <w:kern w:val="0"/>
                <w:sz w:val="24"/>
              </w:rPr>
              <w:t>2.4环境准入负面清单</w:t>
            </w:r>
          </w:p>
          <w:p>
            <w:pPr>
              <w:spacing w:line="360" w:lineRule="auto"/>
              <w:ind w:firstLine="480" w:firstLineChars="200"/>
              <w:rPr>
                <w:rFonts w:ascii="宋体"/>
                <w:sz w:val="24"/>
              </w:rPr>
            </w:pPr>
            <w:r>
              <w:rPr>
                <w:rFonts w:hint="eastAsia"/>
                <w:sz w:val="24"/>
              </w:rPr>
              <w:t>本项目位于</w:t>
            </w:r>
            <w:r>
              <w:rPr>
                <w:rFonts w:ascii="宋体" w:hAnsi="宋体" w:cs="宋体"/>
                <w:sz w:val="24"/>
              </w:rPr>
              <w:t>洛阳市偃师</w:t>
            </w:r>
            <w:r>
              <w:rPr>
                <w:rFonts w:hint="eastAsia" w:ascii="宋体" w:hAnsi="宋体" w:cs="宋体"/>
                <w:sz w:val="24"/>
              </w:rPr>
              <w:t>区首阳山镇香峪村（偃师区先进制造业开发区北环板块）</w:t>
            </w:r>
            <w:r>
              <w:rPr>
                <w:rFonts w:hint="eastAsia" w:ascii="宋体"/>
                <w:sz w:val="24"/>
              </w:rPr>
              <w:t>，</w:t>
            </w:r>
            <w:r>
              <w:rPr>
                <w:rFonts w:hint="eastAsia"/>
                <w:kern w:val="44"/>
                <w:sz w:val="24"/>
              </w:rPr>
              <w:t>对照洛阳市生态环境局《关于发布洛阳市“三线一单”生态环境准入清单（试行）的函》（洛市环</w:t>
            </w:r>
            <w:r>
              <w:rPr>
                <w:rFonts w:hint="eastAsia"/>
                <w:sz w:val="24"/>
              </w:rPr>
              <w:t>〔2021〕</w:t>
            </w:r>
            <w:r>
              <w:rPr>
                <w:rFonts w:hint="eastAsia"/>
                <w:kern w:val="44"/>
                <w:sz w:val="24"/>
              </w:rPr>
              <w:t>58号）附件2：《洛阳市各县区分区管控单元生态环境准入清单》，</w:t>
            </w:r>
            <w:r>
              <w:rPr>
                <w:rFonts w:hint="eastAsia" w:ascii="宋体" w:hAnsi="宋体" w:cs="宋体"/>
                <w:sz w:val="24"/>
              </w:rPr>
              <w:t>本项目</w:t>
            </w:r>
            <w:r>
              <w:rPr>
                <w:rFonts w:hint="eastAsia"/>
                <w:kern w:val="44"/>
                <w:sz w:val="24"/>
              </w:rPr>
              <w:t>相符性分析如下。</w:t>
            </w:r>
          </w:p>
          <w:p>
            <w:pPr>
              <w:pStyle w:val="53"/>
              <w:numPr>
                <w:ilvl w:val="0"/>
                <w:numId w:val="2"/>
              </w:numPr>
              <w:adjustRightInd/>
              <w:snapToGrid/>
              <w:ind w:left="0" w:firstLine="0"/>
              <w:rPr>
                <w:kern w:val="0"/>
              </w:rPr>
            </w:pPr>
            <w:r>
              <w:rPr>
                <w:rFonts w:hint="eastAsia"/>
                <w:kern w:val="0"/>
              </w:rPr>
              <w:t>偃师区</w:t>
            </w:r>
            <w:r>
              <w:rPr>
                <w:kern w:val="0"/>
              </w:rPr>
              <w:t>环境管控单元生态环境准入清单</w:t>
            </w:r>
            <w:r>
              <w:rPr>
                <w:rFonts w:hint="eastAsia"/>
                <w:kern w:val="0"/>
              </w:rPr>
              <w:t>相符性分析</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422"/>
              <w:gridCol w:w="3566"/>
              <w:gridCol w:w="2401"/>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90" w:type="dxa"/>
                  <w:gridSpan w:val="3"/>
                  <w:vAlign w:val="center"/>
                </w:tcPr>
                <w:p>
                  <w:pPr>
                    <w:pStyle w:val="80"/>
                  </w:pPr>
                  <w:r>
                    <w:t>文件要求</w:t>
                  </w:r>
                </w:p>
              </w:tc>
              <w:tc>
                <w:tcPr>
                  <w:tcW w:w="2401" w:type="dxa"/>
                  <w:vMerge w:val="restart"/>
                  <w:vAlign w:val="center"/>
                </w:tcPr>
                <w:p>
                  <w:pPr>
                    <w:pStyle w:val="80"/>
                  </w:pPr>
                  <w:r>
                    <w:t>本项目特点</w:t>
                  </w:r>
                </w:p>
              </w:tc>
              <w:tc>
                <w:tcPr>
                  <w:tcW w:w="653" w:type="dxa"/>
                  <w:vMerge w:val="restart"/>
                  <w:vAlign w:val="center"/>
                </w:tcPr>
                <w:p>
                  <w:pPr>
                    <w:pStyle w:val="80"/>
                  </w:pPr>
                  <w:r>
                    <w:t>相符</w:t>
                  </w:r>
                </w:p>
                <w:p>
                  <w:pPr>
                    <w:pStyle w:val="80"/>
                  </w:pPr>
                  <w: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02" w:type="dxa"/>
                  <w:vAlign w:val="center"/>
                </w:tcPr>
                <w:p>
                  <w:pPr>
                    <w:pStyle w:val="80"/>
                  </w:pPr>
                  <w:r>
                    <w:rPr>
                      <w:rFonts w:hint="eastAsia"/>
                    </w:rPr>
                    <w:t>管控单元分类</w:t>
                  </w:r>
                </w:p>
              </w:tc>
              <w:tc>
                <w:tcPr>
                  <w:tcW w:w="3988" w:type="dxa"/>
                  <w:gridSpan w:val="2"/>
                  <w:vAlign w:val="center"/>
                </w:tcPr>
                <w:p>
                  <w:pPr>
                    <w:pStyle w:val="80"/>
                  </w:pPr>
                  <w:r>
                    <w:t>管控要求</w:t>
                  </w:r>
                </w:p>
              </w:tc>
              <w:tc>
                <w:tcPr>
                  <w:tcW w:w="2401" w:type="dxa"/>
                  <w:vMerge w:val="continue"/>
                  <w:vAlign w:val="center"/>
                </w:tcPr>
                <w:p>
                  <w:pPr>
                    <w:pStyle w:val="54"/>
                    <w:spacing w:line="320" w:lineRule="exact"/>
                    <w:rPr>
                      <w:rFonts w:ascii="宋体" w:hAnsi="宋体" w:eastAsia="宋体"/>
                      <w:szCs w:val="21"/>
                    </w:rPr>
                  </w:pPr>
                </w:p>
              </w:tc>
              <w:tc>
                <w:tcPr>
                  <w:tcW w:w="653" w:type="dxa"/>
                  <w:vMerge w:val="continue"/>
                  <w:vAlign w:val="center"/>
                </w:tcPr>
                <w:p>
                  <w:pPr>
                    <w:pStyle w:val="54"/>
                    <w:spacing w:line="32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44" w:type="dxa"/>
                  <w:gridSpan w:val="5"/>
                  <w:vAlign w:val="center"/>
                </w:tcPr>
                <w:p>
                  <w:pPr>
                    <w:autoSpaceDE w:val="0"/>
                    <w:autoSpaceDN w:val="0"/>
                    <w:adjustRightInd w:val="0"/>
                    <w:snapToGrid w:val="0"/>
                    <w:spacing w:line="320" w:lineRule="exact"/>
                    <w:rPr>
                      <w:szCs w:val="20"/>
                    </w:rPr>
                  </w:pPr>
                  <w:r>
                    <w:rPr>
                      <w:szCs w:val="21"/>
                    </w:rPr>
                    <w:t>管控单元分类</w:t>
                  </w:r>
                  <w:r>
                    <w:rPr>
                      <w:rFonts w:hint="eastAsia"/>
                      <w:szCs w:val="21"/>
                    </w:rPr>
                    <w:t>：</w:t>
                  </w:r>
                  <w:r>
                    <w:rPr>
                      <w:rFonts w:hint="eastAsia"/>
                      <w:kern w:val="44"/>
                      <w:szCs w:val="21"/>
                    </w:rPr>
                    <w:t>重点管控单元</w:t>
                  </w:r>
                  <w:r>
                    <w:rPr>
                      <w:rFonts w:hint="eastAsia"/>
                      <w:szCs w:val="21"/>
                    </w:rPr>
                    <w:t>，</w:t>
                  </w:r>
                  <w:r>
                    <w:rPr>
                      <w:rFonts w:hint="eastAsia"/>
                      <w:kern w:val="44"/>
                      <w:szCs w:val="21"/>
                    </w:rPr>
                    <w:t>偃师产业集聚区</w:t>
                  </w:r>
                  <w:r>
                    <w:rPr>
                      <w:rFonts w:hint="eastAsia"/>
                      <w:szCs w:val="21"/>
                    </w:rPr>
                    <w:t>，环境管控单元编码：</w:t>
                  </w:r>
                  <w:r>
                    <w:rPr>
                      <w:kern w:val="44"/>
                      <w:szCs w:val="21"/>
                    </w:rPr>
                    <w:t>ZH4103812000</w:t>
                  </w:r>
                  <w:r>
                    <w:rPr>
                      <w:rFonts w:hint="eastAsia"/>
                      <w:kern w:val="44"/>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02" w:type="dxa"/>
                  <w:vMerge w:val="restart"/>
                  <w:vAlign w:val="center"/>
                </w:tcPr>
                <w:p>
                  <w:pPr>
                    <w:autoSpaceDE w:val="0"/>
                    <w:autoSpaceDN w:val="0"/>
                    <w:adjustRightInd w:val="0"/>
                    <w:snapToGrid w:val="0"/>
                    <w:spacing w:line="320" w:lineRule="exact"/>
                    <w:jc w:val="center"/>
                    <w:rPr>
                      <w:szCs w:val="21"/>
                    </w:rPr>
                  </w:pPr>
                  <w:r>
                    <w:rPr>
                      <w:rFonts w:hint="eastAsia"/>
                      <w:kern w:val="44"/>
                      <w:szCs w:val="21"/>
                    </w:rPr>
                    <w:t>重点管控单元</w:t>
                  </w:r>
                </w:p>
              </w:tc>
              <w:tc>
                <w:tcPr>
                  <w:tcW w:w="422" w:type="dxa"/>
                  <w:vAlign w:val="center"/>
                </w:tcPr>
                <w:p>
                  <w:pPr>
                    <w:autoSpaceDE w:val="0"/>
                    <w:autoSpaceDN w:val="0"/>
                    <w:adjustRightInd w:val="0"/>
                    <w:snapToGrid w:val="0"/>
                    <w:spacing w:line="320" w:lineRule="exact"/>
                    <w:rPr>
                      <w:szCs w:val="21"/>
                    </w:rPr>
                  </w:pPr>
                  <w:r>
                    <w:rPr>
                      <w:rFonts w:hint="eastAsia"/>
                      <w:szCs w:val="21"/>
                    </w:rPr>
                    <w:t>空间布局约束</w:t>
                  </w:r>
                </w:p>
              </w:tc>
              <w:tc>
                <w:tcPr>
                  <w:tcW w:w="3566" w:type="dxa"/>
                  <w:vAlign w:val="center"/>
                </w:tcPr>
                <w:p>
                  <w:pPr>
                    <w:autoSpaceDE w:val="0"/>
                    <w:autoSpaceDN w:val="0"/>
                    <w:adjustRightInd w:val="0"/>
                    <w:snapToGrid w:val="0"/>
                    <w:spacing w:line="320" w:lineRule="exact"/>
                    <w:rPr>
                      <w:snapToGrid w:val="0"/>
                      <w:szCs w:val="21"/>
                    </w:rPr>
                  </w:pPr>
                  <w:r>
                    <w:rPr>
                      <w:snapToGrid w:val="0"/>
                      <w:szCs w:val="21"/>
                    </w:rPr>
                    <w:t>1、严控随意改变各用地功能区使用功能，并注重节约集约用地。</w:t>
                  </w:r>
                </w:p>
                <w:p>
                  <w:pPr>
                    <w:autoSpaceDE w:val="0"/>
                    <w:autoSpaceDN w:val="0"/>
                    <w:adjustRightInd w:val="0"/>
                    <w:snapToGrid w:val="0"/>
                    <w:spacing w:line="320" w:lineRule="exact"/>
                    <w:rPr>
                      <w:snapToGrid w:val="0"/>
                      <w:szCs w:val="21"/>
                    </w:rPr>
                  </w:pPr>
                  <w:r>
                    <w:rPr>
                      <w:snapToGrid w:val="0"/>
                      <w:szCs w:val="21"/>
                    </w:rPr>
                    <w:t>2、项目大气环境防护距离内不得规划新建居住区、学校、医院等环境敏感目标。</w:t>
                  </w:r>
                </w:p>
                <w:p>
                  <w:pPr>
                    <w:autoSpaceDE w:val="0"/>
                    <w:autoSpaceDN w:val="0"/>
                    <w:adjustRightInd w:val="0"/>
                    <w:snapToGrid w:val="0"/>
                    <w:spacing w:line="320" w:lineRule="exact"/>
                    <w:rPr>
                      <w:snapToGrid w:val="0"/>
                      <w:szCs w:val="21"/>
                    </w:rPr>
                  </w:pPr>
                  <w:r>
                    <w:rPr>
                      <w:snapToGrid w:val="0"/>
                      <w:szCs w:val="21"/>
                    </w:rPr>
                    <w:t>3、集聚区北园与洛阳大遗址保护中邙山陵墓群有部分的重叠，需要按照文物保护的相关要求进行开发建设，对部分与产业集聚区规划限制类的企业，要逐步搬迁、关停或限产。</w:t>
                  </w:r>
                </w:p>
                <w:p>
                  <w:pPr>
                    <w:autoSpaceDE w:val="0"/>
                    <w:autoSpaceDN w:val="0"/>
                    <w:adjustRightInd w:val="0"/>
                    <w:snapToGrid w:val="0"/>
                    <w:spacing w:line="320" w:lineRule="exact"/>
                    <w:rPr>
                      <w:snapToGrid w:val="0"/>
                      <w:szCs w:val="21"/>
                    </w:rPr>
                  </w:pPr>
                  <w:r>
                    <w:rPr>
                      <w:snapToGrid w:val="0"/>
                      <w:szCs w:val="21"/>
                    </w:rPr>
                    <w:t>4、禁止新建（除新材料外的）化工企业以及非集中喷涂（共享项目外）的有涉重工艺等新鲜水耗量大、水污染物排放量大的项目。</w:t>
                  </w:r>
                </w:p>
                <w:p>
                  <w:pPr>
                    <w:autoSpaceDE w:val="0"/>
                    <w:autoSpaceDN w:val="0"/>
                    <w:adjustRightInd w:val="0"/>
                    <w:snapToGrid w:val="0"/>
                    <w:spacing w:line="320" w:lineRule="exact"/>
                    <w:rPr>
                      <w:snapToGrid w:val="0"/>
                      <w:szCs w:val="21"/>
                    </w:rPr>
                  </w:pPr>
                  <w:r>
                    <w:rPr>
                      <w:snapToGrid w:val="0"/>
                      <w:szCs w:val="21"/>
                    </w:rPr>
                    <w:t>5、重点发展节能环保装备制造、新能源、新材料（含化工）等产业，建设高新技术示范基地和科技成果转化示范区。</w:t>
                  </w:r>
                </w:p>
              </w:tc>
              <w:tc>
                <w:tcPr>
                  <w:tcW w:w="2401" w:type="dxa"/>
                  <w:vAlign w:val="center"/>
                </w:tcPr>
                <w:p>
                  <w:pPr>
                    <w:autoSpaceDE w:val="0"/>
                    <w:autoSpaceDN w:val="0"/>
                    <w:adjustRightInd w:val="0"/>
                    <w:snapToGrid w:val="0"/>
                    <w:spacing w:line="320" w:lineRule="exact"/>
                    <w:rPr>
                      <w:snapToGrid w:val="0"/>
                      <w:szCs w:val="21"/>
                    </w:rPr>
                  </w:pPr>
                  <w:r>
                    <w:rPr>
                      <w:rFonts w:hint="eastAsia"/>
                      <w:snapToGrid w:val="0"/>
                      <w:szCs w:val="21"/>
                    </w:rPr>
                    <w:t>1、本项目</w:t>
                  </w:r>
                  <w:r>
                    <w:rPr>
                      <w:rFonts w:hint="eastAsia" w:ascii="宋体"/>
                      <w:szCs w:val="21"/>
                    </w:rPr>
                    <w:t>在现有厂区内建设，不新增占地，使用土地为工业用地，符合土地资源利用上限管控要求。</w:t>
                  </w:r>
                </w:p>
                <w:p>
                  <w:pPr>
                    <w:autoSpaceDE w:val="0"/>
                    <w:autoSpaceDN w:val="0"/>
                    <w:adjustRightInd w:val="0"/>
                    <w:snapToGrid w:val="0"/>
                    <w:spacing w:line="320" w:lineRule="exact"/>
                    <w:rPr>
                      <w:snapToGrid w:val="0"/>
                      <w:szCs w:val="21"/>
                    </w:rPr>
                  </w:pPr>
                  <w:r>
                    <w:rPr>
                      <w:rFonts w:hint="eastAsia"/>
                      <w:snapToGrid w:val="0"/>
                      <w:szCs w:val="21"/>
                    </w:rPr>
                    <w:t>2、本项目不涉及大气环境防护距离。</w:t>
                  </w:r>
                </w:p>
                <w:p>
                  <w:pPr>
                    <w:autoSpaceDE w:val="0"/>
                    <w:autoSpaceDN w:val="0"/>
                    <w:adjustRightInd w:val="0"/>
                    <w:snapToGrid w:val="0"/>
                    <w:spacing w:line="320" w:lineRule="exact"/>
                    <w:rPr>
                      <w:snapToGrid w:val="0"/>
                      <w:szCs w:val="21"/>
                    </w:rPr>
                  </w:pPr>
                  <w:r>
                    <w:rPr>
                      <w:rFonts w:hint="eastAsia"/>
                      <w:snapToGrid w:val="0"/>
                      <w:szCs w:val="21"/>
                    </w:rPr>
                    <w:t>3、</w:t>
                  </w:r>
                  <w:r>
                    <w:rPr>
                      <w:rFonts w:hint="eastAsia" w:hAnsi="宋体"/>
                      <w:kern w:val="0"/>
                      <w:szCs w:val="21"/>
                    </w:rPr>
                    <w:t>本</w:t>
                  </w:r>
                  <w:r>
                    <w:rPr>
                      <w:rFonts w:hAnsi="宋体"/>
                      <w:kern w:val="0"/>
                      <w:szCs w:val="21"/>
                    </w:rPr>
                    <w:t>项目</w:t>
                  </w:r>
                  <w:r>
                    <w:rPr>
                      <w:rFonts w:hint="eastAsia" w:hAnsi="宋体"/>
                      <w:kern w:val="0"/>
                      <w:szCs w:val="21"/>
                    </w:rPr>
                    <w:t>租赁厂房</w:t>
                  </w:r>
                  <w:r>
                    <w:rPr>
                      <w:rFonts w:hint="eastAsia"/>
                      <w:szCs w:val="21"/>
                    </w:rPr>
                    <w:t>布置生产设备设施进行</w:t>
                  </w:r>
                  <w:r>
                    <w:rPr>
                      <w:rFonts w:hint="eastAsia" w:hAnsi="宋体"/>
                      <w:kern w:val="0"/>
                      <w:szCs w:val="21"/>
                    </w:rPr>
                    <w:t>建设，出租企业用地已经过文物部门勘探，无古文化遗存，本项目</w:t>
                  </w:r>
                  <w:r>
                    <w:rPr>
                      <w:rFonts w:hAnsi="宋体"/>
                      <w:kern w:val="0"/>
                      <w:szCs w:val="21"/>
                    </w:rPr>
                    <w:t>建设不会对文物造成影响。</w:t>
                  </w:r>
                </w:p>
                <w:p>
                  <w:pPr>
                    <w:autoSpaceDE w:val="0"/>
                    <w:autoSpaceDN w:val="0"/>
                    <w:adjustRightInd w:val="0"/>
                    <w:snapToGrid w:val="0"/>
                    <w:spacing w:line="320" w:lineRule="exact"/>
                    <w:rPr>
                      <w:snapToGrid w:val="0"/>
                      <w:szCs w:val="21"/>
                    </w:rPr>
                  </w:pPr>
                  <w:r>
                    <w:rPr>
                      <w:rFonts w:hint="eastAsia"/>
                      <w:snapToGrid w:val="0"/>
                      <w:szCs w:val="21"/>
                    </w:rPr>
                    <w:t>4、本项目不属于左列禁止新建项目。</w:t>
                  </w:r>
                </w:p>
                <w:p>
                  <w:pPr>
                    <w:autoSpaceDE w:val="0"/>
                    <w:autoSpaceDN w:val="0"/>
                    <w:adjustRightInd w:val="0"/>
                    <w:snapToGrid w:val="0"/>
                    <w:spacing w:line="320" w:lineRule="exact"/>
                    <w:rPr>
                      <w:snapToGrid w:val="0"/>
                      <w:szCs w:val="21"/>
                    </w:rPr>
                  </w:pPr>
                  <w:r>
                    <w:rPr>
                      <w:rFonts w:hint="eastAsia"/>
                      <w:snapToGrid w:val="0"/>
                      <w:szCs w:val="21"/>
                    </w:rPr>
                    <w:t>5、本项目不属于左列重点发展产业，本项目符合</w:t>
                  </w:r>
                  <w:r>
                    <w:rPr>
                      <w:bCs/>
                      <w:szCs w:val="21"/>
                    </w:rPr>
                    <w:t>《产业结构调整指导目录（20</w:t>
                  </w:r>
                  <w:r>
                    <w:rPr>
                      <w:rFonts w:hint="eastAsia"/>
                      <w:bCs/>
                      <w:szCs w:val="21"/>
                    </w:rPr>
                    <w:t>19</w:t>
                  </w:r>
                  <w:r>
                    <w:rPr>
                      <w:bCs/>
                      <w:szCs w:val="21"/>
                    </w:rPr>
                    <w:t>年本）》</w:t>
                  </w:r>
                  <w:r>
                    <w:rPr>
                      <w:rFonts w:hint="eastAsia"/>
                      <w:bCs/>
                      <w:szCs w:val="21"/>
                    </w:rPr>
                    <w:t>（2021年修订版），</w:t>
                  </w:r>
                  <w:r>
                    <w:rPr>
                      <w:szCs w:val="21"/>
                    </w:rPr>
                    <w:t>属于允许建设项目</w:t>
                  </w:r>
                  <w:r>
                    <w:rPr>
                      <w:rFonts w:hint="eastAsia"/>
                      <w:szCs w:val="21"/>
                    </w:rPr>
                    <w:t>。</w:t>
                  </w:r>
                </w:p>
              </w:tc>
              <w:tc>
                <w:tcPr>
                  <w:tcW w:w="653" w:type="dxa"/>
                  <w:vAlign w:val="center"/>
                </w:tcPr>
                <w:p>
                  <w:pPr>
                    <w:autoSpaceDE w:val="0"/>
                    <w:autoSpaceDN w:val="0"/>
                    <w:adjustRightInd w:val="0"/>
                    <w:snapToGrid w:val="0"/>
                    <w:spacing w:line="320" w:lineRule="exact"/>
                    <w:jc w:val="center"/>
                    <w:rPr>
                      <w:szCs w:val="21"/>
                    </w:rPr>
                  </w:pPr>
                  <w:r>
                    <w:rPr>
                      <w:rFonts w:hint="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02" w:type="dxa"/>
                  <w:vMerge w:val="continue"/>
                  <w:vAlign w:val="center"/>
                </w:tcPr>
                <w:p>
                  <w:pPr>
                    <w:autoSpaceDE w:val="0"/>
                    <w:autoSpaceDN w:val="0"/>
                    <w:adjustRightInd w:val="0"/>
                    <w:snapToGrid w:val="0"/>
                    <w:spacing w:line="320" w:lineRule="exact"/>
                    <w:rPr>
                      <w:kern w:val="44"/>
                      <w:szCs w:val="21"/>
                    </w:rPr>
                  </w:pPr>
                </w:p>
              </w:tc>
              <w:tc>
                <w:tcPr>
                  <w:tcW w:w="422" w:type="dxa"/>
                  <w:vAlign w:val="center"/>
                </w:tcPr>
                <w:p>
                  <w:pPr>
                    <w:autoSpaceDE w:val="0"/>
                    <w:autoSpaceDN w:val="0"/>
                    <w:adjustRightInd w:val="0"/>
                    <w:snapToGrid w:val="0"/>
                    <w:spacing w:line="320" w:lineRule="exact"/>
                    <w:rPr>
                      <w:szCs w:val="21"/>
                    </w:rPr>
                  </w:pPr>
                  <w:r>
                    <w:rPr>
                      <w:rFonts w:hint="eastAsia"/>
                      <w:szCs w:val="21"/>
                    </w:rPr>
                    <w:t>污染物排放管控</w:t>
                  </w:r>
                </w:p>
              </w:tc>
              <w:tc>
                <w:tcPr>
                  <w:tcW w:w="3566" w:type="dxa"/>
                  <w:vAlign w:val="center"/>
                </w:tcPr>
                <w:p>
                  <w:pPr>
                    <w:autoSpaceDE w:val="0"/>
                    <w:autoSpaceDN w:val="0"/>
                    <w:adjustRightInd w:val="0"/>
                    <w:snapToGrid w:val="0"/>
                    <w:spacing w:line="320" w:lineRule="exact"/>
                    <w:rPr>
                      <w:snapToGrid w:val="0"/>
                      <w:szCs w:val="21"/>
                    </w:rPr>
                  </w:pPr>
                  <w:r>
                    <w:rPr>
                      <w:snapToGrid w:val="0"/>
                      <w:szCs w:val="21"/>
                    </w:rPr>
                    <w:t>1、采取集中供热、调整能源结构等措施，除集中供热设施外，入驻企业禁建燃煤设施，减少废气污染物排放。</w:t>
                  </w:r>
                </w:p>
                <w:p>
                  <w:pPr>
                    <w:autoSpaceDE w:val="0"/>
                    <w:autoSpaceDN w:val="0"/>
                    <w:adjustRightInd w:val="0"/>
                    <w:snapToGrid w:val="0"/>
                    <w:spacing w:line="320" w:lineRule="exact"/>
                    <w:rPr>
                      <w:snapToGrid w:val="0"/>
                      <w:szCs w:val="21"/>
                    </w:rPr>
                  </w:pPr>
                  <w:r>
                    <w:rPr>
                      <w:snapToGrid w:val="0"/>
                      <w:szCs w:val="21"/>
                    </w:rPr>
                    <w:t>2、重点行业（化工、包装印刷、工业涂装等）二氧化硫、氮氧化物、颗粒物、VOCs全面执行大气污染物特别排放限值。新改扩建设项目主要污染物排放应满足总量减排要求。</w:t>
                  </w:r>
                </w:p>
                <w:p>
                  <w:pPr>
                    <w:autoSpaceDE w:val="0"/>
                    <w:autoSpaceDN w:val="0"/>
                    <w:adjustRightInd w:val="0"/>
                    <w:snapToGrid w:val="0"/>
                    <w:spacing w:line="320" w:lineRule="exact"/>
                    <w:rPr>
                      <w:snapToGrid w:val="0"/>
                      <w:szCs w:val="21"/>
                    </w:rPr>
                  </w:pPr>
                  <w:r>
                    <w:rPr>
                      <w:snapToGrid w:val="0"/>
                      <w:szCs w:val="21"/>
                    </w:rPr>
                    <w:t>3、新建、改建、扩建涉VOCs排放项目应加强废气收集，安装高效治理设施，严格VOCs无组织排放治理。</w:t>
                  </w:r>
                </w:p>
                <w:p>
                  <w:pPr>
                    <w:autoSpaceDE w:val="0"/>
                    <w:autoSpaceDN w:val="0"/>
                    <w:adjustRightInd w:val="0"/>
                    <w:snapToGrid w:val="0"/>
                    <w:spacing w:line="320" w:lineRule="exact"/>
                    <w:rPr>
                      <w:snapToGrid w:val="0"/>
                      <w:szCs w:val="21"/>
                    </w:rPr>
                  </w:pPr>
                  <w:r>
                    <w:rPr>
                      <w:snapToGrid w:val="0"/>
                      <w:szCs w:val="21"/>
                    </w:rPr>
                    <w:t>4、引导整合区内摩托车整车制造企业，加强喷漆、涂装生产线污染治理力度，逐步实现VOCs在线监控联网达标排放。推进天燃气入厂入户工作，逐步取缔CNG罐，减少中间运输环节污染物排放</w:t>
                  </w:r>
                  <w:r>
                    <w:rPr>
                      <w:rFonts w:hint="eastAsia"/>
                      <w:snapToGrid w:val="0"/>
                      <w:szCs w:val="21"/>
                    </w:rPr>
                    <w:t>。</w:t>
                  </w:r>
                </w:p>
                <w:p>
                  <w:pPr>
                    <w:autoSpaceDE w:val="0"/>
                    <w:autoSpaceDN w:val="0"/>
                    <w:adjustRightInd w:val="0"/>
                    <w:snapToGrid w:val="0"/>
                    <w:spacing w:line="320" w:lineRule="exact"/>
                    <w:rPr>
                      <w:snapToGrid w:val="0"/>
                      <w:szCs w:val="21"/>
                    </w:rPr>
                  </w:pPr>
                  <w:r>
                    <w:rPr>
                      <w:snapToGrid w:val="0"/>
                      <w:szCs w:val="21"/>
                    </w:rPr>
                    <w:t>5、入区企业废水需进入不得设置直接入河的废水排放口，按照“清污分流、雨污分流、中水回用”的要求，完善配套污水管网，确保入区企业外排废水全部经管网收集后进入污水处理厂处理，出水执行《河南省黄河流域水污染物排放标准》（DB41/2087-2021）中的相关标准。</w:t>
                  </w:r>
                </w:p>
              </w:tc>
              <w:tc>
                <w:tcPr>
                  <w:tcW w:w="2401" w:type="dxa"/>
                  <w:vAlign w:val="center"/>
                </w:tcPr>
                <w:p>
                  <w:pPr>
                    <w:autoSpaceDE w:val="0"/>
                    <w:autoSpaceDN w:val="0"/>
                    <w:adjustRightInd w:val="0"/>
                    <w:snapToGrid w:val="0"/>
                    <w:spacing w:line="320" w:lineRule="exact"/>
                    <w:rPr>
                      <w:snapToGrid w:val="0"/>
                      <w:szCs w:val="21"/>
                    </w:rPr>
                  </w:pPr>
                  <w:r>
                    <w:rPr>
                      <w:rFonts w:hint="eastAsia"/>
                      <w:snapToGrid w:val="0"/>
                      <w:szCs w:val="21"/>
                    </w:rPr>
                    <w:t>1、本项目使用电能，不涉及燃煤设施。</w:t>
                  </w:r>
                </w:p>
                <w:p>
                  <w:pPr>
                    <w:autoSpaceDE w:val="0"/>
                    <w:autoSpaceDN w:val="0"/>
                    <w:adjustRightInd w:val="0"/>
                    <w:snapToGrid w:val="0"/>
                    <w:spacing w:line="320" w:lineRule="exact"/>
                    <w:rPr>
                      <w:snapToGrid w:val="0"/>
                      <w:szCs w:val="21"/>
                    </w:rPr>
                  </w:pPr>
                  <w:r>
                    <w:rPr>
                      <w:rFonts w:hint="eastAsia"/>
                      <w:snapToGrid w:val="0"/>
                      <w:szCs w:val="21"/>
                    </w:rPr>
                    <w:t>2、本项目属于塑料制品行业，</w:t>
                  </w:r>
                  <w:r>
                    <w:rPr>
                      <w:rFonts w:hint="eastAsia"/>
                      <w:kern w:val="0"/>
                      <w:szCs w:val="21"/>
                    </w:rPr>
                    <w:t>废气排放执行</w:t>
                  </w:r>
                  <w:r>
                    <w:rPr>
                      <w:rFonts w:hint="eastAsia"/>
                      <w:szCs w:val="21"/>
                    </w:rPr>
                    <w:t>《合成树脂工业污染物排放标准》（GB31572-2015）特别排放限值</w:t>
                  </w:r>
                  <w:r>
                    <w:rPr>
                      <w:rFonts w:hint="eastAsia" w:hAnsi="宋体"/>
                      <w:szCs w:val="21"/>
                    </w:rPr>
                    <w:t>。本项目新增</w:t>
                  </w:r>
                  <w:r>
                    <w:rPr>
                      <w:snapToGrid w:val="0"/>
                      <w:szCs w:val="21"/>
                    </w:rPr>
                    <w:t>主要污染物排放</w:t>
                  </w:r>
                  <w:r>
                    <w:rPr>
                      <w:rFonts w:hint="eastAsia"/>
                      <w:snapToGrid w:val="0"/>
                      <w:szCs w:val="21"/>
                    </w:rPr>
                    <w:t>量在偃师区内倍量替代，</w:t>
                  </w:r>
                  <w:r>
                    <w:rPr>
                      <w:snapToGrid w:val="0"/>
                      <w:szCs w:val="21"/>
                    </w:rPr>
                    <w:t>满足总量减排要求。</w:t>
                  </w:r>
                </w:p>
                <w:p>
                  <w:pPr>
                    <w:autoSpaceDE w:val="0"/>
                    <w:autoSpaceDN w:val="0"/>
                    <w:adjustRightInd w:val="0"/>
                    <w:snapToGrid w:val="0"/>
                    <w:spacing w:line="320" w:lineRule="exact"/>
                    <w:rPr>
                      <w:snapToGrid w:val="0"/>
                      <w:szCs w:val="21"/>
                    </w:rPr>
                  </w:pPr>
                  <w:r>
                    <w:rPr>
                      <w:rFonts w:hint="eastAsia"/>
                      <w:snapToGrid w:val="0"/>
                      <w:szCs w:val="21"/>
                    </w:rPr>
                    <w:t>3、</w:t>
                  </w:r>
                  <w:r>
                    <w:rPr>
                      <w:rFonts w:hint="eastAsia" w:hAnsi="宋体"/>
                      <w:szCs w:val="21"/>
                    </w:rPr>
                    <w:t>本项目生产原料使用塑料新料，</w:t>
                  </w:r>
                  <w:r>
                    <w:rPr>
                      <w:rFonts w:hAnsi="宋体"/>
                      <w:snapToGrid w:val="0"/>
                      <w:szCs w:val="21"/>
                    </w:rPr>
                    <w:t>生产线设置在密闭生产车间内，产污节点安装</w:t>
                  </w:r>
                  <w:r>
                    <w:rPr>
                      <w:rFonts w:hint="eastAsia" w:hAnsi="宋体"/>
                      <w:snapToGrid w:val="0"/>
                      <w:szCs w:val="21"/>
                    </w:rPr>
                    <w:t>集气</w:t>
                  </w:r>
                  <w:r>
                    <w:rPr>
                      <w:rFonts w:hAnsi="宋体"/>
                      <w:snapToGrid w:val="0"/>
                      <w:szCs w:val="21"/>
                    </w:rPr>
                    <w:t>设施，经</w:t>
                  </w:r>
                  <w:r>
                    <w:rPr>
                      <w:snapToGrid w:val="0"/>
                      <w:szCs w:val="21"/>
                    </w:rPr>
                    <w:t>“</w:t>
                  </w:r>
                  <w:r>
                    <w:rPr>
                      <w:rFonts w:hint="eastAsia"/>
                      <w:szCs w:val="21"/>
                    </w:rPr>
                    <w:t>光氧催化+活性炭吸附装置</w:t>
                  </w:r>
                  <w:r>
                    <w:rPr>
                      <w:snapToGrid w:val="0"/>
                      <w:szCs w:val="21"/>
                    </w:rPr>
                    <w:t>”</w:t>
                  </w:r>
                  <w:r>
                    <w:rPr>
                      <w:rFonts w:hAnsi="宋体"/>
                      <w:snapToGrid w:val="0"/>
                      <w:szCs w:val="21"/>
                    </w:rPr>
                    <w:t>处理</w:t>
                  </w:r>
                  <w:r>
                    <w:rPr>
                      <w:rFonts w:hint="eastAsia" w:hAnsi="宋体"/>
                      <w:snapToGrid w:val="0"/>
                      <w:szCs w:val="21"/>
                    </w:rPr>
                    <w:t>后</w:t>
                  </w:r>
                  <w:r>
                    <w:rPr>
                      <w:rFonts w:hAnsi="宋体"/>
                      <w:snapToGrid w:val="0"/>
                      <w:szCs w:val="21"/>
                    </w:rPr>
                    <w:t>，达标排放。</w:t>
                  </w:r>
                  <w:r>
                    <w:rPr>
                      <w:rFonts w:hint="eastAsia" w:hAnsi="宋体"/>
                      <w:snapToGrid w:val="0"/>
                      <w:szCs w:val="21"/>
                    </w:rPr>
                    <w:t>加强废气有组织收集，减少无组织排放。</w:t>
                  </w:r>
                </w:p>
                <w:p>
                  <w:pPr>
                    <w:autoSpaceDE w:val="0"/>
                    <w:autoSpaceDN w:val="0"/>
                    <w:adjustRightInd w:val="0"/>
                    <w:snapToGrid w:val="0"/>
                    <w:spacing w:line="320" w:lineRule="exact"/>
                    <w:rPr>
                      <w:snapToGrid w:val="0"/>
                      <w:szCs w:val="21"/>
                    </w:rPr>
                  </w:pPr>
                  <w:r>
                    <w:rPr>
                      <w:rFonts w:hint="eastAsia"/>
                      <w:snapToGrid w:val="0"/>
                      <w:szCs w:val="21"/>
                    </w:rPr>
                    <w:t>4、本项目不涉及。</w:t>
                  </w:r>
                </w:p>
                <w:p>
                  <w:pPr>
                    <w:adjustRightInd w:val="0"/>
                    <w:snapToGrid w:val="0"/>
                    <w:spacing w:line="320" w:lineRule="exact"/>
                    <w:rPr>
                      <w:kern w:val="0"/>
                      <w:szCs w:val="21"/>
                    </w:rPr>
                  </w:pPr>
                  <w:r>
                    <w:rPr>
                      <w:rFonts w:hint="eastAsia"/>
                      <w:snapToGrid w:val="0"/>
                      <w:szCs w:val="21"/>
                    </w:rPr>
                    <w:t>5、本项目</w:t>
                  </w:r>
                  <w:r>
                    <w:rPr>
                      <w:rFonts w:hint="eastAsia"/>
                      <w:kern w:val="0"/>
                      <w:szCs w:val="21"/>
                    </w:rPr>
                    <w:t>生活用水依托厂区现有污水处理设施，</w:t>
                  </w:r>
                  <w:r>
                    <w:rPr>
                      <w:rFonts w:hint="eastAsia"/>
                      <w:kern w:val="0"/>
                      <w:szCs w:val="21"/>
                      <w:u w:val="single"/>
                    </w:rPr>
                    <w:t>处理后用于厂区绿化，远期排入偃师区第二污水处理厂</w:t>
                  </w:r>
                  <w:r>
                    <w:rPr>
                      <w:kern w:val="0"/>
                      <w:szCs w:val="21"/>
                    </w:rPr>
                    <w:t>。</w:t>
                  </w:r>
                </w:p>
              </w:tc>
              <w:tc>
                <w:tcPr>
                  <w:tcW w:w="653" w:type="dxa"/>
                  <w:vAlign w:val="center"/>
                </w:tcPr>
                <w:p>
                  <w:pPr>
                    <w:autoSpaceDE w:val="0"/>
                    <w:autoSpaceDN w:val="0"/>
                    <w:adjustRightInd w:val="0"/>
                    <w:snapToGrid w:val="0"/>
                    <w:spacing w:line="320" w:lineRule="exact"/>
                    <w:jc w:val="center"/>
                    <w:rPr>
                      <w:szCs w:val="21"/>
                    </w:rPr>
                  </w:pPr>
                  <w:r>
                    <w:rPr>
                      <w:rFonts w:hint="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02" w:type="dxa"/>
                  <w:vMerge w:val="continue"/>
                  <w:vAlign w:val="center"/>
                </w:tcPr>
                <w:p>
                  <w:pPr>
                    <w:autoSpaceDE w:val="0"/>
                    <w:autoSpaceDN w:val="0"/>
                    <w:adjustRightInd w:val="0"/>
                    <w:snapToGrid w:val="0"/>
                    <w:spacing w:line="320" w:lineRule="exact"/>
                    <w:rPr>
                      <w:kern w:val="44"/>
                      <w:szCs w:val="21"/>
                    </w:rPr>
                  </w:pPr>
                </w:p>
              </w:tc>
              <w:tc>
                <w:tcPr>
                  <w:tcW w:w="422" w:type="dxa"/>
                  <w:vAlign w:val="center"/>
                </w:tcPr>
                <w:p>
                  <w:pPr>
                    <w:autoSpaceDE w:val="0"/>
                    <w:autoSpaceDN w:val="0"/>
                    <w:adjustRightInd w:val="0"/>
                    <w:snapToGrid w:val="0"/>
                    <w:spacing w:line="320" w:lineRule="exact"/>
                    <w:rPr>
                      <w:szCs w:val="21"/>
                    </w:rPr>
                  </w:pPr>
                  <w:r>
                    <w:rPr>
                      <w:rFonts w:hint="eastAsia"/>
                      <w:szCs w:val="21"/>
                    </w:rPr>
                    <w:t>环境风险防控</w:t>
                  </w:r>
                </w:p>
              </w:tc>
              <w:tc>
                <w:tcPr>
                  <w:tcW w:w="3566" w:type="dxa"/>
                  <w:vAlign w:val="center"/>
                </w:tcPr>
                <w:p>
                  <w:pPr>
                    <w:autoSpaceDE w:val="0"/>
                    <w:autoSpaceDN w:val="0"/>
                    <w:adjustRightInd w:val="0"/>
                    <w:snapToGrid w:val="0"/>
                    <w:spacing w:line="320" w:lineRule="exact"/>
                    <w:rPr>
                      <w:szCs w:val="21"/>
                    </w:rPr>
                  </w:pPr>
                  <w:r>
                    <w:rPr>
                      <w:szCs w:val="21"/>
                    </w:rPr>
                    <w:t>1</w:t>
                  </w:r>
                  <w:r>
                    <w:rPr>
                      <w:rFonts w:hint="eastAsia"/>
                      <w:szCs w:val="21"/>
                    </w:rPr>
                    <w:t>、</w:t>
                  </w:r>
                  <w:r>
                    <w:rPr>
                      <w:szCs w:val="21"/>
                    </w:rPr>
                    <w:t>加强集聚区环境安全管理工作，严格危险化学品管理，涉及重大危险源的项目其储存和使用场所应远离河道，减少环境风险。</w:t>
                  </w:r>
                </w:p>
                <w:p>
                  <w:pPr>
                    <w:autoSpaceDE w:val="0"/>
                    <w:autoSpaceDN w:val="0"/>
                    <w:adjustRightInd w:val="0"/>
                    <w:snapToGrid w:val="0"/>
                    <w:spacing w:line="320" w:lineRule="exact"/>
                    <w:rPr>
                      <w:szCs w:val="21"/>
                    </w:rPr>
                  </w:pPr>
                  <w:r>
                    <w:rPr>
                      <w:szCs w:val="21"/>
                    </w:rPr>
                    <w:t>2</w:t>
                  </w:r>
                  <w:r>
                    <w:rPr>
                      <w:rFonts w:hint="eastAsia"/>
                      <w:szCs w:val="21"/>
                    </w:rPr>
                    <w:t>、</w:t>
                  </w:r>
                  <w:r>
                    <w:rPr>
                      <w:szCs w:val="21"/>
                    </w:rPr>
                    <w:t>建立集聚区风险防范体系以及风险防范应急预案；基础设施和企业内部生产运营管理中，认真落实环境风险防范措施，减少环境风险事故发生</w:t>
                  </w:r>
                  <w:r>
                    <w:rPr>
                      <w:rFonts w:hint="eastAsia"/>
                      <w:szCs w:val="21"/>
                    </w:rPr>
                    <w:t>。</w:t>
                  </w:r>
                </w:p>
                <w:p>
                  <w:pPr>
                    <w:autoSpaceDE w:val="0"/>
                    <w:autoSpaceDN w:val="0"/>
                    <w:adjustRightInd w:val="0"/>
                    <w:snapToGrid w:val="0"/>
                    <w:spacing w:line="320" w:lineRule="exact"/>
                    <w:rPr>
                      <w:szCs w:val="21"/>
                    </w:rPr>
                  </w:pPr>
                  <w:r>
                    <w:rPr>
                      <w:szCs w:val="21"/>
                    </w:rPr>
                    <w:t>3、做好事故废水的风险管控联动，防止事故废水排入雨水管网或未经处理直接进入地表水体。</w:t>
                  </w:r>
                </w:p>
                <w:p>
                  <w:pPr>
                    <w:autoSpaceDE w:val="0"/>
                    <w:autoSpaceDN w:val="0"/>
                    <w:adjustRightInd w:val="0"/>
                    <w:snapToGrid w:val="0"/>
                    <w:spacing w:line="320" w:lineRule="exact"/>
                    <w:rPr>
                      <w:rFonts w:ascii="宋体" w:hAnsi="宋体" w:cs="宋体"/>
                      <w:sz w:val="24"/>
                    </w:rPr>
                  </w:pPr>
                  <w:r>
                    <w:rPr>
                      <w:szCs w:val="21"/>
                    </w:rPr>
                    <w:t>4、定期对地下水质进行监测，发现问题，及时采取有效防治措施，避免对地下水造成污染。</w:t>
                  </w:r>
                </w:p>
              </w:tc>
              <w:tc>
                <w:tcPr>
                  <w:tcW w:w="2401" w:type="dxa"/>
                  <w:vAlign w:val="center"/>
                </w:tcPr>
                <w:p>
                  <w:pPr>
                    <w:autoSpaceDE w:val="0"/>
                    <w:autoSpaceDN w:val="0"/>
                    <w:adjustRightInd w:val="0"/>
                    <w:snapToGrid w:val="0"/>
                    <w:spacing w:line="320" w:lineRule="exact"/>
                    <w:rPr>
                      <w:snapToGrid w:val="0"/>
                      <w:szCs w:val="21"/>
                    </w:rPr>
                  </w:pPr>
                  <w:r>
                    <w:rPr>
                      <w:rFonts w:hint="eastAsia"/>
                      <w:snapToGrid w:val="0"/>
                      <w:szCs w:val="21"/>
                    </w:rPr>
                    <w:t>1、本项目不涉及危险化学品。</w:t>
                  </w:r>
                </w:p>
                <w:p>
                  <w:pPr>
                    <w:autoSpaceDE w:val="0"/>
                    <w:autoSpaceDN w:val="0"/>
                    <w:adjustRightInd w:val="0"/>
                    <w:snapToGrid w:val="0"/>
                    <w:spacing w:line="320" w:lineRule="exact"/>
                    <w:rPr>
                      <w:kern w:val="0"/>
                      <w:szCs w:val="21"/>
                    </w:rPr>
                  </w:pPr>
                  <w:r>
                    <w:rPr>
                      <w:rFonts w:hint="eastAsia"/>
                      <w:snapToGrid w:val="0"/>
                      <w:szCs w:val="21"/>
                    </w:rPr>
                    <w:t>2、</w:t>
                  </w:r>
                  <w:r>
                    <w:rPr>
                      <w:kern w:val="0"/>
                      <w:szCs w:val="21"/>
                    </w:rPr>
                    <w:t>本项目</w:t>
                  </w:r>
                  <w:r>
                    <w:rPr>
                      <w:rFonts w:hint="eastAsia"/>
                      <w:kern w:val="0"/>
                      <w:szCs w:val="21"/>
                    </w:rPr>
                    <w:t>产生危废经危废暂存间暂存，交有资质单位处理处置。</w:t>
                  </w:r>
                  <w:r>
                    <w:rPr>
                      <w:kern w:val="0"/>
                      <w:szCs w:val="21"/>
                    </w:rPr>
                    <w:t>加强环境管理的情况下，发生风险事故的可能性较低，</w:t>
                  </w:r>
                  <w:r>
                    <w:rPr>
                      <w:rFonts w:hint="eastAsia"/>
                      <w:kern w:val="0"/>
                      <w:szCs w:val="21"/>
                    </w:rPr>
                    <w:t>环境</w:t>
                  </w:r>
                  <w:r>
                    <w:rPr>
                      <w:kern w:val="0"/>
                      <w:szCs w:val="21"/>
                    </w:rPr>
                    <w:t>风险处于可接受水平。</w:t>
                  </w:r>
                </w:p>
              </w:tc>
              <w:tc>
                <w:tcPr>
                  <w:tcW w:w="653" w:type="dxa"/>
                  <w:vAlign w:val="center"/>
                </w:tcPr>
                <w:p>
                  <w:pPr>
                    <w:autoSpaceDE w:val="0"/>
                    <w:autoSpaceDN w:val="0"/>
                    <w:adjustRightInd w:val="0"/>
                    <w:snapToGrid w:val="0"/>
                    <w:spacing w:line="320" w:lineRule="exact"/>
                    <w:jc w:val="center"/>
                    <w:rPr>
                      <w:szCs w:val="21"/>
                    </w:rPr>
                  </w:pPr>
                  <w:r>
                    <w:rPr>
                      <w:rFonts w:hint="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02" w:type="dxa"/>
                  <w:vMerge w:val="continue"/>
                  <w:vAlign w:val="center"/>
                </w:tcPr>
                <w:p>
                  <w:pPr>
                    <w:autoSpaceDE w:val="0"/>
                    <w:autoSpaceDN w:val="0"/>
                    <w:adjustRightInd w:val="0"/>
                    <w:snapToGrid w:val="0"/>
                    <w:spacing w:line="320" w:lineRule="exact"/>
                    <w:rPr>
                      <w:kern w:val="44"/>
                      <w:szCs w:val="21"/>
                    </w:rPr>
                  </w:pPr>
                </w:p>
              </w:tc>
              <w:tc>
                <w:tcPr>
                  <w:tcW w:w="422" w:type="dxa"/>
                  <w:vAlign w:val="center"/>
                </w:tcPr>
                <w:p>
                  <w:pPr>
                    <w:autoSpaceDE w:val="0"/>
                    <w:autoSpaceDN w:val="0"/>
                    <w:adjustRightInd w:val="0"/>
                    <w:snapToGrid w:val="0"/>
                    <w:spacing w:line="320" w:lineRule="exact"/>
                    <w:rPr>
                      <w:szCs w:val="21"/>
                    </w:rPr>
                  </w:pPr>
                  <w:r>
                    <w:rPr>
                      <w:rFonts w:hint="eastAsia"/>
                      <w:szCs w:val="21"/>
                    </w:rPr>
                    <w:t>资源开发效率</w:t>
                  </w:r>
                </w:p>
              </w:tc>
              <w:tc>
                <w:tcPr>
                  <w:tcW w:w="3566" w:type="dxa"/>
                  <w:vAlign w:val="center"/>
                </w:tcPr>
                <w:p>
                  <w:pPr>
                    <w:autoSpaceDE w:val="0"/>
                    <w:autoSpaceDN w:val="0"/>
                    <w:adjustRightInd w:val="0"/>
                    <w:snapToGrid w:val="0"/>
                    <w:spacing w:line="320" w:lineRule="exact"/>
                    <w:rPr>
                      <w:szCs w:val="21"/>
                    </w:rPr>
                  </w:pPr>
                  <w:r>
                    <w:rPr>
                      <w:szCs w:val="21"/>
                    </w:rPr>
                    <w:t>1、区内企业应不断提高资源能源利用效率，新改扩建设项目的清洁生产水平应达到国内先进水平。</w:t>
                  </w:r>
                </w:p>
                <w:p>
                  <w:pPr>
                    <w:autoSpaceDE w:val="0"/>
                    <w:autoSpaceDN w:val="0"/>
                    <w:adjustRightInd w:val="0"/>
                    <w:snapToGrid w:val="0"/>
                    <w:spacing w:line="320" w:lineRule="exact"/>
                    <w:rPr>
                      <w:rFonts w:ascii="宋体" w:hAnsi="宋体" w:cs="宋体"/>
                      <w:sz w:val="24"/>
                    </w:rPr>
                  </w:pPr>
                  <w:r>
                    <w:rPr>
                      <w:szCs w:val="21"/>
                    </w:rPr>
                    <w:t>2、产业集聚区应加大中水回用力度，建设再生水回用配套设施，提高再生水利用率。</w:t>
                  </w:r>
                </w:p>
              </w:tc>
              <w:tc>
                <w:tcPr>
                  <w:tcW w:w="2401" w:type="dxa"/>
                  <w:vAlign w:val="center"/>
                </w:tcPr>
                <w:p>
                  <w:pPr>
                    <w:autoSpaceDE w:val="0"/>
                    <w:autoSpaceDN w:val="0"/>
                    <w:adjustRightInd w:val="0"/>
                    <w:snapToGrid w:val="0"/>
                    <w:spacing w:line="320" w:lineRule="exact"/>
                    <w:rPr>
                      <w:szCs w:val="21"/>
                    </w:rPr>
                  </w:pPr>
                  <w:r>
                    <w:rPr>
                      <w:rFonts w:hint="eastAsia"/>
                      <w:snapToGrid w:val="0"/>
                      <w:szCs w:val="21"/>
                    </w:rPr>
                    <w:t>1、本项目</w:t>
                  </w:r>
                  <w:r>
                    <w:rPr>
                      <w:szCs w:val="21"/>
                    </w:rPr>
                    <w:t>应不断提高资源能源利用效率，清洁生产水平应达到国内先进水平。</w:t>
                  </w:r>
                </w:p>
                <w:p>
                  <w:pPr>
                    <w:autoSpaceDE w:val="0"/>
                    <w:autoSpaceDN w:val="0"/>
                    <w:adjustRightInd w:val="0"/>
                    <w:snapToGrid w:val="0"/>
                    <w:spacing w:line="320" w:lineRule="exact"/>
                    <w:rPr>
                      <w:snapToGrid w:val="0"/>
                      <w:szCs w:val="21"/>
                    </w:rPr>
                  </w:pPr>
                  <w:r>
                    <w:rPr>
                      <w:rFonts w:hint="eastAsia"/>
                      <w:szCs w:val="21"/>
                    </w:rPr>
                    <w:t>2、</w:t>
                  </w:r>
                  <w:r>
                    <w:rPr>
                      <w:rFonts w:hint="eastAsia"/>
                      <w:kern w:val="0"/>
                      <w:szCs w:val="21"/>
                    </w:rPr>
                    <w:t>本</w:t>
                  </w:r>
                  <w:r>
                    <w:rPr>
                      <w:kern w:val="0"/>
                      <w:szCs w:val="21"/>
                    </w:rPr>
                    <w:t>项目</w:t>
                  </w:r>
                  <w:r>
                    <w:rPr>
                      <w:rFonts w:hint="eastAsia"/>
                      <w:kern w:val="0"/>
                      <w:szCs w:val="21"/>
                    </w:rPr>
                    <w:t>冷却水循环使用，定期更换，用于厂区洒水绿化降尘。</w:t>
                  </w:r>
                </w:p>
              </w:tc>
              <w:tc>
                <w:tcPr>
                  <w:tcW w:w="653" w:type="dxa"/>
                  <w:vAlign w:val="center"/>
                </w:tcPr>
                <w:p>
                  <w:pPr>
                    <w:autoSpaceDE w:val="0"/>
                    <w:autoSpaceDN w:val="0"/>
                    <w:adjustRightInd w:val="0"/>
                    <w:snapToGrid w:val="0"/>
                    <w:spacing w:line="320" w:lineRule="exact"/>
                    <w:jc w:val="center"/>
                    <w:rPr>
                      <w:szCs w:val="21"/>
                    </w:rPr>
                  </w:pPr>
                  <w:r>
                    <w:rPr>
                      <w:rFonts w:hint="eastAsia"/>
                      <w:szCs w:val="21"/>
                    </w:rPr>
                    <w:t>相符</w:t>
                  </w:r>
                </w:p>
              </w:tc>
            </w:tr>
          </w:tbl>
          <w:p>
            <w:pPr>
              <w:spacing w:line="360" w:lineRule="auto"/>
              <w:ind w:firstLine="480" w:firstLineChars="200"/>
              <w:rPr>
                <w:kern w:val="44"/>
                <w:sz w:val="24"/>
              </w:rPr>
            </w:pPr>
            <w:r>
              <w:rPr>
                <w:rFonts w:hint="eastAsia"/>
                <w:sz w:val="24"/>
              </w:rPr>
              <w:t>根据上表分析，本项目符合</w:t>
            </w:r>
            <w:r>
              <w:rPr>
                <w:rFonts w:hint="eastAsia"/>
                <w:kern w:val="44"/>
                <w:sz w:val="24"/>
              </w:rPr>
              <w:t>偃师区</w:t>
            </w:r>
            <w:r>
              <w:rPr>
                <w:kern w:val="44"/>
                <w:sz w:val="24"/>
              </w:rPr>
              <w:t>环境管控单元生态环境准入清单</w:t>
            </w:r>
            <w:r>
              <w:rPr>
                <w:rFonts w:hint="eastAsia"/>
                <w:sz w:val="24"/>
              </w:rPr>
              <w:t>要求。</w:t>
            </w:r>
          </w:p>
          <w:p>
            <w:pPr>
              <w:spacing w:line="360" w:lineRule="auto"/>
              <w:rPr>
                <w:b/>
                <w:sz w:val="24"/>
              </w:rPr>
            </w:pPr>
            <w:r>
              <w:rPr>
                <w:rFonts w:hint="eastAsia"/>
                <w:b/>
                <w:sz w:val="24"/>
              </w:rPr>
              <w:t>3《偃师区</w:t>
            </w:r>
            <w:r>
              <w:rPr>
                <w:b/>
                <w:sz w:val="24"/>
              </w:rPr>
              <w:t>2023</w:t>
            </w:r>
            <w:r>
              <w:rPr>
                <w:rFonts w:hint="eastAsia"/>
                <w:b/>
                <w:sz w:val="24"/>
              </w:rPr>
              <w:t>年蓝天、碧水、净土保卫战实施方案》（偃环委办〔</w:t>
            </w:r>
            <w:r>
              <w:rPr>
                <w:b/>
                <w:sz w:val="24"/>
              </w:rPr>
              <w:t>2023</w:t>
            </w:r>
            <w:r>
              <w:rPr>
                <w:rFonts w:hint="eastAsia"/>
                <w:b/>
                <w:sz w:val="24"/>
              </w:rPr>
              <w:t>〕</w:t>
            </w:r>
            <w:r>
              <w:rPr>
                <w:b/>
                <w:sz w:val="24"/>
              </w:rPr>
              <w:t>3</w:t>
            </w:r>
            <w:r>
              <w:rPr>
                <w:rFonts w:hint="eastAsia"/>
                <w:b/>
                <w:sz w:val="24"/>
              </w:rPr>
              <w:t>号）相符性分析</w:t>
            </w:r>
          </w:p>
          <w:p>
            <w:pPr>
              <w:spacing w:line="360" w:lineRule="auto"/>
              <w:ind w:firstLine="480" w:firstLineChars="200"/>
              <w:rPr>
                <w:sz w:val="24"/>
              </w:rPr>
            </w:pPr>
            <w:r>
              <w:rPr>
                <w:rFonts w:hint="eastAsia"/>
                <w:sz w:val="24"/>
              </w:rPr>
              <w:t>对照洛阳市</w:t>
            </w:r>
            <w:r>
              <w:rPr>
                <w:rFonts w:hint="eastAsia"/>
                <w:kern w:val="0"/>
                <w:sz w:val="24"/>
              </w:rPr>
              <w:t>偃师区生态环境保护委员会办公室《关于印发偃师区</w:t>
            </w:r>
            <w:r>
              <w:rPr>
                <w:kern w:val="0"/>
                <w:sz w:val="24"/>
              </w:rPr>
              <w:t>2023</w:t>
            </w:r>
            <w:r>
              <w:rPr>
                <w:rFonts w:hint="eastAsia"/>
                <w:kern w:val="0"/>
                <w:sz w:val="24"/>
              </w:rPr>
              <w:t>年</w:t>
            </w:r>
            <w:r>
              <w:rPr>
                <w:rFonts w:hint="eastAsia"/>
                <w:sz w:val="24"/>
              </w:rPr>
              <w:t>蓝天、碧水、净土保卫战实施方案的通知》（偃环委办〔</w:t>
            </w:r>
            <w:r>
              <w:rPr>
                <w:sz w:val="24"/>
              </w:rPr>
              <w:t>2023</w:t>
            </w:r>
            <w:r>
              <w:rPr>
                <w:rFonts w:hint="eastAsia"/>
                <w:sz w:val="24"/>
              </w:rPr>
              <w:t>〕</w:t>
            </w:r>
            <w:r>
              <w:rPr>
                <w:sz w:val="24"/>
              </w:rPr>
              <w:t>3</w:t>
            </w:r>
            <w:r>
              <w:rPr>
                <w:rFonts w:hint="eastAsia"/>
                <w:sz w:val="24"/>
              </w:rPr>
              <w:t>号）文件相关内容，相符性分析见下表。</w:t>
            </w:r>
          </w:p>
          <w:p>
            <w:pPr>
              <w:pStyle w:val="53"/>
              <w:numPr>
                <w:ilvl w:val="0"/>
                <w:numId w:val="2"/>
              </w:numPr>
              <w:adjustRightInd/>
              <w:snapToGrid/>
              <w:ind w:left="0" w:firstLine="0"/>
              <w:rPr>
                <w:kern w:val="0"/>
              </w:rPr>
            </w:pPr>
            <w:r>
              <w:rPr>
                <w:rFonts w:hint="eastAsia"/>
                <w:kern w:val="0"/>
              </w:rPr>
              <w:t>《偃师区</w:t>
            </w:r>
            <w:r>
              <w:rPr>
                <w:kern w:val="0"/>
              </w:rPr>
              <w:t>2023</w:t>
            </w:r>
            <w:r>
              <w:rPr>
                <w:rFonts w:hint="eastAsia"/>
                <w:kern w:val="0"/>
              </w:rPr>
              <w:t>年蓝天、碧水、净土保卫战实施方案》相符性分析</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08"/>
              <w:gridCol w:w="298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108" w:type="dxa"/>
                  <w:tcMar>
                    <w:left w:w="108" w:type="dxa"/>
                    <w:right w:w="108" w:type="dxa"/>
                  </w:tcMar>
                  <w:vAlign w:val="center"/>
                </w:tcPr>
                <w:p>
                  <w:pPr>
                    <w:pStyle w:val="80"/>
                  </w:pPr>
                  <w:r>
                    <w:rPr>
                      <w:rFonts w:hint="eastAsia"/>
                    </w:rPr>
                    <w:t>偃环委办〔2023〕3号</w:t>
                  </w:r>
                  <w:r>
                    <w:t>文的相关要求</w:t>
                  </w:r>
                </w:p>
              </w:tc>
              <w:tc>
                <w:tcPr>
                  <w:tcW w:w="2983" w:type="dxa"/>
                  <w:tcMar>
                    <w:left w:w="108" w:type="dxa"/>
                    <w:right w:w="108" w:type="dxa"/>
                  </w:tcMar>
                  <w:vAlign w:val="center"/>
                </w:tcPr>
                <w:p>
                  <w:pPr>
                    <w:pStyle w:val="80"/>
                  </w:pPr>
                  <w:r>
                    <w:t>项目特点</w:t>
                  </w:r>
                </w:p>
              </w:tc>
              <w:tc>
                <w:tcPr>
                  <w:tcW w:w="953" w:type="dxa"/>
                  <w:tcMar>
                    <w:left w:w="108" w:type="dxa"/>
                    <w:right w:w="108" w:type="dxa"/>
                  </w:tcMar>
                  <w:vAlign w:val="center"/>
                </w:tcPr>
                <w:p>
                  <w:pPr>
                    <w:pStyle w:val="80"/>
                  </w:pPr>
                  <w: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8044" w:type="dxa"/>
                  <w:gridSpan w:val="3"/>
                  <w:tcMar>
                    <w:left w:w="108" w:type="dxa"/>
                    <w:right w:w="108" w:type="dxa"/>
                  </w:tcMar>
                  <w:vAlign w:val="center"/>
                </w:tcPr>
                <w:p>
                  <w:pPr>
                    <w:pStyle w:val="54"/>
                    <w:spacing w:line="320" w:lineRule="exact"/>
                  </w:pPr>
                  <w:r>
                    <w:t>《</w:t>
                  </w:r>
                  <w:r>
                    <w:rPr>
                      <w:rFonts w:hint="eastAsia"/>
                    </w:rPr>
                    <w:t>偃师区</w:t>
                  </w:r>
                  <w:r>
                    <w:t>2023年蓝天保卫战实施方案》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8044" w:type="dxa"/>
                  <w:gridSpan w:val="3"/>
                  <w:tcMar>
                    <w:left w:w="108" w:type="dxa"/>
                    <w:right w:w="108" w:type="dxa"/>
                  </w:tcMar>
                  <w:vAlign w:val="center"/>
                </w:tcPr>
                <w:p>
                  <w:pPr>
                    <w:autoSpaceDE w:val="0"/>
                    <w:autoSpaceDN w:val="0"/>
                    <w:adjustRightInd w:val="0"/>
                    <w:snapToGrid w:val="0"/>
                    <w:spacing w:line="320" w:lineRule="exact"/>
                    <w:rPr>
                      <w:szCs w:val="21"/>
                    </w:rPr>
                  </w:pPr>
                  <w:r>
                    <w:rPr>
                      <w:rFonts w:hint="eastAsia"/>
                      <w:szCs w:val="21"/>
                    </w:rPr>
                    <w:t>（五）</w:t>
                  </w:r>
                  <w:r>
                    <w:rPr>
                      <w:szCs w:val="21"/>
                    </w:rPr>
                    <w:t>推进工业企业综合治理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108" w:type="dxa"/>
                  <w:tcMar>
                    <w:left w:w="108" w:type="dxa"/>
                    <w:right w:w="108" w:type="dxa"/>
                  </w:tcMar>
                  <w:vAlign w:val="center"/>
                </w:tcPr>
                <w:p>
                  <w:pPr>
                    <w:spacing w:line="320" w:lineRule="exact"/>
                    <w:rPr>
                      <w:kern w:val="0"/>
                      <w:szCs w:val="21"/>
                    </w:rPr>
                  </w:pPr>
                  <w:r>
                    <w:rPr>
                      <w:rFonts w:hint="eastAsia"/>
                      <w:kern w:val="0"/>
                      <w:szCs w:val="21"/>
                    </w:rPr>
                    <w:t>19</w:t>
                  </w:r>
                  <w:r>
                    <w:rPr>
                      <w:kern w:val="0"/>
                      <w:szCs w:val="21"/>
                    </w:rPr>
                    <w:t>.实施工业污染排放深度治理。以砖瓦窑、玻璃、耐火材料等行业工业窑炉为重点，全面提升污染物治理设施、无组织排放管控和在线监控设施运行管理水平，加强物料运输、装卸储存及生产过程中的无组织排放控制，推进实施清洁生产改造，确保污染物稳定达标排放。2023年5月底前，全面排查除尘脱硫一体化、简易碱法脱硫、简易氨法脱硫脱硝、湿法脱硝、氧化法脱硝等低效治理设施以及低温等离子、光催化、光氧化等VOCs简易低效治理设施</w:t>
                  </w:r>
                  <w:r>
                    <w:rPr>
                      <w:rFonts w:hint="eastAsia"/>
                      <w:kern w:val="0"/>
                      <w:szCs w:val="21"/>
                    </w:rPr>
                    <w:t>，</w:t>
                  </w:r>
                  <w:r>
                    <w:rPr>
                      <w:szCs w:val="21"/>
                    </w:rPr>
                    <w:t>10月底前，对无法稳定达标排放的通过更换适宜高效治理工艺、提升现有治污设施处理能力、清洁能源替代等方式完成分类整治，对人工投加脱硫脱硝剂的简易设施实施自动化改造。</w:t>
                  </w:r>
                </w:p>
              </w:tc>
              <w:tc>
                <w:tcPr>
                  <w:tcW w:w="2983" w:type="dxa"/>
                  <w:tcMar>
                    <w:left w:w="108" w:type="dxa"/>
                    <w:right w:w="108" w:type="dxa"/>
                  </w:tcMar>
                  <w:vAlign w:val="center"/>
                </w:tcPr>
                <w:p>
                  <w:pPr>
                    <w:autoSpaceDE w:val="0"/>
                    <w:autoSpaceDN w:val="0"/>
                    <w:adjustRightInd w:val="0"/>
                    <w:snapToGrid w:val="0"/>
                    <w:spacing w:line="320" w:lineRule="exact"/>
                    <w:rPr>
                      <w:rFonts w:cs="宋体"/>
                      <w:bCs/>
                      <w:szCs w:val="21"/>
                    </w:rPr>
                  </w:pPr>
                  <w:r>
                    <w:rPr>
                      <w:rFonts w:hint="eastAsia" w:cs="宋体"/>
                      <w:bCs/>
                      <w:szCs w:val="21"/>
                    </w:rPr>
                    <w:t>本项目不属于左类涉及工业炉窑项目，</w:t>
                  </w:r>
                  <w:r>
                    <w:rPr>
                      <w:rFonts w:hint="eastAsia" w:hAnsi="宋体"/>
                      <w:szCs w:val="21"/>
                    </w:rPr>
                    <w:t>本项目生产原料使用塑料颗粒料新料，</w:t>
                  </w:r>
                  <w:r>
                    <w:rPr>
                      <w:rFonts w:hAnsi="宋体"/>
                      <w:snapToGrid w:val="0"/>
                      <w:szCs w:val="21"/>
                    </w:rPr>
                    <w:t>生产线设置在密闭生产车间内，产污节点</w:t>
                  </w:r>
                  <w:r>
                    <w:rPr>
                      <w:rFonts w:hint="eastAsia" w:hAnsi="宋体"/>
                      <w:snapToGrid w:val="0"/>
                      <w:szCs w:val="21"/>
                    </w:rPr>
                    <w:t>设集气</w:t>
                  </w:r>
                  <w:r>
                    <w:rPr>
                      <w:rFonts w:hAnsi="宋体"/>
                      <w:snapToGrid w:val="0"/>
                      <w:szCs w:val="21"/>
                    </w:rPr>
                    <w:t>设施，</w:t>
                  </w:r>
                  <w:r>
                    <w:rPr>
                      <w:rFonts w:hint="eastAsia" w:hAnsi="宋体"/>
                      <w:snapToGrid w:val="0"/>
                      <w:szCs w:val="21"/>
                    </w:rPr>
                    <w:t>颗粒物经袋式除尘器处理，有机废气</w:t>
                  </w:r>
                  <w:r>
                    <w:rPr>
                      <w:rFonts w:hAnsi="宋体"/>
                      <w:snapToGrid w:val="0"/>
                      <w:szCs w:val="21"/>
                    </w:rPr>
                    <w:t>经</w:t>
                  </w:r>
                  <w:r>
                    <w:rPr>
                      <w:snapToGrid w:val="0"/>
                      <w:szCs w:val="21"/>
                    </w:rPr>
                    <w:t>“</w:t>
                  </w:r>
                  <w:r>
                    <w:rPr>
                      <w:rFonts w:hint="eastAsia"/>
                      <w:szCs w:val="21"/>
                    </w:rPr>
                    <w:t>光氧催化+活性炭吸附装置</w:t>
                  </w:r>
                  <w:r>
                    <w:rPr>
                      <w:snapToGrid w:val="0"/>
                      <w:szCs w:val="21"/>
                    </w:rPr>
                    <w:t>”</w:t>
                  </w:r>
                  <w:r>
                    <w:rPr>
                      <w:rFonts w:hAnsi="宋体"/>
                      <w:snapToGrid w:val="0"/>
                      <w:szCs w:val="21"/>
                    </w:rPr>
                    <w:t>处理，</w:t>
                  </w:r>
                  <w:r>
                    <w:rPr>
                      <w:rFonts w:hint="eastAsia" w:hAnsi="宋体"/>
                      <w:snapToGrid w:val="0"/>
                      <w:szCs w:val="21"/>
                    </w:rPr>
                    <w:t>废气经治理后可</w:t>
                  </w:r>
                  <w:r>
                    <w:rPr>
                      <w:rFonts w:hAnsi="宋体"/>
                      <w:snapToGrid w:val="0"/>
                      <w:szCs w:val="21"/>
                    </w:rPr>
                    <w:t>达标排放。</w:t>
                  </w:r>
                </w:p>
              </w:tc>
              <w:tc>
                <w:tcPr>
                  <w:tcW w:w="953" w:type="dxa"/>
                  <w:tcMar>
                    <w:left w:w="108" w:type="dxa"/>
                    <w:right w:w="108" w:type="dxa"/>
                  </w:tcMar>
                  <w:vAlign w:val="center"/>
                </w:tcPr>
                <w:p>
                  <w:pPr>
                    <w:autoSpaceDE w:val="0"/>
                    <w:autoSpaceDN w:val="0"/>
                    <w:adjustRightInd w:val="0"/>
                    <w:snapToGrid w:val="0"/>
                    <w:spacing w:line="320" w:lineRule="exact"/>
                    <w:jc w:val="center"/>
                    <w:rPr>
                      <w:szCs w:val="21"/>
                    </w:rPr>
                  </w:pPr>
                  <w:r>
                    <w:rPr>
                      <w:rFonts w:cs="宋体"/>
                      <w:bCs/>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8044" w:type="dxa"/>
                  <w:gridSpan w:val="3"/>
                  <w:tcMar>
                    <w:left w:w="108" w:type="dxa"/>
                    <w:right w:w="108" w:type="dxa"/>
                  </w:tcMar>
                  <w:vAlign w:val="center"/>
                </w:tcPr>
                <w:p>
                  <w:pPr>
                    <w:autoSpaceDE w:val="0"/>
                    <w:autoSpaceDN w:val="0"/>
                    <w:adjustRightInd w:val="0"/>
                    <w:snapToGrid w:val="0"/>
                    <w:spacing w:line="320" w:lineRule="exact"/>
                    <w:rPr>
                      <w:rFonts w:cs="宋体"/>
                      <w:bCs/>
                      <w:szCs w:val="21"/>
                    </w:rPr>
                  </w:pPr>
                  <w:r>
                    <w:rPr>
                      <w:rFonts w:hint="eastAsia"/>
                      <w:kern w:val="0"/>
                      <w:szCs w:val="21"/>
                    </w:rPr>
                    <w:t>（六）加快挥发性有机物治理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108" w:type="dxa"/>
                  <w:tcMar>
                    <w:left w:w="108" w:type="dxa"/>
                    <w:right w:w="108" w:type="dxa"/>
                  </w:tcMar>
                  <w:vAlign w:val="center"/>
                </w:tcPr>
                <w:p>
                  <w:pPr>
                    <w:spacing w:line="320" w:lineRule="exact"/>
                  </w:pPr>
                  <w:r>
                    <w:rPr>
                      <w:rFonts w:hint="eastAsia"/>
                    </w:rPr>
                    <w:t>23.推进低</w:t>
                  </w:r>
                  <w:r>
                    <w:t>VOCs</w:t>
                  </w:r>
                  <w:r>
                    <w:rPr>
                      <w:rFonts w:hint="eastAsia"/>
                    </w:rPr>
                    <w:t>含量原辅材料源头替代</w:t>
                  </w:r>
                </w:p>
                <w:p>
                  <w:pPr>
                    <w:spacing w:line="320" w:lineRule="exact"/>
                    <w:rPr>
                      <w:kern w:val="0"/>
                      <w:szCs w:val="21"/>
                    </w:rPr>
                  </w:pPr>
                  <w:r>
                    <w:rPr>
                      <w:rFonts w:hint="eastAsia"/>
                    </w:rPr>
                    <w:t>（1）</w:t>
                  </w:r>
                  <w:r>
                    <w:t>按照“可替尽替、应代尽代”的原则，开展工业涂装、家具制造、包装印刷、钢结构制造等行业溶剂型涂料、油墨、胶粘剂、清洗剂使用低VOCs含量原辅材料替代，明确治理任务，动态更新清单台账。</w:t>
                  </w:r>
                </w:p>
              </w:tc>
              <w:tc>
                <w:tcPr>
                  <w:tcW w:w="2983" w:type="dxa"/>
                  <w:tcMar>
                    <w:left w:w="108" w:type="dxa"/>
                    <w:right w:w="108" w:type="dxa"/>
                  </w:tcMar>
                  <w:vAlign w:val="center"/>
                </w:tcPr>
                <w:p>
                  <w:pPr>
                    <w:autoSpaceDE w:val="0"/>
                    <w:autoSpaceDN w:val="0"/>
                    <w:adjustRightInd w:val="0"/>
                    <w:snapToGrid w:val="0"/>
                    <w:spacing w:line="320" w:lineRule="exact"/>
                    <w:rPr>
                      <w:szCs w:val="21"/>
                    </w:rPr>
                  </w:pPr>
                  <w:r>
                    <w:rPr>
                      <w:szCs w:val="21"/>
                    </w:rPr>
                    <w:t>本项目不</w:t>
                  </w:r>
                  <w:r>
                    <w:rPr>
                      <w:rFonts w:hint="eastAsia"/>
                      <w:szCs w:val="21"/>
                    </w:rPr>
                    <w:t>涉及</w:t>
                  </w:r>
                  <w:r>
                    <w:rPr>
                      <w:szCs w:val="21"/>
                    </w:rPr>
                    <w:t>左列行业，不涉及</w:t>
                  </w:r>
                  <w:r>
                    <w:rPr>
                      <w:rFonts w:hint="eastAsia"/>
                      <w:szCs w:val="21"/>
                    </w:rPr>
                    <w:t>溶剂型涂料、油墨、清洗剂、胶粘剂等原料</w:t>
                  </w:r>
                  <w:r>
                    <w:rPr>
                      <w:szCs w:val="21"/>
                    </w:rPr>
                    <w:t>的使用。</w:t>
                  </w:r>
                </w:p>
              </w:tc>
              <w:tc>
                <w:tcPr>
                  <w:tcW w:w="953" w:type="dxa"/>
                  <w:tcMar>
                    <w:left w:w="108" w:type="dxa"/>
                    <w:right w:w="108" w:type="dxa"/>
                  </w:tcMar>
                  <w:vAlign w:val="center"/>
                </w:tcPr>
                <w:p>
                  <w:pPr>
                    <w:autoSpaceDE w:val="0"/>
                    <w:autoSpaceDN w:val="0"/>
                    <w:adjustRightInd w:val="0"/>
                    <w:snapToGrid w:val="0"/>
                    <w:spacing w:line="320" w:lineRule="exact"/>
                    <w:jc w:val="center"/>
                    <w:rPr>
                      <w:rFonts w:cs="宋体"/>
                      <w:bCs/>
                      <w:szCs w:val="21"/>
                    </w:rPr>
                  </w:pPr>
                  <w:r>
                    <w:rPr>
                      <w:rFonts w:hint="eastAsia" w:cs="宋体"/>
                      <w:bCs/>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8044" w:type="dxa"/>
                  <w:gridSpan w:val="3"/>
                  <w:tcMar>
                    <w:left w:w="108" w:type="dxa"/>
                    <w:right w:w="108" w:type="dxa"/>
                  </w:tcMar>
                  <w:vAlign w:val="center"/>
                </w:tcPr>
                <w:p>
                  <w:pPr>
                    <w:autoSpaceDE w:val="0"/>
                    <w:autoSpaceDN w:val="0"/>
                    <w:adjustRightInd w:val="0"/>
                    <w:snapToGrid w:val="0"/>
                    <w:spacing w:line="320" w:lineRule="exact"/>
                    <w:rPr>
                      <w:rFonts w:cs="宋体"/>
                      <w:bCs/>
                      <w:szCs w:val="21"/>
                    </w:rPr>
                  </w:pPr>
                  <w:r>
                    <w:rPr>
                      <w:rFonts w:hint="eastAsia"/>
                      <w:kern w:val="0"/>
                      <w:szCs w:val="21"/>
                    </w:rPr>
                    <w:t>（七）强化区域联防联控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108" w:type="dxa"/>
                  <w:tcMar>
                    <w:left w:w="108" w:type="dxa"/>
                    <w:right w:w="108" w:type="dxa"/>
                  </w:tcMar>
                  <w:vAlign w:val="center"/>
                </w:tcPr>
                <w:p>
                  <w:pPr>
                    <w:spacing w:line="320" w:lineRule="exact"/>
                    <w:rPr>
                      <w:kern w:val="0"/>
                      <w:szCs w:val="21"/>
                    </w:rPr>
                  </w:pPr>
                  <w:r>
                    <w:rPr>
                      <w:rFonts w:hint="eastAsia"/>
                      <w:kern w:val="0"/>
                      <w:szCs w:val="21"/>
                    </w:rPr>
                    <w:t>28</w:t>
                  </w:r>
                  <w:r>
                    <w:rPr>
                      <w:kern w:val="0"/>
                      <w:szCs w:val="21"/>
                    </w:rPr>
                    <w:t>.优化重点行业绩效分级管理。强化重污染天气应急分类分级管控，持续推进重点行业企业绩效分级，加强应急减排清单标准化管理，鼓励企业加快实施升级改造，建立完善“有进有出”动态调整机制，着力培育一批绩效水平高、行业带动强的省级绿色标杆企业，对存在环境违法违规行为、环境绩效水平达不到相应指标要求的企业实施降级处理。</w:t>
                  </w:r>
                </w:p>
              </w:tc>
              <w:tc>
                <w:tcPr>
                  <w:tcW w:w="2983" w:type="dxa"/>
                  <w:tcMar>
                    <w:left w:w="108" w:type="dxa"/>
                    <w:right w:w="108" w:type="dxa"/>
                  </w:tcMar>
                  <w:vAlign w:val="center"/>
                </w:tcPr>
                <w:p>
                  <w:pPr>
                    <w:autoSpaceDE w:val="0"/>
                    <w:autoSpaceDN w:val="0"/>
                    <w:adjustRightInd w:val="0"/>
                    <w:snapToGrid w:val="0"/>
                    <w:spacing w:line="320" w:lineRule="exact"/>
                    <w:rPr>
                      <w:szCs w:val="21"/>
                    </w:rPr>
                  </w:pPr>
                  <w:r>
                    <w:rPr>
                      <w:rFonts w:hint="eastAsia"/>
                      <w:szCs w:val="21"/>
                    </w:rPr>
                    <w:t>本项目绩效分级按要求达到“塑料制品”</w:t>
                  </w:r>
                  <w:r>
                    <w:rPr>
                      <w:rFonts w:hint="eastAsia" w:hAnsi="宋体"/>
                      <w:bCs/>
                      <w:kern w:val="0"/>
                      <w:szCs w:val="21"/>
                    </w:rPr>
                    <w:t>A级绩效水平</w:t>
                  </w:r>
                  <w:r>
                    <w:rPr>
                      <w:rFonts w:hAnsi="宋体"/>
                      <w:bCs/>
                      <w:kern w:val="0"/>
                      <w:szCs w:val="21"/>
                    </w:rPr>
                    <w:t>。</w:t>
                  </w:r>
                  <w:r>
                    <w:rPr>
                      <w:rFonts w:hint="eastAsia"/>
                      <w:szCs w:val="21"/>
                    </w:rPr>
                    <w:t>按管理要求执行</w:t>
                  </w:r>
                  <w:r>
                    <w:rPr>
                      <w:kern w:val="0"/>
                      <w:szCs w:val="21"/>
                    </w:rPr>
                    <w:t>重污染天气应急分类分级管控</w:t>
                  </w:r>
                  <w:r>
                    <w:rPr>
                      <w:rFonts w:hint="eastAsia"/>
                      <w:kern w:val="0"/>
                      <w:szCs w:val="21"/>
                    </w:rPr>
                    <w:t>。</w:t>
                  </w:r>
                </w:p>
              </w:tc>
              <w:tc>
                <w:tcPr>
                  <w:tcW w:w="953" w:type="dxa"/>
                  <w:tcMar>
                    <w:left w:w="108" w:type="dxa"/>
                    <w:right w:w="108" w:type="dxa"/>
                  </w:tcMar>
                  <w:vAlign w:val="center"/>
                </w:tcPr>
                <w:p>
                  <w:pPr>
                    <w:autoSpaceDE w:val="0"/>
                    <w:autoSpaceDN w:val="0"/>
                    <w:adjustRightInd w:val="0"/>
                    <w:snapToGrid w:val="0"/>
                    <w:spacing w:line="320" w:lineRule="exact"/>
                    <w:jc w:val="center"/>
                    <w:rPr>
                      <w:kern w:val="0"/>
                      <w:szCs w:val="21"/>
                    </w:rPr>
                  </w:pPr>
                  <w:r>
                    <w:rPr>
                      <w:rFonts w:cs="宋体"/>
                      <w:bCs/>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8044" w:type="dxa"/>
                  <w:gridSpan w:val="3"/>
                  <w:tcMar>
                    <w:left w:w="108" w:type="dxa"/>
                    <w:right w:w="108" w:type="dxa"/>
                  </w:tcMar>
                  <w:vAlign w:val="center"/>
                </w:tcPr>
                <w:p>
                  <w:pPr>
                    <w:autoSpaceDE w:val="0"/>
                    <w:autoSpaceDN w:val="0"/>
                    <w:adjustRightInd w:val="0"/>
                    <w:snapToGrid w:val="0"/>
                    <w:spacing w:line="320" w:lineRule="exact"/>
                    <w:jc w:val="center"/>
                    <w:rPr>
                      <w:kern w:val="0"/>
                      <w:szCs w:val="21"/>
                    </w:rPr>
                  </w:pPr>
                  <w:r>
                    <w:rPr>
                      <w:rFonts w:hAnsi="黑体" w:eastAsia="黑体"/>
                      <w:szCs w:val="21"/>
                    </w:rPr>
                    <w:t>《</w:t>
                  </w:r>
                  <w:r>
                    <w:rPr>
                      <w:rFonts w:hint="eastAsia" w:hAnsi="黑体" w:eastAsia="黑体"/>
                      <w:szCs w:val="21"/>
                    </w:rPr>
                    <w:t>偃师区</w:t>
                  </w:r>
                  <w:r>
                    <w:rPr>
                      <w:rFonts w:eastAsia="黑体"/>
                      <w:szCs w:val="21"/>
                    </w:rPr>
                    <w:t>2023</w:t>
                  </w:r>
                  <w:r>
                    <w:rPr>
                      <w:rFonts w:hAnsi="黑体" w:eastAsia="黑体"/>
                      <w:szCs w:val="21"/>
                    </w:rPr>
                    <w:t>年碧水保卫战实施方案》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8044" w:type="dxa"/>
                  <w:gridSpan w:val="3"/>
                  <w:tcMar>
                    <w:left w:w="108" w:type="dxa"/>
                    <w:right w:w="108" w:type="dxa"/>
                  </w:tcMar>
                  <w:vAlign w:val="center"/>
                </w:tcPr>
                <w:p>
                  <w:pPr>
                    <w:autoSpaceDE w:val="0"/>
                    <w:autoSpaceDN w:val="0"/>
                    <w:adjustRightInd w:val="0"/>
                    <w:snapToGrid w:val="0"/>
                    <w:spacing w:line="320" w:lineRule="exact"/>
                    <w:rPr>
                      <w:kern w:val="0"/>
                      <w:szCs w:val="21"/>
                    </w:rPr>
                  </w:pPr>
                  <w:r>
                    <w:rPr>
                      <w:rFonts w:hint="eastAsia"/>
                      <w:kern w:val="0"/>
                      <w:szCs w:val="21"/>
                    </w:rPr>
                    <w:t>（六）开展污水资源化利用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108" w:type="dxa"/>
                  <w:tcMar>
                    <w:left w:w="108" w:type="dxa"/>
                    <w:right w:w="108" w:type="dxa"/>
                  </w:tcMar>
                  <w:vAlign w:val="center"/>
                </w:tcPr>
                <w:p>
                  <w:pPr>
                    <w:autoSpaceDE w:val="0"/>
                    <w:autoSpaceDN w:val="0"/>
                    <w:adjustRightInd w:val="0"/>
                    <w:snapToGrid w:val="0"/>
                    <w:spacing w:line="320" w:lineRule="exact"/>
                    <w:rPr>
                      <w:szCs w:val="21"/>
                    </w:rPr>
                  </w:pPr>
                  <w:r>
                    <w:rPr>
                      <w:szCs w:val="21"/>
                    </w:rPr>
                    <w:t>1</w:t>
                  </w:r>
                  <w:r>
                    <w:rPr>
                      <w:rFonts w:hint="eastAsia"/>
                      <w:szCs w:val="21"/>
                    </w:rPr>
                    <w:t>7、</w:t>
                  </w:r>
                  <w:r>
                    <w:rPr>
                      <w:szCs w:val="21"/>
                    </w:rPr>
                    <w:t>实施工业废水循环利用工程。推进企业、工业园区根据内部废水水质特点，围绕过程循环和回用，实施废水循环利用技术改造，完善废水循环利用装备和设施，促进企业间串联用水、分质用水、一水多用和梯级利用，提升企业水重复利用率。新建企业和园区要在规划布局时，统筹供排水、水处理及循环利用设施建设，推动企业间的用水系统集成优化。</w:t>
                  </w:r>
                </w:p>
              </w:tc>
              <w:tc>
                <w:tcPr>
                  <w:tcW w:w="2983" w:type="dxa"/>
                  <w:tcMar>
                    <w:left w:w="108" w:type="dxa"/>
                    <w:right w:w="108" w:type="dxa"/>
                  </w:tcMar>
                  <w:vAlign w:val="center"/>
                </w:tcPr>
                <w:p>
                  <w:pPr>
                    <w:autoSpaceDE w:val="0"/>
                    <w:autoSpaceDN w:val="0"/>
                    <w:adjustRightInd w:val="0"/>
                    <w:snapToGrid w:val="0"/>
                    <w:spacing w:line="320" w:lineRule="exact"/>
                    <w:rPr>
                      <w:szCs w:val="21"/>
                    </w:rPr>
                  </w:pPr>
                  <w:r>
                    <w:rPr>
                      <w:rFonts w:hint="eastAsia"/>
                      <w:szCs w:val="21"/>
                    </w:rPr>
                    <w:t>本项目设备冷却水循环使用，定期更换，用于厂区洒水绿化降尘，不外排。</w:t>
                  </w:r>
                </w:p>
              </w:tc>
              <w:tc>
                <w:tcPr>
                  <w:tcW w:w="953" w:type="dxa"/>
                  <w:tcMar>
                    <w:left w:w="108" w:type="dxa"/>
                    <w:right w:w="108" w:type="dxa"/>
                  </w:tcMar>
                  <w:vAlign w:val="center"/>
                </w:tcPr>
                <w:p>
                  <w:pPr>
                    <w:autoSpaceDE w:val="0"/>
                    <w:autoSpaceDN w:val="0"/>
                    <w:adjustRightInd w:val="0"/>
                    <w:snapToGrid w:val="0"/>
                    <w:spacing w:line="320" w:lineRule="exact"/>
                    <w:jc w:val="center"/>
                    <w:rPr>
                      <w:szCs w:val="21"/>
                    </w:rPr>
                  </w:pPr>
                  <w:r>
                    <w:rPr>
                      <w:rFonts w:hint="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8044" w:type="dxa"/>
                  <w:gridSpan w:val="3"/>
                  <w:tcMar>
                    <w:left w:w="108" w:type="dxa"/>
                    <w:right w:w="108" w:type="dxa"/>
                  </w:tcMar>
                  <w:vAlign w:val="center"/>
                </w:tcPr>
                <w:p>
                  <w:pPr>
                    <w:autoSpaceDE w:val="0"/>
                    <w:autoSpaceDN w:val="0"/>
                    <w:adjustRightInd w:val="0"/>
                    <w:snapToGrid w:val="0"/>
                    <w:spacing w:line="320" w:lineRule="exact"/>
                    <w:jc w:val="center"/>
                    <w:rPr>
                      <w:szCs w:val="21"/>
                    </w:rPr>
                  </w:pPr>
                  <w:r>
                    <w:rPr>
                      <w:rFonts w:hAnsi="黑体" w:eastAsia="黑体"/>
                      <w:szCs w:val="21"/>
                    </w:rPr>
                    <w:t>《</w:t>
                  </w:r>
                  <w:r>
                    <w:rPr>
                      <w:rFonts w:hint="eastAsia" w:hAnsi="黑体" w:eastAsia="黑体"/>
                      <w:szCs w:val="21"/>
                    </w:rPr>
                    <w:t>偃师区</w:t>
                  </w:r>
                  <w:r>
                    <w:rPr>
                      <w:rFonts w:eastAsia="黑体"/>
                      <w:szCs w:val="21"/>
                    </w:rPr>
                    <w:t>2023</w:t>
                  </w:r>
                  <w:r>
                    <w:rPr>
                      <w:rFonts w:hAnsi="黑体" w:eastAsia="黑体"/>
                      <w:szCs w:val="21"/>
                    </w:rPr>
                    <w:t>年</w:t>
                  </w:r>
                  <w:r>
                    <w:rPr>
                      <w:rFonts w:hint="eastAsia" w:hAnsi="黑体" w:eastAsia="黑体"/>
                      <w:szCs w:val="21"/>
                    </w:rPr>
                    <w:t>深入打好</w:t>
                  </w:r>
                  <w:r>
                    <w:rPr>
                      <w:rFonts w:hAnsi="黑体" w:eastAsia="黑体"/>
                      <w:szCs w:val="21"/>
                    </w:rPr>
                    <w:t>净土保卫战实施方案》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8044" w:type="dxa"/>
                  <w:gridSpan w:val="3"/>
                  <w:tcMar>
                    <w:left w:w="108" w:type="dxa"/>
                    <w:right w:w="108" w:type="dxa"/>
                  </w:tcMar>
                  <w:vAlign w:val="center"/>
                </w:tcPr>
                <w:p>
                  <w:pPr>
                    <w:autoSpaceDE w:val="0"/>
                    <w:autoSpaceDN w:val="0"/>
                    <w:adjustRightInd w:val="0"/>
                    <w:snapToGrid w:val="0"/>
                    <w:spacing w:line="320" w:lineRule="exact"/>
                    <w:rPr>
                      <w:szCs w:val="21"/>
                    </w:rPr>
                  </w:pPr>
                  <w:r>
                    <w:rPr>
                      <w:szCs w:val="21"/>
                    </w:rPr>
                    <w:t>（一）加强土壤污染风险管控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108" w:type="dxa"/>
                  <w:tcMar>
                    <w:left w:w="108" w:type="dxa"/>
                    <w:right w:w="108" w:type="dxa"/>
                  </w:tcMar>
                  <w:vAlign w:val="center"/>
                </w:tcPr>
                <w:p>
                  <w:pPr>
                    <w:autoSpaceDE w:val="0"/>
                    <w:autoSpaceDN w:val="0"/>
                    <w:adjustRightInd w:val="0"/>
                    <w:snapToGrid w:val="0"/>
                    <w:spacing w:line="320" w:lineRule="exact"/>
                    <w:rPr>
                      <w:szCs w:val="21"/>
                    </w:rPr>
                  </w:pPr>
                  <w:r>
                    <w:rPr>
                      <w:rFonts w:hint="eastAsia"/>
                      <w:szCs w:val="21"/>
                    </w:rPr>
                    <w:t>5</w:t>
                  </w:r>
                  <w:r>
                    <w:rPr>
                      <w:szCs w:val="21"/>
                    </w:rPr>
                    <w:t>.全面提升固体废物监管能力。持续开展危险废物排查整治，全面提升危险废物环境监管、利用处置和环境风险防范“三个能力”，推动落实危险废物监管和利用处置能力改革。加快健全医疗废物收集转运体系。动态更新涉危险废物企业“四个清单”，有序推进危险废物监管信息化建设，强化危险废物源头管控和收集转运等过程监管。持续开展小微企业危险废物收集和废铅酸蓄电池收集转运试点工作。</w:t>
                  </w:r>
                </w:p>
              </w:tc>
              <w:tc>
                <w:tcPr>
                  <w:tcW w:w="2983" w:type="dxa"/>
                  <w:tcMar>
                    <w:left w:w="108" w:type="dxa"/>
                    <w:right w:w="108" w:type="dxa"/>
                  </w:tcMar>
                  <w:vAlign w:val="center"/>
                </w:tcPr>
                <w:p>
                  <w:pPr>
                    <w:autoSpaceDE w:val="0"/>
                    <w:autoSpaceDN w:val="0"/>
                    <w:adjustRightInd w:val="0"/>
                    <w:snapToGrid w:val="0"/>
                    <w:spacing w:line="320" w:lineRule="exact"/>
                    <w:rPr>
                      <w:szCs w:val="21"/>
                    </w:rPr>
                  </w:pPr>
                  <w:r>
                    <w:rPr>
                      <w:rFonts w:hint="eastAsia"/>
                      <w:szCs w:val="21"/>
                    </w:rPr>
                    <w:t>本项目产生危险废物为废活性炭、废光氧灯管、废润滑油，分类在危废暂存间暂存，交有资质单位处理处置。生产过程中产生的一般固体废料外售综合利用。</w:t>
                  </w:r>
                </w:p>
                <w:p>
                  <w:pPr>
                    <w:autoSpaceDE w:val="0"/>
                    <w:autoSpaceDN w:val="0"/>
                    <w:adjustRightInd w:val="0"/>
                    <w:snapToGrid w:val="0"/>
                    <w:spacing w:line="320" w:lineRule="exact"/>
                    <w:rPr>
                      <w:szCs w:val="21"/>
                    </w:rPr>
                  </w:pPr>
                  <w:r>
                    <w:rPr>
                      <w:rFonts w:hint="eastAsia"/>
                      <w:szCs w:val="21"/>
                    </w:rPr>
                    <w:t>本项目不涉及铅酸电池。</w:t>
                  </w:r>
                </w:p>
              </w:tc>
              <w:tc>
                <w:tcPr>
                  <w:tcW w:w="953" w:type="dxa"/>
                  <w:tcMar>
                    <w:left w:w="108" w:type="dxa"/>
                    <w:right w:w="108" w:type="dxa"/>
                  </w:tcMar>
                  <w:vAlign w:val="center"/>
                </w:tcPr>
                <w:p>
                  <w:pPr>
                    <w:autoSpaceDE w:val="0"/>
                    <w:autoSpaceDN w:val="0"/>
                    <w:adjustRightInd w:val="0"/>
                    <w:snapToGrid w:val="0"/>
                    <w:spacing w:line="320" w:lineRule="exact"/>
                    <w:jc w:val="center"/>
                    <w:rPr>
                      <w:szCs w:val="21"/>
                    </w:rPr>
                  </w:pPr>
                  <w:r>
                    <w:rPr>
                      <w:rFonts w:hint="eastAsia"/>
                      <w:szCs w:val="21"/>
                    </w:rPr>
                    <w:t>相符</w:t>
                  </w:r>
                </w:p>
              </w:tc>
            </w:tr>
          </w:tbl>
          <w:p>
            <w:pPr>
              <w:spacing w:line="360" w:lineRule="auto"/>
              <w:ind w:firstLine="480" w:firstLineChars="200"/>
              <w:rPr>
                <w:sz w:val="24"/>
              </w:rPr>
            </w:pPr>
            <w:r>
              <w:rPr>
                <w:rFonts w:hint="eastAsia"/>
                <w:sz w:val="24"/>
              </w:rPr>
              <w:t>根据上表分析，本项目符合《偃师区2023年蓝天、碧水、净土保卫战实施方案》（偃环委办〔2023〕3号）</w:t>
            </w:r>
            <w:r>
              <w:rPr>
                <w:kern w:val="0"/>
                <w:sz w:val="24"/>
                <w:szCs w:val="22"/>
              </w:rPr>
              <w:t>中相关要求。</w:t>
            </w:r>
          </w:p>
          <w:p>
            <w:pPr>
              <w:spacing w:line="360" w:lineRule="auto"/>
              <w:rPr>
                <w:rFonts w:eastAsiaTheme="majorEastAsia"/>
                <w:b/>
                <w:sz w:val="24"/>
              </w:rPr>
            </w:pPr>
            <w:r>
              <w:rPr>
                <w:rFonts w:hint="eastAsia"/>
                <w:b/>
                <w:sz w:val="24"/>
              </w:rPr>
              <w:t>4</w:t>
            </w:r>
            <w:r>
              <w:rPr>
                <w:rFonts w:eastAsiaTheme="majorEastAsia"/>
                <w:b/>
                <w:sz w:val="24"/>
              </w:rPr>
              <w:t>《偃师区2023年夏季挥发性有机物污染防治实施方案》</w:t>
            </w:r>
            <w:r>
              <w:rPr>
                <w:rFonts w:hint="eastAsia" w:eastAsiaTheme="majorEastAsia"/>
                <w:b/>
                <w:sz w:val="24"/>
              </w:rPr>
              <w:t>（</w:t>
            </w:r>
            <w:r>
              <w:rPr>
                <w:rFonts w:eastAsiaTheme="majorEastAsia"/>
                <w:b/>
                <w:sz w:val="24"/>
              </w:rPr>
              <w:t>偃环委办</w:t>
            </w:r>
            <w:r>
              <w:rPr>
                <w:rFonts w:hint="eastAsia"/>
                <w:b/>
                <w:sz w:val="24"/>
              </w:rPr>
              <w:t>〔2023〕</w:t>
            </w:r>
            <w:r>
              <w:rPr>
                <w:rFonts w:eastAsiaTheme="majorEastAsia"/>
                <w:b/>
                <w:sz w:val="24"/>
              </w:rPr>
              <w:t>5号</w:t>
            </w:r>
            <w:r>
              <w:rPr>
                <w:rFonts w:hint="eastAsia" w:eastAsiaTheme="majorEastAsia"/>
                <w:b/>
                <w:sz w:val="24"/>
              </w:rPr>
              <w:t>）</w:t>
            </w:r>
            <w:r>
              <w:rPr>
                <w:rFonts w:eastAsiaTheme="majorEastAsia"/>
                <w:b/>
                <w:sz w:val="24"/>
              </w:rPr>
              <w:t>相符性分析</w:t>
            </w:r>
          </w:p>
          <w:p>
            <w:pPr>
              <w:widowControl/>
              <w:spacing w:line="360" w:lineRule="auto"/>
              <w:ind w:firstLine="480" w:firstLineChars="200"/>
              <w:rPr>
                <w:sz w:val="24"/>
              </w:rPr>
            </w:pPr>
            <w:r>
              <w:rPr>
                <w:rFonts w:hint="eastAsia"/>
                <w:sz w:val="24"/>
              </w:rPr>
              <w:t>对照</w:t>
            </w:r>
            <w:r>
              <w:rPr>
                <w:rFonts w:eastAsiaTheme="majorEastAsia"/>
                <w:sz w:val="24"/>
              </w:rPr>
              <w:t>《偃师区2023年夏季挥发性有机物污染防治实施方案》</w:t>
            </w:r>
            <w:r>
              <w:rPr>
                <w:rFonts w:hint="eastAsia" w:eastAsiaTheme="majorEastAsia"/>
                <w:sz w:val="24"/>
              </w:rPr>
              <w:t>（</w:t>
            </w:r>
            <w:r>
              <w:rPr>
                <w:rFonts w:eastAsiaTheme="majorEastAsia"/>
                <w:sz w:val="24"/>
              </w:rPr>
              <w:t>偃环委办</w:t>
            </w:r>
            <w:r>
              <w:rPr>
                <w:rFonts w:hint="eastAsia"/>
                <w:sz w:val="24"/>
              </w:rPr>
              <w:t>〔2023〕</w:t>
            </w:r>
            <w:r>
              <w:rPr>
                <w:rFonts w:eastAsiaTheme="majorEastAsia"/>
                <w:sz w:val="24"/>
              </w:rPr>
              <w:t>5号</w:t>
            </w:r>
            <w:r>
              <w:rPr>
                <w:rFonts w:hint="eastAsia" w:eastAsiaTheme="majorEastAsia"/>
                <w:sz w:val="24"/>
              </w:rPr>
              <w:t>）</w:t>
            </w:r>
            <w:r>
              <w:rPr>
                <w:rFonts w:hint="eastAsia"/>
                <w:sz w:val="24"/>
              </w:rPr>
              <w:t>文件相关内容，本项目相符性分析见下表。</w:t>
            </w:r>
          </w:p>
          <w:p>
            <w:pPr>
              <w:pStyle w:val="53"/>
              <w:numPr>
                <w:ilvl w:val="0"/>
                <w:numId w:val="2"/>
              </w:numPr>
              <w:adjustRightInd/>
              <w:snapToGrid/>
              <w:ind w:left="0" w:firstLine="0"/>
              <w:rPr>
                <w:kern w:val="0"/>
              </w:rPr>
            </w:pPr>
            <w:r>
              <w:rPr>
                <w:rFonts w:hint="eastAsia"/>
                <w:kern w:val="0"/>
              </w:rPr>
              <w:t>（</w:t>
            </w:r>
            <w:r>
              <w:rPr>
                <w:kern w:val="0"/>
              </w:rPr>
              <w:t>偃环委办〔202</w:t>
            </w:r>
            <w:r>
              <w:rPr>
                <w:rFonts w:hint="eastAsia"/>
                <w:kern w:val="0"/>
              </w:rPr>
              <w:t>3</w:t>
            </w:r>
            <w:r>
              <w:rPr>
                <w:kern w:val="0"/>
              </w:rPr>
              <w:t>〕5号</w:t>
            </w:r>
            <w:r>
              <w:rPr>
                <w:rFonts w:hint="eastAsia"/>
                <w:kern w:val="0"/>
              </w:rPr>
              <w:t>）</w:t>
            </w:r>
            <w:r>
              <w:rPr>
                <w:kern w:val="0"/>
              </w:rPr>
              <w:t>相符性分析</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10"/>
              <w:gridCol w:w="2381"/>
              <w:gridCol w:w="9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0" w:type="dxa"/>
                  <w:vAlign w:val="center"/>
                </w:tcPr>
                <w:p>
                  <w:pPr>
                    <w:pStyle w:val="80"/>
                    <w:rPr>
                      <w:kern w:val="0"/>
                    </w:rPr>
                  </w:pPr>
                  <w:r>
                    <w:rPr>
                      <w:rFonts w:hint="eastAsia"/>
                      <w:kern w:val="0"/>
                    </w:rPr>
                    <w:t>文件要求内容</w:t>
                  </w:r>
                </w:p>
              </w:tc>
              <w:tc>
                <w:tcPr>
                  <w:tcW w:w="2381" w:type="dxa"/>
                  <w:vAlign w:val="center"/>
                </w:tcPr>
                <w:p>
                  <w:pPr>
                    <w:pStyle w:val="80"/>
                    <w:rPr>
                      <w:kern w:val="0"/>
                    </w:rPr>
                  </w:pPr>
                  <w:r>
                    <w:rPr>
                      <w:rFonts w:hint="eastAsia"/>
                      <w:kern w:val="0"/>
                    </w:rPr>
                    <w:t>本项目</w:t>
                  </w:r>
                </w:p>
              </w:tc>
              <w:tc>
                <w:tcPr>
                  <w:tcW w:w="968" w:type="dxa"/>
                  <w:vAlign w:val="center"/>
                </w:tcPr>
                <w:p>
                  <w:pPr>
                    <w:pStyle w:val="80"/>
                    <w:rPr>
                      <w:kern w:val="0"/>
                    </w:rPr>
                  </w:pPr>
                  <w:r>
                    <w:rPr>
                      <w:kern w:val="0"/>
                    </w:rPr>
                    <w:t>相符性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9" w:type="dxa"/>
                  <w:gridSpan w:val="3"/>
                  <w:vAlign w:val="center"/>
                </w:tcPr>
                <w:p>
                  <w:pPr>
                    <w:pStyle w:val="80"/>
                    <w:adjustRightInd w:val="0"/>
                    <w:snapToGrid w:val="0"/>
                    <w:jc w:val="both"/>
                    <w:rPr>
                      <w:rFonts w:ascii="宋体" w:hAnsi="宋体" w:eastAsia="宋体" w:cs="宋体"/>
                    </w:rPr>
                  </w:pPr>
                  <w:r>
                    <w:rPr>
                      <w:rFonts w:hint="eastAsia" w:ascii="宋体" w:hAnsi="宋体" w:eastAsia="宋体" w:cs="宋体"/>
                    </w:rPr>
                    <w:t>（二）实施源头削减，推进总量减排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0" w:type="dxa"/>
                  <w:vAlign w:val="center"/>
                </w:tcPr>
                <w:p>
                  <w:pPr>
                    <w:pStyle w:val="92"/>
                    <w:snapToGrid w:val="0"/>
                    <w:spacing w:line="320" w:lineRule="exact"/>
                    <w:jc w:val="both"/>
                    <w:rPr>
                      <w:szCs w:val="21"/>
                    </w:rPr>
                  </w:pPr>
                  <w:r>
                    <w:rPr>
                      <w:szCs w:val="21"/>
                    </w:rPr>
                    <w:t>3、推动工业企业源头替代落实。按照“可替尽替、应代尽代”的原则，开展工业涂装、家具制造、包装印刷、钢结构制造、制鞋等行业溶剂型涂料、油墨、胶粘剂、清洗剂使用低VOCs含量原辅材料替代，明确治理任务，动态更新清单台账。</w:t>
                  </w:r>
                  <w:r>
                    <w:rPr>
                      <w:rFonts w:hint="eastAsia"/>
                      <w:szCs w:val="21"/>
                    </w:rPr>
                    <w:t>建立保存期限不少于三年的台账，记录生产原料、辅料的使用量、废弃量、去向及挥发性有机物含量。</w:t>
                  </w:r>
                </w:p>
              </w:tc>
              <w:tc>
                <w:tcPr>
                  <w:tcW w:w="2381" w:type="dxa"/>
                  <w:vAlign w:val="center"/>
                </w:tcPr>
                <w:p>
                  <w:pPr>
                    <w:pStyle w:val="92"/>
                    <w:snapToGrid w:val="0"/>
                    <w:spacing w:line="320" w:lineRule="exact"/>
                    <w:jc w:val="both"/>
                    <w:rPr>
                      <w:szCs w:val="21"/>
                    </w:rPr>
                  </w:pPr>
                  <w:r>
                    <w:rPr>
                      <w:szCs w:val="21"/>
                    </w:rPr>
                    <w:t>本项目属于</w:t>
                  </w:r>
                  <w:r>
                    <w:rPr>
                      <w:rFonts w:hint="eastAsia"/>
                      <w:szCs w:val="21"/>
                    </w:rPr>
                    <w:t>塑料制品项目，不涉及左类行业，不涉及</w:t>
                  </w:r>
                  <w:r>
                    <w:rPr>
                      <w:szCs w:val="21"/>
                    </w:rPr>
                    <w:t>溶剂型涂料、油墨、胶粘剂、清洗剂</w:t>
                  </w:r>
                  <w:r>
                    <w:rPr>
                      <w:rFonts w:hint="eastAsia"/>
                      <w:szCs w:val="21"/>
                    </w:rPr>
                    <w:t>的使用。本项目使用塑料颗粒物新料，建成运营后按要求记录原材料使用台账</w:t>
                  </w:r>
                  <w:r>
                    <w:rPr>
                      <w:szCs w:val="21"/>
                    </w:rPr>
                    <w:t>。</w:t>
                  </w:r>
                </w:p>
              </w:tc>
              <w:tc>
                <w:tcPr>
                  <w:tcW w:w="968" w:type="dxa"/>
                  <w:vAlign w:val="center"/>
                </w:tcPr>
                <w:p>
                  <w:pPr>
                    <w:pStyle w:val="80"/>
                    <w:adjustRightInd w:val="0"/>
                    <w:snapToGrid w:val="0"/>
                    <w:jc w:val="both"/>
                    <w:rPr>
                      <w:rFonts w:ascii="宋体" w:hAnsi="宋体" w:eastAsia="宋体" w:cs="宋体"/>
                    </w:rPr>
                  </w:pPr>
                  <w:r>
                    <w:rPr>
                      <w:rFonts w:hint="eastAsia" w:ascii="宋体" w:hAnsi="宋体" w:eastAsia="宋体" w:cs="宋体"/>
                    </w:rPr>
                    <w:t>相符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9" w:type="dxa"/>
                  <w:gridSpan w:val="3"/>
                  <w:vAlign w:val="center"/>
                </w:tcPr>
                <w:p>
                  <w:pPr>
                    <w:pStyle w:val="92"/>
                    <w:snapToGrid w:val="0"/>
                    <w:spacing w:line="320" w:lineRule="exact"/>
                    <w:jc w:val="both"/>
                    <w:rPr>
                      <w:szCs w:val="21"/>
                    </w:rPr>
                  </w:pPr>
                  <w:r>
                    <w:rPr>
                      <w:szCs w:val="21"/>
                    </w:rPr>
                    <w:t>（三）强化收集效果，减少无组织排放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3" w:hRule="atLeast"/>
                <w:jc w:val="center"/>
              </w:trPr>
              <w:tc>
                <w:tcPr>
                  <w:tcW w:w="4810" w:type="dxa"/>
                  <w:vAlign w:val="center"/>
                </w:tcPr>
                <w:p>
                  <w:pPr>
                    <w:pStyle w:val="92"/>
                    <w:snapToGrid w:val="0"/>
                    <w:spacing w:line="320" w:lineRule="exact"/>
                    <w:jc w:val="both"/>
                    <w:rPr>
                      <w:szCs w:val="21"/>
                    </w:rPr>
                  </w:pPr>
                  <w:r>
                    <w:rPr>
                      <w:rFonts w:hint="eastAsia"/>
                      <w:szCs w:val="21"/>
                    </w:rPr>
                    <w:t>9</w:t>
                  </w:r>
                  <w:r>
                    <w:rPr>
                      <w:szCs w:val="21"/>
                    </w:rPr>
                    <w:t>、提升无组织废气收集效率。遵循“应收尽收、分质收集”的原则，科学设计废气收集系统，提升废气收集效率，尽可能将无组织排放转变为有组织排放进行控制。工业涂装、包装印刷等行业优先采用密闭设备、在密闭空间中操作等方式收集无组织废气，并保持负压运行；采用集气罩、侧吸风等方式收集无组织废气的，距集气罩开口面最远处的控制风速不低于0.3米/秒或按相关行业要求规定执行。</w:t>
                  </w:r>
                </w:p>
              </w:tc>
              <w:tc>
                <w:tcPr>
                  <w:tcW w:w="2381" w:type="dxa"/>
                  <w:vAlign w:val="center"/>
                </w:tcPr>
                <w:p>
                  <w:pPr>
                    <w:widowControl/>
                    <w:adjustRightInd w:val="0"/>
                    <w:snapToGrid w:val="0"/>
                    <w:spacing w:line="320" w:lineRule="exact"/>
                    <w:rPr>
                      <w:kern w:val="0"/>
                      <w:szCs w:val="21"/>
                    </w:rPr>
                  </w:pPr>
                  <w:r>
                    <w:rPr>
                      <w:rFonts w:hint="eastAsia"/>
                      <w:snapToGrid w:val="0"/>
                      <w:szCs w:val="21"/>
                    </w:rPr>
                    <w:t>本项目</w:t>
                  </w:r>
                  <w:r>
                    <w:rPr>
                      <w:rFonts w:hint="eastAsia" w:hAnsi="宋体"/>
                      <w:szCs w:val="21"/>
                    </w:rPr>
                    <w:t>生产原料使用塑料颗粒料新料，</w:t>
                  </w:r>
                  <w:r>
                    <w:rPr>
                      <w:rFonts w:hint="eastAsia"/>
                      <w:snapToGrid w:val="0"/>
                      <w:szCs w:val="21"/>
                    </w:rPr>
                    <w:t>生产线布置在密闭生产车间内，</w:t>
                  </w:r>
                  <w:r>
                    <w:rPr>
                      <w:rFonts w:hint="eastAsia"/>
                      <w:szCs w:val="21"/>
                    </w:rPr>
                    <w:t>产污节点设置集气设施，</w:t>
                  </w:r>
                  <w:r>
                    <w:rPr>
                      <w:kern w:val="0"/>
                      <w:szCs w:val="21"/>
                      <w:lang w:val="zh-CN"/>
                    </w:rPr>
                    <w:t>距废气收集系统排风罩开口面最远处的VOCs无组织排放位置控制风速不低于0.3m/s</w:t>
                  </w:r>
                  <w:r>
                    <w:rPr>
                      <w:rFonts w:hint="eastAsia"/>
                      <w:kern w:val="0"/>
                      <w:szCs w:val="21"/>
                      <w:lang w:val="zh-CN"/>
                    </w:rPr>
                    <w:t>，</w:t>
                  </w:r>
                  <w:r>
                    <w:rPr>
                      <w:rFonts w:hint="eastAsia"/>
                      <w:szCs w:val="21"/>
                    </w:rPr>
                    <w:t>废气经治理后</w:t>
                  </w:r>
                  <w:r>
                    <w:rPr>
                      <w:rFonts w:hint="eastAsia" w:hAnsi="宋体"/>
                      <w:szCs w:val="21"/>
                    </w:rPr>
                    <w:t>VOCs排放满足</w:t>
                  </w:r>
                  <w:r>
                    <w:rPr>
                      <w:rFonts w:hint="eastAsia"/>
                      <w:szCs w:val="21"/>
                    </w:rPr>
                    <w:t>《合成树脂工业污染物排放标准》（GB31572-2015）特别排放限值</w:t>
                  </w:r>
                  <w:r>
                    <w:rPr>
                      <w:rFonts w:hint="eastAsia" w:hAnsi="宋体"/>
                      <w:szCs w:val="21"/>
                    </w:rPr>
                    <w:t>要求。</w:t>
                  </w:r>
                </w:p>
              </w:tc>
              <w:tc>
                <w:tcPr>
                  <w:tcW w:w="968" w:type="dxa"/>
                  <w:vAlign w:val="center"/>
                </w:tcPr>
                <w:p>
                  <w:pPr>
                    <w:pStyle w:val="75"/>
                    <w:adjustRightInd w:val="0"/>
                    <w:spacing w:line="320" w:lineRule="exact"/>
                    <w:rPr>
                      <w:rFonts w:ascii="宋体" w:hAnsi="宋体"/>
                      <w:szCs w:val="21"/>
                    </w:rPr>
                  </w:pPr>
                  <w:r>
                    <w:rPr>
                      <w:rFonts w:hint="eastAsia" w:ascii="宋体" w:hAnsi="宋体"/>
                      <w:szCs w:val="21"/>
                    </w:rPr>
                    <w:t>相符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9" w:type="dxa"/>
                  <w:gridSpan w:val="3"/>
                  <w:vAlign w:val="center"/>
                </w:tcPr>
                <w:p>
                  <w:pPr>
                    <w:pStyle w:val="92"/>
                    <w:snapToGrid w:val="0"/>
                    <w:spacing w:line="320" w:lineRule="exact"/>
                    <w:jc w:val="both"/>
                    <w:rPr>
                      <w:szCs w:val="21"/>
                    </w:rPr>
                  </w:pPr>
                  <w:r>
                    <w:rPr>
                      <w:szCs w:val="21"/>
                    </w:rPr>
                    <w:t>（四）提升治理水平，全面达标排放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0" w:type="dxa"/>
                  <w:vAlign w:val="center"/>
                </w:tcPr>
                <w:p>
                  <w:pPr>
                    <w:pStyle w:val="92"/>
                    <w:snapToGrid w:val="0"/>
                    <w:spacing w:line="320" w:lineRule="exact"/>
                    <w:jc w:val="both"/>
                    <w:rPr>
                      <w:szCs w:val="21"/>
                    </w:rPr>
                  </w:pPr>
                  <w:r>
                    <w:rPr>
                      <w:rFonts w:hint="eastAsia"/>
                      <w:szCs w:val="21"/>
                    </w:rPr>
                    <w:t>10、</w:t>
                  </w:r>
                  <w:r>
                    <w:rPr>
                      <w:szCs w:val="21"/>
                    </w:rPr>
                    <w:t>取缔简易低效治理设施。在5月底前组织VOCs治理设施运行情况专项排放，重点关注单一低温等离子、光氧化、光催化以及非水溶性VOCs废气单一喷淋吸收等简易低效治理且无法稳定达标的设施，实施全面清理整治，指导企业依据废气浓度、组分、风量以及生产工况等选用适宜治理技术，加快推进升级改造，确保废气污染物稳定达标。</w:t>
                  </w:r>
                </w:p>
              </w:tc>
              <w:tc>
                <w:tcPr>
                  <w:tcW w:w="2381" w:type="dxa"/>
                  <w:vAlign w:val="center"/>
                </w:tcPr>
                <w:p>
                  <w:pPr>
                    <w:pStyle w:val="92"/>
                    <w:snapToGrid w:val="0"/>
                    <w:spacing w:line="320" w:lineRule="exact"/>
                    <w:jc w:val="both"/>
                    <w:rPr>
                      <w:szCs w:val="21"/>
                    </w:rPr>
                  </w:pPr>
                  <w:r>
                    <w:rPr>
                      <w:szCs w:val="21"/>
                    </w:rPr>
                    <w:t>本项目生产设备均位于密闭生产车间内，</w:t>
                  </w:r>
                  <w:r>
                    <w:rPr>
                      <w:rFonts w:hint="eastAsia"/>
                      <w:szCs w:val="21"/>
                    </w:rPr>
                    <w:t>产生的有机废气经收集，采用“光氧催化+活性炭吸附装置”处理后，达标排放。</w:t>
                  </w:r>
                </w:p>
              </w:tc>
              <w:tc>
                <w:tcPr>
                  <w:tcW w:w="968" w:type="dxa"/>
                  <w:vAlign w:val="center"/>
                </w:tcPr>
                <w:p>
                  <w:pPr>
                    <w:pStyle w:val="75"/>
                    <w:adjustRightInd w:val="0"/>
                    <w:spacing w:line="320" w:lineRule="exact"/>
                    <w:rPr>
                      <w:rFonts w:ascii="宋体" w:hAnsi="宋体"/>
                      <w:szCs w:val="21"/>
                    </w:rPr>
                  </w:pPr>
                  <w:r>
                    <w:rPr>
                      <w:rFonts w:hint="eastAsia" w:ascii="宋体" w:hAnsi="宋体"/>
                      <w:szCs w:val="21"/>
                    </w:rPr>
                    <w:t>相符</w:t>
                  </w:r>
                </w:p>
              </w:tc>
            </w:tr>
          </w:tbl>
          <w:p>
            <w:pPr>
              <w:spacing w:line="360" w:lineRule="auto"/>
              <w:ind w:firstLine="480" w:firstLineChars="200"/>
              <w:rPr>
                <w:bCs/>
                <w:sz w:val="24"/>
              </w:rPr>
            </w:pPr>
            <w:r>
              <w:rPr>
                <w:sz w:val="24"/>
              </w:rPr>
              <w:t>根据上表分析，</w:t>
            </w:r>
            <w:r>
              <w:rPr>
                <w:rFonts w:hint="eastAsia"/>
                <w:bCs/>
                <w:sz w:val="24"/>
              </w:rPr>
              <w:t>本项目</w:t>
            </w:r>
            <w:r>
              <w:rPr>
                <w:bCs/>
                <w:sz w:val="24"/>
              </w:rPr>
              <w:t>符合</w:t>
            </w:r>
            <w:r>
              <w:rPr>
                <w:rFonts w:hint="eastAsia"/>
                <w:kern w:val="0"/>
                <w:sz w:val="24"/>
              </w:rPr>
              <w:t>《偃师区2023年夏季挥发性有机物污染防治实施方案》（偃环委办</w:t>
            </w:r>
            <w:r>
              <w:rPr>
                <w:rFonts w:hint="eastAsia"/>
                <w:sz w:val="24"/>
              </w:rPr>
              <w:t>〔2023〕</w:t>
            </w:r>
            <w:r>
              <w:rPr>
                <w:rFonts w:hint="eastAsia"/>
                <w:kern w:val="0"/>
                <w:sz w:val="24"/>
              </w:rPr>
              <w:t>5号）</w:t>
            </w:r>
            <w:r>
              <w:rPr>
                <w:rFonts w:hint="eastAsia"/>
                <w:bCs/>
                <w:sz w:val="24"/>
              </w:rPr>
              <w:t>文件</w:t>
            </w:r>
            <w:r>
              <w:rPr>
                <w:bCs/>
                <w:sz w:val="24"/>
              </w:rPr>
              <w:t>相关要求。</w:t>
            </w:r>
          </w:p>
          <w:p>
            <w:pPr>
              <w:widowControl/>
              <w:spacing w:line="360" w:lineRule="auto"/>
            </w:pPr>
            <w:r>
              <w:rPr>
                <w:rFonts w:hint="eastAsia"/>
                <w:b/>
                <w:sz w:val="24"/>
              </w:rPr>
              <w:t>5《黄河生态保护治理攻坚战行动方案》（环综合〔2022〕51号）相符性分析</w:t>
            </w:r>
          </w:p>
          <w:p>
            <w:pPr>
              <w:widowControl/>
              <w:spacing w:line="360" w:lineRule="auto"/>
              <w:ind w:firstLine="480" w:firstLineChars="200"/>
              <w:rPr>
                <w:sz w:val="24"/>
              </w:rPr>
            </w:pPr>
            <w:r>
              <w:rPr>
                <w:rFonts w:hint="eastAsia"/>
                <w:sz w:val="24"/>
              </w:rPr>
              <w:t>对照《黄河生态保护治理攻坚战行动方案》（环综合〔2022〕51号）文件相关内容，本项目相符性分析见下表。</w:t>
            </w:r>
          </w:p>
          <w:p>
            <w:pPr>
              <w:pStyle w:val="53"/>
              <w:numPr>
                <w:ilvl w:val="0"/>
                <w:numId w:val="2"/>
              </w:numPr>
              <w:ind w:left="0" w:firstLine="0"/>
            </w:pPr>
            <w:r>
              <w:rPr>
                <w:rFonts w:hint="eastAsia"/>
              </w:rPr>
              <w:t>（环综合〔2022〕51号）相符性分析</w:t>
            </w:r>
          </w:p>
          <w:tbl>
            <w:tblPr>
              <w:tblStyle w:val="28"/>
              <w:tblW w:w="5000" w:type="pct"/>
              <w:jc w:val="center"/>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5680"/>
              <w:gridCol w:w="1439"/>
              <w:gridCol w:w="929"/>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80" w:type="dxa"/>
                  <w:vAlign w:val="center"/>
                </w:tcPr>
                <w:p>
                  <w:pPr>
                    <w:pStyle w:val="80"/>
                  </w:pPr>
                  <w:r>
                    <w:rPr>
                      <w:rFonts w:hint="eastAsia"/>
                    </w:rPr>
                    <w:t>（环综合〔2022〕51号）相关要求</w:t>
                  </w:r>
                </w:p>
              </w:tc>
              <w:tc>
                <w:tcPr>
                  <w:tcW w:w="1439" w:type="dxa"/>
                  <w:vAlign w:val="center"/>
                </w:tcPr>
                <w:p>
                  <w:pPr>
                    <w:pStyle w:val="80"/>
                  </w:pPr>
                  <w:r>
                    <w:rPr>
                      <w:rFonts w:hint="eastAsia"/>
                    </w:rPr>
                    <w:t>本相目</w:t>
                  </w:r>
                </w:p>
              </w:tc>
              <w:tc>
                <w:tcPr>
                  <w:tcW w:w="929" w:type="dxa"/>
                  <w:vAlign w:val="center"/>
                </w:tcPr>
                <w:p>
                  <w:pPr>
                    <w:pStyle w:val="80"/>
                  </w:pPr>
                  <w:r>
                    <w:rPr>
                      <w:rFonts w:hint="eastAsia"/>
                    </w:rPr>
                    <w:t>相符性</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8" w:type="dxa"/>
                  <w:gridSpan w:val="3"/>
                  <w:vAlign w:val="center"/>
                </w:tcPr>
                <w:p>
                  <w:pPr>
                    <w:pStyle w:val="93"/>
                    <w:adjustRightInd w:val="0"/>
                    <w:snapToGrid w:val="0"/>
                    <w:jc w:val="left"/>
                  </w:pPr>
                  <w:r>
                    <w:rPr>
                      <w:rFonts w:hint="eastAsia"/>
                    </w:rPr>
                    <w:t>二、主要任务（二）减污降碳协同增效行动</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80" w:type="dxa"/>
                  <w:vAlign w:val="center"/>
                </w:tcPr>
                <w:p>
                  <w:pPr>
                    <w:pStyle w:val="93"/>
                    <w:adjustRightInd w:val="0"/>
                    <w:snapToGrid w:val="0"/>
                    <w:jc w:val="both"/>
                  </w:pPr>
                  <w:r>
                    <w:rPr>
                      <w:rFonts w:hint="eastAsia"/>
                    </w:rPr>
                    <w:t>强化生态环境分区管控。落实生态保护红线、环境质量底线、资源利用上线硬约束，充分衔接国土空间规划和用途管制要求，因地制宜建立差别化生态环境准入清单，加快推进“三线一单”（生态保护红线、环境质量底线、资源利用上线和生态环境准入清单）成果应用。严格规划环评审查、节能审查、节水评价和项目环评准入，严控严管新增高污染、高耗能、高排放、高耗水企业。严控钢铁、煤化工、石化、有色金属等行业规模，依法依规淘汰落后产能和化解过剩产能。禁止在黄河干支流岸线一定范围内新建、扩建化工园区和化工项目。严禁“挖湖造景”等不合理用水需求。</w:t>
                  </w:r>
                </w:p>
              </w:tc>
              <w:tc>
                <w:tcPr>
                  <w:tcW w:w="1439" w:type="dxa"/>
                  <w:vAlign w:val="center"/>
                </w:tcPr>
                <w:p>
                  <w:pPr>
                    <w:pStyle w:val="93"/>
                    <w:adjustRightInd w:val="0"/>
                    <w:snapToGrid w:val="0"/>
                    <w:jc w:val="both"/>
                    <w:rPr>
                      <w:highlight w:val="yellow"/>
                    </w:rPr>
                  </w:pPr>
                  <w:r>
                    <w:rPr>
                      <w:rFonts w:hint="eastAsia"/>
                    </w:rPr>
                    <w:t>本项目为塑料制品项目，不属于“两高一资”项目；本项目选址符合“三线一单”要求。</w:t>
                  </w:r>
                </w:p>
              </w:tc>
              <w:tc>
                <w:tcPr>
                  <w:tcW w:w="929" w:type="dxa"/>
                  <w:vAlign w:val="center"/>
                </w:tcPr>
                <w:p>
                  <w:pPr>
                    <w:pStyle w:val="93"/>
                    <w:adjustRightInd w:val="0"/>
                    <w:snapToGrid w:val="0"/>
                  </w:pPr>
                  <w:r>
                    <w:rPr>
                      <w:rFonts w:hint="eastAsia"/>
                    </w:rPr>
                    <w:t>相符</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80" w:type="dxa"/>
                  <w:vAlign w:val="center"/>
                </w:tcPr>
                <w:p>
                  <w:pPr>
                    <w:pStyle w:val="93"/>
                    <w:adjustRightInd w:val="0"/>
                    <w:snapToGrid w:val="0"/>
                    <w:jc w:val="both"/>
                  </w:pPr>
                  <w:r>
                    <w:rPr>
                      <w:rFonts w:hint="eastAsia"/>
                    </w:rPr>
                    <w:t>加快工业企业清洁生产和污染治理。推动构建以排污许可制为核心的固定污染源监管制度体系，开展排污许可提质增效工作。推动钢铁、焦化、化工、有色金属、造纸、印染、原料药制造、农副食品加工等重点行业实施清洁生产改造，开展自愿性清洁生产评价和认证，严格实施“双超双有高耗能”企业强制性清洁生产审核。鼓励有条件的地区开展行业、园区和产业集群整体审核试点。推动化工企业迁入合规园区，新建化工、有色金属、原料药制造等企业，应布局在符合产业定位和准入要求的合规园区，工业园区应按规定建成污水集中处理设施，依法安装自动在线监控装置并与生态环境主管部门联网。推进沿黄省区工业园区水污染整治。到2025年，沿黄工业园区全部建成污水集中处理设施并稳定达标排放。加快推进工业污废水全收集、全处理，严格煤矿等行业高浓盐水管理，推动实现工业废水稳定达标排放。严控工业废水未经处理或未有效处理直接排入城镇污水处理系统，严厉打击向河湖、沙漠、湿地、地下水等偷排、直排行为。</w:t>
                  </w:r>
                </w:p>
              </w:tc>
              <w:tc>
                <w:tcPr>
                  <w:tcW w:w="1439" w:type="dxa"/>
                  <w:vAlign w:val="center"/>
                </w:tcPr>
                <w:p>
                  <w:pPr>
                    <w:pStyle w:val="93"/>
                    <w:adjustRightInd w:val="0"/>
                    <w:snapToGrid w:val="0"/>
                    <w:jc w:val="both"/>
                  </w:pPr>
                  <w:r>
                    <w:rPr>
                      <w:rFonts w:hint="eastAsia"/>
                    </w:rPr>
                    <w:t>本项目不属于左列行业；本项目</w:t>
                  </w:r>
                  <w:r>
                    <w:rPr>
                      <w:rFonts w:hint="eastAsia"/>
                      <w:szCs w:val="21"/>
                    </w:rPr>
                    <w:t>设备冷却水循环使用，定期更换，用于厂区洒水绿化降尘，不外排。</w:t>
                  </w:r>
                  <w:r>
                    <w:rPr>
                      <w:rFonts w:hint="eastAsia"/>
                      <w:kern w:val="0"/>
                      <w:szCs w:val="21"/>
                    </w:rPr>
                    <w:t>生活用水依托厂区现有污水处理设施，处理后用于厂区绿化，远期排入偃师区第二污水处理厂</w:t>
                  </w:r>
                  <w:r>
                    <w:rPr>
                      <w:kern w:val="0"/>
                      <w:szCs w:val="21"/>
                    </w:rPr>
                    <w:t>。</w:t>
                  </w:r>
                </w:p>
              </w:tc>
              <w:tc>
                <w:tcPr>
                  <w:tcW w:w="929" w:type="dxa"/>
                  <w:vAlign w:val="center"/>
                </w:tcPr>
                <w:p>
                  <w:pPr>
                    <w:pStyle w:val="93"/>
                    <w:adjustRightInd w:val="0"/>
                    <w:snapToGrid w:val="0"/>
                  </w:pPr>
                  <w:r>
                    <w:rPr>
                      <w:rFonts w:hint="eastAsia"/>
                    </w:rPr>
                    <w:t>相符</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80" w:type="dxa"/>
                  <w:vAlign w:val="center"/>
                </w:tcPr>
                <w:p>
                  <w:pPr>
                    <w:pStyle w:val="93"/>
                    <w:adjustRightInd w:val="0"/>
                    <w:snapToGrid w:val="0"/>
                    <w:jc w:val="both"/>
                  </w:pPr>
                  <w:r>
                    <w:rPr>
                      <w:rFonts w:hint="eastAsia"/>
                    </w:rPr>
                    <w:t>强化固体废物协同控制与污染防治。选择一批“无废城市”开展协同增效试点，在固体废物处置全过程中协同推进碳减排。建设固体废物跨区域回收利用示范基地，推动区域固体废物集中利用处置能力共享。持续推进流域“清废行动”，加快推进沿黄省区干支流固体废物倾倒排查整治工作，全面整治固体废物非法堆存。推动省域内危险废物处置能力与产废情况总体匹配，鼓励主要产业基地根据需要配套建设危险废物集中利用处置设施，支持有条件的地区建设区域性特殊危险废物集中处置中心。加快完善医疗废物收集转运处置体系，推动地级及以上城市医疗废物集中处置设施建设，健全县域医疗废物收集转运处置体系，补齐医疗废物收集处理设施短板。</w:t>
                  </w:r>
                </w:p>
              </w:tc>
              <w:tc>
                <w:tcPr>
                  <w:tcW w:w="1439" w:type="dxa"/>
                  <w:vAlign w:val="center"/>
                </w:tcPr>
                <w:p>
                  <w:pPr>
                    <w:pStyle w:val="93"/>
                    <w:adjustRightInd w:val="0"/>
                    <w:snapToGrid w:val="0"/>
                    <w:jc w:val="both"/>
                    <w:rPr>
                      <w:highlight w:val="yellow"/>
                    </w:rPr>
                  </w:pPr>
                  <w:r>
                    <w:rPr>
                      <w:rFonts w:hint="eastAsia"/>
                    </w:rPr>
                    <w:t>本项目危险废物在危废暂存间内暂存后委托有资质单位处置。</w:t>
                  </w:r>
                </w:p>
              </w:tc>
              <w:tc>
                <w:tcPr>
                  <w:tcW w:w="929" w:type="dxa"/>
                  <w:vAlign w:val="center"/>
                </w:tcPr>
                <w:p>
                  <w:pPr>
                    <w:pStyle w:val="93"/>
                    <w:adjustRightInd w:val="0"/>
                    <w:snapToGrid w:val="0"/>
                  </w:pPr>
                  <w:r>
                    <w:rPr>
                      <w:rFonts w:hint="eastAsia"/>
                    </w:rPr>
                    <w:t>相符</w:t>
                  </w:r>
                </w:p>
              </w:tc>
            </w:tr>
          </w:tbl>
          <w:p>
            <w:pPr>
              <w:adjustRightInd w:val="0"/>
              <w:snapToGrid w:val="0"/>
              <w:spacing w:line="360" w:lineRule="auto"/>
              <w:ind w:firstLine="480" w:firstLineChars="200"/>
              <w:rPr>
                <w:rFonts w:hAnsi="宋体"/>
                <w:sz w:val="24"/>
              </w:rPr>
            </w:pPr>
            <w:r>
              <w:rPr>
                <w:rFonts w:hint="eastAsia" w:hAnsi="宋体"/>
                <w:sz w:val="24"/>
              </w:rPr>
              <w:t>根据以上分析，本项目符合《黄河生态保护治理攻坚战行动方案》（环综合〔2022〕51号）</w:t>
            </w:r>
            <w:r>
              <w:rPr>
                <w:rFonts w:hint="eastAsia"/>
                <w:sz w:val="24"/>
              </w:rPr>
              <w:t>文件</w:t>
            </w:r>
            <w:r>
              <w:rPr>
                <w:rFonts w:hint="eastAsia" w:hAnsi="宋体"/>
                <w:sz w:val="24"/>
              </w:rPr>
              <w:t>相关要求。</w:t>
            </w:r>
          </w:p>
          <w:p>
            <w:pPr>
              <w:widowControl/>
              <w:spacing w:line="360" w:lineRule="auto"/>
              <w:rPr>
                <w:b/>
                <w:sz w:val="24"/>
              </w:rPr>
            </w:pPr>
            <w:r>
              <w:rPr>
                <w:rFonts w:hint="eastAsia"/>
                <w:b/>
                <w:sz w:val="24"/>
              </w:rPr>
              <w:t>6</w:t>
            </w:r>
            <w:r>
              <w:rPr>
                <w:b/>
                <w:sz w:val="24"/>
              </w:rPr>
              <w:t>《河南省重污染天气重点行业应急减排措施制定技术指南（2021年修订版）》相符性分析</w:t>
            </w:r>
          </w:p>
          <w:p>
            <w:pPr>
              <w:spacing w:line="360" w:lineRule="auto"/>
              <w:ind w:firstLine="480" w:firstLineChars="200"/>
              <w:rPr>
                <w:sz w:val="24"/>
              </w:rPr>
            </w:pPr>
            <w:r>
              <w:rPr>
                <w:rFonts w:hint="eastAsia"/>
                <w:sz w:val="24"/>
              </w:rPr>
              <w:t>本项目属于塑料制品行业，经查《国民经济行业分类》（GB/T4754-2017，国家标准第1号修改单），属于</w:t>
            </w:r>
            <w:r>
              <w:rPr>
                <w:rFonts w:hint="eastAsia"/>
                <w:kern w:val="28"/>
                <w:sz w:val="24"/>
              </w:rPr>
              <w:t>C2923</w:t>
            </w:r>
            <w:r>
              <w:rPr>
                <w:rFonts w:hint="eastAsia"/>
                <w:kern w:val="0"/>
                <w:sz w:val="24"/>
              </w:rPr>
              <w:t>塑料丝、绳及编制品制造</w:t>
            </w:r>
            <w:r>
              <w:rPr>
                <w:rFonts w:hint="eastAsia"/>
                <w:sz w:val="24"/>
              </w:rPr>
              <w:t>。对照</w:t>
            </w:r>
            <w:r>
              <w:rPr>
                <w:sz w:val="24"/>
              </w:rPr>
              <w:t>《河南省生态环境厅关于做好2021年重点行业绩效分级和重污染天气应急减排清单修订工作的通知》（豫环文〔2021〕94号）附件1《河南省重污染天气重点行业应急减排措施制定技术指南（2021年修订版）》中</w:t>
            </w:r>
            <w:r>
              <w:rPr>
                <w:rFonts w:hint="eastAsia"/>
                <w:sz w:val="24"/>
              </w:rPr>
              <w:t>“</w:t>
            </w:r>
            <w:r>
              <w:rPr>
                <w:sz w:val="24"/>
              </w:rPr>
              <w:t>六、塑料制品</w:t>
            </w:r>
            <w:r>
              <w:rPr>
                <w:rFonts w:hint="eastAsia"/>
                <w:sz w:val="24"/>
              </w:rPr>
              <w:t>业”绩效分级A级企业指标，分析如下。</w:t>
            </w:r>
          </w:p>
          <w:p>
            <w:pPr>
              <w:pStyle w:val="53"/>
              <w:numPr>
                <w:ilvl w:val="0"/>
                <w:numId w:val="2"/>
              </w:numPr>
              <w:adjustRightInd/>
              <w:snapToGrid/>
              <w:ind w:left="0" w:firstLine="0"/>
              <w:rPr>
                <w:kern w:val="0"/>
              </w:rPr>
            </w:pPr>
            <w:r>
              <w:t>（豫环文〔2021〕94号）</w:t>
            </w:r>
            <w:r>
              <w:rPr>
                <w:kern w:val="0"/>
              </w:rPr>
              <w:t>相符性</w:t>
            </w:r>
            <w:r>
              <w:rPr>
                <w:rFonts w:hint="eastAsia"/>
                <w:kern w:val="0"/>
              </w:rPr>
              <w:t>分析</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97"/>
              <w:gridCol w:w="499"/>
              <w:gridCol w:w="3983"/>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996" w:type="dxa"/>
                  <w:gridSpan w:val="2"/>
                  <w:shd w:val="clear" w:color="auto" w:fill="FFFFFF"/>
                  <w:tcMar>
                    <w:left w:w="108" w:type="dxa"/>
                    <w:right w:w="108" w:type="dxa"/>
                  </w:tcMar>
                  <w:vAlign w:val="center"/>
                </w:tcPr>
                <w:p>
                  <w:pPr>
                    <w:pStyle w:val="80"/>
                  </w:pPr>
                  <w:r>
                    <w:t>差异化指标</w:t>
                  </w:r>
                </w:p>
              </w:tc>
              <w:tc>
                <w:tcPr>
                  <w:tcW w:w="3983" w:type="dxa"/>
                  <w:shd w:val="clear" w:color="auto" w:fill="FFFFFF"/>
                  <w:tcMar>
                    <w:left w:w="108" w:type="dxa"/>
                    <w:right w:w="108" w:type="dxa"/>
                  </w:tcMar>
                  <w:vAlign w:val="center"/>
                </w:tcPr>
                <w:p>
                  <w:pPr>
                    <w:pStyle w:val="80"/>
                  </w:pPr>
                  <w:r>
                    <w:t>塑料制品业A级绩效指标要求</w:t>
                  </w:r>
                </w:p>
              </w:tc>
              <w:tc>
                <w:tcPr>
                  <w:tcW w:w="3065" w:type="dxa"/>
                  <w:shd w:val="clear" w:color="auto" w:fill="FFFFFF"/>
                  <w:tcMar>
                    <w:left w:w="108" w:type="dxa"/>
                    <w:right w:w="108" w:type="dxa"/>
                  </w:tcMar>
                  <w:vAlign w:val="center"/>
                </w:tcPr>
                <w:p>
                  <w:pPr>
                    <w:pStyle w:val="80"/>
                  </w:pPr>
                  <w:r>
                    <w:t>企业对标情况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996" w:type="dxa"/>
                  <w:gridSpan w:val="2"/>
                  <w:shd w:val="clear" w:color="auto" w:fill="FFFFFF"/>
                  <w:tcMar>
                    <w:left w:w="108" w:type="dxa"/>
                    <w:right w:w="108" w:type="dxa"/>
                  </w:tcMar>
                  <w:vAlign w:val="center"/>
                </w:tcPr>
                <w:p>
                  <w:pPr>
                    <w:pStyle w:val="54"/>
                    <w:spacing w:line="320" w:lineRule="exact"/>
                  </w:pPr>
                  <w:r>
                    <w:t>原料、能源类型</w:t>
                  </w:r>
                </w:p>
              </w:tc>
              <w:tc>
                <w:tcPr>
                  <w:tcW w:w="3983" w:type="dxa"/>
                  <w:shd w:val="clear" w:color="auto" w:fill="FFFFFF"/>
                  <w:tcMar>
                    <w:left w:w="108" w:type="dxa"/>
                    <w:right w:w="108" w:type="dxa"/>
                  </w:tcMar>
                  <w:vAlign w:val="center"/>
                </w:tcPr>
                <w:p>
                  <w:pPr>
                    <w:spacing w:line="320" w:lineRule="exact"/>
                    <w:rPr>
                      <w:szCs w:val="21"/>
                    </w:rPr>
                  </w:pPr>
                  <w:r>
                    <w:rPr>
                      <w:rStyle w:val="70"/>
                      <w:rFonts w:hint="default" w:ascii="Times New Roman" w:hAnsi="Times New Roman"/>
                      <w:color w:val="auto"/>
                      <w:sz w:val="21"/>
                      <w:szCs w:val="21"/>
                    </w:rPr>
                    <w:t>1.</w:t>
                  </w:r>
                  <w:r>
                    <w:rPr>
                      <w:rStyle w:val="71"/>
                      <w:rFonts w:ascii="Times New Roman"/>
                      <w:color w:val="auto"/>
                      <w:sz w:val="21"/>
                      <w:szCs w:val="21"/>
                    </w:rPr>
                    <w:t>原料全部使用非再生料（即使用原包料，非废旧塑料）；</w:t>
                  </w:r>
                </w:p>
                <w:p>
                  <w:pPr>
                    <w:spacing w:line="320" w:lineRule="exact"/>
                    <w:rPr>
                      <w:szCs w:val="21"/>
                    </w:rPr>
                  </w:pPr>
                  <w:r>
                    <w:rPr>
                      <w:rStyle w:val="70"/>
                      <w:rFonts w:hint="default" w:ascii="Times New Roman" w:hAnsi="Times New Roman"/>
                      <w:color w:val="auto"/>
                      <w:sz w:val="21"/>
                      <w:szCs w:val="21"/>
                    </w:rPr>
                    <w:t>2.</w:t>
                  </w:r>
                  <w:r>
                    <w:rPr>
                      <w:rStyle w:val="71"/>
                      <w:rFonts w:ascii="Times New Roman"/>
                      <w:color w:val="auto"/>
                      <w:sz w:val="21"/>
                      <w:szCs w:val="21"/>
                    </w:rPr>
                    <w:t>能源使用电、天然气、液化石油气等能源。</w:t>
                  </w:r>
                </w:p>
              </w:tc>
              <w:tc>
                <w:tcPr>
                  <w:tcW w:w="3065" w:type="dxa"/>
                  <w:shd w:val="clear" w:color="auto" w:fill="FFFFFF"/>
                  <w:tcMar>
                    <w:left w:w="108" w:type="dxa"/>
                    <w:right w:w="108" w:type="dxa"/>
                  </w:tcMar>
                  <w:vAlign w:val="center"/>
                </w:tcPr>
                <w:p>
                  <w:pPr>
                    <w:pStyle w:val="58"/>
                    <w:spacing w:line="320" w:lineRule="exact"/>
                    <w:jc w:val="both"/>
                    <w:rPr>
                      <w:rStyle w:val="71"/>
                      <w:rFonts w:ascii="Times New Roman" w:hAnsi="Times New Roman"/>
                      <w:color w:val="auto"/>
                      <w:sz w:val="21"/>
                      <w:szCs w:val="21"/>
                    </w:rPr>
                  </w:pPr>
                  <w:r>
                    <w:rPr>
                      <w:lang w:bidi="zh-CN"/>
                    </w:rPr>
                    <w:t>1.使用新料，不使用</w:t>
                  </w:r>
                  <w:r>
                    <w:rPr>
                      <w:rStyle w:val="71"/>
                      <w:rFonts w:ascii="Times New Roman"/>
                      <w:color w:val="auto"/>
                      <w:sz w:val="21"/>
                      <w:szCs w:val="21"/>
                    </w:rPr>
                    <w:t>废旧塑料；</w:t>
                  </w:r>
                </w:p>
                <w:p>
                  <w:pPr>
                    <w:spacing w:line="320" w:lineRule="exact"/>
                  </w:pPr>
                  <w:r>
                    <w:t>2.能源使用电能。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996" w:type="dxa"/>
                  <w:gridSpan w:val="2"/>
                  <w:shd w:val="clear" w:color="auto" w:fill="FFFFFF"/>
                  <w:tcMar>
                    <w:left w:w="108" w:type="dxa"/>
                    <w:right w:w="108" w:type="dxa"/>
                  </w:tcMar>
                  <w:vAlign w:val="center"/>
                </w:tcPr>
                <w:p>
                  <w:pPr>
                    <w:pStyle w:val="54"/>
                    <w:spacing w:line="320" w:lineRule="exact"/>
                  </w:pPr>
                  <w:r>
                    <w:t>生产工艺及装备水平</w:t>
                  </w:r>
                </w:p>
              </w:tc>
              <w:tc>
                <w:tcPr>
                  <w:tcW w:w="3983" w:type="dxa"/>
                  <w:shd w:val="clear" w:color="auto" w:fill="FFFFFF"/>
                  <w:tcMar>
                    <w:left w:w="108" w:type="dxa"/>
                    <w:right w:w="108" w:type="dxa"/>
                  </w:tcMar>
                  <w:vAlign w:val="center"/>
                </w:tcPr>
                <w:p>
                  <w:pPr>
                    <w:spacing w:line="320" w:lineRule="exact"/>
                    <w:rPr>
                      <w:rStyle w:val="71"/>
                      <w:rFonts w:ascii="Times New Roman" w:hAnsi="Times New Roman"/>
                      <w:color w:val="auto"/>
                      <w:sz w:val="21"/>
                      <w:szCs w:val="21"/>
                    </w:rPr>
                  </w:pPr>
                  <w:r>
                    <w:rPr>
                      <w:rStyle w:val="70"/>
                      <w:rFonts w:hint="default" w:ascii="Times New Roman" w:hAnsi="Times New Roman"/>
                      <w:color w:val="auto"/>
                      <w:sz w:val="21"/>
                      <w:szCs w:val="21"/>
                    </w:rPr>
                    <w:t>1.</w:t>
                  </w:r>
                  <w:r>
                    <w:rPr>
                      <w:rStyle w:val="71"/>
                      <w:rFonts w:ascii="Times New Roman"/>
                      <w:color w:val="auto"/>
                      <w:sz w:val="21"/>
                      <w:szCs w:val="21"/>
                    </w:rPr>
                    <w:t>属于《产业结构调整指导目录（</w:t>
                  </w:r>
                  <w:r>
                    <w:rPr>
                      <w:rStyle w:val="70"/>
                      <w:rFonts w:hint="default" w:ascii="Times New Roman" w:hAnsi="Times New Roman"/>
                      <w:color w:val="auto"/>
                      <w:sz w:val="21"/>
                      <w:szCs w:val="21"/>
                    </w:rPr>
                    <w:t>2019</w:t>
                  </w:r>
                  <w:r>
                    <w:rPr>
                      <w:rStyle w:val="71"/>
                      <w:rFonts w:ascii="Times New Roman"/>
                      <w:color w:val="auto"/>
                      <w:sz w:val="21"/>
                      <w:szCs w:val="21"/>
                    </w:rPr>
                    <w:t>年版）》鼓励类和允许类；</w:t>
                  </w:r>
                </w:p>
                <w:p>
                  <w:pPr>
                    <w:spacing w:line="320" w:lineRule="exact"/>
                    <w:rPr>
                      <w:rStyle w:val="71"/>
                      <w:rFonts w:ascii="Times New Roman" w:hAnsi="Times New Roman"/>
                      <w:color w:val="auto"/>
                      <w:sz w:val="21"/>
                      <w:szCs w:val="21"/>
                    </w:rPr>
                  </w:pPr>
                  <w:r>
                    <w:rPr>
                      <w:rStyle w:val="70"/>
                      <w:rFonts w:hint="default" w:ascii="Times New Roman" w:hAnsi="Times New Roman"/>
                      <w:color w:val="auto"/>
                      <w:sz w:val="21"/>
                      <w:szCs w:val="21"/>
                    </w:rPr>
                    <w:t>2.</w:t>
                  </w:r>
                  <w:r>
                    <w:rPr>
                      <w:rStyle w:val="71"/>
                      <w:rFonts w:ascii="Times New Roman"/>
                      <w:color w:val="auto"/>
                      <w:sz w:val="21"/>
                      <w:szCs w:val="21"/>
                    </w:rPr>
                    <w:t>符合相关行业产业政策；</w:t>
                  </w:r>
                </w:p>
                <w:p>
                  <w:pPr>
                    <w:spacing w:line="320" w:lineRule="exact"/>
                    <w:rPr>
                      <w:rStyle w:val="71"/>
                      <w:rFonts w:ascii="Times New Roman" w:hAnsi="Times New Roman"/>
                      <w:color w:val="auto"/>
                      <w:sz w:val="21"/>
                      <w:szCs w:val="21"/>
                    </w:rPr>
                  </w:pPr>
                  <w:r>
                    <w:rPr>
                      <w:rStyle w:val="70"/>
                      <w:rFonts w:hint="default" w:ascii="Times New Roman" w:hAnsi="Times New Roman"/>
                      <w:color w:val="auto"/>
                      <w:sz w:val="21"/>
                      <w:szCs w:val="21"/>
                    </w:rPr>
                    <w:t>3.</w:t>
                  </w:r>
                  <w:r>
                    <w:rPr>
                      <w:rStyle w:val="71"/>
                      <w:rFonts w:ascii="Times New Roman"/>
                      <w:color w:val="auto"/>
                      <w:sz w:val="21"/>
                      <w:szCs w:val="21"/>
                    </w:rPr>
                    <w:t>符合河南省相关政策要求；</w:t>
                  </w:r>
                </w:p>
                <w:p>
                  <w:pPr>
                    <w:spacing w:line="320" w:lineRule="exact"/>
                    <w:rPr>
                      <w:rStyle w:val="70"/>
                      <w:rFonts w:hint="default" w:ascii="Times New Roman" w:hAnsi="Times New Roman" w:eastAsia="宋体"/>
                      <w:color w:val="auto"/>
                      <w:sz w:val="21"/>
                      <w:szCs w:val="21"/>
                    </w:rPr>
                  </w:pPr>
                  <w:r>
                    <w:rPr>
                      <w:rStyle w:val="70"/>
                      <w:rFonts w:hint="default" w:ascii="Times New Roman" w:hAnsi="Times New Roman"/>
                      <w:color w:val="auto"/>
                      <w:sz w:val="21"/>
                      <w:szCs w:val="21"/>
                    </w:rPr>
                    <w:t>4.</w:t>
                  </w:r>
                  <w:r>
                    <w:rPr>
                      <w:rStyle w:val="71"/>
                      <w:rFonts w:ascii="Times New Roman"/>
                      <w:color w:val="auto"/>
                      <w:sz w:val="21"/>
                      <w:szCs w:val="21"/>
                    </w:rPr>
                    <w:t>符合市级规划。</w:t>
                  </w:r>
                </w:p>
              </w:tc>
              <w:tc>
                <w:tcPr>
                  <w:tcW w:w="3065" w:type="dxa"/>
                  <w:shd w:val="clear" w:color="auto" w:fill="FFFFFF"/>
                  <w:tcMar>
                    <w:left w:w="108" w:type="dxa"/>
                    <w:right w:w="108" w:type="dxa"/>
                  </w:tcMar>
                  <w:vAlign w:val="center"/>
                </w:tcPr>
                <w:p>
                  <w:pPr>
                    <w:pStyle w:val="58"/>
                    <w:spacing w:line="320" w:lineRule="exact"/>
                    <w:jc w:val="both"/>
                    <w:rPr>
                      <w:rStyle w:val="71"/>
                      <w:rFonts w:ascii="Times New Roman" w:hAnsi="Times New Roman"/>
                      <w:color w:val="auto"/>
                      <w:sz w:val="21"/>
                      <w:szCs w:val="21"/>
                    </w:rPr>
                  </w:pPr>
                  <w:r>
                    <w:rPr>
                      <w:lang w:bidi="zh-CN"/>
                    </w:rPr>
                    <w:t>1.属于</w:t>
                  </w:r>
                  <w:r>
                    <w:rPr>
                      <w:rStyle w:val="71"/>
                      <w:rFonts w:ascii="Times New Roman"/>
                      <w:color w:val="auto"/>
                      <w:sz w:val="21"/>
                      <w:szCs w:val="21"/>
                    </w:rPr>
                    <w:t>《产业结构调整指导目录（</w:t>
                  </w:r>
                  <w:r>
                    <w:rPr>
                      <w:rStyle w:val="70"/>
                      <w:rFonts w:hint="default" w:ascii="Times New Roman" w:hAnsi="Times New Roman"/>
                      <w:color w:val="auto"/>
                      <w:sz w:val="21"/>
                      <w:szCs w:val="21"/>
                    </w:rPr>
                    <w:t>2019</w:t>
                  </w:r>
                  <w:r>
                    <w:rPr>
                      <w:rStyle w:val="71"/>
                      <w:rFonts w:ascii="Times New Roman"/>
                      <w:color w:val="auto"/>
                      <w:sz w:val="21"/>
                      <w:szCs w:val="21"/>
                    </w:rPr>
                    <w:t>年版）》</w:t>
                  </w:r>
                  <w:r>
                    <w:rPr>
                      <w:rStyle w:val="71"/>
                      <w:rFonts w:hint="eastAsia" w:ascii="Times New Roman"/>
                      <w:color w:val="auto"/>
                      <w:sz w:val="21"/>
                      <w:szCs w:val="21"/>
                    </w:rPr>
                    <w:t>（</w:t>
                  </w:r>
                  <w:r>
                    <w:rPr>
                      <w:rFonts w:hint="eastAsia"/>
                      <w:bCs/>
                      <w:sz w:val="24"/>
                    </w:rPr>
                    <w:t>（</w:t>
                  </w:r>
                  <w:r>
                    <w:rPr>
                      <w:rFonts w:hint="eastAsia"/>
                      <w:bCs/>
                      <w:szCs w:val="21"/>
                    </w:rPr>
                    <w:t>2021年修订版</w:t>
                  </w:r>
                  <w:r>
                    <w:rPr>
                      <w:rStyle w:val="71"/>
                      <w:rFonts w:hint="eastAsia" w:ascii="Times New Roman"/>
                      <w:color w:val="auto"/>
                      <w:sz w:val="21"/>
                      <w:szCs w:val="21"/>
                    </w:rPr>
                    <w:t>）</w:t>
                  </w:r>
                  <w:r>
                    <w:rPr>
                      <w:rStyle w:val="71"/>
                      <w:rFonts w:ascii="Times New Roman"/>
                      <w:color w:val="auto"/>
                      <w:sz w:val="21"/>
                      <w:szCs w:val="21"/>
                    </w:rPr>
                    <w:t>允许类；</w:t>
                  </w:r>
                </w:p>
                <w:p>
                  <w:pPr>
                    <w:spacing w:line="320" w:lineRule="exact"/>
                    <w:rPr>
                      <w:szCs w:val="21"/>
                    </w:rPr>
                  </w:pPr>
                  <w:r>
                    <w:rPr>
                      <w:szCs w:val="21"/>
                    </w:rPr>
                    <w:t>2.符合洛阳市“三线一单”</w:t>
                  </w:r>
                  <w:r>
                    <w:rPr>
                      <w:kern w:val="0"/>
                      <w:szCs w:val="21"/>
                    </w:rPr>
                    <w:t>生态环境分区管控要求，符合</w:t>
                  </w:r>
                  <w:r>
                    <w:rPr>
                      <w:kern w:val="44"/>
                      <w:szCs w:val="21"/>
                    </w:rPr>
                    <w:t>偃师区管控单元生态环境准入清单</w:t>
                  </w:r>
                  <w:r>
                    <w:rPr>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trPr>
              <w:tc>
                <w:tcPr>
                  <w:tcW w:w="996" w:type="dxa"/>
                  <w:gridSpan w:val="2"/>
                  <w:shd w:val="clear" w:color="auto" w:fill="FFFFFF"/>
                  <w:tcMar>
                    <w:left w:w="108" w:type="dxa"/>
                    <w:right w:w="108" w:type="dxa"/>
                  </w:tcMar>
                  <w:vAlign w:val="center"/>
                </w:tcPr>
                <w:p>
                  <w:pPr>
                    <w:pStyle w:val="54"/>
                    <w:spacing w:line="320" w:lineRule="exact"/>
                  </w:pPr>
                  <w:r>
                    <w:t>废气收集及处理工艺</w:t>
                  </w:r>
                </w:p>
              </w:tc>
              <w:tc>
                <w:tcPr>
                  <w:tcW w:w="3983" w:type="dxa"/>
                  <w:shd w:val="clear" w:color="auto" w:fill="FFFFFF"/>
                  <w:tcMar>
                    <w:left w:w="108" w:type="dxa"/>
                    <w:right w:w="108" w:type="dxa"/>
                  </w:tcMar>
                  <w:vAlign w:val="center"/>
                </w:tcPr>
                <w:p>
                  <w:pPr>
                    <w:spacing w:line="320" w:lineRule="exact"/>
                    <w:rPr>
                      <w:szCs w:val="21"/>
                    </w:rPr>
                  </w:pPr>
                  <w:r>
                    <w:rPr>
                      <w:rStyle w:val="70"/>
                      <w:rFonts w:hint="default" w:ascii="Times New Roman" w:hAnsi="Times New Roman"/>
                      <w:color w:val="auto"/>
                      <w:sz w:val="21"/>
                      <w:szCs w:val="21"/>
                    </w:rPr>
                    <w:t>1.</w:t>
                  </w:r>
                  <w:r>
                    <w:rPr>
                      <w:rStyle w:val="71"/>
                      <w:rFonts w:ascii="Times New Roman"/>
                      <w:color w:val="auto"/>
                      <w:sz w:val="21"/>
                      <w:szCs w:val="21"/>
                    </w:rPr>
                    <w:t>投料、挤塑、注塑、滚塑、吹塑、压延、挤出、造粒、热定型、冷却、发泡、熟化、干燥等涉</w:t>
                  </w:r>
                  <w:r>
                    <w:rPr>
                      <w:rStyle w:val="70"/>
                      <w:rFonts w:hint="default" w:ascii="Times New Roman" w:hAnsi="Times New Roman"/>
                      <w:color w:val="auto"/>
                      <w:sz w:val="21"/>
                      <w:szCs w:val="21"/>
                    </w:rPr>
                    <w:t>VOCs</w:t>
                  </w:r>
                  <w:r>
                    <w:rPr>
                      <w:rStyle w:val="71"/>
                      <w:rFonts w:ascii="Times New Roman"/>
                      <w:color w:val="auto"/>
                      <w:sz w:val="21"/>
                      <w:szCs w:val="21"/>
                    </w:rPr>
                    <w:t>工序采用密闭设备或在密闭空间内操作，废气有效收集至</w:t>
                  </w:r>
                  <w:r>
                    <w:rPr>
                      <w:rStyle w:val="70"/>
                      <w:rFonts w:hint="default" w:ascii="Times New Roman" w:hAnsi="Times New Roman"/>
                      <w:color w:val="auto"/>
                      <w:sz w:val="21"/>
                      <w:szCs w:val="21"/>
                    </w:rPr>
                    <w:t>VOCs</w:t>
                  </w:r>
                  <w:r>
                    <w:rPr>
                      <w:rStyle w:val="71"/>
                      <w:rFonts w:ascii="Times New Roman"/>
                      <w:color w:val="auto"/>
                      <w:sz w:val="21"/>
                      <w:szCs w:val="21"/>
                    </w:rPr>
                    <w:t>废气处理系统，车间外无异味；采用局部集气罩的，距集气罩开口面最远处的</w:t>
                  </w:r>
                  <w:r>
                    <w:rPr>
                      <w:rStyle w:val="70"/>
                      <w:rFonts w:hint="default" w:ascii="Times New Roman" w:hAnsi="Times New Roman"/>
                      <w:color w:val="auto"/>
                      <w:sz w:val="21"/>
                      <w:szCs w:val="21"/>
                    </w:rPr>
                    <w:t>VOCs</w:t>
                  </w:r>
                  <w:r>
                    <w:rPr>
                      <w:rStyle w:val="71"/>
                      <w:rFonts w:ascii="Times New Roman"/>
                      <w:color w:val="auto"/>
                      <w:sz w:val="21"/>
                      <w:szCs w:val="21"/>
                    </w:rPr>
                    <w:t>无组织排放位置，控制风速不低于</w:t>
                  </w:r>
                  <w:r>
                    <w:rPr>
                      <w:rStyle w:val="70"/>
                      <w:rFonts w:hint="default" w:ascii="Times New Roman" w:hAnsi="Times New Roman"/>
                      <w:color w:val="auto"/>
                      <w:sz w:val="21"/>
                      <w:szCs w:val="21"/>
                    </w:rPr>
                    <w:t>0.3</w:t>
                  </w:r>
                  <w:r>
                    <w:rPr>
                      <w:rStyle w:val="71"/>
                      <w:rFonts w:ascii="Times New Roman"/>
                      <w:color w:val="auto"/>
                      <w:sz w:val="21"/>
                      <w:szCs w:val="21"/>
                    </w:rPr>
                    <w:t>米</w:t>
                  </w:r>
                  <w:r>
                    <w:rPr>
                      <w:rStyle w:val="70"/>
                      <w:rFonts w:hint="default" w:ascii="Times New Roman" w:hAnsi="Times New Roman"/>
                      <w:color w:val="auto"/>
                      <w:sz w:val="21"/>
                      <w:szCs w:val="21"/>
                    </w:rPr>
                    <w:t>/</w:t>
                  </w:r>
                  <w:r>
                    <w:rPr>
                      <w:rStyle w:val="71"/>
                      <w:rFonts w:ascii="Times New Roman"/>
                      <w:color w:val="auto"/>
                      <w:sz w:val="21"/>
                      <w:szCs w:val="21"/>
                    </w:rPr>
                    <w:t>秒；</w:t>
                  </w:r>
                </w:p>
                <w:p>
                  <w:pPr>
                    <w:spacing w:line="320" w:lineRule="exact"/>
                    <w:rPr>
                      <w:szCs w:val="21"/>
                    </w:rPr>
                  </w:pPr>
                  <w:r>
                    <w:rPr>
                      <w:rStyle w:val="70"/>
                      <w:rFonts w:hint="default" w:ascii="Times New Roman" w:hAnsi="Times New Roman"/>
                      <w:color w:val="auto"/>
                      <w:sz w:val="21"/>
                      <w:szCs w:val="21"/>
                    </w:rPr>
                    <w:t>2.VOCs</w:t>
                  </w:r>
                  <w:r>
                    <w:rPr>
                      <w:rStyle w:val="71"/>
                      <w:rFonts w:ascii="Times New Roman"/>
                      <w:color w:val="auto"/>
                      <w:sz w:val="21"/>
                      <w:szCs w:val="21"/>
                    </w:rPr>
                    <w:t>治理采用燃烧工艺（包括直接燃烧、催化燃烧和蓄热燃烧），或静电、吸附、低温等离子、生物法等两级及以上组合工艺处理（采用一次性活性炭吸附的，活性炭碘值在</w:t>
                  </w:r>
                  <w:r>
                    <w:rPr>
                      <w:rStyle w:val="70"/>
                      <w:rFonts w:hint="default" w:ascii="Times New Roman" w:hAnsi="Times New Roman"/>
                      <w:color w:val="auto"/>
                      <w:sz w:val="21"/>
                      <w:szCs w:val="21"/>
                    </w:rPr>
                    <w:t>800mg/g</w:t>
                  </w:r>
                  <w:r>
                    <w:rPr>
                      <w:rStyle w:val="71"/>
                      <w:rFonts w:ascii="Times New Roman"/>
                      <w:color w:val="auto"/>
                      <w:sz w:val="21"/>
                      <w:szCs w:val="21"/>
                    </w:rPr>
                    <w:t>及以上）；</w:t>
                  </w:r>
                </w:p>
                <w:p>
                  <w:pPr>
                    <w:spacing w:line="320" w:lineRule="exact"/>
                    <w:rPr>
                      <w:szCs w:val="21"/>
                    </w:rPr>
                  </w:pPr>
                  <w:r>
                    <w:rPr>
                      <w:rStyle w:val="70"/>
                      <w:rFonts w:hint="default" w:ascii="Times New Roman" w:hAnsi="Times New Roman"/>
                      <w:color w:val="auto"/>
                      <w:sz w:val="21"/>
                      <w:szCs w:val="21"/>
                    </w:rPr>
                    <w:t>3.</w:t>
                  </w:r>
                  <w:r>
                    <w:rPr>
                      <w:rStyle w:val="71"/>
                      <w:rFonts w:ascii="Times New Roman"/>
                      <w:color w:val="auto"/>
                      <w:sz w:val="21"/>
                      <w:szCs w:val="21"/>
                    </w:rPr>
                    <w:t>粉状、粒状物料采用自动投料器投加和配混，投加和混配工序</w:t>
                  </w:r>
                  <w:r>
                    <w:rPr>
                      <w:rStyle w:val="70"/>
                      <w:rFonts w:hint="default" w:ascii="Times New Roman" w:hAnsi="宋体" w:eastAsia="宋体"/>
                      <w:color w:val="auto"/>
                      <w:sz w:val="21"/>
                      <w:szCs w:val="21"/>
                    </w:rPr>
                    <w:t>在封闭车间内进行，</w:t>
                  </w:r>
                  <w:r>
                    <w:rPr>
                      <w:rStyle w:val="72"/>
                      <w:rFonts w:hint="default" w:ascii="Times New Roman" w:hAnsi="Times New Roman"/>
                      <w:color w:val="auto"/>
                      <w:sz w:val="21"/>
                      <w:szCs w:val="21"/>
                    </w:rPr>
                    <w:t>PM</w:t>
                  </w:r>
                  <w:r>
                    <w:rPr>
                      <w:rStyle w:val="70"/>
                      <w:rFonts w:hint="default" w:ascii="Times New Roman" w:hAnsi="宋体" w:eastAsia="宋体"/>
                      <w:color w:val="auto"/>
                      <w:sz w:val="21"/>
                      <w:szCs w:val="21"/>
                    </w:rPr>
                    <w:t>有效收集，采用覆膜滤袋、滤筒等高效除尘技术；</w:t>
                  </w:r>
                </w:p>
                <w:p>
                  <w:pPr>
                    <w:spacing w:line="320" w:lineRule="exact"/>
                    <w:rPr>
                      <w:szCs w:val="21"/>
                    </w:rPr>
                  </w:pPr>
                  <w:r>
                    <w:rPr>
                      <w:rStyle w:val="72"/>
                      <w:rFonts w:hint="default" w:ascii="Times New Roman" w:hAnsi="Times New Roman"/>
                      <w:color w:val="auto"/>
                      <w:sz w:val="21"/>
                      <w:szCs w:val="21"/>
                    </w:rPr>
                    <w:t>4.</w:t>
                  </w:r>
                  <w:r>
                    <w:rPr>
                      <w:rStyle w:val="70"/>
                      <w:rFonts w:hint="default" w:ascii="Times New Roman" w:hAnsi="宋体" w:eastAsia="宋体"/>
                      <w:color w:val="auto"/>
                      <w:sz w:val="21"/>
                      <w:szCs w:val="21"/>
                    </w:rPr>
                    <w:t>废吸附剂应密闭的包装袋或容器储存、转运，并建立储存、处置台账；</w:t>
                  </w:r>
                </w:p>
                <w:p>
                  <w:pPr>
                    <w:spacing w:line="320" w:lineRule="exact"/>
                    <w:rPr>
                      <w:szCs w:val="21"/>
                    </w:rPr>
                  </w:pPr>
                  <w:r>
                    <w:rPr>
                      <w:rStyle w:val="72"/>
                      <w:rFonts w:hint="default" w:ascii="Times New Roman" w:hAnsi="Times New Roman"/>
                      <w:color w:val="auto"/>
                      <w:sz w:val="21"/>
                      <w:szCs w:val="21"/>
                    </w:rPr>
                    <w:t>5.NOx</w:t>
                  </w:r>
                  <w:r>
                    <w:rPr>
                      <w:rStyle w:val="70"/>
                      <w:rFonts w:hint="default" w:ascii="Times New Roman" w:hAnsi="宋体" w:eastAsia="宋体"/>
                      <w:color w:val="auto"/>
                      <w:sz w:val="21"/>
                      <w:szCs w:val="21"/>
                    </w:rPr>
                    <w:t>治理采用低氮燃烧、</w:t>
                  </w:r>
                  <w:r>
                    <w:rPr>
                      <w:rStyle w:val="72"/>
                      <w:rFonts w:hint="default" w:ascii="Times New Roman" w:hAnsi="Times New Roman"/>
                      <w:color w:val="auto"/>
                      <w:sz w:val="21"/>
                      <w:szCs w:val="21"/>
                    </w:rPr>
                    <w:t xml:space="preserve">SNCR/SCR </w:t>
                  </w:r>
                  <w:r>
                    <w:rPr>
                      <w:rStyle w:val="70"/>
                      <w:rFonts w:hint="default" w:ascii="Times New Roman" w:hAnsi="宋体" w:eastAsia="宋体"/>
                      <w:color w:val="auto"/>
                      <w:sz w:val="21"/>
                      <w:szCs w:val="21"/>
                    </w:rPr>
                    <w:t>等适宜技术。</w:t>
                  </w:r>
                </w:p>
              </w:tc>
              <w:tc>
                <w:tcPr>
                  <w:tcW w:w="3065" w:type="dxa"/>
                  <w:shd w:val="clear" w:color="auto" w:fill="FFFFFF"/>
                  <w:tcMar>
                    <w:left w:w="108" w:type="dxa"/>
                    <w:right w:w="108" w:type="dxa"/>
                  </w:tcMar>
                  <w:vAlign w:val="center"/>
                </w:tcPr>
                <w:p>
                  <w:pPr>
                    <w:spacing w:line="320" w:lineRule="exact"/>
                    <w:rPr>
                      <w:szCs w:val="21"/>
                      <w:lang w:bidi="zh-CN"/>
                    </w:rPr>
                  </w:pPr>
                  <w:r>
                    <w:rPr>
                      <w:szCs w:val="21"/>
                      <w:lang w:bidi="zh-CN"/>
                    </w:rPr>
                    <w:t>1.生产原料为塑料颗粒新料，生产工艺涉及</w:t>
                  </w:r>
                  <w:r>
                    <w:rPr>
                      <w:rStyle w:val="70"/>
                      <w:rFonts w:hint="default" w:ascii="Times New Roman" w:hAnsi="Times New Roman" w:eastAsia="宋体"/>
                      <w:color w:val="auto"/>
                      <w:sz w:val="21"/>
                      <w:szCs w:val="21"/>
                    </w:rPr>
                    <w:t>VOCs</w:t>
                  </w:r>
                  <w:r>
                    <w:rPr>
                      <w:rStyle w:val="71"/>
                      <w:rFonts w:ascii="Times New Roman" w:hAnsi="Times New Roman"/>
                      <w:color w:val="auto"/>
                      <w:sz w:val="21"/>
                      <w:szCs w:val="21"/>
                    </w:rPr>
                    <w:t>工序</w:t>
                  </w:r>
                  <w:r>
                    <w:rPr>
                      <w:szCs w:val="21"/>
                      <w:lang w:bidi="zh-CN"/>
                    </w:rPr>
                    <w:t>为</w:t>
                  </w:r>
                  <w:r>
                    <w:rPr>
                      <w:rFonts w:hint="eastAsia"/>
                      <w:szCs w:val="21"/>
                      <w:lang w:bidi="zh-CN"/>
                    </w:rPr>
                    <w:t>塑料原料-拉丝、烘干、覆膜</w:t>
                  </w:r>
                  <w:r>
                    <w:rPr>
                      <w:szCs w:val="21"/>
                      <w:lang w:bidi="zh-CN"/>
                    </w:rPr>
                    <w:t>，生产线设置在封闭生产车间内，</w:t>
                  </w:r>
                  <w:r>
                    <w:rPr>
                      <w:rFonts w:hint="eastAsia"/>
                      <w:szCs w:val="21"/>
                      <w:lang w:bidi="zh-CN"/>
                    </w:rPr>
                    <w:t>拉丝机、覆膜机产污点位设集气罩</w:t>
                  </w:r>
                  <w:r>
                    <w:rPr>
                      <w:kern w:val="0"/>
                      <w:szCs w:val="21"/>
                    </w:rPr>
                    <w:t>，</w:t>
                  </w:r>
                  <w:r>
                    <w:rPr>
                      <w:rStyle w:val="71"/>
                      <w:rFonts w:ascii="Times New Roman" w:hAnsi="Times New Roman"/>
                      <w:color w:val="auto"/>
                      <w:sz w:val="21"/>
                      <w:szCs w:val="21"/>
                    </w:rPr>
                    <w:t>距集气罩开口面最远处的</w:t>
                  </w:r>
                  <w:r>
                    <w:rPr>
                      <w:rStyle w:val="70"/>
                      <w:rFonts w:hint="default" w:ascii="Times New Roman" w:hAnsi="Times New Roman" w:eastAsia="宋体"/>
                      <w:color w:val="auto"/>
                      <w:sz w:val="21"/>
                      <w:szCs w:val="21"/>
                    </w:rPr>
                    <w:t>VOCs</w:t>
                  </w:r>
                  <w:r>
                    <w:rPr>
                      <w:rStyle w:val="71"/>
                      <w:rFonts w:ascii="Times New Roman" w:hAnsi="Times New Roman"/>
                      <w:color w:val="auto"/>
                      <w:sz w:val="21"/>
                      <w:szCs w:val="21"/>
                    </w:rPr>
                    <w:t>无组织排放位置，控制风速不低于</w:t>
                  </w:r>
                  <w:r>
                    <w:rPr>
                      <w:rStyle w:val="70"/>
                      <w:rFonts w:hint="default" w:ascii="Times New Roman" w:hAnsi="Times New Roman" w:eastAsia="宋体"/>
                      <w:color w:val="auto"/>
                      <w:sz w:val="21"/>
                      <w:szCs w:val="21"/>
                    </w:rPr>
                    <w:t>0.3</w:t>
                  </w:r>
                  <w:r>
                    <w:rPr>
                      <w:rStyle w:val="71"/>
                      <w:rFonts w:ascii="Times New Roman" w:hAnsi="Times New Roman"/>
                      <w:color w:val="auto"/>
                      <w:sz w:val="21"/>
                      <w:szCs w:val="21"/>
                    </w:rPr>
                    <w:t>米</w:t>
                  </w:r>
                  <w:r>
                    <w:rPr>
                      <w:rStyle w:val="70"/>
                      <w:rFonts w:hint="default" w:ascii="Times New Roman" w:hAnsi="Times New Roman" w:eastAsia="宋体"/>
                      <w:color w:val="auto"/>
                      <w:sz w:val="21"/>
                      <w:szCs w:val="21"/>
                    </w:rPr>
                    <w:t>/</w:t>
                  </w:r>
                  <w:r>
                    <w:rPr>
                      <w:rStyle w:val="71"/>
                      <w:rFonts w:ascii="Times New Roman" w:hAnsi="Times New Roman"/>
                      <w:color w:val="auto"/>
                      <w:sz w:val="21"/>
                      <w:szCs w:val="21"/>
                    </w:rPr>
                    <w:t>秒；</w:t>
                  </w:r>
                </w:p>
                <w:p>
                  <w:pPr>
                    <w:pStyle w:val="58"/>
                    <w:spacing w:line="320" w:lineRule="exact"/>
                    <w:jc w:val="both"/>
                    <w:rPr>
                      <w:szCs w:val="21"/>
                    </w:rPr>
                  </w:pPr>
                  <w:r>
                    <w:rPr>
                      <w:szCs w:val="21"/>
                      <w:lang w:bidi="zh-CN"/>
                    </w:rPr>
                    <w:t>2.</w:t>
                  </w:r>
                  <w:r>
                    <w:rPr>
                      <w:rStyle w:val="70"/>
                      <w:rFonts w:hint="default" w:ascii="Times New Roman" w:hAnsi="Times New Roman" w:eastAsia="宋体"/>
                      <w:color w:val="auto"/>
                      <w:sz w:val="21"/>
                      <w:szCs w:val="21"/>
                    </w:rPr>
                    <w:t>VOCs</w:t>
                  </w:r>
                  <w:r>
                    <w:rPr>
                      <w:rStyle w:val="71"/>
                      <w:rFonts w:ascii="Times New Roman" w:hAnsi="Times New Roman"/>
                      <w:color w:val="auto"/>
                      <w:sz w:val="21"/>
                      <w:szCs w:val="21"/>
                    </w:rPr>
                    <w:t>治理采用“</w:t>
                  </w:r>
                  <w:r>
                    <w:rPr>
                      <w:rStyle w:val="71"/>
                      <w:rFonts w:hint="eastAsia" w:ascii="Times New Roman" w:hAnsi="Times New Roman"/>
                      <w:color w:val="auto"/>
                      <w:sz w:val="21"/>
                      <w:szCs w:val="21"/>
                    </w:rPr>
                    <w:t>光氧催化+活性炭吸附装置</w:t>
                  </w:r>
                  <w:r>
                    <w:rPr>
                      <w:rStyle w:val="71"/>
                      <w:rFonts w:ascii="Times New Roman" w:hAnsi="Times New Roman"/>
                      <w:color w:val="auto"/>
                      <w:sz w:val="21"/>
                      <w:szCs w:val="21"/>
                    </w:rPr>
                    <w:t>”处理，</w:t>
                  </w:r>
                  <w:r>
                    <w:rPr>
                      <w:rStyle w:val="71"/>
                      <w:rFonts w:ascii="Times New Roman"/>
                      <w:color w:val="auto"/>
                      <w:sz w:val="21"/>
                      <w:szCs w:val="21"/>
                    </w:rPr>
                    <w:t>活性炭</w:t>
                  </w:r>
                  <w:r>
                    <w:rPr>
                      <w:rStyle w:val="71"/>
                      <w:rFonts w:hint="eastAsia" w:ascii="Times New Roman"/>
                      <w:color w:val="auto"/>
                      <w:sz w:val="21"/>
                      <w:szCs w:val="21"/>
                    </w:rPr>
                    <w:t>选用</w:t>
                  </w:r>
                  <w:r>
                    <w:rPr>
                      <w:rStyle w:val="71"/>
                      <w:rFonts w:ascii="Times New Roman"/>
                      <w:color w:val="auto"/>
                      <w:sz w:val="21"/>
                      <w:szCs w:val="21"/>
                    </w:rPr>
                    <w:t>碘值</w:t>
                  </w:r>
                  <w:r>
                    <w:rPr>
                      <w:rStyle w:val="70"/>
                      <w:rFonts w:hint="default" w:ascii="Times New Roman" w:hAnsi="Times New Roman"/>
                      <w:color w:val="auto"/>
                      <w:sz w:val="21"/>
                      <w:szCs w:val="21"/>
                    </w:rPr>
                    <w:t>800mg/g</w:t>
                  </w:r>
                  <w:r>
                    <w:rPr>
                      <w:rStyle w:val="71"/>
                      <w:rFonts w:ascii="Times New Roman"/>
                      <w:color w:val="auto"/>
                      <w:sz w:val="21"/>
                      <w:szCs w:val="21"/>
                    </w:rPr>
                    <w:t>及以上</w:t>
                  </w:r>
                  <w:r>
                    <w:rPr>
                      <w:rFonts w:hint="eastAsia"/>
                      <w:szCs w:val="21"/>
                    </w:rPr>
                    <w:t>；</w:t>
                  </w:r>
                </w:p>
                <w:p>
                  <w:pPr>
                    <w:spacing w:line="320" w:lineRule="exact"/>
                    <w:rPr>
                      <w:szCs w:val="21"/>
                      <w:u w:val="single"/>
                    </w:rPr>
                  </w:pPr>
                  <w:r>
                    <w:rPr>
                      <w:szCs w:val="21"/>
                      <w:u w:val="single"/>
                    </w:rPr>
                    <w:t>3.本项目</w:t>
                  </w:r>
                  <w:r>
                    <w:rPr>
                      <w:rFonts w:hint="eastAsia"/>
                      <w:szCs w:val="21"/>
                      <w:u w:val="single"/>
                    </w:rPr>
                    <w:t>原料搅拌工序产生颗粒物经袋式除尘器处理，袋式除尘器采用覆膜滤袋；</w:t>
                  </w:r>
                </w:p>
                <w:p>
                  <w:pPr>
                    <w:spacing w:line="320" w:lineRule="exact"/>
                    <w:rPr>
                      <w:szCs w:val="21"/>
                    </w:rPr>
                  </w:pPr>
                  <w:r>
                    <w:rPr>
                      <w:szCs w:val="21"/>
                    </w:rPr>
                    <w:t>4.更换的废活性炭</w:t>
                  </w:r>
                  <w:r>
                    <w:rPr>
                      <w:rFonts w:hint="eastAsia"/>
                      <w:szCs w:val="21"/>
                    </w:rPr>
                    <w:t>、废光氧灯管、废润滑油分别</w:t>
                  </w:r>
                  <w:r>
                    <w:rPr>
                      <w:szCs w:val="21"/>
                    </w:rPr>
                    <w:t>采用封闭容器收集，在危废暂存间暂存，交有资质单位处理处置，建立</w:t>
                  </w:r>
                  <w:r>
                    <w:rPr>
                      <w:rStyle w:val="70"/>
                      <w:rFonts w:hint="default" w:ascii="Times New Roman" w:hAnsi="Times New Roman" w:eastAsia="宋体"/>
                      <w:color w:val="auto"/>
                      <w:sz w:val="21"/>
                      <w:szCs w:val="21"/>
                    </w:rPr>
                    <w:t>储存、处置台账；</w:t>
                  </w:r>
                </w:p>
                <w:p>
                  <w:pPr>
                    <w:spacing w:line="320" w:lineRule="exact"/>
                    <w:rPr>
                      <w:szCs w:val="21"/>
                    </w:rPr>
                  </w:pPr>
                  <w:r>
                    <w:rPr>
                      <w:szCs w:val="21"/>
                    </w:rPr>
                    <w:t>5.不涉及</w:t>
                  </w:r>
                  <w:r>
                    <w:rPr>
                      <w:rStyle w:val="72"/>
                      <w:rFonts w:hint="default" w:ascii="Times New Roman" w:hAnsi="Times New Roman" w:eastAsia="宋体"/>
                      <w:color w:val="auto"/>
                      <w:sz w:val="21"/>
                      <w:szCs w:val="21"/>
                    </w:rPr>
                    <w:t>NOx排放。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trPr>
              <w:tc>
                <w:tcPr>
                  <w:tcW w:w="996" w:type="dxa"/>
                  <w:gridSpan w:val="2"/>
                  <w:shd w:val="clear" w:color="auto" w:fill="FFFFFF"/>
                  <w:tcMar>
                    <w:left w:w="108" w:type="dxa"/>
                    <w:right w:w="108" w:type="dxa"/>
                  </w:tcMar>
                  <w:vAlign w:val="center"/>
                </w:tcPr>
                <w:p>
                  <w:pPr>
                    <w:pStyle w:val="54"/>
                    <w:spacing w:line="320" w:lineRule="exact"/>
                  </w:pPr>
                  <w:r>
                    <w:t>无组织管控</w:t>
                  </w:r>
                </w:p>
              </w:tc>
              <w:tc>
                <w:tcPr>
                  <w:tcW w:w="3983" w:type="dxa"/>
                  <w:shd w:val="clear" w:color="auto" w:fill="FFFFFF"/>
                  <w:tcMar>
                    <w:left w:w="108" w:type="dxa"/>
                    <w:right w:w="108" w:type="dxa"/>
                  </w:tcMar>
                  <w:vAlign w:val="center"/>
                </w:tcPr>
                <w:p>
                  <w:pPr>
                    <w:spacing w:line="320" w:lineRule="exact"/>
                    <w:rPr>
                      <w:szCs w:val="21"/>
                    </w:rPr>
                  </w:pPr>
                  <w:r>
                    <w:rPr>
                      <w:rStyle w:val="70"/>
                      <w:rFonts w:hint="default" w:ascii="Times New Roman" w:hAnsi="Times New Roman"/>
                      <w:color w:val="auto"/>
                      <w:sz w:val="21"/>
                      <w:szCs w:val="21"/>
                    </w:rPr>
                    <w:t>1.VOCs</w:t>
                  </w:r>
                  <w:r>
                    <w:rPr>
                      <w:rStyle w:val="72"/>
                      <w:rFonts w:hint="default" w:ascii="Times New Roman" w:hAnsi="宋体" w:eastAsia="宋体"/>
                      <w:color w:val="auto"/>
                      <w:sz w:val="21"/>
                      <w:szCs w:val="21"/>
                    </w:rPr>
                    <w:t>物料存储于密闭的容器、包装袋、储罐、储库、料仓中；盛装</w:t>
                  </w:r>
                  <w:r>
                    <w:rPr>
                      <w:rStyle w:val="70"/>
                      <w:rFonts w:hint="default" w:ascii="Times New Roman" w:hAnsi="Times New Roman"/>
                      <w:color w:val="auto"/>
                      <w:sz w:val="21"/>
                      <w:szCs w:val="21"/>
                    </w:rPr>
                    <w:t>VOCs</w:t>
                  </w:r>
                  <w:r>
                    <w:rPr>
                      <w:rStyle w:val="72"/>
                      <w:rFonts w:hint="default" w:ascii="Times New Roman" w:hAnsi="宋体" w:eastAsia="宋体"/>
                      <w:color w:val="auto"/>
                      <w:sz w:val="21"/>
                      <w:szCs w:val="21"/>
                    </w:rPr>
                    <w:t>物料的容器或包装袋存放于室内；盛装</w:t>
                  </w:r>
                  <w:r>
                    <w:rPr>
                      <w:rStyle w:val="70"/>
                      <w:rFonts w:hint="default" w:ascii="Times New Roman" w:hAnsi="Times New Roman"/>
                      <w:color w:val="auto"/>
                      <w:sz w:val="21"/>
                      <w:szCs w:val="21"/>
                    </w:rPr>
                    <w:t>VOCs</w:t>
                  </w:r>
                  <w:r>
                    <w:rPr>
                      <w:rStyle w:val="72"/>
                      <w:rFonts w:hint="default" w:ascii="Times New Roman" w:hAnsi="宋体" w:eastAsia="宋体"/>
                      <w:color w:val="auto"/>
                      <w:sz w:val="21"/>
                      <w:szCs w:val="21"/>
                    </w:rPr>
                    <w:t>物料的容器或包装袋在非取用状态时应加盖、封口，保持密闭；</w:t>
                  </w:r>
                </w:p>
                <w:p>
                  <w:pPr>
                    <w:spacing w:line="320" w:lineRule="exact"/>
                    <w:rPr>
                      <w:szCs w:val="21"/>
                    </w:rPr>
                  </w:pPr>
                  <w:r>
                    <w:rPr>
                      <w:rStyle w:val="70"/>
                      <w:rFonts w:hint="default" w:ascii="Times New Roman" w:hAnsi="Times New Roman"/>
                      <w:color w:val="auto"/>
                      <w:sz w:val="21"/>
                      <w:szCs w:val="21"/>
                    </w:rPr>
                    <w:t>2.</w:t>
                  </w:r>
                  <w:r>
                    <w:rPr>
                      <w:rStyle w:val="72"/>
                      <w:rFonts w:hint="default" w:ascii="Times New Roman" w:hAnsi="宋体" w:eastAsia="宋体"/>
                      <w:color w:val="auto"/>
                      <w:sz w:val="21"/>
                      <w:szCs w:val="21"/>
                    </w:rPr>
                    <w:t>粉状物料采用气力输送、管状带式输送机、螺旋输送机等自动化、密闭输送方式；粒状物料采用封闭皮带等自动化、封闭输送方式；液态</w:t>
                  </w:r>
                  <w:r>
                    <w:rPr>
                      <w:rStyle w:val="70"/>
                      <w:rFonts w:hint="default" w:ascii="Times New Roman" w:hAnsi="Times New Roman"/>
                      <w:color w:val="auto"/>
                      <w:sz w:val="21"/>
                      <w:szCs w:val="21"/>
                    </w:rPr>
                    <w:t>VOCs</w:t>
                  </w:r>
                  <w:r>
                    <w:rPr>
                      <w:rStyle w:val="72"/>
                      <w:rFonts w:hint="default" w:ascii="Times New Roman" w:hAnsi="宋体" w:eastAsia="宋体"/>
                      <w:color w:val="auto"/>
                      <w:sz w:val="21"/>
                      <w:szCs w:val="21"/>
                    </w:rPr>
                    <w:t>物料采用密闭管道输送；</w:t>
                  </w:r>
                </w:p>
                <w:p>
                  <w:pPr>
                    <w:spacing w:line="320" w:lineRule="exact"/>
                    <w:rPr>
                      <w:szCs w:val="21"/>
                    </w:rPr>
                  </w:pPr>
                  <w:r>
                    <w:rPr>
                      <w:rStyle w:val="70"/>
                      <w:rFonts w:hint="default" w:ascii="Times New Roman" w:hAnsi="Times New Roman"/>
                      <w:color w:val="auto"/>
                      <w:sz w:val="21"/>
                      <w:szCs w:val="21"/>
                    </w:rPr>
                    <w:t>3.</w:t>
                  </w:r>
                  <w:r>
                    <w:rPr>
                      <w:rStyle w:val="72"/>
                      <w:rFonts w:hint="default" w:ascii="Times New Roman" w:hAnsi="宋体" w:eastAsia="宋体"/>
                      <w:color w:val="auto"/>
                      <w:sz w:val="21"/>
                      <w:szCs w:val="21"/>
                    </w:rPr>
                    <w:t>产生</w:t>
                  </w:r>
                  <w:r>
                    <w:rPr>
                      <w:rStyle w:val="70"/>
                      <w:rFonts w:hint="default" w:ascii="Times New Roman" w:hAnsi="Times New Roman"/>
                      <w:color w:val="auto"/>
                      <w:sz w:val="21"/>
                      <w:szCs w:val="21"/>
                    </w:rPr>
                    <w:t>VOCs</w:t>
                  </w:r>
                  <w:r>
                    <w:rPr>
                      <w:rStyle w:val="72"/>
                      <w:rFonts w:hint="default" w:ascii="Times New Roman" w:hAnsi="宋体" w:eastAsia="宋体"/>
                      <w:color w:val="auto"/>
                      <w:sz w:val="21"/>
                      <w:szCs w:val="21"/>
                    </w:rPr>
                    <w:t>的生产工序和装置应设置有效集气装置并引至</w:t>
                  </w:r>
                  <w:r>
                    <w:rPr>
                      <w:rStyle w:val="70"/>
                      <w:rFonts w:hint="default" w:ascii="Times New Roman" w:hAnsi="Times New Roman"/>
                      <w:color w:val="auto"/>
                      <w:sz w:val="21"/>
                      <w:szCs w:val="21"/>
                    </w:rPr>
                    <w:t>VOCs</w:t>
                  </w:r>
                  <w:r>
                    <w:rPr>
                      <w:rStyle w:val="72"/>
                      <w:rFonts w:hint="default" w:ascii="Times New Roman" w:hAnsi="宋体" w:eastAsia="宋体"/>
                      <w:color w:val="auto"/>
                      <w:sz w:val="21"/>
                      <w:szCs w:val="21"/>
                    </w:rPr>
                    <w:t>末端处理设施；</w:t>
                  </w:r>
                </w:p>
                <w:p>
                  <w:pPr>
                    <w:spacing w:line="320" w:lineRule="exact"/>
                    <w:rPr>
                      <w:szCs w:val="21"/>
                    </w:rPr>
                  </w:pPr>
                  <w:r>
                    <w:rPr>
                      <w:rStyle w:val="70"/>
                      <w:rFonts w:hint="default" w:ascii="Times New Roman" w:hAnsi="Times New Roman"/>
                      <w:color w:val="auto"/>
                      <w:sz w:val="21"/>
                      <w:szCs w:val="21"/>
                    </w:rPr>
                    <w:t>4.</w:t>
                  </w:r>
                  <w:r>
                    <w:rPr>
                      <w:rStyle w:val="72"/>
                      <w:rFonts w:hint="default" w:ascii="Times New Roman" w:hAnsi="宋体" w:eastAsia="宋体"/>
                      <w:color w:val="auto"/>
                      <w:sz w:val="21"/>
                      <w:szCs w:val="21"/>
                    </w:rPr>
                    <w:t>厂区道路及车间地面硬化，车间地面、墙壁、设备顶部整洁无积尘；厂内地面全部硬化或绿化，无成片裸露土地。</w:t>
                  </w:r>
                </w:p>
              </w:tc>
              <w:tc>
                <w:tcPr>
                  <w:tcW w:w="3065" w:type="dxa"/>
                  <w:shd w:val="clear" w:color="auto" w:fill="FFFFFF"/>
                  <w:tcMar>
                    <w:left w:w="108" w:type="dxa"/>
                    <w:right w:w="108" w:type="dxa"/>
                  </w:tcMar>
                  <w:vAlign w:val="center"/>
                </w:tcPr>
                <w:p>
                  <w:pPr>
                    <w:pStyle w:val="58"/>
                    <w:spacing w:line="320" w:lineRule="exact"/>
                    <w:jc w:val="both"/>
                    <w:rPr>
                      <w:szCs w:val="21"/>
                    </w:rPr>
                  </w:pPr>
                  <w:r>
                    <w:rPr>
                      <w:szCs w:val="21"/>
                    </w:rPr>
                    <w:t>1.本项目</w:t>
                  </w:r>
                  <w:r>
                    <w:rPr>
                      <w:rFonts w:hint="eastAsia"/>
                      <w:szCs w:val="21"/>
                    </w:rPr>
                    <w:t>塑料</w:t>
                  </w:r>
                  <w:r>
                    <w:rPr>
                      <w:szCs w:val="21"/>
                    </w:rPr>
                    <w:t>颗粒储存在包装袋中，</w:t>
                  </w:r>
                  <w:r>
                    <w:rPr>
                      <w:rFonts w:hint="eastAsia"/>
                      <w:szCs w:val="21"/>
                    </w:rPr>
                    <w:t>常温储存状态下不会有</w:t>
                  </w:r>
                  <w:r>
                    <w:rPr>
                      <w:rStyle w:val="70"/>
                      <w:rFonts w:hint="default" w:ascii="Times New Roman" w:hAnsi="Times New Roman" w:eastAsia="宋体"/>
                      <w:color w:val="auto"/>
                      <w:sz w:val="21"/>
                      <w:szCs w:val="21"/>
                    </w:rPr>
                    <w:t>VOCs排放，</w:t>
                  </w:r>
                  <w:r>
                    <w:rPr>
                      <w:szCs w:val="21"/>
                    </w:rPr>
                    <w:t>原料储存在车间内原料暂存区；</w:t>
                  </w:r>
                </w:p>
                <w:p>
                  <w:pPr>
                    <w:spacing w:line="320" w:lineRule="exact"/>
                    <w:rPr>
                      <w:rStyle w:val="70"/>
                      <w:rFonts w:hint="default" w:ascii="Times New Roman" w:hAnsi="Times New Roman" w:eastAsia="宋体"/>
                      <w:color w:val="auto"/>
                      <w:sz w:val="21"/>
                      <w:szCs w:val="21"/>
                    </w:rPr>
                  </w:pPr>
                  <w:r>
                    <w:rPr>
                      <w:rStyle w:val="70"/>
                      <w:rFonts w:hint="default" w:ascii="Times New Roman" w:hAnsi="Times New Roman" w:eastAsia="宋体"/>
                      <w:color w:val="auto"/>
                      <w:sz w:val="21"/>
                      <w:szCs w:val="21"/>
                    </w:rPr>
                    <w:t>2.本项目物料投料螺旋输送，各工序间输送采用封闭输送管道，不涉及粉料、液态VOCs物料；</w:t>
                  </w:r>
                </w:p>
                <w:p>
                  <w:pPr>
                    <w:spacing w:line="320" w:lineRule="exact"/>
                    <w:rPr>
                      <w:rStyle w:val="71"/>
                      <w:rFonts w:ascii="Times New Roman" w:hAnsi="Times New Roman"/>
                      <w:color w:val="auto"/>
                      <w:sz w:val="21"/>
                      <w:szCs w:val="21"/>
                      <w:lang w:bidi="zh-CN"/>
                    </w:rPr>
                  </w:pPr>
                  <w:r>
                    <w:rPr>
                      <w:rStyle w:val="70"/>
                      <w:rFonts w:hint="default" w:ascii="Times New Roman" w:hAnsi="Times New Roman" w:eastAsia="宋体"/>
                      <w:color w:val="auto"/>
                      <w:sz w:val="21"/>
                      <w:szCs w:val="21"/>
                    </w:rPr>
                    <w:t>3.</w:t>
                  </w:r>
                  <w:r>
                    <w:rPr>
                      <w:rFonts w:hint="eastAsia"/>
                      <w:szCs w:val="21"/>
                      <w:lang w:bidi="zh-CN"/>
                    </w:rPr>
                    <w:t>产生</w:t>
                  </w:r>
                  <w:r>
                    <w:rPr>
                      <w:szCs w:val="21"/>
                      <w:lang w:bidi="zh-CN"/>
                    </w:rPr>
                    <w:t>VOCs</w:t>
                  </w:r>
                  <w:r>
                    <w:rPr>
                      <w:rFonts w:hint="eastAsia"/>
                      <w:szCs w:val="21"/>
                      <w:lang w:bidi="zh-CN"/>
                    </w:rPr>
                    <w:t>的生产工序设置集气设施，经</w:t>
                  </w:r>
                  <w:r>
                    <w:rPr>
                      <w:rStyle w:val="71"/>
                      <w:rFonts w:ascii="Times New Roman" w:hAnsi="Times New Roman"/>
                      <w:color w:val="auto"/>
                      <w:sz w:val="21"/>
                      <w:szCs w:val="21"/>
                    </w:rPr>
                    <w:t>“</w:t>
                  </w:r>
                  <w:r>
                    <w:rPr>
                      <w:rStyle w:val="71"/>
                      <w:rFonts w:hint="eastAsia" w:ascii="Times New Roman" w:hAnsi="Times New Roman"/>
                      <w:color w:val="auto"/>
                      <w:sz w:val="21"/>
                      <w:szCs w:val="21"/>
                    </w:rPr>
                    <w:t>光氧催化+活性炭吸附装置</w:t>
                  </w:r>
                  <w:r>
                    <w:rPr>
                      <w:rStyle w:val="71"/>
                      <w:rFonts w:ascii="Times New Roman" w:hAnsi="Times New Roman"/>
                      <w:color w:val="auto"/>
                      <w:sz w:val="21"/>
                      <w:szCs w:val="21"/>
                    </w:rPr>
                    <w:t>”处理；</w:t>
                  </w:r>
                </w:p>
                <w:p>
                  <w:pPr>
                    <w:spacing w:line="320" w:lineRule="exact"/>
                    <w:rPr>
                      <w:szCs w:val="21"/>
                    </w:rPr>
                  </w:pPr>
                  <w:r>
                    <w:rPr>
                      <w:rStyle w:val="71"/>
                      <w:rFonts w:ascii="Times New Roman" w:hAnsi="Times New Roman"/>
                      <w:color w:val="auto"/>
                      <w:sz w:val="21"/>
                      <w:szCs w:val="21"/>
                    </w:rPr>
                    <w:t>4.</w:t>
                  </w:r>
                  <w:r>
                    <w:rPr>
                      <w:rStyle w:val="72"/>
                      <w:rFonts w:hint="default" w:ascii="Times New Roman" w:hAnsi="Times New Roman" w:eastAsia="宋体"/>
                      <w:color w:val="auto"/>
                      <w:sz w:val="21"/>
                      <w:szCs w:val="21"/>
                    </w:rPr>
                    <w:t>厂区道路及车间地面硬化，厂内地面全部硬化或绿化，无成片裸露土地。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996" w:type="dxa"/>
                  <w:gridSpan w:val="2"/>
                  <w:shd w:val="clear" w:color="auto" w:fill="FFFFFF"/>
                  <w:tcMar>
                    <w:left w:w="108" w:type="dxa"/>
                    <w:right w:w="108" w:type="dxa"/>
                  </w:tcMar>
                  <w:vAlign w:val="center"/>
                </w:tcPr>
                <w:p>
                  <w:pPr>
                    <w:pStyle w:val="54"/>
                    <w:spacing w:line="320" w:lineRule="exact"/>
                  </w:pPr>
                  <w:r>
                    <w:t>排放限值</w:t>
                  </w:r>
                </w:p>
              </w:tc>
              <w:tc>
                <w:tcPr>
                  <w:tcW w:w="3983" w:type="dxa"/>
                  <w:shd w:val="clear" w:color="auto" w:fill="FFFFFF"/>
                  <w:tcMar>
                    <w:left w:w="108" w:type="dxa"/>
                    <w:right w:w="108" w:type="dxa"/>
                  </w:tcMar>
                  <w:vAlign w:val="center"/>
                </w:tcPr>
                <w:p>
                  <w:pPr>
                    <w:spacing w:line="320" w:lineRule="exact"/>
                    <w:rPr>
                      <w:rStyle w:val="71"/>
                      <w:rFonts w:ascii="Times New Roman" w:hAnsi="Times New Roman"/>
                      <w:color w:val="auto"/>
                      <w:sz w:val="21"/>
                      <w:szCs w:val="21"/>
                    </w:rPr>
                  </w:pPr>
                  <w:r>
                    <w:rPr>
                      <w:rStyle w:val="70"/>
                      <w:rFonts w:hint="default" w:ascii="Times New Roman" w:hAnsi="Times New Roman"/>
                      <w:color w:val="auto"/>
                      <w:sz w:val="21"/>
                      <w:szCs w:val="21"/>
                    </w:rPr>
                    <w:t>1.</w:t>
                  </w:r>
                  <w:r>
                    <w:rPr>
                      <w:rStyle w:val="71"/>
                      <w:rFonts w:ascii="Times New Roman"/>
                      <w:color w:val="auto"/>
                      <w:sz w:val="21"/>
                      <w:szCs w:val="21"/>
                    </w:rPr>
                    <w:t>全厂有组织</w:t>
                  </w:r>
                  <w:r>
                    <w:rPr>
                      <w:rStyle w:val="70"/>
                      <w:rFonts w:hint="default" w:ascii="Times New Roman" w:hAnsi="Times New Roman"/>
                      <w:color w:val="auto"/>
                      <w:sz w:val="21"/>
                      <w:szCs w:val="21"/>
                    </w:rPr>
                    <w:t>PM</w:t>
                  </w:r>
                  <w:r>
                    <w:rPr>
                      <w:rStyle w:val="71"/>
                      <w:rFonts w:ascii="Times New Roman"/>
                      <w:color w:val="auto"/>
                      <w:sz w:val="21"/>
                      <w:szCs w:val="21"/>
                    </w:rPr>
                    <w:t>、</w:t>
                  </w:r>
                  <w:r>
                    <w:rPr>
                      <w:rStyle w:val="70"/>
                      <w:rFonts w:hint="default" w:ascii="Times New Roman" w:hAnsi="Times New Roman"/>
                      <w:color w:val="auto"/>
                      <w:sz w:val="21"/>
                      <w:szCs w:val="21"/>
                    </w:rPr>
                    <w:t>NMHC</w:t>
                  </w:r>
                  <w:r>
                    <w:rPr>
                      <w:rStyle w:val="71"/>
                      <w:rFonts w:ascii="Times New Roman"/>
                      <w:color w:val="auto"/>
                      <w:sz w:val="21"/>
                      <w:szCs w:val="21"/>
                    </w:rPr>
                    <w:t>有组织排放浓度分别不高于</w:t>
                  </w:r>
                  <w:r>
                    <w:rPr>
                      <w:rStyle w:val="70"/>
                      <w:rFonts w:hint="default" w:ascii="Times New Roman" w:hAnsi="Times New Roman"/>
                      <w:color w:val="auto"/>
                      <w:sz w:val="21"/>
                      <w:szCs w:val="21"/>
                    </w:rPr>
                    <w:t>10</w:t>
                  </w:r>
                  <w:r>
                    <w:rPr>
                      <w:rStyle w:val="71"/>
                      <w:rFonts w:ascii="Times New Roman"/>
                      <w:color w:val="auto"/>
                      <w:sz w:val="21"/>
                      <w:szCs w:val="21"/>
                    </w:rPr>
                    <w:t>、</w:t>
                  </w:r>
                  <w:r>
                    <w:rPr>
                      <w:rStyle w:val="70"/>
                      <w:rFonts w:hint="default" w:ascii="Times New Roman" w:hAnsi="Times New Roman"/>
                      <w:color w:val="auto"/>
                      <w:sz w:val="21"/>
                      <w:szCs w:val="21"/>
                    </w:rPr>
                    <w:t>10mg/m</w:t>
                  </w:r>
                  <w:r>
                    <w:rPr>
                      <w:rStyle w:val="70"/>
                      <w:rFonts w:hint="default" w:ascii="Times New Roman" w:hAnsi="Times New Roman"/>
                      <w:color w:val="auto"/>
                      <w:sz w:val="21"/>
                      <w:szCs w:val="21"/>
                      <w:vertAlign w:val="superscript"/>
                    </w:rPr>
                    <w:t>3</w:t>
                  </w:r>
                  <w:r>
                    <w:rPr>
                      <w:rStyle w:val="71"/>
                      <w:rFonts w:ascii="Times New Roman"/>
                      <w:color w:val="auto"/>
                      <w:sz w:val="21"/>
                      <w:szCs w:val="21"/>
                    </w:rPr>
                    <w:t>；</w:t>
                  </w:r>
                </w:p>
                <w:p>
                  <w:pPr>
                    <w:spacing w:line="320" w:lineRule="exact"/>
                    <w:rPr>
                      <w:szCs w:val="21"/>
                    </w:rPr>
                  </w:pPr>
                  <w:r>
                    <w:rPr>
                      <w:rStyle w:val="70"/>
                      <w:rFonts w:hint="default" w:ascii="Times New Roman" w:hAnsi="Times New Roman"/>
                      <w:color w:val="auto"/>
                      <w:sz w:val="21"/>
                      <w:szCs w:val="21"/>
                    </w:rPr>
                    <w:t>2.VOCs</w:t>
                  </w:r>
                  <w:r>
                    <w:rPr>
                      <w:rStyle w:val="71"/>
                      <w:rFonts w:ascii="Times New Roman"/>
                      <w:color w:val="auto"/>
                      <w:sz w:val="21"/>
                      <w:szCs w:val="21"/>
                    </w:rPr>
                    <w:t>治理设施同步运行率和去除率分别达到</w:t>
                  </w:r>
                  <w:r>
                    <w:rPr>
                      <w:rStyle w:val="70"/>
                      <w:rFonts w:hint="default" w:ascii="Times New Roman" w:hAnsi="Times New Roman"/>
                      <w:color w:val="auto"/>
                      <w:sz w:val="21"/>
                      <w:szCs w:val="21"/>
                    </w:rPr>
                    <w:t>100%</w:t>
                  </w:r>
                  <w:r>
                    <w:rPr>
                      <w:rStyle w:val="71"/>
                      <w:rFonts w:ascii="Times New Roman"/>
                      <w:color w:val="auto"/>
                      <w:sz w:val="21"/>
                      <w:szCs w:val="21"/>
                    </w:rPr>
                    <w:t>和</w:t>
                  </w:r>
                  <w:r>
                    <w:rPr>
                      <w:rStyle w:val="70"/>
                      <w:rFonts w:hint="default" w:ascii="Times New Roman" w:hAnsi="Times New Roman"/>
                      <w:color w:val="auto"/>
                      <w:sz w:val="21"/>
                      <w:szCs w:val="21"/>
                    </w:rPr>
                    <w:t>80%</w:t>
                  </w:r>
                  <w:r>
                    <w:rPr>
                      <w:rStyle w:val="71"/>
                      <w:rFonts w:ascii="Times New Roman"/>
                      <w:color w:val="auto"/>
                      <w:sz w:val="21"/>
                      <w:szCs w:val="21"/>
                    </w:rPr>
                    <w:t>；去除率确实达不到的，生产车间或生产设备的无组织排放监控点</w:t>
                  </w:r>
                  <w:r>
                    <w:rPr>
                      <w:rStyle w:val="70"/>
                      <w:rFonts w:hint="default" w:ascii="Times New Roman" w:hAnsi="Times New Roman"/>
                      <w:color w:val="auto"/>
                      <w:sz w:val="21"/>
                      <w:szCs w:val="21"/>
                    </w:rPr>
                    <w:t>NMHC</w:t>
                  </w:r>
                  <w:r>
                    <w:rPr>
                      <w:rStyle w:val="71"/>
                      <w:rFonts w:ascii="Times New Roman"/>
                      <w:color w:val="auto"/>
                      <w:sz w:val="21"/>
                      <w:szCs w:val="21"/>
                    </w:rPr>
                    <w:t>浓度低于</w:t>
                  </w:r>
                  <w:r>
                    <w:rPr>
                      <w:rStyle w:val="70"/>
                      <w:rFonts w:hint="default" w:ascii="Times New Roman" w:hAnsi="Times New Roman"/>
                      <w:color w:val="auto"/>
                      <w:sz w:val="21"/>
                      <w:szCs w:val="21"/>
                    </w:rPr>
                    <w:t>4mg/m³</w:t>
                  </w:r>
                  <w:r>
                    <w:rPr>
                      <w:rStyle w:val="71"/>
                      <w:rFonts w:ascii="Times New Roman"/>
                      <w:color w:val="auto"/>
                      <w:sz w:val="21"/>
                      <w:szCs w:val="21"/>
                    </w:rPr>
                    <w:t>，企业边界</w:t>
                  </w:r>
                  <w:r>
                    <w:rPr>
                      <w:rStyle w:val="70"/>
                      <w:rFonts w:hint="default" w:ascii="Times New Roman" w:hAnsi="Times New Roman"/>
                      <w:color w:val="auto"/>
                      <w:sz w:val="21"/>
                      <w:szCs w:val="21"/>
                    </w:rPr>
                    <w:t>1hNMHC</w:t>
                  </w:r>
                  <w:r>
                    <w:rPr>
                      <w:rStyle w:val="71"/>
                      <w:rFonts w:ascii="Times New Roman"/>
                      <w:color w:val="auto"/>
                      <w:sz w:val="21"/>
                      <w:szCs w:val="21"/>
                    </w:rPr>
                    <w:t>平均浓度低于</w:t>
                  </w:r>
                  <w:r>
                    <w:rPr>
                      <w:rStyle w:val="70"/>
                      <w:rFonts w:hint="default" w:ascii="Times New Roman" w:hAnsi="Times New Roman"/>
                      <w:color w:val="auto"/>
                      <w:sz w:val="21"/>
                      <w:szCs w:val="21"/>
                    </w:rPr>
                    <w:t>2mg/m³</w:t>
                  </w:r>
                  <w:r>
                    <w:rPr>
                      <w:rStyle w:val="71"/>
                      <w:rFonts w:ascii="Times New Roman"/>
                      <w:color w:val="auto"/>
                      <w:sz w:val="21"/>
                      <w:szCs w:val="21"/>
                    </w:rPr>
                    <w:t>；</w:t>
                  </w:r>
                </w:p>
                <w:p>
                  <w:pPr>
                    <w:spacing w:line="320" w:lineRule="exact"/>
                    <w:rPr>
                      <w:szCs w:val="21"/>
                    </w:rPr>
                  </w:pPr>
                  <w:r>
                    <w:rPr>
                      <w:rStyle w:val="70"/>
                      <w:rFonts w:hint="default" w:ascii="Times New Roman" w:hAnsi="Times New Roman"/>
                      <w:color w:val="auto"/>
                      <w:sz w:val="21"/>
                      <w:szCs w:val="21"/>
                    </w:rPr>
                    <w:t>3.</w:t>
                  </w:r>
                  <w:r>
                    <w:rPr>
                      <w:rStyle w:val="71"/>
                      <w:rFonts w:ascii="Times New Roman"/>
                      <w:color w:val="auto"/>
                      <w:sz w:val="21"/>
                      <w:szCs w:val="21"/>
                    </w:rPr>
                    <w:t>锅炉烟气排放限值要求：燃气锅炉</w:t>
                  </w:r>
                  <w:r>
                    <w:rPr>
                      <w:rStyle w:val="70"/>
                      <w:rFonts w:hint="default" w:ascii="Times New Roman" w:hAnsi="Times New Roman"/>
                      <w:color w:val="auto"/>
                      <w:sz w:val="21"/>
                      <w:szCs w:val="21"/>
                    </w:rPr>
                    <w:t>PM</w:t>
                  </w:r>
                  <w:r>
                    <w:rPr>
                      <w:rStyle w:val="71"/>
                      <w:rFonts w:ascii="Times New Roman"/>
                      <w:color w:val="auto"/>
                      <w:sz w:val="21"/>
                      <w:szCs w:val="21"/>
                    </w:rPr>
                    <w:t>、</w:t>
                  </w:r>
                  <w:r>
                    <w:rPr>
                      <w:rStyle w:val="70"/>
                      <w:rFonts w:hint="default" w:ascii="Times New Roman" w:hAnsi="Times New Roman"/>
                      <w:color w:val="auto"/>
                      <w:sz w:val="21"/>
                      <w:szCs w:val="21"/>
                    </w:rPr>
                    <w:t>SO</w:t>
                  </w:r>
                  <w:r>
                    <w:rPr>
                      <w:rStyle w:val="70"/>
                      <w:rFonts w:hint="default" w:ascii="Times New Roman" w:hAnsi="Times New Roman"/>
                      <w:color w:val="auto"/>
                      <w:sz w:val="21"/>
                      <w:szCs w:val="21"/>
                      <w:vertAlign w:val="subscript"/>
                    </w:rPr>
                    <w:t>2</w:t>
                  </w:r>
                  <w:r>
                    <w:rPr>
                      <w:rStyle w:val="71"/>
                      <w:rFonts w:ascii="Times New Roman"/>
                      <w:color w:val="auto"/>
                      <w:sz w:val="21"/>
                      <w:szCs w:val="21"/>
                    </w:rPr>
                    <w:t>、</w:t>
                  </w:r>
                  <w:r>
                    <w:rPr>
                      <w:rStyle w:val="70"/>
                      <w:rFonts w:hint="default" w:ascii="Times New Roman" w:hAnsi="Times New Roman"/>
                      <w:color w:val="auto"/>
                      <w:sz w:val="21"/>
                      <w:szCs w:val="21"/>
                    </w:rPr>
                    <w:t>NOx</w:t>
                  </w:r>
                  <w:r>
                    <w:rPr>
                      <w:rStyle w:val="71"/>
                      <w:rFonts w:ascii="Times New Roman"/>
                      <w:color w:val="auto"/>
                      <w:sz w:val="21"/>
                      <w:szCs w:val="21"/>
                    </w:rPr>
                    <w:t>排放浓度分别不高于：</w:t>
                  </w:r>
                  <w:r>
                    <w:rPr>
                      <w:rStyle w:val="70"/>
                      <w:rFonts w:hint="default" w:ascii="Times New Roman" w:hAnsi="Times New Roman"/>
                      <w:color w:val="auto"/>
                      <w:sz w:val="21"/>
                      <w:szCs w:val="21"/>
                    </w:rPr>
                    <w:t>5</w:t>
                  </w:r>
                  <w:r>
                    <w:rPr>
                      <w:rStyle w:val="71"/>
                      <w:rFonts w:ascii="Times New Roman"/>
                      <w:color w:val="auto"/>
                      <w:sz w:val="21"/>
                      <w:szCs w:val="21"/>
                    </w:rPr>
                    <w:t>、</w:t>
                  </w:r>
                  <w:r>
                    <w:rPr>
                      <w:rStyle w:val="70"/>
                      <w:rFonts w:hint="default" w:ascii="Times New Roman" w:hAnsi="Times New Roman"/>
                      <w:color w:val="auto"/>
                      <w:sz w:val="21"/>
                      <w:szCs w:val="21"/>
                    </w:rPr>
                    <w:t>10</w:t>
                  </w:r>
                  <w:r>
                    <w:rPr>
                      <w:rStyle w:val="71"/>
                      <w:rFonts w:ascii="Times New Roman"/>
                      <w:color w:val="auto"/>
                      <w:sz w:val="21"/>
                      <w:szCs w:val="21"/>
                    </w:rPr>
                    <w:t>、</w:t>
                  </w:r>
                  <w:r>
                    <w:rPr>
                      <w:rStyle w:val="70"/>
                      <w:rFonts w:hint="default" w:ascii="Times New Roman" w:hAnsi="Times New Roman"/>
                      <w:color w:val="auto"/>
                      <w:sz w:val="21"/>
                      <w:szCs w:val="21"/>
                    </w:rPr>
                    <w:t>50/30</w:t>
                  </w:r>
                  <w:r>
                    <w:rPr>
                      <w:rStyle w:val="71"/>
                      <w:rFonts w:ascii="Times New Roman"/>
                      <w:color w:val="auto"/>
                      <w:sz w:val="21"/>
                      <w:szCs w:val="21"/>
                    </w:rPr>
                    <w:t>【</w:t>
                  </w:r>
                  <w:r>
                    <w:rPr>
                      <w:rStyle w:val="70"/>
                      <w:rFonts w:hint="default" w:ascii="Times New Roman" w:hAnsi="Times New Roman"/>
                      <w:color w:val="auto"/>
                      <w:sz w:val="21"/>
                      <w:szCs w:val="21"/>
                    </w:rPr>
                    <w:t>1</w:t>
                  </w:r>
                  <w:r>
                    <w:rPr>
                      <w:rStyle w:val="71"/>
                      <w:rFonts w:ascii="Times New Roman"/>
                      <w:color w:val="auto"/>
                      <w:sz w:val="21"/>
                      <w:szCs w:val="21"/>
                    </w:rPr>
                    <w:t>】</w:t>
                  </w:r>
                  <w:r>
                    <w:rPr>
                      <w:rStyle w:val="70"/>
                      <w:rFonts w:hint="default" w:ascii="Times New Roman" w:hAnsi="Times New Roman"/>
                      <w:color w:val="auto"/>
                      <w:sz w:val="21"/>
                      <w:szCs w:val="21"/>
                    </w:rPr>
                    <w:t>mg/m</w:t>
                  </w:r>
                  <w:r>
                    <w:rPr>
                      <w:rStyle w:val="70"/>
                      <w:rFonts w:hint="default" w:ascii="Times New Roman" w:hAnsi="Times New Roman"/>
                      <w:color w:val="auto"/>
                      <w:sz w:val="21"/>
                      <w:szCs w:val="21"/>
                      <w:vertAlign w:val="superscript"/>
                    </w:rPr>
                    <w:t>3</w:t>
                  </w:r>
                  <w:r>
                    <w:rPr>
                      <w:rStyle w:val="70"/>
                      <w:rFonts w:hint="default" w:ascii="Times New Roman" w:hAnsi="宋体" w:eastAsia="宋体"/>
                      <w:color w:val="auto"/>
                      <w:sz w:val="21"/>
                      <w:szCs w:val="21"/>
                    </w:rPr>
                    <w:t>。</w:t>
                  </w:r>
                </w:p>
              </w:tc>
              <w:tc>
                <w:tcPr>
                  <w:tcW w:w="3065" w:type="dxa"/>
                  <w:shd w:val="clear" w:color="auto" w:fill="FFFFFF"/>
                  <w:tcMar>
                    <w:left w:w="108" w:type="dxa"/>
                    <w:right w:w="108" w:type="dxa"/>
                  </w:tcMar>
                  <w:vAlign w:val="center"/>
                </w:tcPr>
                <w:p>
                  <w:pPr>
                    <w:pStyle w:val="58"/>
                    <w:spacing w:line="320" w:lineRule="exact"/>
                    <w:jc w:val="both"/>
                    <w:rPr>
                      <w:rStyle w:val="71"/>
                      <w:rFonts w:ascii="Times New Roman" w:hAnsi="Times New Roman"/>
                      <w:color w:val="auto"/>
                      <w:sz w:val="21"/>
                      <w:szCs w:val="21"/>
                    </w:rPr>
                  </w:pPr>
                  <w:r>
                    <w:rPr>
                      <w:szCs w:val="21"/>
                    </w:rPr>
                    <w:t>1.全厂有组织</w:t>
                  </w:r>
                  <w:r>
                    <w:rPr>
                      <w:rStyle w:val="70"/>
                      <w:rFonts w:hint="default" w:ascii="Times New Roman" w:hAnsi="Times New Roman"/>
                      <w:color w:val="auto"/>
                      <w:sz w:val="21"/>
                      <w:szCs w:val="21"/>
                    </w:rPr>
                    <w:t>PM</w:t>
                  </w:r>
                  <w:r>
                    <w:rPr>
                      <w:rStyle w:val="71"/>
                      <w:rFonts w:ascii="Times New Roman"/>
                      <w:color w:val="auto"/>
                      <w:sz w:val="21"/>
                      <w:szCs w:val="21"/>
                    </w:rPr>
                    <w:t>、</w:t>
                  </w:r>
                  <w:r>
                    <w:rPr>
                      <w:rStyle w:val="70"/>
                      <w:rFonts w:hint="default" w:ascii="Times New Roman" w:hAnsi="Times New Roman"/>
                      <w:color w:val="auto"/>
                      <w:sz w:val="21"/>
                      <w:szCs w:val="21"/>
                    </w:rPr>
                    <w:t>NMHC</w:t>
                  </w:r>
                  <w:r>
                    <w:rPr>
                      <w:rStyle w:val="71"/>
                      <w:rFonts w:ascii="Times New Roman"/>
                      <w:color w:val="auto"/>
                      <w:sz w:val="21"/>
                      <w:szCs w:val="21"/>
                    </w:rPr>
                    <w:t>有组织排放浓度不高于</w:t>
                  </w:r>
                  <w:r>
                    <w:rPr>
                      <w:rStyle w:val="71"/>
                      <w:rFonts w:hint="eastAsia" w:ascii="Times New Roman"/>
                      <w:color w:val="auto"/>
                      <w:sz w:val="21"/>
                      <w:szCs w:val="21"/>
                    </w:rPr>
                    <w:t>10、</w:t>
                  </w:r>
                  <w:r>
                    <w:rPr>
                      <w:rStyle w:val="70"/>
                      <w:rFonts w:hint="default" w:ascii="Times New Roman" w:hAnsi="Times New Roman"/>
                      <w:color w:val="auto"/>
                      <w:sz w:val="21"/>
                      <w:szCs w:val="21"/>
                    </w:rPr>
                    <w:t>10mg/m</w:t>
                  </w:r>
                  <w:r>
                    <w:rPr>
                      <w:rStyle w:val="70"/>
                      <w:rFonts w:hint="default" w:ascii="Times New Roman" w:hAnsi="Times New Roman"/>
                      <w:color w:val="auto"/>
                      <w:sz w:val="21"/>
                      <w:szCs w:val="21"/>
                      <w:vertAlign w:val="superscript"/>
                    </w:rPr>
                    <w:t>3</w:t>
                  </w:r>
                  <w:r>
                    <w:rPr>
                      <w:rStyle w:val="71"/>
                      <w:rFonts w:ascii="Times New Roman"/>
                      <w:color w:val="auto"/>
                      <w:sz w:val="21"/>
                      <w:szCs w:val="21"/>
                    </w:rPr>
                    <w:t>；</w:t>
                  </w:r>
                </w:p>
                <w:p>
                  <w:pPr>
                    <w:spacing w:line="320" w:lineRule="exact"/>
                    <w:rPr>
                      <w:rStyle w:val="70"/>
                      <w:rFonts w:hint="default" w:ascii="Times New Roman" w:hAnsi="Times New Roman" w:eastAsia="宋体"/>
                      <w:color w:val="auto"/>
                      <w:sz w:val="21"/>
                      <w:szCs w:val="21"/>
                    </w:rPr>
                  </w:pPr>
                  <w:r>
                    <w:rPr>
                      <w:szCs w:val="21"/>
                    </w:rPr>
                    <w:t>2.</w:t>
                  </w:r>
                  <w:r>
                    <w:rPr>
                      <w:rStyle w:val="70"/>
                      <w:rFonts w:hint="default" w:ascii="Times New Roman" w:hAnsi="Times New Roman"/>
                      <w:color w:val="auto"/>
                      <w:sz w:val="21"/>
                      <w:szCs w:val="21"/>
                    </w:rPr>
                    <w:t>VOCs</w:t>
                  </w:r>
                  <w:r>
                    <w:rPr>
                      <w:rStyle w:val="71"/>
                      <w:rFonts w:ascii="Times New Roman"/>
                      <w:color w:val="auto"/>
                      <w:sz w:val="21"/>
                      <w:szCs w:val="21"/>
                    </w:rPr>
                    <w:t>治理设施同步运行率和去除率分别达到</w:t>
                  </w:r>
                  <w:r>
                    <w:rPr>
                      <w:rStyle w:val="70"/>
                      <w:rFonts w:hint="default" w:ascii="Times New Roman" w:hAnsi="Times New Roman"/>
                      <w:color w:val="auto"/>
                      <w:sz w:val="21"/>
                      <w:szCs w:val="21"/>
                    </w:rPr>
                    <w:t>100%</w:t>
                  </w:r>
                  <w:r>
                    <w:rPr>
                      <w:rStyle w:val="71"/>
                      <w:rFonts w:ascii="Times New Roman"/>
                      <w:color w:val="auto"/>
                      <w:sz w:val="21"/>
                      <w:szCs w:val="21"/>
                    </w:rPr>
                    <w:t>和</w:t>
                  </w:r>
                  <w:r>
                    <w:rPr>
                      <w:rStyle w:val="70"/>
                      <w:rFonts w:hint="default" w:ascii="Times New Roman" w:hAnsi="Times New Roman"/>
                      <w:color w:val="auto"/>
                      <w:sz w:val="21"/>
                      <w:szCs w:val="21"/>
                    </w:rPr>
                    <w:t>80%</w:t>
                  </w:r>
                  <w:r>
                    <w:rPr>
                      <w:rStyle w:val="71"/>
                      <w:rFonts w:ascii="Times New Roman"/>
                      <w:color w:val="auto"/>
                      <w:sz w:val="21"/>
                      <w:szCs w:val="21"/>
                    </w:rPr>
                    <w:t>；</w:t>
                  </w:r>
                </w:p>
                <w:p>
                  <w:pPr>
                    <w:spacing w:line="320" w:lineRule="exact"/>
                  </w:pPr>
                  <w:r>
                    <w:rPr>
                      <w:rStyle w:val="70"/>
                      <w:rFonts w:hint="default" w:ascii="Times New Roman" w:hAnsi="Times New Roman" w:eastAsia="宋体"/>
                      <w:color w:val="auto"/>
                      <w:sz w:val="21"/>
                      <w:szCs w:val="21"/>
                    </w:rPr>
                    <w:t>3.本项目不涉及锅炉。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trPr>
              <w:tc>
                <w:tcPr>
                  <w:tcW w:w="996" w:type="dxa"/>
                  <w:gridSpan w:val="2"/>
                  <w:shd w:val="clear" w:color="auto" w:fill="FFFFFF"/>
                  <w:tcMar>
                    <w:left w:w="108" w:type="dxa"/>
                    <w:right w:w="108" w:type="dxa"/>
                  </w:tcMar>
                  <w:vAlign w:val="center"/>
                </w:tcPr>
                <w:p>
                  <w:pPr>
                    <w:pStyle w:val="54"/>
                    <w:spacing w:line="320" w:lineRule="exact"/>
                  </w:pPr>
                  <w:r>
                    <w:t>监测监控水平</w:t>
                  </w:r>
                </w:p>
              </w:tc>
              <w:tc>
                <w:tcPr>
                  <w:tcW w:w="3983" w:type="dxa"/>
                  <w:shd w:val="clear" w:color="auto" w:fill="FFFFFF"/>
                  <w:tcMar>
                    <w:left w:w="108" w:type="dxa"/>
                    <w:right w:w="108" w:type="dxa"/>
                  </w:tcMar>
                  <w:vAlign w:val="center"/>
                </w:tcPr>
                <w:p>
                  <w:pPr>
                    <w:spacing w:line="320" w:lineRule="exact"/>
                    <w:rPr>
                      <w:szCs w:val="21"/>
                    </w:rPr>
                  </w:pPr>
                  <w:r>
                    <w:rPr>
                      <w:rStyle w:val="70"/>
                      <w:rFonts w:hint="default" w:ascii="Times New Roman" w:hAnsi="Times New Roman"/>
                      <w:color w:val="auto"/>
                      <w:sz w:val="21"/>
                      <w:szCs w:val="21"/>
                    </w:rPr>
                    <w:t>1.</w:t>
                  </w:r>
                  <w:r>
                    <w:rPr>
                      <w:rStyle w:val="71"/>
                      <w:rFonts w:ascii="Times New Roman"/>
                      <w:color w:val="auto"/>
                      <w:sz w:val="21"/>
                      <w:szCs w:val="21"/>
                    </w:rPr>
                    <w:t>有组织排放口按生态环境部门要求安装烟气排放自动监控设施（</w:t>
                  </w:r>
                  <w:r>
                    <w:rPr>
                      <w:rStyle w:val="70"/>
                      <w:rFonts w:hint="default" w:ascii="Times New Roman" w:hAnsi="Times New Roman"/>
                      <w:color w:val="auto"/>
                      <w:sz w:val="21"/>
                      <w:szCs w:val="21"/>
                    </w:rPr>
                    <w:t>CEMS</w:t>
                  </w:r>
                  <w:r>
                    <w:rPr>
                      <w:rStyle w:val="71"/>
                      <w:rFonts w:ascii="Times New Roman"/>
                      <w:color w:val="auto"/>
                      <w:sz w:val="21"/>
                      <w:szCs w:val="21"/>
                    </w:rPr>
                    <w:t>），并按要求联网；</w:t>
                  </w:r>
                </w:p>
                <w:p>
                  <w:pPr>
                    <w:spacing w:line="320" w:lineRule="exact"/>
                    <w:rPr>
                      <w:szCs w:val="21"/>
                    </w:rPr>
                  </w:pPr>
                  <w:r>
                    <w:rPr>
                      <w:rStyle w:val="70"/>
                      <w:rFonts w:hint="default" w:ascii="Times New Roman" w:hAnsi="Times New Roman"/>
                      <w:color w:val="auto"/>
                      <w:sz w:val="21"/>
                      <w:szCs w:val="21"/>
                    </w:rPr>
                    <w:t>2.</w:t>
                  </w:r>
                  <w:r>
                    <w:rPr>
                      <w:rStyle w:val="71"/>
                      <w:rFonts w:ascii="Times New Roman"/>
                      <w:color w:val="auto"/>
                      <w:sz w:val="21"/>
                      <w:szCs w:val="21"/>
                    </w:rPr>
                    <w:t>有组织排放口按照排污许可证要求开展自行监测；</w:t>
                  </w:r>
                </w:p>
                <w:p>
                  <w:pPr>
                    <w:spacing w:line="320" w:lineRule="exact"/>
                    <w:rPr>
                      <w:szCs w:val="21"/>
                    </w:rPr>
                  </w:pPr>
                  <w:r>
                    <w:rPr>
                      <w:rStyle w:val="70"/>
                      <w:rFonts w:hint="default" w:ascii="Times New Roman" w:hAnsi="Times New Roman"/>
                      <w:color w:val="auto"/>
                      <w:sz w:val="21"/>
                      <w:szCs w:val="21"/>
                    </w:rPr>
                    <w:t>3.</w:t>
                  </w:r>
                  <w:r>
                    <w:rPr>
                      <w:rStyle w:val="71"/>
                      <w:rFonts w:ascii="Times New Roman"/>
                      <w:color w:val="auto"/>
                      <w:sz w:val="21"/>
                      <w:szCs w:val="21"/>
                    </w:rPr>
                    <w:t>涉气生产工序、生产装置及污染治理设施按生态环境部门要求安装用电监管设备，用电监管设备与省、市生态环境部门用电监管平台联网。</w:t>
                  </w:r>
                </w:p>
              </w:tc>
              <w:tc>
                <w:tcPr>
                  <w:tcW w:w="3065" w:type="dxa"/>
                  <w:shd w:val="clear" w:color="auto" w:fill="FFFFFF"/>
                  <w:tcMar>
                    <w:left w:w="108" w:type="dxa"/>
                    <w:right w:w="108" w:type="dxa"/>
                  </w:tcMar>
                  <w:vAlign w:val="center"/>
                </w:tcPr>
                <w:p>
                  <w:pPr>
                    <w:pStyle w:val="58"/>
                    <w:spacing w:line="320" w:lineRule="exact"/>
                    <w:jc w:val="both"/>
                  </w:pPr>
                  <w:r>
                    <w:t>1.本项目环保手续正在办理中，后续根据环保部门要求进行监控设备的安装；</w:t>
                  </w:r>
                </w:p>
                <w:p>
                  <w:pPr>
                    <w:spacing w:line="320" w:lineRule="exact"/>
                    <w:rPr>
                      <w:rStyle w:val="71"/>
                      <w:rFonts w:ascii="Times New Roman"/>
                      <w:color w:val="auto"/>
                      <w:sz w:val="21"/>
                      <w:szCs w:val="21"/>
                    </w:rPr>
                  </w:pPr>
                  <w:r>
                    <w:t>2.</w:t>
                  </w:r>
                  <w:r>
                    <w:rPr>
                      <w:rStyle w:val="71"/>
                      <w:rFonts w:ascii="Times New Roman"/>
                      <w:color w:val="auto"/>
                      <w:sz w:val="21"/>
                      <w:szCs w:val="21"/>
                    </w:rPr>
                    <w:t>有组织排放口按照排污许可要求开展自行监测</w:t>
                  </w:r>
                  <w:r>
                    <w:rPr>
                      <w:rStyle w:val="71"/>
                      <w:rFonts w:hint="eastAsia" w:ascii="Times New Roman"/>
                      <w:color w:val="auto"/>
                      <w:sz w:val="21"/>
                      <w:szCs w:val="21"/>
                    </w:rPr>
                    <w:t>。</w:t>
                  </w:r>
                </w:p>
                <w:p>
                  <w:pPr>
                    <w:spacing w:line="320" w:lineRule="exact"/>
                    <w:rPr>
                      <w:szCs w:val="21"/>
                    </w:rPr>
                  </w:pPr>
                  <w:r>
                    <w:rPr>
                      <w:rStyle w:val="70"/>
                      <w:rFonts w:hint="default" w:ascii="Times New Roman" w:hAnsi="Times New Roman"/>
                      <w:color w:val="auto"/>
                      <w:sz w:val="21"/>
                      <w:szCs w:val="21"/>
                    </w:rPr>
                    <w:t>3.</w:t>
                  </w:r>
                  <w:r>
                    <w:rPr>
                      <w:rStyle w:val="71"/>
                      <w:rFonts w:ascii="Times New Roman"/>
                      <w:color w:val="auto"/>
                      <w:sz w:val="21"/>
                      <w:szCs w:val="21"/>
                    </w:rPr>
                    <w:t>涉气生产工序、生产装置及污染治理设施按生态环境部门要求安装用电监管设备。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497" w:type="dxa"/>
                  <w:vMerge w:val="restart"/>
                  <w:shd w:val="clear" w:color="auto" w:fill="FFFFFF"/>
                  <w:tcMar>
                    <w:left w:w="108" w:type="dxa"/>
                    <w:right w:w="108" w:type="dxa"/>
                  </w:tcMar>
                  <w:vAlign w:val="center"/>
                </w:tcPr>
                <w:p>
                  <w:pPr>
                    <w:pStyle w:val="54"/>
                    <w:spacing w:line="320" w:lineRule="exact"/>
                  </w:pPr>
                  <w:r>
                    <w:t>环境管理水平</w:t>
                  </w:r>
                </w:p>
              </w:tc>
              <w:tc>
                <w:tcPr>
                  <w:tcW w:w="499" w:type="dxa"/>
                  <w:shd w:val="clear" w:color="auto" w:fill="FFFFFF"/>
                  <w:tcMar>
                    <w:left w:w="108" w:type="dxa"/>
                    <w:right w:w="108" w:type="dxa"/>
                  </w:tcMar>
                  <w:vAlign w:val="center"/>
                </w:tcPr>
                <w:p>
                  <w:pPr>
                    <w:pStyle w:val="54"/>
                    <w:spacing w:line="320" w:lineRule="exact"/>
                  </w:pPr>
                  <w:r>
                    <w:t>环保档案</w:t>
                  </w:r>
                </w:p>
              </w:tc>
              <w:tc>
                <w:tcPr>
                  <w:tcW w:w="3983" w:type="dxa"/>
                  <w:shd w:val="clear" w:color="auto" w:fill="FFFFFF"/>
                  <w:tcMar>
                    <w:left w:w="108" w:type="dxa"/>
                    <w:right w:w="108" w:type="dxa"/>
                  </w:tcMar>
                  <w:vAlign w:val="center"/>
                </w:tcPr>
                <w:p>
                  <w:pPr>
                    <w:spacing w:line="320" w:lineRule="exact"/>
                    <w:rPr>
                      <w:szCs w:val="21"/>
                    </w:rPr>
                  </w:pPr>
                  <w:r>
                    <w:rPr>
                      <w:rStyle w:val="70"/>
                      <w:rFonts w:hint="default" w:ascii="Times New Roman" w:hAnsi="Times New Roman"/>
                      <w:color w:val="auto"/>
                      <w:sz w:val="21"/>
                      <w:szCs w:val="21"/>
                    </w:rPr>
                    <w:t>1.</w:t>
                  </w:r>
                  <w:r>
                    <w:rPr>
                      <w:rStyle w:val="71"/>
                      <w:rFonts w:ascii="Times New Roman"/>
                      <w:color w:val="auto"/>
                      <w:sz w:val="21"/>
                      <w:szCs w:val="21"/>
                    </w:rPr>
                    <w:t>环评批复文件和竣工环保验收文件或环境现状评估备案证明；</w:t>
                  </w:r>
                </w:p>
                <w:p>
                  <w:pPr>
                    <w:spacing w:line="320" w:lineRule="exact"/>
                    <w:rPr>
                      <w:szCs w:val="21"/>
                    </w:rPr>
                  </w:pPr>
                  <w:r>
                    <w:rPr>
                      <w:rStyle w:val="70"/>
                      <w:rFonts w:hint="default" w:ascii="Times New Roman" w:hAnsi="Times New Roman"/>
                      <w:color w:val="auto"/>
                      <w:sz w:val="21"/>
                      <w:szCs w:val="21"/>
                    </w:rPr>
                    <w:t>2.</w:t>
                  </w:r>
                  <w:r>
                    <w:rPr>
                      <w:rStyle w:val="71"/>
                      <w:rFonts w:ascii="Times New Roman"/>
                      <w:color w:val="auto"/>
                      <w:sz w:val="21"/>
                      <w:szCs w:val="21"/>
                    </w:rPr>
                    <w:t>国家版排污许可证；</w:t>
                  </w:r>
                </w:p>
                <w:p>
                  <w:pPr>
                    <w:spacing w:line="320" w:lineRule="exact"/>
                    <w:rPr>
                      <w:szCs w:val="21"/>
                    </w:rPr>
                  </w:pPr>
                  <w:r>
                    <w:rPr>
                      <w:rStyle w:val="70"/>
                      <w:rFonts w:hint="default" w:ascii="Times New Roman" w:hAnsi="Times New Roman"/>
                      <w:color w:val="auto"/>
                      <w:sz w:val="21"/>
                      <w:szCs w:val="21"/>
                    </w:rPr>
                    <w:t>3.</w:t>
                  </w:r>
                  <w:r>
                    <w:rPr>
                      <w:rStyle w:val="71"/>
                      <w:rFonts w:ascii="Times New Roman"/>
                      <w:color w:val="auto"/>
                      <w:sz w:val="21"/>
                      <w:szCs w:val="21"/>
                    </w:rPr>
                    <w:t>环境管理制度（有组织、无组织排放长效管理机制，主要包括岗位责任制度、达标公示制度和定期巡查维护制度等）；</w:t>
                  </w:r>
                </w:p>
                <w:p>
                  <w:pPr>
                    <w:spacing w:line="320" w:lineRule="exact"/>
                    <w:rPr>
                      <w:szCs w:val="21"/>
                    </w:rPr>
                  </w:pPr>
                  <w:r>
                    <w:rPr>
                      <w:rStyle w:val="70"/>
                      <w:rFonts w:hint="default" w:ascii="Times New Roman" w:hAnsi="Times New Roman"/>
                      <w:color w:val="auto"/>
                      <w:sz w:val="21"/>
                      <w:szCs w:val="21"/>
                    </w:rPr>
                    <w:t>4.</w:t>
                  </w:r>
                  <w:r>
                    <w:rPr>
                      <w:rStyle w:val="71"/>
                      <w:rFonts w:ascii="Times New Roman"/>
                      <w:color w:val="auto"/>
                      <w:sz w:val="21"/>
                      <w:szCs w:val="21"/>
                    </w:rPr>
                    <w:t>废气治理设施运行管理规程；</w:t>
                  </w:r>
                </w:p>
                <w:p>
                  <w:pPr>
                    <w:spacing w:line="320" w:lineRule="exact"/>
                    <w:rPr>
                      <w:szCs w:val="21"/>
                    </w:rPr>
                  </w:pPr>
                  <w:r>
                    <w:rPr>
                      <w:rStyle w:val="70"/>
                      <w:rFonts w:hint="default" w:ascii="Times New Roman" w:hAnsi="Times New Roman"/>
                      <w:color w:val="auto"/>
                      <w:sz w:val="21"/>
                      <w:szCs w:val="21"/>
                    </w:rPr>
                    <w:t>5.</w:t>
                  </w:r>
                  <w:r>
                    <w:rPr>
                      <w:rStyle w:val="71"/>
                      <w:rFonts w:ascii="Times New Roman"/>
                      <w:color w:val="auto"/>
                      <w:sz w:val="21"/>
                      <w:szCs w:val="21"/>
                    </w:rPr>
                    <w:t>一年内废气监测报告（符合排污许可证监测项目及频次要求）。</w:t>
                  </w:r>
                </w:p>
              </w:tc>
              <w:tc>
                <w:tcPr>
                  <w:tcW w:w="3065" w:type="dxa"/>
                  <w:shd w:val="clear" w:color="auto" w:fill="FFFFFF"/>
                  <w:tcMar>
                    <w:left w:w="108" w:type="dxa"/>
                    <w:right w:w="108" w:type="dxa"/>
                  </w:tcMar>
                  <w:vAlign w:val="center"/>
                </w:tcPr>
                <w:p>
                  <w:pPr>
                    <w:autoSpaceDE w:val="0"/>
                    <w:autoSpaceDN w:val="0"/>
                    <w:adjustRightInd w:val="0"/>
                    <w:spacing w:line="320" w:lineRule="exact"/>
                    <w:rPr>
                      <w:rFonts w:ascii="宋体" w:cs="宋体"/>
                      <w:kern w:val="0"/>
                      <w:szCs w:val="21"/>
                    </w:rPr>
                  </w:pPr>
                  <w:r>
                    <w:rPr>
                      <w:rFonts w:hint="eastAsia" w:ascii="宋体" w:cs="宋体"/>
                      <w:kern w:val="0"/>
                      <w:szCs w:val="21"/>
                    </w:rPr>
                    <w:t>本项目报批后及时申请办理排污许可手续，建成后及时验收，设置废气治理设施运行管理规程，按照监测计划定期监测。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497" w:type="dxa"/>
                  <w:vMerge w:val="continue"/>
                  <w:shd w:val="clear" w:color="auto" w:fill="FFFFFF"/>
                  <w:tcMar>
                    <w:left w:w="108" w:type="dxa"/>
                    <w:right w:w="108" w:type="dxa"/>
                  </w:tcMar>
                  <w:vAlign w:val="center"/>
                </w:tcPr>
                <w:p>
                  <w:pPr>
                    <w:pStyle w:val="58"/>
                    <w:spacing w:line="320" w:lineRule="exact"/>
                    <w:rPr>
                      <w:lang w:val="zh-CN" w:bidi="zh-CN"/>
                    </w:rPr>
                  </w:pPr>
                </w:p>
              </w:tc>
              <w:tc>
                <w:tcPr>
                  <w:tcW w:w="499" w:type="dxa"/>
                  <w:shd w:val="clear" w:color="auto" w:fill="FFFFFF"/>
                  <w:tcMar>
                    <w:left w:w="108" w:type="dxa"/>
                    <w:right w:w="108" w:type="dxa"/>
                  </w:tcMar>
                  <w:vAlign w:val="center"/>
                </w:tcPr>
                <w:p>
                  <w:pPr>
                    <w:pStyle w:val="54"/>
                    <w:spacing w:line="320" w:lineRule="exact"/>
                  </w:pPr>
                  <w:r>
                    <w:t>台账记录</w:t>
                  </w:r>
                </w:p>
              </w:tc>
              <w:tc>
                <w:tcPr>
                  <w:tcW w:w="3983" w:type="dxa"/>
                  <w:shd w:val="clear" w:color="auto" w:fill="FFFFFF"/>
                  <w:tcMar>
                    <w:left w:w="108" w:type="dxa"/>
                    <w:right w:w="108" w:type="dxa"/>
                  </w:tcMar>
                  <w:vAlign w:val="center"/>
                </w:tcPr>
                <w:p>
                  <w:pPr>
                    <w:spacing w:line="320" w:lineRule="exact"/>
                    <w:rPr>
                      <w:szCs w:val="21"/>
                    </w:rPr>
                  </w:pPr>
                  <w:r>
                    <w:rPr>
                      <w:rStyle w:val="70"/>
                      <w:rFonts w:hint="default" w:ascii="Times New Roman" w:hAnsi="Times New Roman"/>
                      <w:color w:val="auto"/>
                      <w:sz w:val="21"/>
                      <w:szCs w:val="21"/>
                    </w:rPr>
                    <w:t>1.</w:t>
                  </w:r>
                  <w:r>
                    <w:rPr>
                      <w:rStyle w:val="71"/>
                      <w:rFonts w:ascii="Times New Roman"/>
                      <w:color w:val="auto"/>
                      <w:sz w:val="21"/>
                      <w:szCs w:val="21"/>
                    </w:rPr>
                    <w:t>生产设施运行管理信息（生产时间、运行负荷、产品产量等）；</w:t>
                  </w:r>
                </w:p>
                <w:p>
                  <w:pPr>
                    <w:spacing w:line="320" w:lineRule="exact"/>
                    <w:rPr>
                      <w:szCs w:val="21"/>
                    </w:rPr>
                  </w:pPr>
                  <w:r>
                    <w:rPr>
                      <w:rStyle w:val="70"/>
                      <w:rFonts w:hint="default" w:ascii="Times New Roman" w:hAnsi="Times New Roman"/>
                      <w:color w:val="auto"/>
                      <w:sz w:val="21"/>
                      <w:szCs w:val="21"/>
                    </w:rPr>
                    <w:t>2.</w:t>
                  </w:r>
                  <w:r>
                    <w:rPr>
                      <w:rStyle w:val="71"/>
                      <w:rFonts w:ascii="Times New Roman"/>
                      <w:color w:val="auto"/>
                      <w:sz w:val="21"/>
                      <w:szCs w:val="21"/>
                    </w:rPr>
                    <w:t>废气污染治理设施运行管理信息；</w:t>
                  </w:r>
                </w:p>
                <w:p>
                  <w:pPr>
                    <w:spacing w:line="320" w:lineRule="exact"/>
                    <w:rPr>
                      <w:szCs w:val="21"/>
                    </w:rPr>
                  </w:pPr>
                  <w:r>
                    <w:rPr>
                      <w:rStyle w:val="70"/>
                      <w:rFonts w:hint="default" w:ascii="Times New Roman" w:hAnsi="Times New Roman"/>
                      <w:color w:val="auto"/>
                      <w:sz w:val="21"/>
                      <w:szCs w:val="21"/>
                    </w:rPr>
                    <w:t>3.</w:t>
                  </w:r>
                  <w:r>
                    <w:rPr>
                      <w:rStyle w:val="71"/>
                      <w:rFonts w:ascii="Times New Roman"/>
                      <w:color w:val="auto"/>
                      <w:sz w:val="21"/>
                      <w:szCs w:val="21"/>
                    </w:rPr>
                    <w:t>监测记录信息（主要污染排放口废气排放记录等）；</w:t>
                  </w:r>
                </w:p>
                <w:p>
                  <w:pPr>
                    <w:spacing w:line="320" w:lineRule="exact"/>
                    <w:rPr>
                      <w:szCs w:val="21"/>
                    </w:rPr>
                  </w:pPr>
                  <w:r>
                    <w:rPr>
                      <w:rStyle w:val="70"/>
                      <w:rFonts w:hint="default" w:ascii="Times New Roman" w:hAnsi="Times New Roman"/>
                      <w:color w:val="auto"/>
                      <w:sz w:val="21"/>
                      <w:szCs w:val="21"/>
                    </w:rPr>
                    <w:t>4.</w:t>
                  </w:r>
                  <w:r>
                    <w:rPr>
                      <w:rStyle w:val="71"/>
                      <w:rFonts w:ascii="Times New Roman"/>
                      <w:color w:val="auto"/>
                      <w:sz w:val="21"/>
                      <w:szCs w:val="21"/>
                    </w:rPr>
                    <w:t>主要原辅材料消耗记录；</w:t>
                  </w:r>
                </w:p>
                <w:p>
                  <w:pPr>
                    <w:spacing w:line="320" w:lineRule="exact"/>
                    <w:rPr>
                      <w:szCs w:val="21"/>
                    </w:rPr>
                  </w:pPr>
                  <w:r>
                    <w:rPr>
                      <w:rStyle w:val="70"/>
                      <w:rFonts w:hint="default" w:ascii="Times New Roman" w:hAnsi="Times New Roman"/>
                      <w:color w:val="auto"/>
                      <w:sz w:val="21"/>
                      <w:szCs w:val="21"/>
                    </w:rPr>
                    <w:t>5.</w:t>
                  </w:r>
                  <w:r>
                    <w:rPr>
                      <w:rStyle w:val="71"/>
                      <w:rFonts w:ascii="Times New Roman"/>
                      <w:color w:val="auto"/>
                      <w:sz w:val="21"/>
                      <w:szCs w:val="21"/>
                    </w:rPr>
                    <w:t>燃料消耗记录；</w:t>
                  </w:r>
                </w:p>
                <w:p>
                  <w:pPr>
                    <w:spacing w:line="320" w:lineRule="exact"/>
                    <w:rPr>
                      <w:szCs w:val="21"/>
                    </w:rPr>
                  </w:pPr>
                  <w:r>
                    <w:rPr>
                      <w:rStyle w:val="70"/>
                      <w:rFonts w:hint="default" w:ascii="Times New Roman" w:hAnsi="Times New Roman"/>
                      <w:color w:val="auto"/>
                      <w:sz w:val="21"/>
                      <w:szCs w:val="21"/>
                    </w:rPr>
                    <w:t>6.</w:t>
                  </w:r>
                  <w:r>
                    <w:rPr>
                      <w:rStyle w:val="71"/>
                      <w:rFonts w:ascii="Times New Roman"/>
                      <w:color w:val="auto"/>
                      <w:sz w:val="21"/>
                      <w:szCs w:val="21"/>
                    </w:rPr>
                    <w:t>固废、危废处理记录；</w:t>
                  </w:r>
                </w:p>
                <w:p>
                  <w:pPr>
                    <w:spacing w:line="320" w:lineRule="exact"/>
                    <w:rPr>
                      <w:szCs w:val="21"/>
                    </w:rPr>
                  </w:pPr>
                  <w:r>
                    <w:rPr>
                      <w:rStyle w:val="70"/>
                      <w:rFonts w:hint="default" w:ascii="Times New Roman" w:hAnsi="Times New Roman"/>
                      <w:color w:val="auto"/>
                      <w:sz w:val="21"/>
                      <w:szCs w:val="21"/>
                    </w:rPr>
                    <w:t>7.</w:t>
                  </w:r>
                  <w:r>
                    <w:rPr>
                      <w:rStyle w:val="71"/>
                      <w:rFonts w:ascii="Times New Roman"/>
                      <w:color w:val="auto"/>
                      <w:sz w:val="21"/>
                      <w:szCs w:val="21"/>
                    </w:rPr>
                    <w:t>运输车辆、厂内车辆、非道路移动机械电子台账（进出场时间、车辆或非道路移动机械信息、运送货物名称及运量等）。</w:t>
                  </w:r>
                </w:p>
              </w:tc>
              <w:tc>
                <w:tcPr>
                  <w:tcW w:w="3065" w:type="dxa"/>
                  <w:shd w:val="clear" w:color="auto" w:fill="FFFFFF"/>
                  <w:tcMar>
                    <w:left w:w="108" w:type="dxa"/>
                    <w:right w:w="108" w:type="dxa"/>
                  </w:tcMar>
                  <w:vAlign w:val="center"/>
                </w:tcPr>
                <w:p>
                  <w:pPr>
                    <w:pStyle w:val="58"/>
                    <w:spacing w:line="320" w:lineRule="exact"/>
                    <w:jc w:val="both"/>
                  </w:pPr>
                  <w:r>
                    <w:rPr>
                      <w:rFonts w:hint="eastAsia"/>
                    </w:rPr>
                    <w:t>本项目建成后按要求记录台账。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497" w:type="dxa"/>
                  <w:vMerge w:val="continue"/>
                  <w:shd w:val="clear" w:color="auto" w:fill="FFFFFF"/>
                  <w:tcMar>
                    <w:left w:w="108" w:type="dxa"/>
                    <w:right w:w="108" w:type="dxa"/>
                  </w:tcMar>
                  <w:vAlign w:val="center"/>
                </w:tcPr>
                <w:p>
                  <w:pPr>
                    <w:pStyle w:val="58"/>
                    <w:spacing w:line="320" w:lineRule="exact"/>
                    <w:rPr>
                      <w:lang w:val="zh-CN" w:bidi="zh-CN"/>
                    </w:rPr>
                  </w:pPr>
                </w:p>
              </w:tc>
              <w:tc>
                <w:tcPr>
                  <w:tcW w:w="499" w:type="dxa"/>
                  <w:shd w:val="clear" w:color="auto" w:fill="FFFFFF"/>
                  <w:tcMar>
                    <w:left w:w="108" w:type="dxa"/>
                    <w:right w:w="108" w:type="dxa"/>
                  </w:tcMar>
                  <w:vAlign w:val="center"/>
                </w:tcPr>
                <w:p>
                  <w:pPr>
                    <w:pStyle w:val="54"/>
                    <w:spacing w:line="320" w:lineRule="exact"/>
                  </w:pPr>
                  <w:r>
                    <w:t>人员配置</w:t>
                  </w:r>
                </w:p>
              </w:tc>
              <w:tc>
                <w:tcPr>
                  <w:tcW w:w="3983" w:type="dxa"/>
                  <w:shd w:val="clear" w:color="auto" w:fill="FFFFFF"/>
                  <w:tcMar>
                    <w:left w:w="108" w:type="dxa"/>
                    <w:right w:w="108" w:type="dxa"/>
                  </w:tcMar>
                  <w:vAlign w:val="center"/>
                </w:tcPr>
                <w:p>
                  <w:pPr>
                    <w:spacing w:line="320" w:lineRule="exact"/>
                    <w:rPr>
                      <w:szCs w:val="21"/>
                    </w:rPr>
                  </w:pPr>
                  <w:r>
                    <w:rPr>
                      <w:rStyle w:val="70"/>
                      <w:rFonts w:hint="default" w:ascii="Times New Roman" w:hAnsi="宋体" w:eastAsia="宋体"/>
                      <w:color w:val="auto"/>
                      <w:sz w:val="21"/>
                      <w:szCs w:val="21"/>
                    </w:rPr>
                    <w:t>配备专职环保人员，并具备相应的环境管理能力（学历、培训、从业经验等）。</w:t>
                  </w:r>
                </w:p>
              </w:tc>
              <w:tc>
                <w:tcPr>
                  <w:tcW w:w="3065" w:type="dxa"/>
                  <w:shd w:val="clear" w:color="auto" w:fill="FFFFFF"/>
                  <w:tcMar>
                    <w:left w:w="108" w:type="dxa"/>
                    <w:right w:w="108" w:type="dxa"/>
                  </w:tcMar>
                  <w:vAlign w:val="center"/>
                </w:tcPr>
                <w:p>
                  <w:pPr>
                    <w:pStyle w:val="58"/>
                    <w:spacing w:line="320" w:lineRule="exact"/>
                    <w:jc w:val="both"/>
                  </w:pPr>
                  <w:r>
                    <w:rPr>
                      <w:rFonts w:hint="eastAsia"/>
                    </w:rPr>
                    <w:t>本项目建成后</w:t>
                  </w:r>
                  <w:r>
                    <w:rPr>
                      <w:rStyle w:val="70"/>
                      <w:rFonts w:hint="default" w:ascii="Times New Roman" w:hAnsi="宋体" w:eastAsia="宋体"/>
                      <w:color w:val="auto"/>
                      <w:sz w:val="21"/>
                      <w:szCs w:val="21"/>
                    </w:rPr>
                    <w:t>配备专职环保人员，并具备相应的环境管理能力。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996" w:type="dxa"/>
                  <w:gridSpan w:val="2"/>
                  <w:shd w:val="clear" w:color="auto" w:fill="FFFFFF"/>
                  <w:tcMar>
                    <w:left w:w="108" w:type="dxa"/>
                    <w:right w:w="108" w:type="dxa"/>
                  </w:tcMar>
                  <w:vAlign w:val="center"/>
                </w:tcPr>
                <w:p>
                  <w:pPr>
                    <w:pStyle w:val="54"/>
                    <w:spacing w:line="320" w:lineRule="exact"/>
                  </w:pPr>
                  <w:r>
                    <w:t>运输方式</w:t>
                  </w:r>
                </w:p>
              </w:tc>
              <w:tc>
                <w:tcPr>
                  <w:tcW w:w="3983" w:type="dxa"/>
                  <w:shd w:val="clear" w:color="auto" w:fill="FFFFFF"/>
                  <w:tcMar>
                    <w:left w:w="108" w:type="dxa"/>
                    <w:right w:w="108" w:type="dxa"/>
                  </w:tcMar>
                  <w:vAlign w:val="center"/>
                </w:tcPr>
                <w:p>
                  <w:pPr>
                    <w:spacing w:line="320" w:lineRule="exact"/>
                    <w:rPr>
                      <w:szCs w:val="21"/>
                    </w:rPr>
                  </w:pPr>
                  <w:r>
                    <w:rPr>
                      <w:rStyle w:val="70"/>
                      <w:rFonts w:hint="default" w:ascii="Times New Roman" w:hAnsi="Times New Roman"/>
                      <w:color w:val="auto"/>
                      <w:sz w:val="21"/>
                      <w:szCs w:val="21"/>
                    </w:rPr>
                    <w:t>1.</w:t>
                  </w:r>
                  <w:r>
                    <w:rPr>
                      <w:rStyle w:val="71"/>
                      <w:rFonts w:ascii="Times New Roman"/>
                      <w:color w:val="auto"/>
                      <w:sz w:val="21"/>
                      <w:szCs w:val="21"/>
                    </w:rPr>
                    <w:t>物料、产品运输全部使用国五及以上排放标准的重型载货车辆（重型燃气车辆达到国六排放标准）或新能源车辆；</w:t>
                  </w:r>
                </w:p>
                <w:p>
                  <w:pPr>
                    <w:spacing w:line="320" w:lineRule="exact"/>
                    <w:rPr>
                      <w:rStyle w:val="71"/>
                      <w:rFonts w:ascii="Times New Roman"/>
                      <w:color w:val="auto"/>
                      <w:sz w:val="21"/>
                      <w:szCs w:val="21"/>
                    </w:rPr>
                  </w:pPr>
                  <w:r>
                    <w:rPr>
                      <w:rStyle w:val="70"/>
                      <w:rFonts w:hint="default" w:ascii="Times New Roman" w:hAnsi="Times New Roman"/>
                      <w:color w:val="auto"/>
                      <w:sz w:val="21"/>
                      <w:szCs w:val="21"/>
                    </w:rPr>
                    <w:t>2.</w:t>
                  </w:r>
                  <w:r>
                    <w:rPr>
                      <w:rStyle w:val="71"/>
                      <w:rFonts w:ascii="Times New Roman"/>
                      <w:color w:val="auto"/>
                      <w:sz w:val="21"/>
                      <w:szCs w:val="21"/>
                    </w:rPr>
                    <w:t>厂区车辆全部达国五及以上排放标准（重型燃气车辆达到国六排放标准）或使用新能源车辆；</w:t>
                  </w:r>
                </w:p>
                <w:p>
                  <w:pPr>
                    <w:spacing w:line="320" w:lineRule="exact"/>
                    <w:rPr>
                      <w:szCs w:val="21"/>
                    </w:rPr>
                  </w:pPr>
                  <w:r>
                    <w:rPr>
                      <w:rStyle w:val="70"/>
                      <w:rFonts w:hint="default" w:ascii="Times New Roman" w:hAnsi="Times New Roman"/>
                      <w:color w:val="auto"/>
                      <w:sz w:val="21"/>
                      <w:szCs w:val="21"/>
                    </w:rPr>
                    <w:t>3.</w:t>
                  </w:r>
                  <w:r>
                    <w:rPr>
                      <w:rStyle w:val="71"/>
                      <w:rFonts w:ascii="Times New Roman"/>
                      <w:color w:val="auto"/>
                      <w:sz w:val="21"/>
                      <w:szCs w:val="21"/>
                    </w:rPr>
                    <w:t>厂内非道路移动机械达到国三及以上排放标准或使用新能源机械。</w:t>
                  </w:r>
                </w:p>
              </w:tc>
              <w:tc>
                <w:tcPr>
                  <w:tcW w:w="3065" w:type="dxa"/>
                  <w:shd w:val="clear" w:color="auto" w:fill="FFFFFF"/>
                  <w:tcMar>
                    <w:left w:w="108" w:type="dxa"/>
                    <w:right w:w="108" w:type="dxa"/>
                  </w:tcMar>
                  <w:vAlign w:val="center"/>
                </w:tcPr>
                <w:p>
                  <w:pPr>
                    <w:spacing w:line="320" w:lineRule="exact"/>
                    <w:rPr>
                      <w:szCs w:val="21"/>
                    </w:rPr>
                  </w:pPr>
                  <w:r>
                    <w:rPr>
                      <w:rStyle w:val="70"/>
                      <w:rFonts w:hint="default" w:ascii="Times New Roman" w:hAnsi="Times New Roman"/>
                      <w:color w:val="auto"/>
                      <w:sz w:val="21"/>
                      <w:szCs w:val="21"/>
                    </w:rPr>
                    <w:t>1.</w:t>
                  </w:r>
                  <w:r>
                    <w:rPr>
                      <w:rStyle w:val="71"/>
                      <w:rFonts w:ascii="Times New Roman"/>
                      <w:color w:val="auto"/>
                      <w:sz w:val="21"/>
                      <w:szCs w:val="21"/>
                    </w:rPr>
                    <w:t>物料、产品运输全部使用国五及以上排放标准的重型载货车辆或新能源车辆；</w:t>
                  </w:r>
                </w:p>
                <w:p>
                  <w:pPr>
                    <w:pStyle w:val="58"/>
                    <w:spacing w:line="320" w:lineRule="exact"/>
                    <w:jc w:val="both"/>
                    <w:rPr>
                      <w:rStyle w:val="71"/>
                      <w:rFonts w:ascii="Times New Roman" w:hAnsi="Times New Roman"/>
                      <w:color w:val="auto"/>
                      <w:sz w:val="21"/>
                      <w:szCs w:val="21"/>
                    </w:rPr>
                  </w:pPr>
                  <w:r>
                    <w:rPr>
                      <w:rStyle w:val="70"/>
                      <w:rFonts w:hint="default" w:ascii="Times New Roman" w:hAnsi="Times New Roman"/>
                      <w:color w:val="auto"/>
                      <w:sz w:val="21"/>
                      <w:szCs w:val="21"/>
                    </w:rPr>
                    <w:t>2.</w:t>
                  </w:r>
                  <w:r>
                    <w:rPr>
                      <w:rStyle w:val="71"/>
                      <w:rFonts w:ascii="Times New Roman"/>
                      <w:color w:val="auto"/>
                      <w:sz w:val="21"/>
                      <w:szCs w:val="21"/>
                    </w:rPr>
                    <w:t>厂区车辆全部达国五及以上排放标准或使用新能源车辆；</w:t>
                  </w:r>
                </w:p>
                <w:p>
                  <w:pPr>
                    <w:pStyle w:val="58"/>
                    <w:spacing w:line="320" w:lineRule="exact"/>
                    <w:jc w:val="both"/>
                    <w:rPr>
                      <w:rFonts w:eastAsia="TimesNewRomanPSMT"/>
                      <w:szCs w:val="21"/>
                    </w:rPr>
                  </w:pPr>
                  <w:r>
                    <w:rPr>
                      <w:rStyle w:val="70"/>
                      <w:rFonts w:hint="default" w:ascii="Times New Roman" w:hAnsi="Times New Roman"/>
                      <w:color w:val="auto"/>
                      <w:sz w:val="21"/>
                      <w:szCs w:val="21"/>
                    </w:rPr>
                    <w:t>3.</w:t>
                  </w:r>
                  <w:r>
                    <w:rPr>
                      <w:rStyle w:val="71"/>
                      <w:rFonts w:ascii="Times New Roman"/>
                      <w:color w:val="auto"/>
                      <w:sz w:val="21"/>
                      <w:szCs w:val="21"/>
                    </w:rPr>
                    <w:t>厂内非道路移动机械达到国三及以上排放标准或使用新能源机械。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996" w:type="dxa"/>
                  <w:gridSpan w:val="2"/>
                  <w:shd w:val="clear" w:color="auto" w:fill="FFFFFF"/>
                  <w:tcMar>
                    <w:left w:w="108" w:type="dxa"/>
                    <w:right w:w="108" w:type="dxa"/>
                  </w:tcMar>
                  <w:vAlign w:val="center"/>
                </w:tcPr>
                <w:p>
                  <w:pPr>
                    <w:pStyle w:val="54"/>
                    <w:spacing w:line="320" w:lineRule="exact"/>
                  </w:pPr>
                  <w:r>
                    <w:t>运输监管</w:t>
                  </w:r>
                </w:p>
              </w:tc>
              <w:tc>
                <w:tcPr>
                  <w:tcW w:w="3983" w:type="dxa"/>
                  <w:shd w:val="clear" w:color="auto" w:fill="FFFFFF"/>
                  <w:tcMar>
                    <w:left w:w="108" w:type="dxa"/>
                    <w:right w:w="108" w:type="dxa"/>
                  </w:tcMar>
                  <w:vAlign w:val="center"/>
                </w:tcPr>
                <w:p>
                  <w:pPr>
                    <w:spacing w:line="320" w:lineRule="exact"/>
                    <w:rPr>
                      <w:szCs w:val="21"/>
                    </w:rPr>
                  </w:pPr>
                  <w:r>
                    <w:rPr>
                      <w:rStyle w:val="70"/>
                      <w:rFonts w:hint="default" w:ascii="Times New Roman" w:hAnsi="宋体" w:eastAsia="宋体"/>
                      <w:color w:val="auto"/>
                      <w:sz w:val="21"/>
                      <w:szCs w:val="21"/>
                    </w:rPr>
                    <w:t>日均进出货物</w:t>
                  </w:r>
                  <w:r>
                    <w:rPr>
                      <w:rStyle w:val="72"/>
                      <w:rFonts w:hint="default" w:ascii="Times New Roman" w:hAnsi="Times New Roman"/>
                      <w:color w:val="auto"/>
                      <w:sz w:val="21"/>
                      <w:szCs w:val="21"/>
                    </w:rPr>
                    <w:t>150</w:t>
                  </w:r>
                  <w:r>
                    <w:rPr>
                      <w:rStyle w:val="70"/>
                      <w:rFonts w:hint="default" w:ascii="Times New Roman" w:hAnsi="宋体" w:eastAsia="宋体"/>
                      <w:color w:val="auto"/>
                      <w:sz w:val="21"/>
                      <w:szCs w:val="21"/>
                    </w:rPr>
                    <w:t>吨（或载货车辆日进出</w:t>
                  </w:r>
                  <w:r>
                    <w:rPr>
                      <w:rStyle w:val="72"/>
                      <w:rFonts w:hint="default" w:ascii="Times New Roman" w:hAnsi="Times New Roman"/>
                      <w:color w:val="auto"/>
                      <w:sz w:val="21"/>
                      <w:szCs w:val="21"/>
                    </w:rPr>
                    <w:t>10</w:t>
                  </w:r>
                  <w:r>
                    <w:rPr>
                      <w:rStyle w:val="70"/>
                      <w:rFonts w:hint="default" w:ascii="Times New Roman" w:hAnsi="宋体" w:eastAsia="宋体"/>
                      <w:color w:val="auto"/>
                      <w:sz w:val="21"/>
                      <w:szCs w:val="21"/>
                    </w:rPr>
                    <w:t>辆次）及以上（货物包括原料、辅料、燃料、产品和其他与生产相关物料）的企业，或纳入我省重点行业年产值</w:t>
                  </w:r>
                  <w:r>
                    <w:rPr>
                      <w:rStyle w:val="72"/>
                      <w:rFonts w:hint="default" w:ascii="Times New Roman" w:hAnsi="Times New Roman"/>
                      <w:color w:val="auto"/>
                      <w:sz w:val="21"/>
                      <w:szCs w:val="21"/>
                    </w:rPr>
                    <w:t>1000</w:t>
                  </w:r>
                  <w:r>
                    <w:rPr>
                      <w:rStyle w:val="70"/>
                      <w:rFonts w:hint="default" w:ascii="Times New Roman" w:hAnsi="宋体" w:eastAsia="宋体"/>
                      <w:color w:val="auto"/>
                      <w:sz w:val="21"/>
                      <w:szCs w:val="21"/>
                    </w:rPr>
                    <w:t>万及以上的企业，应参照《重污染天气重点行业移动源应急管理技术指南》建立门禁视频监控系统和电子台账；其他企业建立电子台账。</w:t>
                  </w:r>
                </w:p>
              </w:tc>
              <w:tc>
                <w:tcPr>
                  <w:tcW w:w="3065" w:type="dxa"/>
                  <w:shd w:val="clear" w:color="auto" w:fill="FFFFFF"/>
                  <w:tcMar>
                    <w:left w:w="108" w:type="dxa"/>
                    <w:right w:w="108" w:type="dxa"/>
                  </w:tcMar>
                  <w:vAlign w:val="center"/>
                </w:tcPr>
                <w:p>
                  <w:pPr>
                    <w:pStyle w:val="58"/>
                    <w:spacing w:line="320" w:lineRule="exact"/>
                    <w:jc w:val="both"/>
                  </w:pPr>
                  <w:r>
                    <w:rPr>
                      <w:rFonts w:hint="eastAsia"/>
                    </w:rPr>
                    <w:t>本项目</w:t>
                  </w:r>
                  <w:r>
                    <w:rPr>
                      <w:rStyle w:val="70"/>
                      <w:rFonts w:hint="default" w:ascii="Times New Roman" w:hAnsi="宋体" w:eastAsia="宋体"/>
                      <w:color w:val="auto"/>
                      <w:sz w:val="21"/>
                      <w:szCs w:val="21"/>
                    </w:rPr>
                    <w:t>日均进出货物小于</w:t>
                  </w:r>
                  <w:r>
                    <w:rPr>
                      <w:rStyle w:val="72"/>
                      <w:rFonts w:hint="default" w:ascii="Times New Roman" w:hAnsi="Times New Roman"/>
                      <w:color w:val="auto"/>
                      <w:sz w:val="21"/>
                      <w:szCs w:val="21"/>
                    </w:rPr>
                    <w:t>150</w:t>
                  </w:r>
                  <w:r>
                    <w:rPr>
                      <w:rStyle w:val="70"/>
                      <w:rFonts w:hint="default" w:ascii="Times New Roman" w:hAnsi="宋体" w:eastAsia="宋体"/>
                      <w:color w:val="auto"/>
                      <w:sz w:val="21"/>
                      <w:szCs w:val="21"/>
                    </w:rPr>
                    <w:t>吨（或载货车辆日进出</w:t>
                  </w:r>
                  <w:r>
                    <w:rPr>
                      <w:rStyle w:val="72"/>
                      <w:rFonts w:hint="default" w:ascii="Times New Roman" w:hAnsi="Times New Roman"/>
                      <w:color w:val="auto"/>
                      <w:sz w:val="21"/>
                      <w:szCs w:val="21"/>
                    </w:rPr>
                    <w:t>10</w:t>
                  </w:r>
                  <w:r>
                    <w:rPr>
                      <w:rStyle w:val="70"/>
                      <w:rFonts w:hint="default" w:ascii="Times New Roman" w:hAnsi="宋体" w:eastAsia="宋体"/>
                      <w:color w:val="auto"/>
                      <w:sz w:val="21"/>
                      <w:szCs w:val="21"/>
                    </w:rPr>
                    <w:t>辆次），</w:t>
                  </w:r>
                  <w:r>
                    <w:t>按要求建立电子台账。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trPr>
              <w:tc>
                <w:tcPr>
                  <w:tcW w:w="8044" w:type="dxa"/>
                  <w:gridSpan w:val="4"/>
                  <w:shd w:val="clear" w:color="auto" w:fill="FFFFFF"/>
                  <w:tcMar>
                    <w:left w:w="108" w:type="dxa"/>
                    <w:right w:w="108" w:type="dxa"/>
                  </w:tcMar>
                  <w:vAlign w:val="center"/>
                </w:tcPr>
                <w:p>
                  <w:pPr>
                    <w:pStyle w:val="58"/>
                    <w:spacing w:line="320" w:lineRule="exact"/>
                    <w:jc w:val="both"/>
                  </w:pPr>
                  <w:r>
                    <w:t>备注</w:t>
                  </w:r>
                  <w:r>
                    <w:rPr>
                      <w:rStyle w:val="70"/>
                      <w:rFonts w:hint="default" w:ascii="Times New Roman" w:hAnsi="Times New Roman" w:eastAsia="宋体"/>
                      <w:color w:val="auto"/>
                      <w:sz w:val="21"/>
                      <w:szCs w:val="21"/>
                    </w:rPr>
                    <w:t>【</w:t>
                  </w:r>
                  <w:r>
                    <w:rPr>
                      <w:rStyle w:val="71"/>
                      <w:rFonts w:ascii="Times New Roman" w:hAnsi="Times New Roman"/>
                      <w:color w:val="auto"/>
                      <w:sz w:val="21"/>
                      <w:szCs w:val="21"/>
                    </w:rPr>
                    <w:t>1</w:t>
                  </w:r>
                  <w:r>
                    <w:rPr>
                      <w:rStyle w:val="70"/>
                      <w:rFonts w:hint="default" w:ascii="Times New Roman" w:hAnsi="Times New Roman" w:eastAsia="宋体"/>
                      <w:color w:val="auto"/>
                      <w:sz w:val="21"/>
                      <w:szCs w:val="21"/>
                    </w:rPr>
                    <w:t>】：新建燃气锅炉和需要采取特别保护措施的区域，执行该排放限值。</w:t>
                  </w:r>
                </w:p>
              </w:tc>
            </w:tr>
          </w:tbl>
          <w:p>
            <w:pPr>
              <w:spacing w:line="360" w:lineRule="auto"/>
              <w:ind w:firstLine="480" w:firstLineChars="200"/>
              <w:rPr>
                <w:sz w:val="24"/>
              </w:rPr>
            </w:pPr>
            <w:r>
              <w:rPr>
                <w:sz w:val="24"/>
              </w:rPr>
              <w:t>根据上表可知，</w:t>
            </w:r>
            <w:r>
              <w:rPr>
                <w:rFonts w:hint="eastAsia"/>
                <w:sz w:val="24"/>
              </w:rPr>
              <w:t>本项目符合</w:t>
            </w:r>
            <w:r>
              <w:rPr>
                <w:sz w:val="24"/>
              </w:rPr>
              <w:t>《河南省重污染天气重点行业应急减排措施制定技术指南（2021年修订版）》中</w:t>
            </w:r>
            <w:r>
              <w:rPr>
                <w:rFonts w:hint="eastAsia"/>
                <w:sz w:val="24"/>
              </w:rPr>
              <w:t>“</w:t>
            </w:r>
            <w:r>
              <w:rPr>
                <w:sz w:val="24"/>
              </w:rPr>
              <w:t>六、塑料制品</w:t>
            </w:r>
            <w:r>
              <w:rPr>
                <w:rFonts w:hint="eastAsia"/>
                <w:sz w:val="24"/>
              </w:rPr>
              <w:t>业”绩效分级A级企业指标</w:t>
            </w:r>
            <w:r>
              <w:rPr>
                <w:sz w:val="24"/>
              </w:rPr>
              <w:t>要求。</w:t>
            </w:r>
          </w:p>
          <w:p>
            <w:pPr>
              <w:widowControl/>
              <w:spacing w:line="360" w:lineRule="auto"/>
              <w:rPr>
                <w:b/>
                <w:sz w:val="24"/>
              </w:rPr>
            </w:pPr>
            <w:r>
              <w:rPr>
                <w:rFonts w:hint="eastAsia"/>
                <w:b/>
                <w:sz w:val="24"/>
              </w:rPr>
              <w:t>7《洛阳市2019年工业污染治理专项方案》（洛环攻坚办[2019]49号）文件相符性分析</w:t>
            </w:r>
          </w:p>
          <w:p>
            <w:pPr>
              <w:spacing w:line="360" w:lineRule="auto"/>
              <w:ind w:firstLine="480" w:firstLineChars="200"/>
              <w:rPr>
                <w:sz w:val="24"/>
              </w:rPr>
            </w:pPr>
            <w:r>
              <w:rPr>
                <w:rFonts w:hint="eastAsia"/>
                <w:sz w:val="24"/>
              </w:rPr>
              <w:t>对照洛阳市污染防治攻坚战领导小组办公室《关于印发洛阳市</w:t>
            </w:r>
            <w:r>
              <w:rPr>
                <w:sz w:val="24"/>
              </w:rPr>
              <w:t>2019</w:t>
            </w:r>
            <w:r>
              <w:rPr>
                <w:rFonts w:hint="eastAsia"/>
                <w:sz w:val="24"/>
              </w:rPr>
              <w:t>年工业污染治理专项方案的通知》（洛环攻坚办[2019]49号）文件要求，本项目涉及《洛阳市</w:t>
            </w:r>
            <w:r>
              <w:rPr>
                <w:sz w:val="24"/>
              </w:rPr>
              <w:t>2019</w:t>
            </w:r>
            <w:r>
              <w:rPr>
                <w:rFonts w:hint="eastAsia"/>
                <w:sz w:val="24"/>
              </w:rPr>
              <w:t>年工业企业无组织排放治理专项方案》、《洛阳市</w:t>
            </w:r>
            <w:r>
              <w:rPr>
                <w:sz w:val="24"/>
              </w:rPr>
              <w:t>2019</w:t>
            </w:r>
            <w:r>
              <w:rPr>
                <w:rFonts w:hint="eastAsia"/>
                <w:sz w:val="24"/>
              </w:rPr>
              <w:t>年挥发性有机物治理专项方案》，对照相关内容，相符性分析如下：</w:t>
            </w:r>
          </w:p>
          <w:p>
            <w:pPr>
              <w:pStyle w:val="53"/>
              <w:numPr>
                <w:ilvl w:val="0"/>
                <w:numId w:val="2"/>
              </w:numPr>
              <w:ind w:left="845"/>
              <w:jc w:val="both"/>
            </w:pPr>
            <w:r>
              <w:rPr>
                <w:rFonts w:hint="eastAsia"/>
              </w:rPr>
              <w:t>《洛阳市</w:t>
            </w:r>
            <w:r>
              <w:t>2019</w:t>
            </w:r>
            <w:r>
              <w:rPr>
                <w:rFonts w:hint="eastAsia"/>
              </w:rPr>
              <w:t>年工业企业无组织排放治理专项方案》相符性分析</w:t>
            </w:r>
          </w:p>
          <w:tbl>
            <w:tblPr>
              <w:tblStyle w:val="2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29"/>
              <w:gridCol w:w="4012"/>
              <w:gridCol w:w="8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0" w:type="dxa"/>
                  <w:tcBorders>
                    <w:left w:val="single" w:color="auto" w:sz="4" w:space="0"/>
                  </w:tcBorders>
                  <w:vAlign w:val="center"/>
                </w:tcPr>
                <w:p>
                  <w:pPr>
                    <w:pStyle w:val="80"/>
                    <w:rPr>
                      <w:kern w:val="0"/>
                    </w:rPr>
                  </w:pPr>
                  <w:r>
                    <w:rPr>
                      <w:kern w:val="0"/>
                    </w:rPr>
                    <w:t>要求内容</w:t>
                  </w:r>
                </w:p>
              </w:tc>
              <w:tc>
                <w:tcPr>
                  <w:tcW w:w="4013" w:type="dxa"/>
                  <w:tcBorders>
                    <w:bottom w:val="single" w:color="auto" w:sz="4" w:space="0"/>
                  </w:tcBorders>
                  <w:vAlign w:val="center"/>
                </w:tcPr>
                <w:p>
                  <w:pPr>
                    <w:pStyle w:val="80"/>
                    <w:rPr>
                      <w:kern w:val="0"/>
                    </w:rPr>
                  </w:pPr>
                  <w:r>
                    <w:rPr>
                      <w:kern w:val="0"/>
                    </w:rPr>
                    <w:t>本项目</w:t>
                  </w:r>
                </w:p>
              </w:tc>
              <w:tc>
                <w:tcPr>
                  <w:tcW w:w="898" w:type="dxa"/>
                  <w:tcBorders>
                    <w:bottom w:val="single" w:color="auto" w:sz="4" w:space="0"/>
                  </w:tcBorders>
                  <w:vAlign w:val="center"/>
                </w:tcPr>
                <w:p>
                  <w:pPr>
                    <w:pStyle w:val="80"/>
                    <w:rPr>
                      <w:kern w:val="0"/>
                    </w:rPr>
                  </w:pPr>
                  <w:r>
                    <w:rPr>
                      <w:kern w:val="0"/>
                    </w:rPr>
                    <w:t>相符性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1" w:type="dxa"/>
                  <w:gridSpan w:val="3"/>
                  <w:tcBorders>
                    <w:left w:val="single" w:color="auto" w:sz="4" w:space="0"/>
                  </w:tcBorders>
                  <w:vAlign w:val="center"/>
                </w:tcPr>
                <w:p>
                  <w:pPr>
                    <w:pStyle w:val="58"/>
                    <w:spacing w:line="320" w:lineRule="exact"/>
                    <w:jc w:val="both"/>
                    <w:rPr>
                      <w:kern w:val="0"/>
                    </w:rPr>
                  </w:pPr>
                  <w:r>
                    <w:rPr>
                      <w:rFonts w:hint="eastAsia"/>
                      <w:kern w:val="0"/>
                    </w:rPr>
                    <w:t>十六、其它行业无组织排放治理标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0" w:type="dxa"/>
                  <w:tcBorders>
                    <w:left w:val="single" w:color="auto" w:sz="4" w:space="0"/>
                  </w:tcBorders>
                  <w:vAlign w:val="center"/>
                </w:tcPr>
                <w:p>
                  <w:pPr>
                    <w:pStyle w:val="58"/>
                    <w:spacing w:line="320" w:lineRule="exact"/>
                    <w:jc w:val="both"/>
                    <w:rPr>
                      <w:kern w:val="0"/>
                    </w:rPr>
                  </w:pPr>
                  <w:r>
                    <w:rPr>
                      <w:rFonts w:hint="eastAsia"/>
                      <w:kern w:val="0"/>
                    </w:rPr>
                    <w:t>（三）生产环节治理</w:t>
                  </w:r>
                </w:p>
                <w:p>
                  <w:pPr>
                    <w:pStyle w:val="58"/>
                    <w:spacing w:line="320" w:lineRule="exact"/>
                    <w:jc w:val="both"/>
                    <w:rPr>
                      <w:kern w:val="0"/>
                      <w:szCs w:val="24"/>
                    </w:rPr>
                  </w:pPr>
                  <w:r>
                    <w:t>2</w:t>
                  </w:r>
                  <w:r>
                    <w:rPr>
                      <w:rFonts w:hint="eastAsia"/>
                    </w:rPr>
                    <w:t>在生产过程中的产生VOCS的工序应在封闭的厂房内进行二次封闭，并安装集气设施和VOCS处理设施。</w:t>
                  </w:r>
                </w:p>
              </w:tc>
              <w:tc>
                <w:tcPr>
                  <w:tcW w:w="4013" w:type="dxa"/>
                  <w:vAlign w:val="center"/>
                </w:tcPr>
                <w:p>
                  <w:pPr>
                    <w:pStyle w:val="58"/>
                    <w:spacing w:line="320" w:lineRule="exact"/>
                    <w:jc w:val="both"/>
                    <w:rPr>
                      <w:kern w:val="0"/>
                    </w:rPr>
                  </w:pPr>
                  <w:r>
                    <w:rPr>
                      <w:rFonts w:hint="eastAsia"/>
                      <w:kern w:val="0"/>
                    </w:rPr>
                    <w:t>本项目生产车间密闭设置，产生有机废气的环节主要为拉丝机挤出、烘干工序以及覆膜机挤出工序，</w:t>
                  </w:r>
                  <w:r>
                    <w:rPr>
                      <w:rFonts w:hint="eastAsia"/>
                      <w:kern w:val="0"/>
                      <w:szCs w:val="21"/>
                    </w:rPr>
                    <w:t>拉丝机挤出工序、烘干工序进出口设集气罩</w:t>
                  </w:r>
                  <w:r>
                    <w:rPr>
                      <w:rFonts w:hint="eastAsia"/>
                      <w:kern w:val="0"/>
                    </w:rPr>
                    <w:t>+封闭软帘</w:t>
                  </w:r>
                  <w:r>
                    <w:rPr>
                      <w:rFonts w:hint="eastAsia"/>
                      <w:kern w:val="0"/>
                      <w:szCs w:val="21"/>
                    </w:rPr>
                    <w:t>，覆膜机挤出工序设集气罩</w:t>
                  </w:r>
                  <w:r>
                    <w:rPr>
                      <w:rFonts w:hint="eastAsia"/>
                      <w:kern w:val="0"/>
                    </w:rPr>
                    <w:t>+封闭软帘，</w:t>
                  </w:r>
                  <w:r>
                    <w:rPr>
                      <w:rFonts w:hint="eastAsia" w:ascii="宋体" w:cs="宋体" w:hAnsiTheme="minorHAnsi"/>
                      <w:kern w:val="0"/>
                    </w:rPr>
                    <w:t>废气经收集后</w:t>
                  </w:r>
                  <w:r>
                    <w:rPr>
                      <w:rFonts w:hint="eastAsia"/>
                      <w:kern w:val="0"/>
                    </w:rPr>
                    <w:t>，</w:t>
                  </w:r>
                  <w:r>
                    <w:rPr>
                      <w:rStyle w:val="71"/>
                      <w:rFonts w:ascii="Times New Roman" w:hAnsi="宋体"/>
                      <w:color w:val="auto"/>
                      <w:sz w:val="21"/>
                      <w:szCs w:val="21"/>
                    </w:rPr>
                    <w:t>采用</w:t>
                  </w:r>
                  <w:r>
                    <w:rPr>
                      <w:rStyle w:val="71"/>
                      <w:rFonts w:ascii="Times New Roman" w:hAnsi="Times New Roman"/>
                      <w:color w:val="auto"/>
                      <w:sz w:val="21"/>
                      <w:szCs w:val="21"/>
                    </w:rPr>
                    <w:t>“</w:t>
                  </w:r>
                  <w:r>
                    <w:rPr>
                      <w:rStyle w:val="71"/>
                      <w:rFonts w:ascii="Times New Roman" w:hAnsi="宋体"/>
                      <w:color w:val="auto"/>
                      <w:sz w:val="21"/>
                      <w:szCs w:val="21"/>
                    </w:rPr>
                    <w:t>光氧催化</w:t>
                  </w:r>
                  <w:r>
                    <w:rPr>
                      <w:rStyle w:val="71"/>
                      <w:rFonts w:ascii="Times New Roman" w:hAnsi="Times New Roman"/>
                      <w:color w:val="auto"/>
                      <w:sz w:val="21"/>
                      <w:szCs w:val="21"/>
                    </w:rPr>
                    <w:t>+</w:t>
                  </w:r>
                  <w:r>
                    <w:rPr>
                      <w:rStyle w:val="71"/>
                      <w:rFonts w:ascii="Times New Roman" w:hAnsi="宋体"/>
                      <w:color w:val="auto"/>
                      <w:sz w:val="21"/>
                      <w:szCs w:val="21"/>
                    </w:rPr>
                    <w:t>活性炭吸附装置</w:t>
                  </w:r>
                  <w:r>
                    <w:rPr>
                      <w:rStyle w:val="71"/>
                      <w:rFonts w:ascii="Times New Roman" w:hAnsi="Times New Roman"/>
                      <w:color w:val="auto"/>
                      <w:sz w:val="21"/>
                      <w:szCs w:val="21"/>
                    </w:rPr>
                    <w:t>”</w:t>
                  </w:r>
                  <w:r>
                    <w:rPr>
                      <w:rStyle w:val="71"/>
                      <w:rFonts w:ascii="Times New Roman" w:hAnsi="宋体"/>
                      <w:color w:val="auto"/>
                      <w:sz w:val="21"/>
                      <w:szCs w:val="21"/>
                    </w:rPr>
                    <w:t>处理</w:t>
                  </w:r>
                  <w:r>
                    <w:rPr>
                      <w:rStyle w:val="71"/>
                      <w:rFonts w:hint="eastAsia" w:ascii="Times New Roman" w:hAnsi="宋体"/>
                      <w:color w:val="auto"/>
                      <w:sz w:val="21"/>
                      <w:szCs w:val="21"/>
                    </w:rPr>
                    <w:t>，废气经治理后达标排放。</w:t>
                  </w:r>
                </w:p>
              </w:tc>
              <w:tc>
                <w:tcPr>
                  <w:tcW w:w="898" w:type="dxa"/>
                  <w:vAlign w:val="center"/>
                </w:tcPr>
                <w:p>
                  <w:pPr>
                    <w:pStyle w:val="58"/>
                    <w:spacing w:line="320" w:lineRule="exact"/>
                    <w:rPr>
                      <w:kern w:val="0"/>
                    </w:rPr>
                  </w:pPr>
                  <w:r>
                    <w:rPr>
                      <w:kern w:val="0"/>
                    </w:rPr>
                    <w:t>相符</w:t>
                  </w:r>
                </w:p>
              </w:tc>
            </w:tr>
          </w:tbl>
          <w:p>
            <w:pPr>
              <w:pStyle w:val="53"/>
              <w:numPr>
                <w:ilvl w:val="0"/>
                <w:numId w:val="2"/>
              </w:numPr>
              <w:adjustRightInd/>
              <w:snapToGrid/>
              <w:ind w:left="0" w:firstLine="0"/>
              <w:rPr>
                <w:kern w:val="0"/>
              </w:rPr>
            </w:pPr>
            <w:r>
              <w:rPr>
                <w:rFonts w:hint="eastAsia"/>
                <w:kern w:val="0"/>
              </w:rPr>
              <w:t>《洛阳市</w:t>
            </w:r>
            <w:r>
              <w:rPr>
                <w:kern w:val="0"/>
              </w:rPr>
              <w:t>2019</w:t>
            </w:r>
            <w:r>
              <w:rPr>
                <w:rFonts w:hint="eastAsia"/>
                <w:kern w:val="0"/>
              </w:rPr>
              <w:t>年挥发性有机物治理专项方案》相符性分析</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7"/>
              <w:gridCol w:w="2987"/>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27" w:type="dxa"/>
                  <w:vAlign w:val="center"/>
                </w:tcPr>
                <w:p>
                  <w:pPr>
                    <w:pStyle w:val="80"/>
                  </w:pPr>
                  <w:r>
                    <w:t>文件要求</w:t>
                  </w:r>
                </w:p>
              </w:tc>
              <w:tc>
                <w:tcPr>
                  <w:tcW w:w="2987" w:type="dxa"/>
                  <w:vAlign w:val="center"/>
                </w:tcPr>
                <w:p>
                  <w:pPr>
                    <w:pStyle w:val="80"/>
                  </w:pPr>
                  <w:r>
                    <w:t>本项目</w:t>
                  </w:r>
                </w:p>
              </w:tc>
              <w:tc>
                <w:tcPr>
                  <w:tcW w:w="930" w:type="dxa"/>
                  <w:vAlign w:val="center"/>
                </w:tcPr>
                <w:p>
                  <w:pPr>
                    <w:pStyle w:val="80"/>
                  </w:pPr>
                  <w: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44" w:type="dxa"/>
                  <w:gridSpan w:val="3"/>
                  <w:vAlign w:val="center"/>
                </w:tcPr>
                <w:p>
                  <w:pPr>
                    <w:pStyle w:val="58"/>
                    <w:spacing w:line="320" w:lineRule="exact"/>
                    <w:jc w:val="both"/>
                  </w:pPr>
                  <w:r>
                    <w:t>（一）加大产业结构调整力度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27" w:type="dxa"/>
                  <w:vAlign w:val="center"/>
                </w:tcPr>
                <w:p>
                  <w:pPr>
                    <w:pStyle w:val="58"/>
                    <w:spacing w:line="320" w:lineRule="exact"/>
                    <w:jc w:val="both"/>
                  </w:pPr>
                  <w:r>
                    <w:t>2、严格建设项目环境准入。</w:t>
                  </w:r>
                </w:p>
                <w:p>
                  <w:pPr>
                    <w:pStyle w:val="58"/>
                    <w:spacing w:line="320" w:lineRule="exact"/>
                    <w:jc w:val="both"/>
                  </w:pPr>
                  <w:r>
                    <w:t>提高涉VOCs排放行业环保准入门槛，城市规划区内不再新建涉VOCs项目，城市区现有涉VOCs项目改、扩建不得增加VOCs 排放量；城市规划区外新建涉VOCs项目必须进园发展，实行区域内VOCs排放等量削减替代，并将替代方案落实到企业排污许可证中，纳入环境执法管理。</w:t>
                  </w:r>
                </w:p>
              </w:tc>
              <w:tc>
                <w:tcPr>
                  <w:tcW w:w="2987" w:type="dxa"/>
                  <w:vAlign w:val="center"/>
                </w:tcPr>
                <w:p>
                  <w:pPr>
                    <w:autoSpaceDE w:val="0"/>
                    <w:autoSpaceDN w:val="0"/>
                    <w:adjustRightInd w:val="0"/>
                    <w:snapToGrid w:val="0"/>
                    <w:spacing w:line="320" w:lineRule="exact"/>
                    <w:rPr>
                      <w:szCs w:val="21"/>
                    </w:rPr>
                  </w:pPr>
                  <w:r>
                    <w:rPr>
                      <w:snapToGrid w:val="0"/>
                      <w:szCs w:val="21"/>
                    </w:rPr>
                    <w:t>1、本项目位于</w:t>
                  </w:r>
                  <w:r>
                    <w:rPr>
                      <w:rFonts w:ascii="宋体" w:hAnsi="宋体" w:cs="宋体"/>
                      <w:szCs w:val="21"/>
                    </w:rPr>
                    <w:t>洛阳市偃师</w:t>
                  </w:r>
                  <w:r>
                    <w:rPr>
                      <w:rFonts w:hint="eastAsia" w:ascii="宋体" w:hAnsi="宋体" w:cs="宋体"/>
                      <w:szCs w:val="21"/>
                    </w:rPr>
                    <w:t>区首阳山镇香峪村（偃师区先进制造业开发区北环板块）</w:t>
                  </w:r>
                  <w:r>
                    <w:rPr>
                      <w:szCs w:val="21"/>
                    </w:rPr>
                    <w:t>。本项目</w:t>
                  </w:r>
                  <w:r>
                    <w:rPr>
                      <w:rFonts w:hint="eastAsia"/>
                      <w:szCs w:val="21"/>
                    </w:rPr>
                    <w:t>租赁现有企业车间建设</w:t>
                  </w:r>
                  <w:r>
                    <w:rPr>
                      <w:szCs w:val="21"/>
                    </w:rPr>
                    <w:t>，</w:t>
                  </w:r>
                  <w:r>
                    <w:t>不属于左列严格准入项目。本项目涉及新增</w:t>
                  </w:r>
                  <w:r>
                    <w:rPr>
                      <w:szCs w:val="32"/>
                    </w:rPr>
                    <w:t>VOCs</w:t>
                  </w:r>
                  <w:r>
                    <w:t>，在偃师区内实行倍量替代，并将替代方案落实到企业排污许可证中，纳入环境执法管理。</w:t>
                  </w:r>
                </w:p>
              </w:tc>
              <w:tc>
                <w:tcPr>
                  <w:tcW w:w="930" w:type="dxa"/>
                  <w:vAlign w:val="center"/>
                </w:tcPr>
                <w:p>
                  <w:pPr>
                    <w:pStyle w:val="58"/>
                    <w:spacing w:line="320" w:lineRule="exact"/>
                  </w:pPr>
                  <w:r>
                    <w:rPr>
                      <w:kern w:val="0"/>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27" w:type="dxa"/>
                  <w:vAlign w:val="center"/>
                </w:tcPr>
                <w:p>
                  <w:pPr>
                    <w:pStyle w:val="58"/>
                    <w:spacing w:line="320" w:lineRule="exact"/>
                    <w:jc w:val="both"/>
                  </w:pPr>
                  <w:r>
                    <w:t>3、实施涉VOCs 企业差异化错时错峰生产。</w:t>
                  </w:r>
                </w:p>
                <w:p>
                  <w:pPr>
                    <w:pStyle w:val="58"/>
                    <w:spacing w:line="320" w:lineRule="exact"/>
                    <w:jc w:val="both"/>
                  </w:pPr>
                  <w:r>
                    <w:t>充分考虑行业产能利用率、污染物排放及去除率等情况，加大涉VOCs 企业生产季节性差异化调控力度，对于污染防治设施安装到位、污染物排放浓度及去除率达到省建议值标准、安装在线监控设施并与市监控中心联网的豁免错时、错峰生产。对于未治理到位的，引导企业合理安排生产工期，制定错峰生产计划。</w:t>
                  </w:r>
                </w:p>
              </w:tc>
              <w:tc>
                <w:tcPr>
                  <w:tcW w:w="2987" w:type="dxa"/>
                  <w:vAlign w:val="center"/>
                </w:tcPr>
                <w:p>
                  <w:pPr>
                    <w:pStyle w:val="58"/>
                    <w:spacing w:line="320" w:lineRule="exact"/>
                    <w:jc w:val="both"/>
                  </w:pPr>
                  <w:r>
                    <w:t>本项目</w:t>
                  </w:r>
                  <w:r>
                    <w:rPr>
                      <w:kern w:val="0"/>
                    </w:rPr>
                    <w:t>属于涉</w:t>
                  </w:r>
                  <w:r>
                    <w:t>VOCs企业，应实施涉VOCs企业差异化错时错峰生产。本项目应严格按照政府部门管理落实差别化错峰生产和应急减排管控措施，切实减轻秋冬季重污染天气影响。</w:t>
                  </w:r>
                </w:p>
              </w:tc>
              <w:tc>
                <w:tcPr>
                  <w:tcW w:w="930" w:type="dxa"/>
                  <w:vAlign w:val="center"/>
                </w:tcPr>
                <w:p>
                  <w:pPr>
                    <w:pStyle w:val="58"/>
                    <w:spacing w:line="320" w:lineRule="exact"/>
                  </w:pPr>
                  <w:r>
                    <w:rPr>
                      <w:kern w:val="0"/>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44" w:type="dxa"/>
                  <w:gridSpan w:val="3"/>
                  <w:vAlign w:val="center"/>
                </w:tcPr>
                <w:p>
                  <w:pPr>
                    <w:pStyle w:val="58"/>
                    <w:spacing w:line="320" w:lineRule="exact"/>
                    <w:jc w:val="both"/>
                    <w:rPr>
                      <w:kern w:val="0"/>
                    </w:rPr>
                  </w:pPr>
                  <w:r>
                    <w:rPr>
                      <w:kern w:val="0"/>
                    </w:rPr>
                    <w:t>（二）加快实施工业源VOCs污染防治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27" w:type="dxa"/>
                  <w:vAlign w:val="center"/>
                </w:tcPr>
                <w:p>
                  <w:pPr>
                    <w:pStyle w:val="58"/>
                    <w:spacing w:line="320" w:lineRule="exact"/>
                    <w:jc w:val="both"/>
                  </w:pPr>
                  <w:r>
                    <w:rPr>
                      <w:kern w:val="0"/>
                    </w:rPr>
                    <w:t>8、全面推进其他工业行业VOCs综合治理。各县（市、区）应结合本地产业结构特征和VOCs治理重点，全面推进其他工业行业开展VOCs治理。</w:t>
                  </w:r>
                </w:p>
              </w:tc>
              <w:tc>
                <w:tcPr>
                  <w:tcW w:w="2987" w:type="dxa"/>
                  <w:vAlign w:val="center"/>
                </w:tcPr>
                <w:p>
                  <w:pPr>
                    <w:spacing w:line="320" w:lineRule="exact"/>
                    <w:rPr>
                      <w:snapToGrid w:val="0"/>
                      <w:szCs w:val="21"/>
                    </w:rPr>
                  </w:pPr>
                  <w:r>
                    <w:rPr>
                      <w:snapToGrid w:val="0"/>
                      <w:szCs w:val="21"/>
                    </w:rPr>
                    <w:t>本项目生产设备设置在密闭生产车间内，产生的有机废气经“</w:t>
                  </w:r>
                  <w:r>
                    <w:rPr>
                      <w:rFonts w:hint="eastAsia"/>
                      <w:szCs w:val="21"/>
                    </w:rPr>
                    <w:t>光氧催化+活性炭吸附</w:t>
                  </w:r>
                  <w:r>
                    <w:rPr>
                      <w:szCs w:val="21"/>
                    </w:rPr>
                    <w:t>装置</w:t>
                  </w:r>
                  <w:r>
                    <w:rPr>
                      <w:snapToGrid w:val="0"/>
                      <w:szCs w:val="21"/>
                    </w:rPr>
                    <w:t>”处理后</w:t>
                  </w:r>
                  <w:r>
                    <w:rPr>
                      <w:rStyle w:val="70"/>
                      <w:rFonts w:hint="default" w:ascii="Times New Roman" w:hAnsi="宋体" w:eastAsia="宋体"/>
                      <w:color w:val="auto"/>
                      <w:sz w:val="21"/>
                      <w:szCs w:val="21"/>
                    </w:rPr>
                    <w:t>达标排放</w:t>
                  </w:r>
                  <w:r>
                    <w:rPr>
                      <w:rStyle w:val="71"/>
                      <w:rFonts w:ascii="Times New Roman" w:hAnsi="Times New Roman"/>
                      <w:color w:val="auto"/>
                      <w:sz w:val="21"/>
                      <w:szCs w:val="21"/>
                    </w:rPr>
                    <w:t>。</w:t>
                  </w:r>
                </w:p>
              </w:tc>
              <w:tc>
                <w:tcPr>
                  <w:tcW w:w="930" w:type="dxa"/>
                  <w:vAlign w:val="center"/>
                </w:tcPr>
                <w:p>
                  <w:pPr>
                    <w:pStyle w:val="58"/>
                    <w:spacing w:line="320" w:lineRule="exact"/>
                    <w:rPr>
                      <w:kern w:val="0"/>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44" w:type="dxa"/>
                  <w:gridSpan w:val="3"/>
                  <w:vAlign w:val="center"/>
                </w:tcPr>
                <w:p>
                  <w:pPr>
                    <w:pStyle w:val="58"/>
                    <w:spacing w:line="320" w:lineRule="exact"/>
                    <w:jc w:val="both"/>
                    <w:rPr>
                      <w:kern w:val="0"/>
                    </w:rPr>
                  </w:pPr>
                  <w:r>
                    <w:t>附件1：各行业涉及VOCs的主要环节、主要污染物、主要治理技术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27" w:type="dxa"/>
                  <w:vAlign w:val="center"/>
                </w:tcPr>
                <w:p>
                  <w:pPr>
                    <w:pStyle w:val="58"/>
                    <w:spacing w:line="320" w:lineRule="exact"/>
                    <w:jc w:val="both"/>
                  </w:pPr>
                  <w:r>
                    <w:t>塑料制品行业主要治理技术为：</w:t>
                  </w:r>
                  <w:r>
                    <w:rPr>
                      <w:kern w:val="0"/>
                      <w:szCs w:val="21"/>
                    </w:rPr>
                    <w:t>源头控制：采用低VOCs 原料；采用环保型胶粘剂，在复合膜生产中推广无溶剂复合及共挤出复合技术；避免露天作业，减少无组织排放。末端治理：活性炭吸附氮气/蒸汽脱附溶剂冷凝回收、沸石转轮吸附浓缩热氧化分解、直燃式氧化、蓄热式热氧化。密闭生产车间，减少VOCs外溢。</w:t>
                  </w:r>
                </w:p>
              </w:tc>
              <w:tc>
                <w:tcPr>
                  <w:tcW w:w="2987" w:type="dxa"/>
                  <w:vAlign w:val="center"/>
                </w:tcPr>
                <w:p>
                  <w:pPr>
                    <w:pStyle w:val="58"/>
                    <w:spacing w:line="320" w:lineRule="exact"/>
                    <w:jc w:val="both"/>
                    <w:rPr>
                      <w:snapToGrid w:val="0"/>
                      <w:szCs w:val="21"/>
                    </w:rPr>
                  </w:pPr>
                  <w:r>
                    <w:rPr>
                      <w:kern w:val="0"/>
                    </w:rPr>
                    <w:t>本项目原料使用新料，生产车间密闭，采取末端治理技术。</w:t>
                  </w:r>
                  <w:r>
                    <w:rPr>
                      <w:szCs w:val="21"/>
                    </w:rPr>
                    <w:t>产污节点设置集气设施，</w:t>
                  </w:r>
                  <w:r>
                    <w:rPr>
                      <w:snapToGrid w:val="0"/>
                      <w:szCs w:val="21"/>
                    </w:rPr>
                    <w:t>产生的有机废气经“</w:t>
                  </w:r>
                  <w:r>
                    <w:rPr>
                      <w:rFonts w:hint="eastAsia"/>
                      <w:szCs w:val="21"/>
                    </w:rPr>
                    <w:t>光氧催化+活性炭吸附</w:t>
                  </w:r>
                  <w:r>
                    <w:rPr>
                      <w:szCs w:val="21"/>
                    </w:rPr>
                    <w:t>装置</w:t>
                  </w:r>
                  <w:r>
                    <w:rPr>
                      <w:snapToGrid w:val="0"/>
                      <w:szCs w:val="21"/>
                    </w:rPr>
                    <w:t>”处理后</w:t>
                  </w:r>
                  <w:r>
                    <w:rPr>
                      <w:rStyle w:val="70"/>
                      <w:rFonts w:hint="default" w:ascii="Times New Roman" w:hAnsi="宋体" w:eastAsia="宋体"/>
                      <w:color w:val="auto"/>
                      <w:sz w:val="21"/>
                      <w:szCs w:val="21"/>
                    </w:rPr>
                    <w:t>达标排放</w:t>
                  </w:r>
                  <w:r>
                    <w:rPr>
                      <w:rStyle w:val="71"/>
                      <w:rFonts w:ascii="Times New Roman" w:hAnsi="Times New Roman"/>
                      <w:color w:val="auto"/>
                      <w:sz w:val="21"/>
                      <w:szCs w:val="21"/>
                    </w:rPr>
                    <w:t>。</w:t>
                  </w:r>
                </w:p>
              </w:tc>
              <w:tc>
                <w:tcPr>
                  <w:tcW w:w="930" w:type="dxa"/>
                  <w:vAlign w:val="center"/>
                </w:tcPr>
                <w:p>
                  <w:pPr>
                    <w:pStyle w:val="58"/>
                    <w:spacing w:line="320" w:lineRule="exact"/>
                  </w:pPr>
                  <w:r>
                    <w:rPr>
                      <w:kern w:val="0"/>
                    </w:rPr>
                    <w:t>相符</w:t>
                  </w:r>
                </w:p>
              </w:tc>
            </w:tr>
          </w:tbl>
          <w:p>
            <w:pPr>
              <w:spacing w:line="360" w:lineRule="auto"/>
              <w:ind w:firstLine="480" w:firstLineChars="200"/>
              <w:rPr>
                <w:sz w:val="24"/>
              </w:rPr>
            </w:pPr>
            <w:r>
              <w:rPr>
                <w:rFonts w:hint="eastAsia"/>
                <w:sz w:val="24"/>
              </w:rPr>
              <w:t>根据以上分析内容，本项目符合《洛阳市2019年工业污染治理专项方案》（洛环攻坚办[2019]49号）文件中《洛阳市</w:t>
            </w:r>
            <w:r>
              <w:rPr>
                <w:sz w:val="24"/>
              </w:rPr>
              <w:t>2019</w:t>
            </w:r>
            <w:r>
              <w:rPr>
                <w:rFonts w:hint="eastAsia"/>
                <w:sz w:val="24"/>
              </w:rPr>
              <w:t>年工业企业无组织排放治理方案》、《洛阳市</w:t>
            </w:r>
            <w:r>
              <w:rPr>
                <w:sz w:val="24"/>
              </w:rPr>
              <w:t>2019</w:t>
            </w:r>
            <w:r>
              <w:rPr>
                <w:rFonts w:hint="eastAsia"/>
                <w:sz w:val="24"/>
              </w:rPr>
              <w:t>年挥发性有机物治理方案》相关要求。</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tc>
      </w:tr>
    </w:tbl>
    <w:p>
      <w:pPr>
        <w:ind w:firstLine="600"/>
        <w:rPr>
          <w:rFonts w:eastAsia="黑体"/>
          <w:sz w:val="30"/>
        </w:rPr>
        <w:sectPr>
          <w:footerReference r:id="rId5" w:type="default"/>
          <w:pgSz w:w="11906" w:h="16838"/>
          <w:pgMar w:top="1588" w:right="1531" w:bottom="1588" w:left="1531" w:header="851" w:footer="1077" w:gutter="0"/>
          <w:pgNumType w:start="1"/>
          <w:cols w:space="720" w:num="1"/>
          <w:docGrid w:linePitch="312" w:charSpace="0"/>
        </w:sectPr>
      </w:pPr>
    </w:p>
    <w:p>
      <w:pPr>
        <w:pStyle w:val="24"/>
        <w:spacing w:before="120"/>
        <w:rPr>
          <w:snapToGrid w:val="0"/>
        </w:rPr>
      </w:pPr>
      <w:bookmarkStart w:id="4" w:name="_Toc114642629"/>
      <w:r>
        <w:rPr>
          <w:rFonts w:hint="eastAsia"/>
          <w:snapToGrid w:val="0"/>
        </w:rPr>
        <w:t>二、建设项目工程分析</w:t>
      </w:r>
      <w:bookmarkEnd w:id="4"/>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4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496" w:type="dxa"/>
            <w:vAlign w:val="center"/>
          </w:tcPr>
          <w:p>
            <w:pPr>
              <w:pStyle w:val="23"/>
              <w:adjustRightInd w:val="0"/>
              <w:snapToGrid w:val="0"/>
              <w:spacing w:before="0" w:beforeAutospacing="0" w:after="0" w:afterAutospacing="0"/>
              <w:jc w:val="center"/>
              <w:rPr>
                <w:rFonts w:cs="宋体"/>
                <w:szCs w:val="24"/>
              </w:rPr>
            </w:pPr>
            <w:r>
              <w:rPr>
                <w:rFonts w:hint="eastAsia" w:cs="宋体"/>
                <w:szCs w:val="24"/>
              </w:rPr>
              <w:t>建设内容</w:t>
            </w:r>
          </w:p>
        </w:tc>
        <w:tc>
          <w:tcPr>
            <w:tcW w:w="8488" w:type="dxa"/>
          </w:tcPr>
          <w:p>
            <w:pPr>
              <w:adjustRightInd w:val="0"/>
              <w:snapToGrid w:val="0"/>
              <w:spacing w:line="360" w:lineRule="auto"/>
              <w:rPr>
                <w:b/>
                <w:bCs/>
                <w:sz w:val="24"/>
              </w:rPr>
            </w:pPr>
            <w:r>
              <w:rPr>
                <w:b/>
                <w:bCs/>
                <w:sz w:val="24"/>
              </w:rPr>
              <w:t>1</w:t>
            </w:r>
            <w:r>
              <w:rPr>
                <w:rFonts w:hint="eastAsia"/>
                <w:b/>
                <w:bCs/>
                <w:sz w:val="24"/>
              </w:rPr>
              <w:t>项目由来及概况</w:t>
            </w:r>
          </w:p>
          <w:p>
            <w:pPr>
              <w:widowControl/>
              <w:spacing w:line="360" w:lineRule="auto"/>
              <w:ind w:firstLine="480" w:firstLineChars="200"/>
              <w:rPr>
                <w:bCs/>
                <w:sz w:val="24"/>
                <w:u w:val="single"/>
              </w:rPr>
            </w:pPr>
            <w:r>
              <w:rPr>
                <w:rFonts w:hint="eastAsia"/>
                <w:sz w:val="24"/>
                <w:u w:val="single"/>
              </w:rPr>
              <w:t>洛阳东资实业有限公司位于</w:t>
            </w:r>
            <w:r>
              <w:rPr>
                <w:rFonts w:hint="eastAsia" w:ascii="宋体"/>
                <w:sz w:val="24"/>
                <w:u w:val="single"/>
              </w:rPr>
              <w:t>偃师区首阳山街道办事处寨后村，</w:t>
            </w:r>
            <w:r>
              <w:rPr>
                <w:rFonts w:hint="eastAsia"/>
                <w:sz w:val="24"/>
                <w:u w:val="single"/>
              </w:rPr>
              <w:t>企业“年产100万条集装袋项目”于2019年进行了环境影响评价，</w:t>
            </w:r>
            <w:r>
              <w:rPr>
                <w:bCs/>
                <w:sz w:val="24"/>
                <w:u w:val="single"/>
              </w:rPr>
              <w:t>环评批复文号为：</w:t>
            </w:r>
            <w:r>
              <w:rPr>
                <w:rFonts w:hint="eastAsia"/>
                <w:bCs/>
                <w:sz w:val="24"/>
                <w:u w:val="single"/>
              </w:rPr>
              <w:t>偃环监表</w:t>
            </w:r>
            <w:r>
              <w:rPr>
                <w:rFonts w:hint="eastAsia"/>
                <w:sz w:val="24"/>
                <w:u w:val="single"/>
              </w:rPr>
              <w:t>〔2019〕</w:t>
            </w:r>
            <w:r>
              <w:rPr>
                <w:rFonts w:hint="eastAsia"/>
                <w:bCs/>
                <w:sz w:val="24"/>
                <w:u w:val="single"/>
              </w:rPr>
              <w:t>53号，该项目分阶段建设，并于2019年12月和2020年10月进行了企业自主验收。“</w:t>
            </w:r>
            <w:r>
              <w:rPr>
                <w:rFonts w:hint="eastAsia"/>
                <w:sz w:val="24"/>
                <w:u w:val="single"/>
              </w:rPr>
              <w:t>扩建年产100万条集装袋项目</w:t>
            </w:r>
            <w:r>
              <w:rPr>
                <w:rFonts w:hint="eastAsia"/>
                <w:bCs/>
                <w:sz w:val="24"/>
                <w:u w:val="single"/>
              </w:rPr>
              <w:t>”</w:t>
            </w:r>
            <w:r>
              <w:rPr>
                <w:rFonts w:hint="eastAsia"/>
                <w:sz w:val="24"/>
                <w:u w:val="single"/>
              </w:rPr>
              <w:t>于2021年进行了环境影响评价，</w:t>
            </w:r>
            <w:r>
              <w:rPr>
                <w:bCs/>
                <w:sz w:val="24"/>
                <w:u w:val="single"/>
              </w:rPr>
              <w:t>环评批复文号为：</w:t>
            </w:r>
            <w:r>
              <w:rPr>
                <w:rFonts w:hint="eastAsia"/>
                <w:bCs/>
                <w:sz w:val="24"/>
                <w:u w:val="single"/>
              </w:rPr>
              <w:t>偃环监表</w:t>
            </w:r>
            <w:r>
              <w:rPr>
                <w:rFonts w:hint="eastAsia"/>
                <w:sz w:val="24"/>
                <w:u w:val="single"/>
              </w:rPr>
              <w:t>〔2021〕</w:t>
            </w:r>
            <w:r>
              <w:rPr>
                <w:rFonts w:hint="eastAsia"/>
                <w:bCs/>
                <w:sz w:val="24"/>
                <w:u w:val="single"/>
              </w:rPr>
              <w:t>11号，该项目分阶段建设，并于2021年5月、2021年9月和2022年10月进行了企业自主验收。</w:t>
            </w:r>
            <w:r>
              <w:rPr>
                <w:rFonts w:hint="eastAsia"/>
                <w:sz w:val="24"/>
                <w:u w:val="single"/>
              </w:rPr>
              <w:t>企业排污登记编号为：</w:t>
            </w:r>
            <w:r>
              <w:rPr>
                <w:sz w:val="24"/>
                <w:u w:val="single"/>
              </w:rPr>
              <w:t>91410381MA46CK2Q5H001Z</w:t>
            </w:r>
            <w:r>
              <w:rPr>
                <w:rFonts w:hint="eastAsia"/>
                <w:sz w:val="24"/>
                <w:u w:val="single"/>
              </w:rPr>
              <w:t>。</w:t>
            </w:r>
          </w:p>
          <w:p>
            <w:pPr>
              <w:widowControl/>
              <w:spacing w:line="360" w:lineRule="auto"/>
              <w:ind w:firstLine="480" w:firstLineChars="200"/>
              <w:rPr>
                <w:sz w:val="24"/>
                <w:u w:val="single"/>
              </w:rPr>
            </w:pPr>
            <w:r>
              <w:rPr>
                <w:rFonts w:hint="eastAsia"/>
                <w:sz w:val="24"/>
                <w:u w:val="single"/>
              </w:rPr>
              <w:t>为</w:t>
            </w:r>
            <w:r>
              <w:rPr>
                <w:rFonts w:hint="eastAsia"/>
                <w:bCs/>
                <w:sz w:val="24"/>
                <w:u w:val="single"/>
              </w:rPr>
              <w:t>迎合市场需求、</w:t>
            </w:r>
            <w:r>
              <w:rPr>
                <w:rFonts w:hint="eastAsia"/>
                <w:sz w:val="24"/>
                <w:u w:val="single"/>
              </w:rPr>
              <w:t>增加市场竞争力，洛阳东资实业有限公司计划异地扩建，拟投资900万元，租赁洛阳市凯胜实业有限公司厂房建设年产1</w:t>
            </w:r>
            <w:r>
              <w:rPr>
                <w:sz w:val="24"/>
                <w:u w:val="single"/>
              </w:rPr>
              <w:t>5</w:t>
            </w:r>
            <w:r>
              <w:rPr>
                <w:rFonts w:hint="eastAsia"/>
                <w:sz w:val="24"/>
                <w:u w:val="single"/>
              </w:rPr>
              <w:t>0万条集装袋项目。</w:t>
            </w:r>
          </w:p>
          <w:p>
            <w:pPr>
              <w:spacing w:line="360" w:lineRule="auto"/>
              <w:ind w:firstLine="480" w:firstLineChars="200"/>
              <w:rPr>
                <w:sz w:val="24"/>
              </w:rPr>
            </w:pPr>
            <w:r>
              <w:rPr>
                <w:rFonts w:hint="eastAsia"/>
                <w:sz w:val="24"/>
              </w:rPr>
              <w:t>对照《建设项目环境影响评价分类管理名录》（2021年版），“第二十六项-橡胶和塑料制品业29-53塑料制品业292-以再生塑料为原料生产的；有电镀工艺的；年用溶剂型胶粘剂10吨及以上的；年用溶剂型涂料（含稀释剂）10吨及以上的编制报告书，其他编制报告表”，本项目使用原料为塑料新料，属于编制报告表类别，因此本项目编制环评报告表。受建设单位委托，河南泰悦环保科技有限公司承担本项目的环境影响评价工作。</w:t>
            </w:r>
          </w:p>
          <w:p>
            <w:pPr>
              <w:adjustRightInd w:val="0"/>
              <w:snapToGrid w:val="0"/>
              <w:spacing w:line="360" w:lineRule="auto"/>
              <w:rPr>
                <w:b/>
                <w:bCs/>
                <w:sz w:val="24"/>
              </w:rPr>
            </w:pPr>
            <w:r>
              <w:rPr>
                <w:rFonts w:hint="eastAsia"/>
                <w:b/>
                <w:bCs/>
                <w:sz w:val="24"/>
              </w:rPr>
              <w:t>2建设内容</w:t>
            </w:r>
          </w:p>
          <w:p>
            <w:pPr>
              <w:adjustRightInd w:val="0"/>
              <w:snapToGrid w:val="0"/>
              <w:spacing w:line="360" w:lineRule="auto"/>
              <w:rPr>
                <w:b/>
                <w:bCs/>
                <w:sz w:val="24"/>
              </w:rPr>
            </w:pPr>
            <w:r>
              <w:rPr>
                <w:rFonts w:hint="eastAsia"/>
                <w:b/>
                <w:bCs/>
                <w:sz w:val="24"/>
              </w:rPr>
              <w:t>2.1建设场地</w:t>
            </w:r>
          </w:p>
          <w:p>
            <w:pPr>
              <w:adjustRightInd w:val="0"/>
              <w:snapToGrid w:val="0"/>
              <w:spacing w:line="360" w:lineRule="auto"/>
              <w:ind w:firstLine="480" w:firstLineChars="200"/>
              <w:rPr>
                <w:sz w:val="24"/>
              </w:rPr>
            </w:pPr>
            <w:r>
              <w:rPr>
                <w:rFonts w:hint="eastAsia"/>
                <w:bCs/>
                <w:sz w:val="24"/>
              </w:rPr>
              <w:t>本项目位于</w:t>
            </w:r>
            <w:r>
              <w:rPr>
                <w:rFonts w:ascii="宋体" w:hAnsi="宋体" w:cs="宋体"/>
                <w:sz w:val="24"/>
              </w:rPr>
              <w:t>洛阳市偃师</w:t>
            </w:r>
            <w:r>
              <w:rPr>
                <w:rFonts w:hint="eastAsia" w:ascii="宋体" w:hAnsi="宋体" w:cs="宋体"/>
                <w:sz w:val="24"/>
              </w:rPr>
              <w:t>区首阳山镇香峪村（偃师区先进制造业开发区北环片区）</w:t>
            </w:r>
            <w:r>
              <w:rPr>
                <w:rFonts w:hint="eastAsia" w:ascii="宋体"/>
                <w:sz w:val="24"/>
              </w:rPr>
              <w:t>，租赁</w:t>
            </w:r>
            <w:r>
              <w:rPr>
                <w:sz w:val="24"/>
              </w:rPr>
              <w:t>洛阳市凯胜实业有限公司</w:t>
            </w:r>
            <w:r>
              <w:rPr>
                <w:rFonts w:hint="eastAsia"/>
                <w:sz w:val="24"/>
              </w:rPr>
              <w:t>厂房建设，厂区</w:t>
            </w:r>
            <w:r>
              <w:rPr>
                <w:rFonts w:hint="eastAsia"/>
                <w:bCs/>
                <w:sz w:val="24"/>
              </w:rPr>
              <w:t>北侧为北环路；南侧为军民路；西侧为洛阳红宝塑业有限公司；东侧为规划的相国大道</w:t>
            </w:r>
            <w:r>
              <w:rPr>
                <w:rFonts w:hint="eastAsia"/>
                <w:sz w:val="24"/>
              </w:rPr>
              <w:t>。本项目租赁</w:t>
            </w:r>
            <w:r>
              <w:rPr>
                <w:sz w:val="24"/>
              </w:rPr>
              <w:t>凯胜实业</w:t>
            </w:r>
            <w:r>
              <w:rPr>
                <w:rFonts w:hint="eastAsia"/>
                <w:sz w:val="24"/>
              </w:rPr>
              <w:t>公司2#车间内部分区域、3#车间进行建设。本项目地理位置图见附图1，</w:t>
            </w:r>
            <w:r>
              <w:rPr>
                <w:sz w:val="24"/>
              </w:rPr>
              <w:t>周围环境</w:t>
            </w:r>
            <w:r>
              <w:rPr>
                <w:rFonts w:hint="eastAsia"/>
                <w:sz w:val="24"/>
              </w:rPr>
              <w:t>概况</w:t>
            </w:r>
            <w:r>
              <w:rPr>
                <w:sz w:val="24"/>
              </w:rPr>
              <w:t>见附图3。</w:t>
            </w:r>
          </w:p>
          <w:p>
            <w:pPr>
              <w:adjustRightInd w:val="0"/>
              <w:snapToGrid w:val="0"/>
              <w:spacing w:line="360" w:lineRule="auto"/>
              <w:rPr>
                <w:b/>
                <w:bCs/>
                <w:sz w:val="24"/>
              </w:rPr>
            </w:pPr>
            <w:r>
              <w:rPr>
                <w:rFonts w:hint="eastAsia"/>
                <w:b/>
                <w:bCs/>
                <w:sz w:val="24"/>
              </w:rPr>
              <w:t>2.2</w:t>
            </w:r>
            <w:r>
              <w:rPr>
                <w:b/>
                <w:bCs/>
                <w:sz w:val="24"/>
              </w:rPr>
              <w:t>建设内容</w:t>
            </w:r>
          </w:p>
          <w:p>
            <w:pPr>
              <w:spacing w:line="360" w:lineRule="auto"/>
              <w:ind w:firstLine="480" w:firstLineChars="200"/>
              <w:rPr>
                <w:sz w:val="24"/>
              </w:rPr>
            </w:pPr>
            <w:r>
              <w:rPr>
                <w:rFonts w:hint="eastAsia"/>
                <w:bCs/>
                <w:sz w:val="24"/>
              </w:rPr>
              <w:t>本项目</w:t>
            </w:r>
            <w:r>
              <w:rPr>
                <w:rFonts w:hint="eastAsia"/>
                <w:sz w:val="24"/>
              </w:rPr>
              <w:t>租赁厂房，安装生产设备及其他公用辅助设施、环保设施等。主要工程内容见下表。</w:t>
            </w:r>
          </w:p>
          <w:p>
            <w:pPr>
              <w:pStyle w:val="53"/>
              <w:numPr>
                <w:ilvl w:val="0"/>
                <w:numId w:val="2"/>
              </w:numPr>
              <w:adjustRightInd/>
              <w:snapToGrid/>
              <w:ind w:left="0" w:firstLine="0"/>
              <w:rPr>
                <w:kern w:val="0"/>
              </w:rPr>
            </w:pPr>
            <w:r>
              <w:rPr>
                <w:rFonts w:hint="eastAsia"/>
                <w:kern w:val="0"/>
              </w:rPr>
              <w:t>主要工程设施一览表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425"/>
              <w:gridCol w:w="1560"/>
              <w:gridCol w:w="4394"/>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Align w:val="center"/>
                </w:tcPr>
                <w:p>
                  <w:pPr>
                    <w:pStyle w:val="80"/>
                  </w:pPr>
                  <w:r>
                    <w:rPr>
                      <w:rFonts w:hint="eastAsia"/>
                    </w:rPr>
                    <w:t>类别</w:t>
                  </w:r>
                </w:p>
              </w:tc>
              <w:tc>
                <w:tcPr>
                  <w:tcW w:w="1985" w:type="dxa"/>
                  <w:gridSpan w:val="2"/>
                  <w:vAlign w:val="center"/>
                </w:tcPr>
                <w:p>
                  <w:pPr>
                    <w:pStyle w:val="80"/>
                  </w:pPr>
                  <w:r>
                    <w:t>名称</w:t>
                  </w:r>
                </w:p>
              </w:tc>
              <w:tc>
                <w:tcPr>
                  <w:tcW w:w="4394" w:type="dxa"/>
                  <w:vAlign w:val="center"/>
                </w:tcPr>
                <w:p>
                  <w:pPr>
                    <w:pStyle w:val="80"/>
                  </w:pPr>
                  <w:r>
                    <w:rPr>
                      <w:rFonts w:hint="eastAsia"/>
                    </w:rPr>
                    <w:t>内容、规模</w:t>
                  </w:r>
                </w:p>
              </w:tc>
              <w:tc>
                <w:tcPr>
                  <w:tcW w:w="1146" w:type="dxa"/>
                  <w:vAlign w:val="center"/>
                </w:tcPr>
                <w:p>
                  <w:pPr>
                    <w:pStyle w:val="8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restart"/>
                  <w:vAlign w:val="center"/>
                </w:tcPr>
                <w:p>
                  <w:pPr>
                    <w:pStyle w:val="58"/>
                    <w:spacing w:line="320" w:lineRule="exact"/>
                  </w:pPr>
                  <w:r>
                    <w:rPr>
                      <w:rFonts w:hint="eastAsia"/>
                    </w:rPr>
                    <w:t>主体工程</w:t>
                  </w:r>
                </w:p>
              </w:tc>
              <w:tc>
                <w:tcPr>
                  <w:tcW w:w="1985" w:type="dxa"/>
                  <w:gridSpan w:val="2"/>
                  <w:vAlign w:val="center"/>
                </w:tcPr>
                <w:p>
                  <w:pPr>
                    <w:pStyle w:val="58"/>
                    <w:spacing w:line="320" w:lineRule="exact"/>
                  </w:pPr>
                  <w:r>
                    <w:rPr>
                      <w:rFonts w:hint="eastAsia"/>
                    </w:rPr>
                    <w:t>生产车间</w:t>
                  </w:r>
                  <w:r>
                    <w:t>144</w:t>
                  </w:r>
                  <w:r>
                    <w:rPr>
                      <w:rFonts w:hint="eastAsia"/>
                    </w:rPr>
                    <w:t>0m</w:t>
                  </w:r>
                  <w:r>
                    <w:rPr>
                      <w:rFonts w:hint="eastAsia"/>
                      <w:vertAlign w:val="superscript"/>
                    </w:rPr>
                    <w:t>2</w:t>
                  </w:r>
                  <w:r>
                    <w:rPr>
                      <w:rFonts w:hint="eastAsia"/>
                    </w:rPr>
                    <w:t>（2#车间）</w:t>
                  </w:r>
                </w:p>
              </w:tc>
              <w:tc>
                <w:tcPr>
                  <w:tcW w:w="4394" w:type="dxa"/>
                  <w:vAlign w:val="center"/>
                </w:tcPr>
                <w:p>
                  <w:pPr>
                    <w:pStyle w:val="58"/>
                    <w:spacing w:line="320" w:lineRule="exact"/>
                    <w:jc w:val="both"/>
                  </w:pPr>
                  <w:r>
                    <w:rPr>
                      <w:rFonts w:hint="eastAsia"/>
                    </w:rPr>
                    <w:t>利用2#车间内部分空间，该区域使用板材围挡，租赁区域</w:t>
                  </w:r>
                  <w:r>
                    <w:t>40</w:t>
                  </w:r>
                  <w:r>
                    <w:rPr>
                      <w:rFonts w:hint="eastAsia"/>
                    </w:rPr>
                    <w:t>m</w:t>
                  </w:r>
                  <w:r>
                    <w:rPr>
                      <w:rFonts w:hint="eastAsia" w:ascii="宋体" w:hAnsi="宋体"/>
                    </w:rPr>
                    <w:t>×</w:t>
                  </w:r>
                  <w:r>
                    <w:rPr>
                      <w:rFonts w:hint="eastAsia"/>
                    </w:rPr>
                    <w:t>3</w:t>
                  </w:r>
                  <w:r>
                    <w:t>6</w:t>
                  </w:r>
                  <w:r>
                    <w:rPr>
                      <w:rFonts w:hint="eastAsia"/>
                    </w:rPr>
                    <w:t>m（一层），车间内布置：拉丝机组、原料储存区、丝卷储存区等</w:t>
                  </w:r>
                </w:p>
              </w:tc>
              <w:tc>
                <w:tcPr>
                  <w:tcW w:w="1146" w:type="dxa"/>
                  <w:vMerge w:val="restart"/>
                  <w:vAlign w:val="center"/>
                </w:tcPr>
                <w:p>
                  <w:pPr>
                    <w:pStyle w:val="58"/>
                    <w:spacing w:line="320" w:lineRule="exact"/>
                  </w:pPr>
                  <w:r>
                    <w:rPr>
                      <w:rFonts w:hint="eastAsia"/>
                    </w:rPr>
                    <w:t>租赁凯胜车间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vAlign w:val="center"/>
                </w:tcPr>
                <w:p>
                  <w:pPr>
                    <w:pStyle w:val="58"/>
                    <w:spacing w:line="320" w:lineRule="exact"/>
                  </w:pPr>
                </w:p>
              </w:tc>
              <w:tc>
                <w:tcPr>
                  <w:tcW w:w="1985" w:type="dxa"/>
                  <w:gridSpan w:val="2"/>
                  <w:vAlign w:val="center"/>
                </w:tcPr>
                <w:p>
                  <w:pPr>
                    <w:pStyle w:val="58"/>
                    <w:spacing w:line="320" w:lineRule="exact"/>
                  </w:pPr>
                  <w:r>
                    <w:rPr>
                      <w:rFonts w:hint="eastAsia"/>
                    </w:rPr>
                    <w:t>生产车间</w:t>
                  </w:r>
                  <w:r>
                    <w:t>730</w:t>
                  </w:r>
                  <w:r>
                    <w:rPr>
                      <w:rFonts w:hint="eastAsia"/>
                    </w:rPr>
                    <w:t>0m</w:t>
                  </w:r>
                  <w:r>
                    <w:rPr>
                      <w:rFonts w:hint="eastAsia"/>
                      <w:vertAlign w:val="superscript"/>
                    </w:rPr>
                    <w:t>2</w:t>
                  </w:r>
                  <w:r>
                    <w:rPr>
                      <w:rFonts w:hint="eastAsia"/>
                    </w:rPr>
                    <w:t>（3#车间）</w:t>
                  </w:r>
                </w:p>
              </w:tc>
              <w:tc>
                <w:tcPr>
                  <w:tcW w:w="4394" w:type="dxa"/>
                  <w:vAlign w:val="center"/>
                </w:tcPr>
                <w:p>
                  <w:pPr>
                    <w:pStyle w:val="58"/>
                    <w:spacing w:line="320" w:lineRule="exact"/>
                    <w:jc w:val="both"/>
                  </w:pPr>
                  <w:r>
                    <w:rPr>
                      <w:rFonts w:hint="eastAsia"/>
                    </w:rPr>
                    <w:t>利用3#车间</w:t>
                  </w:r>
                  <w:r>
                    <w:t>73</w:t>
                  </w:r>
                  <w:r>
                    <w:rPr>
                      <w:rFonts w:hint="eastAsia"/>
                    </w:rPr>
                    <w:t>m</w:t>
                  </w:r>
                  <w:r>
                    <w:rPr>
                      <w:rFonts w:hint="eastAsia" w:ascii="宋体" w:hAnsi="宋体"/>
                    </w:rPr>
                    <w:t>×</w:t>
                  </w:r>
                  <w:r>
                    <w:t>50</w:t>
                  </w:r>
                  <w:r>
                    <w:rPr>
                      <w:rFonts w:hint="eastAsia"/>
                    </w:rPr>
                    <w:t>m</w:t>
                  </w:r>
                  <w:r>
                    <w:rPr>
                      <w:rFonts w:hint="eastAsia" w:ascii="宋体" w:hAnsi="宋体"/>
                    </w:rPr>
                    <w:t>×</w:t>
                  </w:r>
                  <w:r>
                    <w:t>9</w:t>
                  </w:r>
                  <w:r>
                    <w:rPr>
                      <w:rFonts w:hint="eastAsia"/>
                    </w:rPr>
                    <w:t>m，两层，车间内一层布置：拉丝机组、覆膜机组、原料储存区、基布储存区等；二层布置：织布区、缝纫区等</w:t>
                  </w:r>
                </w:p>
              </w:tc>
              <w:tc>
                <w:tcPr>
                  <w:tcW w:w="1146" w:type="dxa"/>
                  <w:vMerge w:val="continue"/>
                  <w:vAlign w:val="center"/>
                </w:tcPr>
                <w:p>
                  <w:pPr>
                    <w:pStyle w:val="58"/>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restart"/>
                  <w:vAlign w:val="center"/>
                </w:tcPr>
                <w:p>
                  <w:pPr>
                    <w:pStyle w:val="58"/>
                    <w:spacing w:line="320" w:lineRule="exact"/>
                  </w:pPr>
                  <w:r>
                    <w:rPr>
                      <w:rFonts w:hint="eastAsia"/>
                    </w:rPr>
                    <w:t>公用工程</w:t>
                  </w:r>
                </w:p>
              </w:tc>
              <w:tc>
                <w:tcPr>
                  <w:tcW w:w="1985" w:type="dxa"/>
                  <w:gridSpan w:val="2"/>
                  <w:vAlign w:val="center"/>
                </w:tcPr>
                <w:p>
                  <w:pPr>
                    <w:pStyle w:val="58"/>
                    <w:spacing w:line="320" w:lineRule="exact"/>
                  </w:pPr>
                  <w:r>
                    <w:rPr>
                      <w:rFonts w:hint="eastAsia"/>
                    </w:rPr>
                    <w:t>办公室</w:t>
                  </w:r>
                </w:p>
              </w:tc>
              <w:tc>
                <w:tcPr>
                  <w:tcW w:w="4394" w:type="dxa"/>
                  <w:vAlign w:val="center"/>
                </w:tcPr>
                <w:p>
                  <w:pPr>
                    <w:pStyle w:val="58"/>
                    <w:spacing w:line="320" w:lineRule="exact"/>
                  </w:pPr>
                  <w:r>
                    <w:rPr>
                      <w:rFonts w:hint="eastAsia"/>
                      <w:kern w:val="0"/>
                      <w:szCs w:val="21"/>
                    </w:rPr>
                    <w:t>办公室4间（租赁凯胜办公室）</w:t>
                  </w:r>
                </w:p>
              </w:tc>
              <w:tc>
                <w:tcPr>
                  <w:tcW w:w="1146" w:type="dxa"/>
                  <w:vAlign w:val="center"/>
                </w:tcPr>
                <w:p>
                  <w:pPr>
                    <w:pStyle w:val="58"/>
                    <w:spacing w:line="320" w:lineRule="exact"/>
                  </w:pPr>
                  <w:r>
                    <w:rPr>
                      <w:rFonts w:hint="eastAsia"/>
                    </w:rPr>
                    <w:t>利用现有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vAlign w:val="center"/>
                </w:tcPr>
                <w:p>
                  <w:pPr>
                    <w:pStyle w:val="58"/>
                    <w:spacing w:line="320" w:lineRule="exact"/>
                  </w:pPr>
                </w:p>
              </w:tc>
              <w:tc>
                <w:tcPr>
                  <w:tcW w:w="1985" w:type="dxa"/>
                  <w:gridSpan w:val="2"/>
                  <w:vAlign w:val="center"/>
                </w:tcPr>
                <w:p>
                  <w:pPr>
                    <w:pStyle w:val="58"/>
                    <w:spacing w:line="320" w:lineRule="exact"/>
                  </w:pPr>
                  <w:r>
                    <w:rPr>
                      <w:rFonts w:hint="eastAsia"/>
                    </w:rPr>
                    <w:t>给水</w:t>
                  </w:r>
                </w:p>
              </w:tc>
              <w:tc>
                <w:tcPr>
                  <w:tcW w:w="4394" w:type="dxa"/>
                  <w:vAlign w:val="center"/>
                </w:tcPr>
                <w:p>
                  <w:pPr>
                    <w:pStyle w:val="58"/>
                    <w:spacing w:line="320" w:lineRule="exact"/>
                  </w:pPr>
                  <w:r>
                    <w:rPr>
                      <w:rFonts w:hint="eastAsia"/>
                    </w:rPr>
                    <w:t>市政自来水管网</w:t>
                  </w:r>
                </w:p>
              </w:tc>
              <w:tc>
                <w:tcPr>
                  <w:tcW w:w="1146" w:type="dxa"/>
                  <w:vAlign w:val="center"/>
                </w:tcPr>
                <w:p>
                  <w:pPr>
                    <w:pStyle w:val="58"/>
                    <w:spacing w:line="320" w:lineRule="exact"/>
                  </w:pPr>
                  <w:r>
                    <w:rPr>
                      <w:rFonts w:hint="eastAsia"/>
                    </w:rPr>
                    <w:t>利用现有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vAlign w:val="center"/>
                </w:tcPr>
                <w:p>
                  <w:pPr>
                    <w:pStyle w:val="58"/>
                    <w:spacing w:line="320" w:lineRule="exact"/>
                    <w:rPr>
                      <w:kern w:val="0"/>
                    </w:rPr>
                  </w:pPr>
                </w:p>
              </w:tc>
              <w:tc>
                <w:tcPr>
                  <w:tcW w:w="1985" w:type="dxa"/>
                  <w:gridSpan w:val="2"/>
                  <w:vMerge w:val="restart"/>
                  <w:vAlign w:val="center"/>
                </w:tcPr>
                <w:p>
                  <w:pPr>
                    <w:pStyle w:val="58"/>
                    <w:spacing w:line="320" w:lineRule="exact"/>
                  </w:pPr>
                  <w:r>
                    <w:rPr>
                      <w:rFonts w:hint="eastAsia"/>
                    </w:rPr>
                    <w:t>排水</w:t>
                  </w:r>
                </w:p>
              </w:tc>
              <w:tc>
                <w:tcPr>
                  <w:tcW w:w="4394" w:type="dxa"/>
                  <w:vAlign w:val="center"/>
                </w:tcPr>
                <w:p>
                  <w:pPr>
                    <w:spacing w:line="320" w:lineRule="exact"/>
                    <w:rPr>
                      <w:kern w:val="0"/>
                      <w:szCs w:val="21"/>
                    </w:rPr>
                  </w:pPr>
                  <w:r>
                    <w:rPr>
                      <w:rFonts w:hint="eastAsia"/>
                      <w:kern w:val="0"/>
                      <w:szCs w:val="21"/>
                    </w:rPr>
                    <w:t>生活用水依托厂区现有污水处理设施，</w:t>
                  </w:r>
                  <w:r>
                    <w:rPr>
                      <w:rFonts w:hint="eastAsia"/>
                      <w:kern w:val="0"/>
                      <w:szCs w:val="21"/>
                      <w:u w:val="single"/>
                    </w:rPr>
                    <w:t>处理后用于厂区绿化，远期排入偃师区第二污水处理厂</w:t>
                  </w:r>
                </w:p>
              </w:tc>
              <w:tc>
                <w:tcPr>
                  <w:tcW w:w="1146" w:type="dxa"/>
                  <w:vAlign w:val="center"/>
                </w:tcPr>
                <w:p>
                  <w:pPr>
                    <w:pStyle w:val="58"/>
                    <w:spacing w:line="320" w:lineRule="exact"/>
                  </w:pPr>
                  <w:r>
                    <w:rPr>
                      <w:rFonts w:hint="eastAsia"/>
                    </w:rPr>
                    <w:t>利用现有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vAlign w:val="center"/>
                </w:tcPr>
                <w:p>
                  <w:pPr>
                    <w:pStyle w:val="58"/>
                    <w:spacing w:line="320" w:lineRule="exact"/>
                    <w:rPr>
                      <w:kern w:val="0"/>
                    </w:rPr>
                  </w:pPr>
                </w:p>
              </w:tc>
              <w:tc>
                <w:tcPr>
                  <w:tcW w:w="1985" w:type="dxa"/>
                  <w:gridSpan w:val="2"/>
                  <w:vMerge w:val="continue"/>
                  <w:vAlign w:val="center"/>
                </w:tcPr>
                <w:p>
                  <w:pPr>
                    <w:pStyle w:val="58"/>
                    <w:spacing w:line="320" w:lineRule="exact"/>
                  </w:pPr>
                </w:p>
              </w:tc>
              <w:tc>
                <w:tcPr>
                  <w:tcW w:w="4394" w:type="dxa"/>
                  <w:vAlign w:val="center"/>
                </w:tcPr>
                <w:p>
                  <w:pPr>
                    <w:spacing w:line="320" w:lineRule="exact"/>
                    <w:rPr>
                      <w:kern w:val="0"/>
                      <w:szCs w:val="21"/>
                    </w:rPr>
                  </w:pPr>
                  <w:r>
                    <w:rPr>
                      <w:rFonts w:hint="eastAsia"/>
                      <w:kern w:val="0"/>
                      <w:szCs w:val="21"/>
                    </w:rPr>
                    <w:t>设备冷却水循环使用，定期更换，用于厂区洒水绿化降尘，不外排</w:t>
                  </w:r>
                </w:p>
              </w:tc>
              <w:tc>
                <w:tcPr>
                  <w:tcW w:w="1146" w:type="dxa"/>
                  <w:vAlign w:val="center"/>
                </w:tcPr>
                <w:p>
                  <w:pPr>
                    <w:pStyle w:val="58"/>
                    <w:spacing w:line="320" w:lineRule="exact"/>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vAlign w:val="center"/>
                </w:tcPr>
                <w:p>
                  <w:pPr>
                    <w:pStyle w:val="58"/>
                    <w:spacing w:line="320" w:lineRule="exact"/>
                    <w:rPr>
                      <w:kern w:val="0"/>
                    </w:rPr>
                  </w:pPr>
                </w:p>
              </w:tc>
              <w:tc>
                <w:tcPr>
                  <w:tcW w:w="1985" w:type="dxa"/>
                  <w:gridSpan w:val="2"/>
                  <w:vAlign w:val="center"/>
                </w:tcPr>
                <w:p>
                  <w:pPr>
                    <w:pStyle w:val="58"/>
                    <w:spacing w:line="320" w:lineRule="exact"/>
                  </w:pPr>
                  <w:r>
                    <w:rPr>
                      <w:rFonts w:hint="eastAsia"/>
                    </w:rPr>
                    <w:t>供电</w:t>
                  </w:r>
                </w:p>
              </w:tc>
              <w:tc>
                <w:tcPr>
                  <w:tcW w:w="4394" w:type="dxa"/>
                  <w:vAlign w:val="center"/>
                </w:tcPr>
                <w:p>
                  <w:pPr>
                    <w:pStyle w:val="58"/>
                    <w:spacing w:line="320" w:lineRule="exact"/>
                  </w:pPr>
                  <w:r>
                    <w:rPr>
                      <w:rFonts w:hint="eastAsia" w:ascii="宋体" w:hAnsi="宋体" w:cs="宋体"/>
                      <w:szCs w:val="21"/>
                    </w:rPr>
                    <w:t>市政</w:t>
                  </w:r>
                  <w:r>
                    <w:rPr>
                      <w:rFonts w:hint="eastAsia"/>
                    </w:rPr>
                    <w:t>供电系统</w:t>
                  </w:r>
                </w:p>
              </w:tc>
              <w:tc>
                <w:tcPr>
                  <w:tcW w:w="1146" w:type="dxa"/>
                  <w:vAlign w:val="center"/>
                </w:tcPr>
                <w:p>
                  <w:pPr>
                    <w:pStyle w:val="58"/>
                    <w:spacing w:line="320" w:lineRule="exact"/>
                  </w:pPr>
                  <w:r>
                    <w:rPr>
                      <w:rFonts w:hint="eastAsia"/>
                    </w:rPr>
                    <w:t>利用现有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restart"/>
                  <w:vAlign w:val="center"/>
                </w:tcPr>
                <w:p>
                  <w:pPr>
                    <w:pStyle w:val="58"/>
                    <w:spacing w:line="320" w:lineRule="exact"/>
                    <w:rPr>
                      <w:kern w:val="0"/>
                    </w:rPr>
                  </w:pPr>
                  <w:r>
                    <w:rPr>
                      <w:rFonts w:hint="eastAsia"/>
                      <w:kern w:val="0"/>
                    </w:rPr>
                    <w:t>环保工程</w:t>
                  </w:r>
                </w:p>
              </w:tc>
              <w:tc>
                <w:tcPr>
                  <w:tcW w:w="425" w:type="dxa"/>
                  <w:vMerge w:val="restart"/>
                  <w:vAlign w:val="center"/>
                </w:tcPr>
                <w:p>
                  <w:pPr>
                    <w:pStyle w:val="58"/>
                    <w:spacing w:line="320" w:lineRule="exact"/>
                  </w:pPr>
                  <w:r>
                    <w:rPr>
                      <w:rFonts w:hint="eastAsia"/>
                    </w:rPr>
                    <w:t>废气</w:t>
                  </w:r>
                </w:p>
              </w:tc>
              <w:tc>
                <w:tcPr>
                  <w:tcW w:w="1560" w:type="dxa"/>
                  <w:vAlign w:val="center"/>
                </w:tcPr>
                <w:p>
                  <w:pPr>
                    <w:pStyle w:val="58"/>
                    <w:spacing w:line="320" w:lineRule="exact"/>
                  </w:pPr>
                  <w:r>
                    <w:rPr>
                      <w:rFonts w:hint="eastAsia"/>
                    </w:rPr>
                    <w:t>2#车间</w:t>
                  </w:r>
                  <w:r>
                    <w:rPr>
                      <w:rFonts w:hint="eastAsia"/>
                      <w:kern w:val="0"/>
                      <w:szCs w:val="21"/>
                    </w:rPr>
                    <w:t>拉丝机、覆膜机有机废气</w:t>
                  </w:r>
                </w:p>
              </w:tc>
              <w:tc>
                <w:tcPr>
                  <w:tcW w:w="4394" w:type="dxa"/>
                  <w:vAlign w:val="center"/>
                </w:tcPr>
                <w:p>
                  <w:pPr>
                    <w:pStyle w:val="58"/>
                    <w:spacing w:line="320" w:lineRule="exact"/>
                    <w:jc w:val="both"/>
                    <w:rPr>
                      <w:rFonts w:ascii="宋体" w:hAnsi="宋体" w:cs="宋体"/>
                      <w:szCs w:val="21"/>
                      <w:u w:val="single"/>
                    </w:rPr>
                  </w:pPr>
                  <w:r>
                    <w:rPr>
                      <w:rFonts w:hint="eastAsia"/>
                      <w:kern w:val="0"/>
                      <w:szCs w:val="21"/>
                      <w:u w:val="single"/>
                    </w:rPr>
                    <w:t>2组拉丝机挤出工序、烘干工序进出口设集气罩，集气罩+光氧催化+活性炭吸附装置（1套）+15m高排气筒（1根，DA001）</w:t>
                  </w:r>
                </w:p>
              </w:tc>
              <w:tc>
                <w:tcPr>
                  <w:tcW w:w="1146" w:type="dxa"/>
                  <w:vAlign w:val="center"/>
                </w:tcPr>
                <w:p>
                  <w:pPr>
                    <w:pStyle w:val="58"/>
                    <w:spacing w:line="320" w:lineRule="exact"/>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vAlign w:val="center"/>
                </w:tcPr>
                <w:p>
                  <w:pPr>
                    <w:pStyle w:val="58"/>
                    <w:spacing w:line="320" w:lineRule="exact"/>
                    <w:rPr>
                      <w:kern w:val="0"/>
                    </w:rPr>
                  </w:pPr>
                </w:p>
              </w:tc>
              <w:tc>
                <w:tcPr>
                  <w:tcW w:w="425" w:type="dxa"/>
                  <w:vMerge w:val="continue"/>
                  <w:vAlign w:val="center"/>
                </w:tcPr>
                <w:p>
                  <w:pPr>
                    <w:pStyle w:val="58"/>
                    <w:spacing w:line="320" w:lineRule="exact"/>
                  </w:pPr>
                </w:p>
              </w:tc>
              <w:tc>
                <w:tcPr>
                  <w:tcW w:w="1560" w:type="dxa"/>
                  <w:vAlign w:val="center"/>
                </w:tcPr>
                <w:p>
                  <w:pPr>
                    <w:pStyle w:val="58"/>
                    <w:spacing w:line="320" w:lineRule="exact"/>
                  </w:pPr>
                  <w:r>
                    <w:rPr>
                      <w:rFonts w:hint="eastAsia"/>
                    </w:rPr>
                    <w:t>2#车间</w:t>
                  </w:r>
                  <w:r>
                    <w:rPr>
                      <w:rFonts w:hint="eastAsia"/>
                      <w:kern w:val="0"/>
                      <w:szCs w:val="21"/>
                    </w:rPr>
                    <w:t>拉丝机、覆膜机搅拌工序</w:t>
                  </w:r>
                </w:p>
              </w:tc>
              <w:tc>
                <w:tcPr>
                  <w:tcW w:w="4394" w:type="dxa"/>
                  <w:vAlign w:val="center"/>
                </w:tcPr>
                <w:p>
                  <w:pPr>
                    <w:pStyle w:val="58"/>
                    <w:spacing w:line="320" w:lineRule="exact"/>
                    <w:jc w:val="both"/>
                    <w:rPr>
                      <w:rFonts w:ascii="宋体" w:hAnsi="宋体" w:cs="宋体"/>
                      <w:szCs w:val="21"/>
                      <w:u w:val="single"/>
                    </w:rPr>
                  </w:pPr>
                  <w:r>
                    <w:rPr>
                      <w:rFonts w:hint="eastAsia"/>
                      <w:kern w:val="0"/>
                      <w:szCs w:val="21"/>
                      <w:u w:val="single"/>
                    </w:rPr>
                    <w:t>2组</w:t>
                  </w:r>
                  <w:r>
                    <w:rPr>
                      <w:rFonts w:hint="eastAsia"/>
                      <w:szCs w:val="21"/>
                      <w:u w:val="single"/>
                    </w:rPr>
                    <w:t>拉丝机组搅拌机设密闭集气罩，密闭集气罩</w:t>
                  </w:r>
                  <w:r>
                    <w:rPr>
                      <w:szCs w:val="21"/>
                      <w:u w:val="single"/>
                    </w:rPr>
                    <w:t>+</w:t>
                  </w:r>
                  <w:r>
                    <w:rPr>
                      <w:rFonts w:hint="eastAsia"/>
                      <w:szCs w:val="21"/>
                      <w:u w:val="single"/>
                    </w:rPr>
                    <w:t>袋式除尘器</w:t>
                  </w:r>
                  <w:r>
                    <w:rPr>
                      <w:rFonts w:hint="eastAsia"/>
                      <w:kern w:val="0"/>
                      <w:szCs w:val="21"/>
                      <w:u w:val="single"/>
                    </w:rPr>
                    <w:t>（1套）</w:t>
                  </w:r>
                  <w:r>
                    <w:rPr>
                      <w:rFonts w:hint="eastAsia"/>
                      <w:szCs w:val="21"/>
                      <w:u w:val="single"/>
                    </w:rPr>
                    <w:t>+</w:t>
                  </w:r>
                  <w:r>
                    <w:rPr>
                      <w:szCs w:val="21"/>
                      <w:u w:val="single"/>
                    </w:rPr>
                    <w:t>15m排气筒</w:t>
                  </w:r>
                  <w:r>
                    <w:rPr>
                      <w:rFonts w:hint="eastAsia"/>
                      <w:kern w:val="0"/>
                      <w:szCs w:val="21"/>
                      <w:u w:val="single"/>
                    </w:rPr>
                    <w:t>（1根，DA002）</w:t>
                  </w:r>
                </w:p>
              </w:tc>
              <w:tc>
                <w:tcPr>
                  <w:tcW w:w="1146" w:type="dxa"/>
                  <w:vAlign w:val="center"/>
                </w:tcPr>
                <w:p>
                  <w:pPr>
                    <w:pStyle w:val="58"/>
                    <w:spacing w:line="320" w:lineRule="exact"/>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vAlign w:val="center"/>
                </w:tcPr>
                <w:p>
                  <w:pPr>
                    <w:pStyle w:val="58"/>
                    <w:spacing w:line="320" w:lineRule="exact"/>
                    <w:rPr>
                      <w:kern w:val="0"/>
                    </w:rPr>
                  </w:pPr>
                </w:p>
              </w:tc>
              <w:tc>
                <w:tcPr>
                  <w:tcW w:w="425" w:type="dxa"/>
                  <w:vMerge w:val="continue"/>
                  <w:vAlign w:val="center"/>
                </w:tcPr>
                <w:p>
                  <w:pPr>
                    <w:pStyle w:val="58"/>
                    <w:spacing w:line="320" w:lineRule="exact"/>
                  </w:pPr>
                </w:p>
              </w:tc>
              <w:tc>
                <w:tcPr>
                  <w:tcW w:w="1560" w:type="dxa"/>
                  <w:vAlign w:val="center"/>
                </w:tcPr>
                <w:p>
                  <w:pPr>
                    <w:adjustRightInd w:val="0"/>
                    <w:snapToGrid w:val="0"/>
                    <w:spacing w:line="320" w:lineRule="exact"/>
                    <w:jc w:val="center"/>
                    <w:rPr>
                      <w:kern w:val="0"/>
                      <w:szCs w:val="21"/>
                    </w:rPr>
                  </w:pPr>
                  <w:r>
                    <w:rPr>
                      <w:rFonts w:hint="eastAsia"/>
                      <w:kern w:val="0"/>
                      <w:szCs w:val="21"/>
                    </w:rPr>
                    <w:t>3#车间拉丝机、覆膜机有机废气</w:t>
                  </w:r>
                </w:p>
              </w:tc>
              <w:tc>
                <w:tcPr>
                  <w:tcW w:w="4394" w:type="dxa"/>
                  <w:vAlign w:val="center"/>
                </w:tcPr>
                <w:p>
                  <w:pPr>
                    <w:adjustRightInd w:val="0"/>
                    <w:snapToGrid w:val="0"/>
                    <w:spacing w:line="320" w:lineRule="exact"/>
                    <w:rPr>
                      <w:kern w:val="0"/>
                      <w:szCs w:val="21"/>
                      <w:u w:val="single"/>
                    </w:rPr>
                  </w:pPr>
                  <w:r>
                    <w:rPr>
                      <w:rFonts w:hint="eastAsia"/>
                      <w:kern w:val="0"/>
                      <w:szCs w:val="21"/>
                      <w:u w:val="single"/>
                    </w:rPr>
                    <w:t>4组拉丝机挤出工序、烘干工序进出口设集气罩，2组覆膜机挤出工序设集气罩，集气罩+光氧催化+活性炭吸附装置（1套）+15m高排气筒（1根，DA003）</w:t>
                  </w:r>
                </w:p>
              </w:tc>
              <w:tc>
                <w:tcPr>
                  <w:tcW w:w="1146" w:type="dxa"/>
                  <w:vAlign w:val="center"/>
                </w:tcPr>
                <w:p>
                  <w:pPr>
                    <w:pStyle w:val="58"/>
                    <w:spacing w:line="320" w:lineRule="exact"/>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vAlign w:val="center"/>
                </w:tcPr>
                <w:p>
                  <w:pPr>
                    <w:pStyle w:val="58"/>
                    <w:spacing w:line="320" w:lineRule="exact"/>
                    <w:rPr>
                      <w:kern w:val="0"/>
                    </w:rPr>
                  </w:pPr>
                </w:p>
              </w:tc>
              <w:tc>
                <w:tcPr>
                  <w:tcW w:w="425" w:type="dxa"/>
                  <w:vMerge w:val="continue"/>
                  <w:vAlign w:val="center"/>
                </w:tcPr>
                <w:p>
                  <w:pPr>
                    <w:pStyle w:val="58"/>
                    <w:spacing w:line="320" w:lineRule="exact"/>
                  </w:pPr>
                </w:p>
              </w:tc>
              <w:tc>
                <w:tcPr>
                  <w:tcW w:w="1560" w:type="dxa"/>
                  <w:vAlign w:val="center"/>
                </w:tcPr>
                <w:p>
                  <w:pPr>
                    <w:adjustRightInd w:val="0"/>
                    <w:snapToGrid w:val="0"/>
                    <w:spacing w:line="320" w:lineRule="exact"/>
                    <w:jc w:val="center"/>
                    <w:rPr>
                      <w:kern w:val="0"/>
                      <w:szCs w:val="21"/>
                    </w:rPr>
                  </w:pPr>
                  <w:r>
                    <w:rPr>
                      <w:rFonts w:hint="eastAsia"/>
                      <w:kern w:val="0"/>
                      <w:szCs w:val="21"/>
                    </w:rPr>
                    <w:t>3#车间拉丝机、覆膜机搅拌工序</w:t>
                  </w:r>
                </w:p>
              </w:tc>
              <w:tc>
                <w:tcPr>
                  <w:tcW w:w="4394" w:type="dxa"/>
                  <w:vAlign w:val="center"/>
                </w:tcPr>
                <w:p>
                  <w:pPr>
                    <w:spacing w:line="320" w:lineRule="exact"/>
                    <w:rPr>
                      <w:kern w:val="0"/>
                      <w:szCs w:val="21"/>
                      <w:u w:val="single"/>
                    </w:rPr>
                  </w:pPr>
                  <w:r>
                    <w:rPr>
                      <w:rFonts w:hint="eastAsia"/>
                      <w:kern w:val="0"/>
                      <w:szCs w:val="21"/>
                      <w:u w:val="single"/>
                    </w:rPr>
                    <w:t>4组</w:t>
                  </w:r>
                  <w:r>
                    <w:rPr>
                      <w:rFonts w:hint="eastAsia"/>
                      <w:szCs w:val="21"/>
                      <w:u w:val="single"/>
                    </w:rPr>
                    <w:t>拉丝机组、2组覆膜机搅拌机设集气罩、下料口设密闭集气罩，密闭集气罩</w:t>
                  </w:r>
                  <w:r>
                    <w:rPr>
                      <w:szCs w:val="21"/>
                      <w:u w:val="single"/>
                    </w:rPr>
                    <w:t>+</w:t>
                  </w:r>
                  <w:r>
                    <w:rPr>
                      <w:rFonts w:hint="eastAsia"/>
                      <w:szCs w:val="21"/>
                      <w:u w:val="single"/>
                    </w:rPr>
                    <w:t>袋式除尘器</w:t>
                  </w:r>
                  <w:r>
                    <w:rPr>
                      <w:rFonts w:hint="eastAsia"/>
                      <w:kern w:val="0"/>
                      <w:szCs w:val="21"/>
                      <w:u w:val="single"/>
                    </w:rPr>
                    <w:t>（1套）</w:t>
                  </w:r>
                  <w:r>
                    <w:rPr>
                      <w:rFonts w:hint="eastAsia"/>
                      <w:szCs w:val="21"/>
                      <w:u w:val="single"/>
                    </w:rPr>
                    <w:t>+</w:t>
                  </w:r>
                  <w:r>
                    <w:rPr>
                      <w:szCs w:val="21"/>
                      <w:u w:val="single"/>
                    </w:rPr>
                    <w:t>15m排气筒</w:t>
                  </w:r>
                  <w:r>
                    <w:rPr>
                      <w:rFonts w:hint="eastAsia"/>
                      <w:kern w:val="0"/>
                      <w:szCs w:val="21"/>
                      <w:u w:val="single"/>
                    </w:rPr>
                    <w:t>（1根，DA004）</w:t>
                  </w:r>
                </w:p>
              </w:tc>
              <w:tc>
                <w:tcPr>
                  <w:tcW w:w="1146" w:type="dxa"/>
                  <w:vAlign w:val="center"/>
                </w:tcPr>
                <w:p>
                  <w:pPr>
                    <w:pStyle w:val="58"/>
                    <w:spacing w:line="320" w:lineRule="exact"/>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vAlign w:val="center"/>
                </w:tcPr>
                <w:p>
                  <w:pPr>
                    <w:pStyle w:val="58"/>
                    <w:spacing w:line="320" w:lineRule="exact"/>
                    <w:rPr>
                      <w:kern w:val="0"/>
                    </w:rPr>
                  </w:pPr>
                </w:p>
              </w:tc>
              <w:tc>
                <w:tcPr>
                  <w:tcW w:w="425" w:type="dxa"/>
                  <w:vMerge w:val="restart"/>
                  <w:vAlign w:val="center"/>
                </w:tcPr>
                <w:p>
                  <w:pPr>
                    <w:pStyle w:val="58"/>
                    <w:spacing w:line="320" w:lineRule="exact"/>
                  </w:pPr>
                  <w:r>
                    <w:rPr>
                      <w:rFonts w:hint="eastAsia"/>
                    </w:rPr>
                    <w:t>废水</w:t>
                  </w:r>
                </w:p>
              </w:tc>
              <w:tc>
                <w:tcPr>
                  <w:tcW w:w="1560" w:type="dxa"/>
                  <w:vAlign w:val="center"/>
                </w:tcPr>
                <w:p>
                  <w:pPr>
                    <w:pStyle w:val="58"/>
                    <w:spacing w:line="320" w:lineRule="exact"/>
                  </w:pPr>
                  <w:r>
                    <w:rPr>
                      <w:rFonts w:hint="eastAsia"/>
                    </w:rPr>
                    <w:t>生活污水</w:t>
                  </w:r>
                </w:p>
              </w:tc>
              <w:tc>
                <w:tcPr>
                  <w:tcW w:w="4394" w:type="dxa"/>
                  <w:vAlign w:val="center"/>
                </w:tcPr>
                <w:p>
                  <w:pPr>
                    <w:spacing w:line="320" w:lineRule="exact"/>
                  </w:pPr>
                  <w:r>
                    <w:rPr>
                      <w:rFonts w:hint="eastAsia"/>
                      <w:kern w:val="0"/>
                      <w:szCs w:val="21"/>
                    </w:rPr>
                    <w:t>依托厂区现有污水处理设施，处理后用于厂区绿化，远期排入偃师区第二污水处理厂</w:t>
                  </w:r>
                </w:p>
              </w:tc>
              <w:tc>
                <w:tcPr>
                  <w:tcW w:w="1146" w:type="dxa"/>
                  <w:vAlign w:val="center"/>
                </w:tcPr>
                <w:p>
                  <w:pPr>
                    <w:pStyle w:val="58"/>
                    <w:spacing w:line="320" w:lineRule="exact"/>
                  </w:pPr>
                  <w:r>
                    <w:rPr>
                      <w:rFonts w:hint="eastAsia"/>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vAlign w:val="center"/>
                </w:tcPr>
                <w:p>
                  <w:pPr>
                    <w:pStyle w:val="58"/>
                    <w:spacing w:line="320" w:lineRule="exact"/>
                    <w:rPr>
                      <w:kern w:val="0"/>
                    </w:rPr>
                  </w:pPr>
                </w:p>
              </w:tc>
              <w:tc>
                <w:tcPr>
                  <w:tcW w:w="425" w:type="dxa"/>
                  <w:vMerge w:val="continue"/>
                  <w:vAlign w:val="center"/>
                </w:tcPr>
                <w:p>
                  <w:pPr>
                    <w:pStyle w:val="58"/>
                    <w:spacing w:line="320" w:lineRule="exact"/>
                  </w:pPr>
                </w:p>
              </w:tc>
              <w:tc>
                <w:tcPr>
                  <w:tcW w:w="1560" w:type="dxa"/>
                  <w:vAlign w:val="center"/>
                </w:tcPr>
                <w:p>
                  <w:pPr>
                    <w:pStyle w:val="58"/>
                    <w:spacing w:line="320" w:lineRule="exact"/>
                  </w:pPr>
                  <w:r>
                    <w:rPr>
                      <w:rFonts w:hint="eastAsia"/>
                    </w:rPr>
                    <w:t>生产废水</w:t>
                  </w:r>
                </w:p>
              </w:tc>
              <w:tc>
                <w:tcPr>
                  <w:tcW w:w="4394" w:type="dxa"/>
                  <w:vAlign w:val="center"/>
                </w:tcPr>
                <w:p>
                  <w:pPr>
                    <w:spacing w:line="320" w:lineRule="exact"/>
                    <w:rPr>
                      <w:kern w:val="0"/>
                      <w:szCs w:val="21"/>
                    </w:rPr>
                  </w:pPr>
                  <w:r>
                    <w:rPr>
                      <w:rFonts w:hint="eastAsia"/>
                      <w:kern w:val="0"/>
                      <w:szCs w:val="21"/>
                    </w:rPr>
                    <w:t>设备冷却水循环使用，定期更换，用于厂区洒水绿化降尘，不外排</w:t>
                  </w:r>
                </w:p>
              </w:tc>
              <w:tc>
                <w:tcPr>
                  <w:tcW w:w="1146" w:type="dxa"/>
                  <w:vAlign w:val="center"/>
                </w:tcPr>
                <w:p>
                  <w:pPr>
                    <w:pStyle w:val="58"/>
                    <w:spacing w:line="320" w:lineRule="exact"/>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vAlign w:val="center"/>
                </w:tcPr>
                <w:p>
                  <w:pPr>
                    <w:pStyle w:val="58"/>
                    <w:spacing w:line="320" w:lineRule="exact"/>
                    <w:rPr>
                      <w:kern w:val="0"/>
                    </w:rPr>
                  </w:pPr>
                </w:p>
              </w:tc>
              <w:tc>
                <w:tcPr>
                  <w:tcW w:w="1985" w:type="dxa"/>
                  <w:gridSpan w:val="2"/>
                  <w:vAlign w:val="center"/>
                </w:tcPr>
                <w:p>
                  <w:pPr>
                    <w:pStyle w:val="58"/>
                    <w:spacing w:line="320" w:lineRule="exact"/>
                  </w:pPr>
                  <w:r>
                    <w:rPr>
                      <w:rFonts w:hint="eastAsia"/>
                    </w:rPr>
                    <w:t>噪声</w:t>
                  </w:r>
                </w:p>
              </w:tc>
              <w:tc>
                <w:tcPr>
                  <w:tcW w:w="4394" w:type="dxa"/>
                  <w:vAlign w:val="center"/>
                </w:tcPr>
                <w:p>
                  <w:pPr>
                    <w:pStyle w:val="58"/>
                    <w:spacing w:line="320" w:lineRule="exact"/>
                  </w:pPr>
                  <w:r>
                    <w:rPr>
                      <w:rFonts w:hint="eastAsia"/>
                    </w:rPr>
                    <w:t>车间隔声、距离衰减</w:t>
                  </w:r>
                </w:p>
              </w:tc>
              <w:tc>
                <w:tcPr>
                  <w:tcW w:w="1146" w:type="dxa"/>
                  <w:vAlign w:val="center"/>
                </w:tcPr>
                <w:p>
                  <w:pPr>
                    <w:pStyle w:val="58"/>
                    <w:spacing w:line="320" w:lineRule="exact"/>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vAlign w:val="center"/>
                </w:tcPr>
                <w:p>
                  <w:pPr>
                    <w:pStyle w:val="58"/>
                    <w:spacing w:line="320" w:lineRule="exact"/>
                    <w:rPr>
                      <w:kern w:val="0"/>
                    </w:rPr>
                  </w:pPr>
                </w:p>
              </w:tc>
              <w:tc>
                <w:tcPr>
                  <w:tcW w:w="425" w:type="dxa"/>
                  <w:vMerge w:val="restart"/>
                  <w:vAlign w:val="center"/>
                </w:tcPr>
                <w:p>
                  <w:pPr>
                    <w:pStyle w:val="58"/>
                    <w:spacing w:line="320" w:lineRule="exact"/>
                  </w:pPr>
                  <w:r>
                    <w:rPr>
                      <w:rFonts w:hint="eastAsia"/>
                    </w:rPr>
                    <w:t>固废</w:t>
                  </w:r>
                </w:p>
              </w:tc>
              <w:tc>
                <w:tcPr>
                  <w:tcW w:w="1560" w:type="dxa"/>
                  <w:vAlign w:val="center"/>
                </w:tcPr>
                <w:p>
                  <w:pPr>
                    <w:pStyle w:val="58"/>
                    <w:spacing w:line="320" w:lineRule="exact"/>
                  </w:pPr>
                  <w:r>
                    <w:rPr>
                      <w:rFonts w:hint="eastAsia"/>
                    </w:rPr>
                    <w:t>生活垃圾</w:t>
                  </w:r>
                </w:p>
              </w:tc>
              <w:tc>
                <w:tcPr>
                  <w:tcW w:w="4394" w:type="dxa"/>
                  <w:vAlign w:val="center"/>
                </w:tcPr>
                <w:p>
                  <w:pPr>
                    <w:pStyle w:val="58"/>
                    <w:spacing w:line="320" w:lineRule="exact"/>
                  </w:pPr>
                  <w:r>
                    <w:rPr>
                      <w:rFonts w:hint="eastAsia"/>
                    </w:rPr>
                    <w:t>垃圾桶收集，交环卫部门处理处置</w:t>
                  </w:r>
                </w:p>
              </w:tc>
              <w:tc>
                <w:tcPr>
                  <w:tcW w:w="1146" w:type="dxa"/>
                  <w:vAlign w:val="center"/>
                </w:tcPr>
                <w:p>
                  <w:pPr>
                    <w:pStyle w:val="58"/>
                    <w:spacing w:line="320" w:lineRule="exact"/>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vAlign w:val="center"/>
                </w:tcPr>
                <w:p>
                  <w:pPr>
                    <w:pStyle w:val="58"/>
                    <w:spacing w:line="320" w:lineRule="exact"/>
                    <w:rPr>
                      <w:kern w:val="0"/>
                    </w:rPr>
                  </w:pPr>
                </w:p>
              </w:tc>
              <w:tc>
                <w:tcPr>
                  <w:tcW w:w="425" w:type="dxa"/>
                  <w:vMerge w:val="continue"/>
                  <w:vAlign w:val="center"/>
                </w:tcPr>
                <w:p>
                  <w:pPr>
                    <w:pStyle w:val="58"/>
                    <w:spacing w:line="320" w:lineRule="exact"/>
                  </w:pPr>
                </w:p>
              </w:tc>
              <w:tc>
                <w:tcPr>
                  <w:tcW w:w="1560" w:type="dxa"/>
                  <w:vAlign w:val="center"/>
                </w:tcPr>
                <w:p>
                  <w:pPr>
                    <w:pStyle w:val="58"/>
                    <w:spacing w:line="320" w:lineRule="exact"/>
                  </w:pPr>
                  <w:r>
                    <w:rPr>
                      <w:rFonts w:hint="eastAsia"/>
                    </w:rPr>
                    <w:t>一般工业固废</w:t>
                  </w:r>
                </w:p>
              </w:tc>
              <w:tc>
                <w:tcPr>
                  <w:tcW w:w="4394" w:type="dxa"/>
                  <w:vAlign w:val="center"/>
                </w:tcPr>
                <w:p>
                  <w:pPr>
                    <w:pStyle w:val="58"/>
                    <w:spacing w:line="320" w:lineRule="exact"/>
                  </w:pPr>
                  <w:r>
                    <w:rPr>
                      <w:rFonts w:hint="eastAsia"/>
                      <w:kern w:val="0"/>
                      <w:szCs w:val="21"/>
                    </w:rPr>
                    <w:t>一般</w:t>
                  </w:r>
                  <w:r>
                    <w:rPr>
                      <w:kern w:val="0"/>
                      <w:szCs w:val="21"/>
                    </w:rPr>
                    <w:t>固废暂存区</w:t>
                  </w:r>
                  <w:r>
                    <w:rPr>
                      <w:rFonts w:hint="eastAsia"/>
                      <w:kern w:val="0"/>
                      <w:szCs w:val="21"/>
                    </w:rPr>
                    <w:t>32m</w:t>
                  </w:r>
                  <w:r>
                    <w:rPr>
                      <w:rFonts w:hint="eastAsia"/>
                      <w:kern w:val="0"/>
                      <w:szCs w:val="21"/>
                      <w:vertAlign w:val="superscript"/>
                    </w:rPr>
                    <w:t>2</w:t>
                  </w:r>
                  <w:r>
                    <w:rPr>
                      <w:kern w:val="0"/>
                      <w:szCs w:val="21"/>
                    </w:rPr>
                    <w:t>，存放一般工业固废，主要为</w:t>
                  </w:r>
                  <w:r>
                    <w:rPr>
                      <w:rFonts w:hint="eastAsia"/>
                      <w:kern w:val="0"/>
                      <w:szCs w:val="21"/>
                    </w:rPr>
                    <w:t>废丝、废边角料</w:t>
                  </w:r>
                  <w:r>
                    <w:rPr>
                      <w:kern w:val="0"/>
                      <w:szCs w:val="21"/>
                    </w:rPr>
                    <w:t>原材料包装物</w:t>
                  </w:r>
                  <w:r>
                    <w:rPr>
                      <w:rFonts w:hint="eastAsia"/>
                      <w:kern w:val="0"/>
                      <w:szCs w:val="21"/>
                    </w:rPr>
                    <w:t>等</w:t>
                  </w:r>
                </w:p>
              </w:tc>
              <w:tc>
                <w:tcPr>
                  <w:tcW w:w="1146" w:type="dxa"/>
                  <w:vAlign w:val="center"/>
                </w:tcPr>
                <w:p>
                  <w:pPr>
                    <w:pStyle w:val="58"/>
                    <w:spacing w:line="320" w:lineRule="exact"/>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vAlign w:val="center"/>
                </w:tcPr>
                <w:p>
                  <w:pPr>
                    <w:pStyle w:val="58"/>
                    <w:spacing w:line="320" w:lineRule="exact"/>
                    <w:rPr>
                      <w:kern w:val="0"/>
                    </w:rPr>
                  </w:pPr>
                </w:p>
              </w:tc>
              <w:tc>
                <w:tcPr>
                  <w:tcW w:w="425" w:type="dxa"/>
                  <w:vMerge w:val="continue"/>
                  <w:vAlign w:val="center"/>
                </w:tcPr>
                <w:p>
                  <w:pPr>
                    <w:pStyle w:val="58"/>
                    <w:spacing w:line="320" w:lineRule="exact"/>
                  </w:pPr>
                </w:p>
              </w:tc>
              <w:tc>
                <w:tcPr>
                  <w:tcW w:w="1560" w:type="dxa"/>
                  <w:vAlign w:val="center"/>
                </w:tcPr>
                <w:p>
                  <w:pPr>
                    <w:pStyle w:val="58"/>
                    <w:spacing w:line="320" w:lineRule="exact"/>
                  </w:pPr>
                  <w:r>
                    <w:rPr>
                      <w:rFonts w:hint="eastAsia"/>
                    </w:rPr>
                    <w:t>危险废物</w:t>
                  </w:r>
                </w:p>
              </w:tc>
              <w:tc>
                <w:tcPr>
                  <w:tcW w:w="4394" w:type="dxa"/>
                  <w:vAlign w:val="center"/>
                </w:tcPr>
                <w:p>
                  <w:pPr>
                    <w:pStyle w:val="58"/>
                    <w:spacing w:line="320" w:lineRule="exact"/>
                    <w:jc w:val="both"/>
                  </w:pPr>
                  <w:r>
                    <w:rPr>
                      <w:rFonts w:hint="eastAsia"/>
                      <w:kern w:val="0"/>
                      <w:szCs w:val="21"/>
                    </w:rPr>
                    <w:t>危废暂存间8m</w:t>
                  </w:r>
                  <w:r>
                    <w:rPr>
                      <w:rFonts w:hint="eastAsia"/>
                      <w:kern w:val="0"/>
                      <w:szCs w:val="21"/>
                      <w:vertAlign w:val="superscript"/>
                    </w:rPr>
                    <w:t>2</w:t>
                  </w:r>
                  <w:r>
                    <w:rPr>
                      <w:rFonts w:hint="eastAsia"/>
                      <w:kern w:val="0"/>
                      <w:szCs w:val="21"/>
                    </w:rPr>
                    <w:t>，暂存废活性炭、废光氧灯管、废润滑油等</w:t>
                  </w:r>
                </w:p>
              </w:tc>
              <w:tc>
                <w:tcPr>
                  <w:tcW w:w="1146" w:type="dxa"/>
                  <w:vAlign w:val="center"/>
                </w:tcPr>
                <w:p>
                  <w:pPr>
                    <w:pStyle w:val="58"/>
                    <w:spacing w:line="320" w:lineRule="exact"/>
                  </w:pPr>
                  <w:r>
                    <w:rPr>
                      <w:rFonts w:hint="eastAsia"/>
                    </w:rPr>
                    <w:t>新建</w:t>
                  </w:r>
                </w:p>
              </w:tc>
            </w:tr>
          </w:tbl>
          <w:p>
            <w:pPr>
              <w:adjustRightInd w:val="0"/>
              <w:snapToGrid w:val="0"/>
              <w:spacing w:line="360" w:lineRule="auto"/>
              <w:rPr>
                <w:b/>
                <w:bCs/>
                <w:sz w:val="24"/>
              </w:rPr>
            </w:pPr>
            <w:r>
              <w:rPr>
                <w:rFonts w:hint="eastAsia"/>
                <w:b/>
                <w:bCs/>
                <w:sz w:val="24"/>
              </w:rPr>
              <w:t>2.3生产规模及产品方案</w:t>
            </w:r>
          </w:p>
          <w:p>
            <w:pPr>
              <w:spacing w:line="360" w:lineRule="auto"/>
              <w:ind w:firstLine="480" w:firstLineChars="200"/>
              <w:rPr>
                <w:sz w:val="24"/>
              </w:rPr>
            </w:pPr>
            <w:r>
              <w:rPr>
                <w:rFonts w:hint="eastAsia"/>
                <w:sz w:val="24"/>
              </w:rPr>
              <w:t>本项目产品为集装袋，年产量为1</w:t>
            </w:r>
            <w:r>
              <w:rPr>
                <w:sz w:val="24"/>
              </w:rPr>
              <w:t>5</w:t>
            </w:r>
            <w:r>
              <w:rPr>
                <w:rFonts w:hint="eastAsia"/>
                <w:sz w:val="24"/>
              </w:rPr>
              <w:t>0万条（普通集装编织袋</w:t>
            </w:r>
            <w:r>
              <w:rPr>
                <w:sz w:val="24"/>
              </w:rPr>
              <w:t>10</w:t>
            </w:r>
            <w:r>
              <w:rPr>
                <w:rFonts w:hint="eastAsia"/>
                <w:sz w:val="24"/>
              </w:rPr>
              <w:t>0万条/a，覆膜集装编织袋</w:t>
            </w:r>
            <w:r>
              <w:rPr>
                <w:sz w:val="24"/>
              </w:rPr>
              <w:t>5</w:t>
            </w:r>
            <w:r>
              <w:rPr>
                <w:rFonts w:hint="eastAsia"/>
                <w:sz w:val="24"/>
              </w:rPr>
              <w:t>0万条/a）。生产规模及产品方案见下表。</w:t>
            </w:r>
          </w:p>
          <w:p>
            <w:pPr>
              <w:pStyle w:val="53"/>
              <w:numPr>
                <w:ilvl w:val="0"/>
                <w:numId w:val="2"/>
              </w:numPr>
              <w:adjustRightInd/>
              <w:snapToGrid/>
              <w:ind w:left="0" w:firstLine="0"/>
              <w:rPr>
                <w:kern w:val="0"/>
              </w:rPr>
            </w:pPr>
            <w:r>
              <w:rPr>
                <w:rFonts w:hint="eastAsia"/>
                <w:kern w:val="0"/>
              </w:rPr>
              <w:t>主要产品及规模一览表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750"/>
              <w:gridCol w:w="3565"/>
              <w:gridCol w:w="1035"/>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3" w:type="dxa"/>
                  <w:vAlign w:val="center"/>
                </w:tcPr>
                <w:p>
                  <w:pPr>
                    <w:pStyle w:val="80"/>
                  </w:pPr>
                  <w:r>
                    <w:rPr>
                      <w:rFonts w:hint="eastAsia"/>
                    </w:rPr>
                    <w:t>产品</w:t>
                  </w:r>
                </w:p>
              </w:tc>
              <w:tc>
                <w:tcPr>
                  <w:tcW w:w="750" w:type="dxa"/>
                  <w:tcMar>
                    <w:left w:w="11" w:type="dxa"/>
                    <w:right w:w="11" w:type="dxa"/>
                  </w:tcMar>
                  <w:vAlign w:val="center"/>
                </w:tcPr>
                <w:p>
                  <w:pPr>
                    <w:pStyle w:val="80"/>
                  </w:pPr>
                  <w:r>
                    <w:rPr>
                      <w:rFonts w:hint="eastAsia"/>
                    </w:rPr>
                    <w:t>形状</w:t>
                  </w:r>
                </w:p>
              </w:tc>
              <w:tc>
                <w:tcPr>
                  <w:tcW w:w="3565" w:type="dxa"/>
                  <w:tcMar>
                    <w:left w:w="11" w:type="dxa"/>
                    <w:right w:w="11" w:type="dxa"/>
                  </w:tcMar>
                  <w:vAlign w:val="center"/>
                </w:tcPr>
                <w:p>
                  <w:pPr>
                    <w:pStyle w:val="80"/>
                  </w:pPr>
                  <w:r>
                    <w:rPr>
                      <w:rFonts w:hint="eastAsia"/>
                    </w:rPr>
                    <w:t>产品规格</w:t>
                  </w:r>
                </w:p>
              </w:tc>
              <w:tc>
                <w:tcPr>
                  <w:tcW w:w="1035" w:type="dxa"/>
                  <w:tcMar>
                    <w:left w:w="11" w:type="dxa"/>
                    <w:right w:w="11" w:type="dxa"/>
                  </w:tcMar>
                  <w:vAlign w:val="center"/>
                </w:tcPr>
                <w:p>
                  <w:pPr>
                    <w:pStyle w:val="80"/>
                  </w:pPr>
                  <w:r>
                    <w:rPr>
                      <w:rFonts w:hint="eastAsia"/>
                    </w:rPr>
                    <w:t>年产量</w:t>
                  </w:r>
                </w:p>
              </w:tc>
              <w:tc>
                <w:tcPr>
                  <w:tcW w:w="1889" w:type="dxa"/>
                  <w:vAlign w:val="center"/>
                </w:tcPr>
                <w:p>
                  <w:pPr>
                    <w:pStyle w:val="8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3" w:type="dxa"/>
                  <w:vMerge w:val="restart"/>
                  <w:vAlign w:val="center"/>
                </w:tcPr>
                <w:p>
                  <w:pPr>
                    <w:snapToGrid w:val="0"/>
                    <w:spacing w:line="320" w:lineRule="exact"/>
                    <w:jc w:val="center"/>
                    <w:rPr>
                      <w:szCs w:val="21"/>
                    </w:rPr>
                  </w:pPr>
                  <w:r>
                    <w:rPr>
                      <w:rFonts w:hint="eastAsia"/>
                      <w:szCs w:val="21"/>
                    </w:rPr>
                    <w:t>集装编织袋</w:t>
                  </w:r>
                </w:p>
              </w:tc>
              <w:tc>
                <w:tcPr>
                  <w:tcW w:w="750" w:type="dxa"/>
                  <w:tcMar>
                    <w:left w:w="11" w:type="dxa"/>
                    <w:right w:w="11" w:type="dxa"/>
                  </w:tcMar>
                  <w:vAlign w:val="center"/>
                </w:tcPr>
                <w:p>
                  <w:pPr>
                    <w:snapToGrid w:val="0"/>
                    <w:spacing w:line="320" w:lineRule="exact"/>
                    <w:jc w:val="center"/>
                    <w:rPr>
                      <w:szCs w:val="21"/>
                    </w:rPr>
                  </w:pPr>
                  <w:r>
                    <w:rPr>
                      <w:rFonts w:hint="eastAsia"/>
                      <w:szCs w:val="21"/>
                    </w:rPr>
                    <w:t>方形</w:t>
                  </w:r>
                </w:p>
              </w:tc>
              <w:tc>
                <w:tcPr>
                  <w:tcW w:w="3565" w:type="dxa"/>
                  <w:tcMar>
                    <w:left w:w="11" w:type="dxa"/>
                    <w:right w:w="11" w:type="dxa"/>
                  </w:tcMar>
                  <w:vAlign w:val="center"/>
                </w:tcPr>
                <w:p>
                  <w:pPr>
                    <w:snapToGrid w:val="0"/>
                    <w:spacing w:line="320" w:lineRule="exact"/>
                    <w:jc w:val="center"/>
                    <w:rPr>
                      <w:szCs w:val="21"/>
                    </w:rPr>
                  </w:pPr>
                  <w:r>
                    <w:rPr>
                      <w:rFonts w:hint="eastAsia"/>
                      <w:szCs w:val="21"/>
                    </w:rPr>
                    <w:t>90cm×90cm×110cm、90cm×90cm×90cm、105cm×105cm×115cm等</w:t>
                  </w:r>
                </w:p>
              </w:tc>
              <w:tc>
                <w:tcPr>
                  <w:tcW w:w="1035" w:type="dxa"/>
                  <w:tcMar>
                    <w:left w:w="11" w:type="dxa"/>
                    <w:right w:w="11" w:type="dxa"/>
                  </w:tcMar>
                  <w:vAlign w:val="center"/>
                </w:tcPr>
                <w:p>
                  <w:pPr>
                    <w:snapToGrid w:val="0"/>
                    <w:spacing w:line="320" w:lineRule="exact"/>
                    <w:jc w:val="center"/>
                    <w:rPr>
                      <w:szCs w:val="21"/>
                    </w:rPr>
                  </w:pPr>
                  <w:r>
                    <w:rPr>
                      <w:szCs w:val="21"/>
                    </w:rPr>
                    <w:t>10</w:t>
                  </w:r>
                  <w:r>
                    <w:rPr>
                      <w:rFonts w:hint="eastAsia"/>
                      <w:szCs w:val="21"/>
                    </w:rPr>
                    <w:t>0万条/a</w:t>
                  </w:r>
                </w:p>
              </w:tc>
              <w:tc>
                <w:tcPr>
                  <w:tcW w:w="1889" w:type="dxa"/>
                  <w:vMerge w:val="restart"/>
                  <w:vAlign w:val="center"/>
                </w:tcPr>
                <w:p>
                  <w:pPr>
                    <w:snapToGrid w:val="0"/>
                    <w:spacing w:line="320" w:lineRule="exact"/>
                    <w:rPr>
                      <w:szCs w:val="21"/>
                    </w:rPr>
                  </w:pPr>
                  <w:r>
                    <w:rPr>
                      <w:rFonts w:hint="eastAsia"/>
                    </w:rPr>
                    <w:t>本项目主要生产集装袋，根据建设单位提供资料，覆膜类集装袋产品约占总产量的30%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3" w:type="dxa"/>
                  <w:vMerge w:val="continue"/>
                  <w:vAlign w:val="center"/>
                </w:tcPr>
                <w:p>
                  <w:pPr>
                    <w:snapToGrid w:val="0"/>
                    <w:spacing w:line="320" w:lineRule="exact"/>
                    <w:jc w:val="center"/>
                    <w:rPr>
                      <w:szCs w:val="21"/>
                    </w:rPr>
                  </w:pPr>
                </w:p>
              </w:tc>
              <w:tc>
                <w:tcPr>
                  <w:tcW w:w="750" w:type="dxa"/>
                  <w:tcMar>
                    <w:left w:w="11" w:type="dxa"/>
                    <w:right w:w="11" w:type="dxa"/>
                  </w:tcMar>
                  <w:vAlign w:val="center"/>
                </w:tcPr>
                <w:p>
                  <w:pPr>
                    <w:snapToGrid w:val="0"/>
                    <w:spacing w:line="320" w:lineRule="exact"/>
                    <w:jc w:val="center"/>
                    <w:rPr>
                      <w:szCs w:val="21"/>
                    </w:rPr>
                  </w:pPr>
                  <w:r>
                    <w:rPr>
                      <w:rFonts w:hint="eastAsia"/>
                      <w:szCs w:val="21"/>
                    </w:rPr>
                    <w:t>圆形</w:t>
                  </w:r>
                </w:p>
              </w:tc>
              <w:tc>
                <w:tcPr>
                  <w:tcW w:w="3565" w:type="dxa"/>
                  <w:tcMar>
                    <w:left w:w="11" w:type="dxa"/>
                    <w:right w:w="11" w:type="dxa"/>
                  </w:tcMar>
                  <w:vAlign w:val="center"/>
                </w:tcPr>
                <w:p>
                  <w:pPr>
                    <w:snapToGrid w:val="0"/>
                    <w:spacing w:line="320" w:lineRule="exact"/>
                    <w:jc w:val="center"/>
                    <w:rPr>
                      <w:szCs w:val="21"/>
                    </w:rPr>
                  </w:pPr>
                  <w:r>
                    <w:rPr>
                      <w:rFonts w:hint="eastAsia"/>
                      <w:szCs w:val="21"/>
                    </w:rPr>
                    <w:t>120cm×135cm、110cm×120cm等</w:t>
                  </w:r>
                </w:p>
              </w:tc>
              <w:tc>
                <w:tcPr>
                  <w:tcW w:w="1035" w:type="dxa"/>
                  <w:tcMar>
                    <w:left w:w="11" w:type="dxa"/>
                    <w:right w:w="11" w:type="dxa"/>
                  </w:tcMar>
                  <w:vAlign w:val="center"/>
                </w:tcPr>
                <w:p>
                  <w:pPr>
                    <w:snapToGrid w:val="0"/>
                    <w:spacing w:line="320" w:lineRule="exact"/>
                    <w:jc w:val="center"/>
                    <w:rPr>
                      <w:szCs w:val="21"/>
                    </w:rPr>
                  </w:pPr>
                  <w:r>
                    <w:rPr>
                      <w:szCs w:val="21"/>
                    </w:rPr>
                    <w:t>5</w:t>
                  </w:r>
                  <w:r>
                    <w:rPr>
                      <w:rFonts w:hint="eastAsia"/>
                      <w:szCs w:val="21"/>
                    </w:rPr>
                    <w:t>0万条/a</w:t>
                  </w:r>
                </w:p>
              </w:tc>
              <w:tc>
                <w:tcPr>
                  <w:tcW w:w="1889" w:type="dxa"/>
                  <w:vMerge w:val="continue"/>
                  <w:vAlign w:val="center"/>
                </w:tcPr>
                <w:p>
                  <w:pPr>
                    <w:snapToGrid w:val="0"/>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338" w:type="dxa"/>
                  <w:gridSpan w:val="3"/>
                  <w:vAlign w:val="center"/>
                </w:tcPr>
                <w:p>
                  <w:pPr>
                    <w:snapToGrid w:val="0"/>
                    <w:spacing w:line="320" w:lineRule="exact"/>
                    <w:jc w:val="center"/>
                    <w:rPr>
                      <w:szCs w:val="21"/>
                    </w:rPr>
                  </w:pPr>
                  <w:r>
                    <w:rPr>
                      <w:rFonts w:hint="eastAsia"/>
                      <w:szCs w:val="21"/>
                    </w:rPr>
                    <w:t>合计</w:t>
                  </w:r>
                </w:p>
              </w:tc>
              <w:tc>
                <w:tcPr>
                  <w:tcW w:w="1035" w:type="dxa"/>
                  <w:tcMar>
                    <w:left w:w="11" w:type="dxa"/>
                    <w:right w:w="11" w:type="dxa"/>
                  </w:tcMar>
                  <w:vAlign w:val="center"/>
                </w:tcPr>
                <w:p>
                  <w:pPr>
                    <w:snapToGrid w:val="0"/>
                    <w:spacing w:line="320" w:lineRule="exact"/>
                    <w:jc w:val="center"/>
                    <w:rPr>
                      <w:szCs w:val="21"/>
                    </w:rPr>
                  </w:pPr>
                  <w:r>
                    <w:rPr>
                      <w:rFonts w:hint="eastAsia"/>
                      <w:szCs w:val="21"/>
                    </w:rPr>
                    <w:t>1</w:t>
                  </w:r>
                  <w:r>
                    <w:rPr>
                      <w:szCs w:val="21"/>
                    </w:rPr>
                    <w:t>5</w:t>
                  </w:r>
                  <w:r>
                    <w:rPr>
                      <w:rFonts w:hint="eastAsia"/>
                      <w:szCs w:val="21"/>
                    </w:rPr>
                    <w:t>0万条/a</w:t>
                  </w:r>
                </w:p>
              </w:tc>
              <w:tc>
                <w:tcPr>
                  <w:tcW w:w="1889" w:type="dxa"/>
                  <w:vMerge w:val="continue"/>
                  <w:vAlign w:val="center"/>
                </w:tcPr>
                <w:p>
                  <w:pPr>
                    <w:snapToGrid w:val="0"/>
                    <w:spacing w:line="320" w:lineRule="exact"/>
                    <w:jc w:val="center"/>
                    <w:rPr>
                      <w:szCs w:val="21"/>
                    </w:rPr>
                  </w:pPr>
                </w:p>
              </w:tc>
            </w:tr>
          </w:tbl>
          <w:p>
            <w:pPr>
              <w:adjustRightInd w:val="0"/>
              <w:snapToGrid w:val="0"/>
              <w:spacing w:line="360" w:lineRule="auto"/>
              <w:rPr>
                <w:b/>
                <w:bCs/>
                <w:sz w:val="24"/>
              </w:rPr>
            </w:pPr>
            <w:r>
              <w:rPr>
                <w:rFonts w:hint="eastAsia"/>
                <w:b/>
                <w:bCs/>
                <w:sz w:val="24"/>
              </w:rPr>
              <w:t>2.4主要生产设备</w:t>
            </w:r>
          </w:p>
          <w:p>
            <w:pPr>
              <w:spacing w:line="360" w:lineRule="auto"/>
              <w:ind w:firstLine="480" w:firstLineChars="200"/>
              <w:rPr>
                <w:sz w:val="24"/>
              </w:rPr>
            </w:pPr>
            <w:r>
              <w:rPr>
                <w:rFonts w:hint="eastAsia"/>
                <w:sz w:val="24"/>
              </w:rPr>
              <w:t>本项目</w:t>
            </w:r>
            <w:r>
              <w:rPr>
                <w:sz w:val="24"/>
              </w:rPr>
              <w:t>主要生产设备见</w:t>
            </w:r>
            <w:r>
              <w:rPr>
                <w:rFonts w:hint="eastAsia"/>
                <w:sz w:val="24"/>
              </w:rPr>
              <w:t>下表</w:t>
            </w:r>
            <w:r>
              <w:rPr>
                <w:sz w:val="24"/>
              </w:rPr>
              <w:t>。</w:t>
            </w:r>
          </w:p>
          <w:p>
            <w:pPr>
              <w:pStyle w:val="53"/>
              <w:numPr>
                <w:ilvl w:val="0"/>
                <w:numId w:val="2"/>
              </w:numPr>
              <w:adjustRightInd/>
              <w:snapToGrid/>
              <w:ind w:left="0" w:firstLine="0"/>
              <w:rPr>
                <w:kern w:val="0"/>
              </w:rPr>
            </w:pPr>
            <w:r>
              <w:rPr>
                <w:rFonts w:hint="eastAsia"/>
                <w:kern w:val="0"/>
              </w:rPr>
              <w:t>主要生产设备一览表</w:t>
            </w:r>
          </w:p>
          <w:tbl>
            <w:tblPr>
              <w:tblStyle w:val="28"/>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69"/>
              <w:gridCol w:w="1686"/>
              <w:gridCol w:w="1401"/>
              <w:gridCol w:w="1134"/>
              <w:gridCol w:w="327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5" w:type="pct"/>
                  <w:vAlign w:val="center"/>
                </w:tcPr>
                <w:p>
                  <w:pPr>
                    <w:pStyle w:val="54"/>
                    <w:spacing w:line="320" w:lineRule="exact"/>
                    <w:rPr>
                      <w:rFonts w:hAnsi="宋体"/>
                    </w:rPr>
                  </w:pPr>
                  <w:r>
                    <w:rPr>
                      <w:rFonts w:hint="eastAsia" w:hAnsi="宋体"/>
                    </w:rPr>
                    <w:t>序号</w:t>
                  </w:r>
                </w:p>
              </w:tc>
              <w:tc>
                <w:tcPr>
                  <w:tcW w:w="1020" w:type="pct"/>
                  <w:vAlign w:val="center"/>
                </w:tcPr>
                <w:p>
                  <w:pPr>
                    <w:pStyle w:val="54"/>
                    <w:spacing w:line="320" w:lineRule="exact"/>
                    <w:rPr>
                      <w:rFonts w:hAnsi="宋体"/>
                    </w:rPr>
                  </w:pPr>
                  <w:r>
                    <w:rPr>
                      <w:rFonts w:hAnsi="宋体"/>
                    </w:rPr>
                    <w:t>设备名称</w:t>
                  </w:r>
                </w:p>
              </w:tc>
              <w:tc>
                <w:tcPr>
                  <w:tcW w:w="848" w:type="pct"/>
                  <w:vAlign w:val="center"/>
                </w:tcPr>
                <w:p>
                  <w:pPr>
                    <w:pStyle w:val="54"/>
                    <w:spacing w:line="320" w:lineRule="exact"/>
                    <w:rPr>
                      <w:rFonts w:hAnsi="宋体"/>
                    </w:rPr>
                  </w:pPr>
                  <w:r>
                    <w:rPr>
                      <w:rFonts w:hAnsi="宋体"/>
                    </w:rPr>
                    <w:t>型号</w:t>
                  </w:r>
                  <w:r>
                    <w:rPr>
                      <w:rFonts w:hint="eastAsia" w:hAnsi="宋体"/>
                    </w:rPr>
                    <w:t>/</w:t>
                  </w:r>
                  <w:r>
                    <w:rPr>
                      <w:rFonts w:hAnsi="宋体"/>
                    </w:rPr>
                    <w:t>规格</w:t>
                  </w:r>
                </w:p>
              </w:tc>
              <w:tc>
                <w:tcPr>
                  <w:tcW w:w="686" w:type="pct"/>
                  <w:vAlign w:val="center"/>
                </w:tcPr>
                <w:p>
                  <w:pPr>
                    <w:pStyle w:val="54"/>
                    <w:spacing w:line="320" w:lineRule="exact"/>
                    <w:rPr>
                      <w:rFonts w:hAnsi="宋体"/>
                    </w:rPr>
                  </w:pPr>
                  <w:r>
                    <w:rPr>
                      <w:rFonts w:hAnsi="宋体"/>
                    </w:rPr>
                    <w:t>数量</w:t>
                  </w:r>
                </w:p>
              </w:tc>
              <w:tc>
                <w:tcPr>
                  <w:tcW w:w="1980" w:type="pct"/>
                  <w:vAlign w:val="center"/>
                </w:tcPr>
                <w:p>
                  <w:pPr>
                    <w:pStyle w:val="54"/>
                    <w:spacing w:line="320" w:lineRule="exact"/>
                    <w:rPr>
                      <w:rFonts w:hAnsi="宋体"/>
                    </w:rPr>
                  </w:pPr>
                  <w:r>
                    <w:rPr>
                      <w:rFonts w:hint="eastAsia" w:hAnsi="宋体"/>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Align w:val="center"/>
                </w:tcPr>
                <w:p>
                  <w:pPr>
                    <w:pStyle w:val="67"/>
                    <w:snapToGrid w:val="0"/>
                    <w:spacing w:line="320" w:lineRule="exact"/>
                    <w:ind w:firstLine="0" w:firstLineChars="0"/>
                    <w:jc w:val="center"/>
                    <w:rPr>
                      <w:sz w:val="21"/>
                      <w:szCs w:val="21"/>
                    </w:rPr>
                  </w:pPr>
                  <w:r>
                    <w:rPr>
                      <w:rFonts w:hint="eastAsia"/>
                      <w:sz w:val="21"/>
                      <w:szCs w:val="21"/>
                    </w:rPr>
                    <w:t>1</w:t>
                  </w:r>
                </w:p>
              </w:tc>
              <w:tc>
                <w:tcPr>
                  <w:tcW w:w="1020" w:type="pct"/>
                  <w:vAlign w:val="center"/>
                </w:tcPr>
                <w:p>
                  <w:pPr>
                    <w:pStyle w:val="67"/>
                    <w:snapToGrid w:val="0"/>
                    <w:spacing w:line="320" w:lineRule="exact"/>
                    <w:ind w:firstLine="0" w:firstLineChars="0"/>
                    <w:jc w:val="center"/>
                    <w:rPr>
                      <w:sz w:val="21"/>
                      <w:szCs w:val="21"/>
                    </w:rPr>
                  </w:pPr>
                  <w:r>
                    <w:rPr>
                      <w:rFonts w:hint="eastAsia"/>
                      <w:sz w:val="21"/>
                      <w:szCs w:val="21"/>
                    </w:rPr>
                    <w:t>拉丝机组</w:t>
                  </w:r>
                </w:p>
              </w:tc>
              <w:tc>
                <w:tcPr>
                  <w:tcW w:w="848" w:type="pct"/>
                  <w:vAlign w:val="center"/>
                </w:tcPr>
                <w:p>
                  <w:pPr>
                    <w:pStyle w:val="67"/>
                    <w:snapToGrid w:val="0"/>
                    <w:spacing w:line="320" w:lineRule="exact"/>
                    <w:ind w:firstLine="0" w:firstLineChars="0"/>
                    <w:jc w:val="center"/>
                    <w:rPr>
                      <w:sz w:val="21"/>
                      <w:szCs w:val="21"/>
                    </w:rPr>
                  </w:pPr>
                  <w:r>
                    <w:rPr>
                      <w:rFonts w:hint="eastAsia"/>
                      <w:sz w:val="21"/>
                      <w:szCs w:val="21"/>
                    </w:rPr>
                    <w:t>1800/2100/2600型</w:t>
                  </w:r>
                </w:p>
              </w:tc>
              <w:tc>
                <w:tcPr>
                  <w:tcW w:w="686" w:type="pct"/>
                  <w:vAlign w:val="center"/>
                </w:tcPr>
                <w:p>
                  <w:pPr>
                    <w:snapToGrid w:val="0"/>
                    <w:spacing w:line="320" w:lineRule="exact"/>
                    <w:jc w:val="center"/>
                    <w:rPr>
                      <w:szCs w:val="21"/>
                    </w:rPr>
                  </w:pPr>
                  <w:r>
                    <w:rPr>
                      <w:szCs w:val="21"/>
                    </w:rPr>
                    <w:t>6</w:t>
                  </w:r>
                  <w:r>
                    <w:rPr>
                      <w:rFonts w:hint="eastAsia"/>
                      <w:szCs w:val="21"/>
                    </w:rPr>
                    <w:t>组</w:t>
                  </w:r>
                </w:p>
              </w:tc>
              <w:tc>
                <w:tcPr>
                  <w:tcW w:w="1980" w:type="pct"/>
                  <w:vAlign w:val="center"/>
                </w:tcPr>
                <w:p>
                  <w:pPr>
                    <w:snapToGrid w:val="0"/>
                    <w:spacing w:line="320" w:lineRule="exact"/>
                    <w:rPr>
                      <w:szCs w:val="21"/>
                      <w:u w:val="single"/>
                    </w:rPr>
                  </w:pPr>
                  <w:r>
                    <w:rPr>
                      <w:rFonts w:hint="eastAsia"/>
                      <w:szCs w:val="21"/>
                      <w:u w:val="single"/>
                    </w:rPr>
                    <w:t>根据拉丝厚度，单组生产线生产能力0.3-0.5t/h，</w:t>
                  </w:r>
                  <w:r>
                    <w:rPr>
                      <w:rFonts w:hint="eastAsia"/>
                      <w:szCs w:val="21"/>
                    </w:rPr>
                    <w:t>拉丝机组包括原料搅拌段、拉丝段、收丝段</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Align w:val="center"/>
                </w:tcPr>
                <w:p>
                  <w:pPr>
                    <w:pStyle w:val="67"/>
                    <w:snapToGrid w:val="0"/>
                    <w:spacing w:line="320" w:lineRule="exact"/>
                    <w:ind w:firstLine="0" w:firstLineChars="0"/>
                    <w:jc w:val="center"/>
                    <w:rPr>
                      <w:sz w:val="21"/>
                      <w:szCs w:val="21"/>
                    </w:rPr>
                  </w:pPr>
                  <w:r>
                    <w:rPr>
                      <w:rFonts w:hint="eastAsia"/>
                      <w:sz w:val="21"/>
                      <w:szCs w:val="21"/>
                    </w:rPr>
                    <w:t>2</w:t>
                  </w:r>
                </w:p>
              </w:tc>
              <w:tc>
                <w:tcPr>
                  <w:tcW w:w="1020" w:type="pct"/>
                  <w:vAlign w:val="center"/>
                </w:tcPr>
                <w:p>
                  <w:pPr>
                    <w:pStyle w:val="67"/>
                    <w:snapToGrid w:val="0"/>
                    <w:spacing w:line="320" w:lineRule="exact"/>
                    <w:ind w:firstLine="0" w:firstLineChars="0"/>
                    <w:jc w:val="center"/>
                    <w:rPr>
                      <w:sz w:val="21"/>
                      <w:szCs w:val="21"/>
                    </w:rPr>
                  </w:pPr>
                  <w:r>
                    <w:rPr>
                      <w:rFonts w:hint="eastAsia"/>
                      <w:sz w:val="21"/>
                      <w:szCs w:val="21"/>
                    </w:rPr>
                    <w:t>覆膜机组</w:t>
                  </w:r>
                </w:p>
              </w:tc>
              <w:tc>
                <w:tcPr>
                  <w:tcW w:w="848" w:type="pct"/>
                  <w:vAlign w:val="center"/>
                </w:tcPr>
                <w:p>
                  <w:pPr>
                    <w:pStyle w:val="67"/>
                    <w:snapToGrid w:val="0"/>
                    <w:spacing w:line="320" w:lineRule="exact"/>
                    <w:ind w:firstLine="0" w:firstLineChars="0"/>
                    <w:jc w:val="center"/>
                    <w:rPr>
                      <w:sz w:val="21"/>
                      <w:szCs w:val="21"/>
                    </w:rPr>
                  </w:pPr>
                  <w:r>
                    <w:rPr>
                      <w:rFonts w:hint="eastAsia"/>
                      <w:sz w:val="21"/>
                      <w:szCs w:val="21"/>
                    </w:rPr>
                    <w:t>2400型</w:t>
                  </w:r>
                </w:p>
              </w:tc>
              <w:tc>
                <w:tcPr>
                  <w:tcW w:w="686" w:type="pct"/>
                  <w:vAlign w:val="center"/>
                </w:tcPr>
                <w:p>
                  <w:pPr>
                    <w:snapToGrid w:val="0"/>
                    <w:spacing w:line="320" w:lineRule="exact"/>
                    <w:jc w:val="center"/>
                    <w:rPr>
                      <w:szCs w:val="21"/>
                    </w:rPr>
                  </w:pPr>
                  <w:r>
                    <w:rPr>
                      <w:rFonts w:hint="eastAsia"/>
                      <w:szCs w:val="21"/>
                    </w:rPr>
                    <w:t>2组</w:t>
                  </w:r>
                </w:p>
              </w:tc>
              <w:tc>
                <w:tcPr>
                  <w:tcW w:w="1980" w:type="pct"/>
                  <w:vAlign w:val="center"/>
                </w:tcPr>
                <w:p>
                  <w:pPr>
                    <w:snapToGrid w:val="0"/>
                    <w:spacing w:line="320" w:lineRule="exact"/>
                    <w:rPr>
                      <w:szCs w:val="21"/>
                    </w:rPr>
                  </w:pPr>
                  <w:r>
                    <w:rPr>
                      <w:rFonts w:hint="eastAsia"/>
                      <w:szCs w:val="21"/>
                      <w:u w:val="single"/>
                    </w:rPr>
                    <w:t>根据覆膜厚度，单组生产线生产能力60-80kg/h，覆膜机组</w:t>
                  </w:r>
                  <w:r>
                    <w:rPr>
                      <w:rFonts w:hint="eastAsia"/>
                      <w:szCs w:val="21"/>
                    </w:rPr>
                    <w:t>包括原料搅拌段、挤出、复合、收卷段</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restart"/>
                  <w:vAlign w:val="center"/>
                </w:tcPr>
                <w:p>
                  <w:pPr>
                    <w:pStyle w:val="67"/>
                    <w:snapToGrid w:val="0"/>
                    <w:spacing w:line="320" w:lineRule="exact"/>
                    <w:ind w:firstLine="0" w:firstLineChars="0"/>
                    <w:jc w:val="center"/>
                    <w:rPr>
                      <w:sz w:val="21"/>
                      <w:szCs w:val="21"/>
                    </w:rPr>
                  </w:pPr>
                  <w:r>
                    <w:rPr>
                      <w:rFonts w:hint="eastAsia"/>
                      <w:sz w:val="21"/>
                      <w:szCs w:val="21"/>
                    </w:rPr>
                    <w:t>3</w:t>
                  </w:r>
                </w:p>
              </w:tc>
              <w:tc>
                <w:tcPr>
                  <w:tcW w:w="1020" w:type="pct"/>
                  <w:vMerge w:val="restart"/>
                  <w:vAlign w:val="center"/>
                </w:tcPr>
                <w:p>
                  <w:pPr>
                    <w:spacing w:line="320" w:lineRule="exact"/>
                    <w:jc w:val="center"/>
                    <w:rPr>
                      <w:szCs w:val="21"/>
                    </w:rPr>
                  </w:pPr>
                  <w:r>
                    <w:rPr>
                      <w:rFonts w:hint="eastAsia"/>
                      <w:szCs w:val="21"/>
                    </w:rPr>
                    <w:t>圆织机</w:t>
                  </w:r>
                </w:p>
              </w:tc>
              <w:tc>
                <w:tcPr>
                  <w:tcW w:w="848" w:type="pct"/>
                  <w:vAlign w:val="center"/>
                </w:tcPr>
                <w:p>
                  <w:pPr>
                    <w:spacing w:line="320" w:lineRule="exact"/>
                    <w:jc w:val="center"/>
                    <w:rPr>
                      <w:szCs w:val="21"/>
                    </w:rPr>
                  </w:pPr>
                  <w:r>
                    <w:rPr>
                      <w:rFonts w:hint="eastAsia"/>
                      <w:szCs w:val="21"/>
                    </w:rPr>
                    <w:t>2200型</w:t>
                  </w:r>
                </w:p>
              </w:tc>
              <w:tc>
                <w:tcPr>
                  <w:tcW w:w="686" w:type="pct"/>
                  <w:vAlign w:val="center"/>
                </w:tcPr>
                <w:p>
                  <w:pPr>
                    <w:spacing w:line="320" w:lineRule="exact"/>
                    <w:jc w:val="center"/>
                    <w:rPr>
                      <w:szCs w:val="21"/>
                    </w:rPr>
                  </w:pPr>
                  <w:r>
                    <w:rPr>
                      <w:rFonts w:hint="eastAsia"/>
                      <w:szCs w:val="21"/>
                    </w:rPr>
                    <w:t>22台</w:t>
                  </w:r>
                </w:p>
              </w:tc>
              <w:tc>
                <w:tcPr>
                  <w:tcW w:w="1980" w:type="pct"/>
                  <w:vMerge w:val="restart"/>
                  <w:vAlign w:val="center"/>
                </w:tcPr>
                <w:p>
                  <w:pPr>
                    <w:snapToGrid w:val="0"/>
                    <w:spacing w:line="320" w:lineRule="exact"/>
                    <w:jc w:val="center"/>
                    <w:rPr>
                      <w:szCs w:val="21"/>
                    </w:rPr>
                  </w:pPr>
                  <w:r>
                    <w:rPr>
                      <w:rFonts w:hint="eastAsia"/>
                      <w:szCs w:val="21"/>
                    </w:rPr>
                    <w:t>生产基布</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vAlign w:val="center"/>
                </w:tcPr>
                <w:p>
                  <w:pPr>
                    <w:pStyle w:val="67"/>
                    <w:snapToGrid w:val="0"/>
                    <w:spacing w:line="320" w:lineRule="exact"/>
                    <w:ind w:firstLine="0" w:firstLineChars="0"/>
                    <w:jc w:val="center"/>
                    <w:rPr>
                      <w:sz w:val="21"/>
                      <w:szCs w:val="21"/>
                    </w:rPr>
                  </w:pPr>
                </w:p>
              </w:tc>
              <w:tc>
                <w:tcPr>
                  <w:tcW w:w="1020" w:type="pct"/>
                  <w:vMerge w:val="continue"/>
                  <w:vAlign w:val="center"/>
                </w:tcPr>
                <w:p>
                  <w:pPr>
                    <w:spacing w:line="320" w:lineRule="exact"/>
                    <w:jc w:val="center"/>
                    <w:rPr>
                      <w:szCs w:val="21"/>
                    </w:rPr>
                  </w:pPr>
                </w:p>
              </w:tc>
              <w:tc>
                <w:tcPr>
                  <w:tcW w:w="848" w:type="pct"/>
                  <w:vAlign w:val="center"/>
                </w:tcPr>
                <w:p>
                  <w:pPr>
                    <w:spacing w:line="320" w:lineRule="exact"/>
                    <w:jc w:val="center"/>
                    <w:rPr>
                      <w:szCs w:val="21"/>
                    </w:rPr>
                  </w:pPr>
                  <w:r>
                    <w:rPr>
                      <w:rFonts w:hint="eastAsia"/>
                      <w:szCs w:val="21"/>
                    </w:rPr>
                    <w:t>1400型</w:t>
                  </w:r>
                </w:p>
              </w:tc>
              <w:tc>
                <w:tcPr>
                  <w:tcW w:w="686" w:type="pct"/>
                  <w:vAlign w:val="center"/>
                </w:tcPr>
                <w:p>
                  <w:pPr>
                    <w:spacing w:line="320" w:lineRule="exact"/>
                    <w:jc w:val="center"/>
                    <w:rPr>
                      <w:szCs w:val="21"/>
                    </w:rPr>
                  </w:pPr>
                  <w:r>
                    <w:rPr>
                      <w:rFonts w:hint="eastAsia"/>
                      <w:szCs w:val="21"/>
                    </w:rPr>
                    <w:t>8台</w:t>
                  </w:r>
                </w:p>
              </w:tc>
              <w:tc>
                <w:tcPr>
                  <w:tcW w:w="1980" w:type="pct"/>
                  <w:vMerge w:val="continue"/>
                  <w:vAlign w:val="center"/>
                </w:tcPr>
                <w:p>
                  <w:pPr>
                    <w:snapToGrid w:val="0"/>
                    <w:spacing w:line="32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Align w:val="center"/>
                </w:tcPr>
                <w:p>
                  <w:pPr>
                    <w:pStyle w:val="67"/>
                    <w:snapToGrid w:val="0"/>
                    <w:spacing w:line="320" w:lineRule="exact"/>
                    <w:ind w:firstLine="0" w:firstLineChars="0"/>
                    <w:jc w:val="center"/>
                    <w:rPr>
                      <w:sz w:val="21"/>
                      <w:szCs w:val="21"/>
                    </w:rPr>
                  </w:pPr>
                  <w:r>
                    <w:rPr>
                      <w:rFonts w:hint="eastAsia"/>
                      <w:sz w:val="21"/>
                      <w:szCs w:val="21"/>
                    </w:rPr>
                    <w:t>4</w:t>
                  </w:r>
                </w:p>
              </w:tc>
              <w:tc>
                <w:tcPr>
                  <w:tcW w:w="1020" w:type="pct"/>
                  <w:vAlign w:val="center"/>
                </w:tcPr>
                <w:p>
                  <w:pPr>
                    <w:spacing w:line="320" w:lineRule="exact"/>
                    <w:jc w:val="center"/>
                    <w:rPr>
                      <w:szCs w:val="21"/>
                    </w:rPr>
                  </w:pPr>
                  <w:r>
                    <w:rPr>
                      <w:rFonts w:hint="eastAsia"/>
                      <w:szCs w:val="21"/>
                    </w:rPr>
                    <w:t>吊带机（织带机）</w:t>
                  </w:r>
                </w:p>
              </w:tc>
              <w:tc>
                <w:tcPr>
                  <w:tcW w:w="848" w:type="pct"/>
                  <w:vAlign w:val="center"/>
                </w:tcPr>
                <w:p>
                  <w:pPr>
                    <w:spacing w:line="320" w:lineRule="exact"/>
                    <w:jc w:val="center"/>
                    <w:rPr>
                      <w:szCs w:val="21"/>
                    </w:rPr>
                  </w:pPr>
                  <w:r>
                    <w:rPr>
                      <w:rFonts w:hint="eastAsia"/>
                      <w:szCs w:val="21"/>
                    </w:rPr>
                    <w:t>4-85型</w:t>
                  </w:r>
                </w:p>
              </w:tc>
              <w:tc>
                <w:tcPr>
                  <w:tcW w:w="686" w:type="pct"/>
                  <w:vAlign w:val="center"/>
                </w:tcPr>
                <w:p>
                  <w:pPr>
                    <w:spacing w:line="320" w:lineRule="exact"/>
                    <w:jc w:val="center"/>
                    <w:rPr>
                      <w:szCs w:val="21"/>
                    </w:rPr>
                  </w:pPr>
                  <w:r>
                    <w:rPr>
                      <w:rFonts w:hint="eastAsia"/>
                      <w:szCs w:val="21"/>
                    </w:rPr>
                    <w:t>30台</w:t>
                  </w:r>
                </w:p>
              </w:tc>
              <w:tc>
                <w:tcPr>
                  <w:tcW w:w="1980" w:type="pct"/>
                  <w:vAlign w:val="center"/>
                </w:tcPr>
                <w:p>
                  <w:pPr>
                    <w:snapToGrid w:val="0"/>
                    <w:spacing w:line="320" w:lineRule="exact"/>
                    <w:jc w:val="center"/>
                    <w:rPr>
                      <w:szCs w:val="21"/>
                    </w:rPr>
                  </w:pPr>
                  <w:r>
                    <w:rPr>
                      <w:rFonts w:hint="eastAsia"/>
                      <w:szCs w:val="21"/>
                    </w:rPr>
                    <w:t>生产吊带</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Align w:val="center"/>
                </w:tcPr>
                <w:p>
                  <w:pPr>
                    <w:pStyle w:val="67"/>
                    <w:snapToGrid w:val="0"/>
                    <w:spacing w:line="320" w:lineRule="exact"/>
                    <w:ind w:firstLine="0" w:firstLineChars="0"/>
                    <w:jc w:val="center"/>
                    <w:rPr>
                      <w:sz w:val="21"/>
                      <w:szCs w:val="21"/>
                    </w:rPr>
                  </w:pPr>
                  <w:r>
                    <w:rPr>
                      <w:rFonts w:hint="eastAsia"/>
                      <w:sz w:val="21"/>
                      <w:szCs w:val="21"/>
                    </w:rPr>
                    <w:t>5</w:t>
                  </w:r>
                </w:p>
              </w:tc>
              <w:tc>
                <w:tcPr>
                  <w:tcW w:w="1020" w:type="pct"/>
                  <w:vAlign w:val="center"/>
                </w:tcPr>
                <w:p>
                  <w:pPr>
                    <w:spacing w:line="320" w:lineRule="exact"/>
                    <w:jc w:val="center"/>
                    <w:rPr>
                      <w:szCs w:val="21"/>
                    </w:rPr>
                  </w:pPr>
                  <w:r>
                    <w:rPr>
                      <w:rFonts w:hint="eastAsia"/>
                      <w:szCs w:val="21"/>
                    </w:rPr>
                    <w:t>缝纫机</w:t>
                  </w:r>
                </w:p>
              </w:tc>
              <w:tc>
                <w:tcPr>
                  <w:tcW w:w="848" w:type="pct"/>
                  <w:vAlign w:val="center"/>
                </w:tcPr>
                <w:p>
                  <w:pPr>
                    <w:spacing w:line="320" w:lineRule="exact"/>
                    <w:jc w:val="center"/>
                    <w:rPr>
                      <w:szCs w:val="21"/>
                    </w:rPr>
                  </w:pPr>
                  <w:r>
                    <w:rPr>
                      <w:rFonts w:hint="eastAsia"/>
                      <w:szCs w:val="21"/>
                    </w:rPr>
                    <w:t>/</w:t>
                  </w:r>
                </w:p>
              </w:tc>
              <w:tc>
                <w:tcPr>
                  <w:tcW w:w="686" w:type="pct"/>
                  <w:vAlign w:val="center"/>
                </w:tcPr>
                <w:p>
                  <w:pPr>
                    <w:spacing w:line="320" w:lineRule="exact"/>
                    <w:jc w:val="center"/>
                    <w:rPr>
                      <w:szCs w:val="21"/>
                    </w:rPr>
                  </w:pPr>
                  <w:r>
                    <w:rPr>
                      <w:rFonts w:hint="eastAsia"/>
                      <w:szCs w:val="21"/>
                    </w:rPr>
                    <w:t>20台</w:t>
                  </w:r>
                </w:p>
              </w:tc>
              <w:tc>
                <w:tcPr>
                  <w:tcW w:w="1980" w:type="pct"/>
                  <w:vAlign w:val="center"/>
                </w:tcPr>
                <w:p>
                  <w:pPr>
                    <w:snapToGrid w:val="0"/>
                    <w:spacing w:line="320" w:lineRule="exact"/>
                    <w:jc w:val="center"/>
                    <w:rPr>
                      <w:szCs w:val="21"/>
                    </w:rPr>
                  </w:pPr>
                  <w:r>
                    <w:rPr>
                      <w:rFonts w:hint="eastAsia"/>
                      <w:szCs w:val="21"/>
                    </w:rPr>
                    <w:t>集装编织袋缝纫</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Align w:val="center"/>
                </w:tcPr>
                <w:p>
                  <w:pPr>
                    <w:pStyle w:val="67"/>
                    <w:snapToGrid w:val="0"/>
                    <w:spacing w:line="320" w:lineRule="exact"/>
                    <w:ind w:firstLine="0" w:firstLineChars="0"/>
                    <w:jc w:val="center"/>
                    <w:rPr>
                      <w:sz w:val="21"/>
                      <w:szCs w:val="21"/>
                    </w:rPr>
                  </w:pPr>
                  <w:r>
                    <w:rPr>
                      <w:rFonts w:hint="eastAsia"/>
                      <w:sz w:val="21"/>
                      <w:szCs w:val="21"/>
                    </w:rPr>
                    <w:t>6</w:t>
                  </w:r>
                </w:p>
              </w:tc>
              <w:tc>
                <w:tcPr>
                  <w:tcW w:w="1020" w:type="pct"/>
                  <w:vAlign w:val="center"/>
                </w:tcPr>
                <w:p>
                  <w:pPr>
                    <w:spacing w:line="320" w:lineRule="exact"/>
                    <w:jc w:val="center"/>
                    <w:rPr>
                      <w:szCs w:val="21"/>
                    </w:rPr>
                  </w:pPr>
                  <w:r>
                    <w:rPr>
                      <w:rFonts w:hint="eastAsia"/>
                      <w:szCs w:val="21"/>
                    </w:rPr>
                    <w:t>打包机</w:t>
                  </w:r>
                </w:p>
              </w:tc>
              <w:tc>
                <w:tcPr>
                  <w:tcW w:w="848" w:type="pct"/>
                  <w:vAlign w:val="center"/>
                </w:tcPr>
                <w:p>
                  <w:pPr>
                    <w:spacing w:line="320" w:lineRule="exact"/>
                    <w:jc w:val="center"/>
                    <w:rPr>
                      <w:szCs w:val="21"/>
                    </w:rPr>
                  </w:pPr>
                  <w:r>
                    <w:rPr>
                      <w:rFonts w:hint="eastAsia"/>
                      <w:szCs w:val="21"/>
                    </w:rPr>
                    <w:t>/</w:t>
                  </w:r>
                </w:p>
              </w:tc>
              <w:tc>
                <w:tcPr>
                  <w:tcW w:w="686" w:type="pct"/>
                  <w:vAlign w:val="center"/>
                </w:tcPr>
                <w:p>
                  <w:pPr>
                    <w:spacing w:line="320" w:lineRule="exact"/>
                    <w:jc w:val="center"/>
                    <w:rPr>
                      <w:szCs w:val="21"/>
                    </w:rPr>
                  </w:pPr>
                  <w:r>
                    <w:rPr>
                      <w:rFonts w:hint="eastAsia"/>
                      <w:szCs w:val="21"/>
                    </w:rPr>
                    <w:t>2台</w:t>
                  </w:r>
                </w:p>
              </w:tc>
              <w:tc>
                <w:tcPr>
                  <w:tcW w:w="1980" w:type="pct"/>
                  <w:vAlign w:val="center"/>
                </w:tcPr>
                <w:p>
                  <w:pPr>
                    <w:snapToGrid w:val="0"/>
                    <w:spacing w:line="320" w:lineRule="exact"/>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Align w:val="center"/>
                </w:tcPr>
                <w:p>
                  <w:pPr>
                    <w:pStyle w:val="67"/>
                    <w:snapToGrid w:val="0"/>
                    <w:spacing w:line="320" w:lineRule="exact"/>
                    <w:ind w:firstLine="0" w:firstLineChars="0"/>
                    <w:jc w:val="center"/>
                    <w:rPr>
                      <w:sz w:val="21"/>
                      <w:szCs w:val="21"/>
                    </w:rPr>
                  </w:pPr>
                  <w:r>
                    <w:rPr>
                      <w:rFonts w:hint="eastAsia"/>
                      <w:sz w:val="21"/>
                      <w:szCs w:val="21"/>
                    </w:rPr>
                    <w:t>7</w:t>
                  </w:r>
                </w:p>
              </w:tc>
              <w:tc>
                <w:tcPr>
                  <w:tcW w:w="1020" w:type="pct"/>
                  <w:vAlign w:val="center"/>
                </w:tcPr>
                <w:p>
                  <w:pPr>
                    <w:spacing w:line="320" w:lineRule="exact"/>
                    <w:jc w:val="center"/>
                    <w:rPr>
                      <w:szCs w:val="21"/>
                    </w:rPr>
                  </w:pPr>
                  <w:r>
                    <w:rPr>
                      <w:rFonts w:hint="eastAsia"/>
                      <w:szCs w:val="21"/>
                    </w:rPr>
                    <w:t>手动裁剪机</w:t>
                  </w:r>
                </w:p>
              </w:tc>
              <w:tc>
                <w:tcPr>
                  <w:tcW w:w="848" w:type="pct"/>
                  <w:vAlign w:val="center"/>
                </w:tcPr>
                <w:p>
                  <w:pPr>
                    <w:spacing w:line="320" w:lineRule="exact"/>
                    <w:jc w:val="center"/>
                    <w:rPr>
                      <w:szCs w:val="21"/>
                    </w:rPr>
                  </w:pPr>
                  <w:r>
                    <w:rPr>
                      <w:rFonts w:hint="eastAsia"/>
                      <w:szCs w:val="21"/>
                    </w:rPr>
                    <w:t>/</w:t>
                  </w:r>
                </w:p>
              </w:tc>
              <w:tc>
                <w:tcPr>
                  <w:tcW w:w="686" w:type="pct"/>
                  <w:vAlign w:val="center"/>
                </w:tcPr>
                <w:p>
                  <w:pPr>
                    <w:spacing w:line="320" w:lineRule="exact"/>
                    <w:jc w:val="center"/>
                    <w:rPr>
                      <w:szCs w:val="21"/>
                    </w:rPr>
                  </w:pPr>
                  <w:r>
                    <w:rPr>
                      <w:rFonts w:hint="eastAsia"/>
                      <w:szCs w:val="21"/>
                    </w:rPr>
                    <w:t>2台</w:t>
                  </w:r>
                </w:p>
              </w:tc>
              <w:tc>
                <w:tcPr>
                  <w:tcW w:w="1980" w:type="pct"/>
                  <w:vMerge w:val="restart"/>
                  <w:vAlign w:val="center"/>
                </w:tcPr>
                <w:p>
                  <w:pPr>
                    <w:snapToGrid w:val="0"/>
                    <w:spacing w:line="320" w:lineRule="exact"/>
                    <w:jc w:val="center"/>
                    <w:rPr>
                      <w:szCs w:val="21"/>
                    </w:rPr>
                  </w:pPr>
                  <w:r>
                    <w:rPr>
                      <w:rFonts w:hint="eastAsia"/>
                      <w:szCs w:val="21"/>
                    </w:rPr>
                    <w:t>基布、吊带裁剪</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Align w:val="center"/>
                </w:tcPr>
                <w:p>
                  <w:pPr>
                    <w:pStyle w:val="67"/>
                    <w:snapToGrid w:val="0"/>
                    <w:spacing w:line="320" w:lineRule="exact"/>
                    <w:ind w:firstLine="0" w:firstLineChars="0"/>
                    <w:jc w:val="center"/>
                    <w:rPr>
                      <w:sz w:val="21"/>
                      <w:szCs w:val="21"/>
                    </w:rPr>
                  </w:pPr>
                  <w:r>
                    <w:rPr>
                      <w:rFonts w:hint="eastAsia"/>
                      <w:sz w:val="21"/>
                      <w:szCs w:val="21"/>
                    </w:rPr>
                    <w:t>8</w:t>
                  </w:r>
                </w:p>
              </w:tc>
              <w:tc>
                <w:tcPr>
                  <w:tcW w:w="1020" w:type="pct"/>
                  <w:vAlign w:val="center"/>
                </w:tcPr>
                <w:p>
                  <w:pPr>
                    <w:spacing w:line="320" w:lineRule="exact"/>
                    <w:jc w:val="center"/>
                    <w:rPr>
                      <w:szCs w:val="21"/>
                    </w:rPr>
                  </w:pPr>
                  <w:r>
                    <w:rPr>
                      <w:rFonts w:hint="eastAsia"/>
                      <w:szCs w:val="21"/>
                    </w:rPr>
                    <w:t>自动裁剪机</w:t>
                  </w:r>
                </w:p>
              </w:tc>
              <w:tc>
                <w:tcPr>
                  <w:tcW w:w="848" w:type="pct"/>
                  <w:vAlign w:val="center"/>
                </w:tcPr>
                <w:p>
                  <w:pPr>
                    <w:spacing w:line="320" w:lineRule="exact"/>
                    <w:jc w:val="center"/>
                    <w:rPr>
                      <w:szCs w:val="21"/>
                    </w:rPr>
                  </w:pPr>
                  <w:r>
                    <w:rPr>
                      <w:rFonts w:hint="eastAsia"/>
                      <w:szCs w:val="21"/>
                    </w:rPr>
                    <w:t>2200型</w:t>
                  </w:r>
                </w:p>
              </w:tc>
              <w:tc>
                <w:tcPr>
                  <w:tcW w:w="686" w:type="pct"/>
                  <w:vAlign w:val="center"/>
                </w:tcPr>
                <w:p>
                  <w:pPr>
                    <w:spacing w:line="320" w:lineRule="exact"/>
                    <w:jc w:val="center"/>
                    <w:rPr>
                      <w:szCs w:val="21"/>
                    </w:rPr>
                  </w:pPr>
                  <w:r>
                    <w:rPr>
                      <w:rFonts w:hint="eastAsia"/>
                      <w:szCs w:val="21"/>
                    </w:rPr>
                    <w:t>2台</w:t>
                  </w:r>
                </w:p>
              </w:tc>
              <w:tc>
                <w:tcPr>
                  <w:tcW w:w="1980" w:type="pct"/>
                  <w:vMerge w:val="continue"/>
                  <w:vAlign w:val="center"/>
                </w:tcPr>
                <w:p>
                  <w:pPr>
                    <w:snapToGrid w:val="0"/>
                    <w:spacing w:line="32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Align w:val="center"/>
                </w:tcPr>
                <w:p>
                  <w:pPr>
                    <w:pStyle w:val="67"/>
                    <w:snapToGrid w:val="0"/>
                    <w:spacing w:line="320" w:lineRule="exact"/>
                    <w:ind w:firstLine="0" w:firstLineChars="0"/>
                    <w:jc w:val="center"/>
                    <w:rPr>
                      <w:sz w:val="21"/>
                      <w:szCs w:val="21"/>
                    </w:rPr>
                  </w:pPr>
                  <w:r>
                    <w:rPr>
                      <w:rFonts w:hint="eastAsia"/>
                      <w:sz w:val="21"/>
                      <w:szCs w:val="21"/>
                    </w:rPr>
                    <w:t>9</w:t>
                  </w:r>
                </w:p>
              </w:tc>
              <w:tc>
                <w:tcPr>
                  <w:tcW w:w="1020" w:type="pct"/>
                  <w:vAlign w:val="center"/>
                </w:tcPr>
                <w:p>
                  <w:pPr>
                    <w:spacing w:line="320" w:lineRule="exact"/>
                    <w:jc w:val="center"/>
                    <w:rPr>
                      <w:szCs w:val="21"/>
                    </w:rPr>
                  </w:pPr>
                  <w:r>
                    <w:rPr>
                      <w:rFonts w:hint="eastAsia"/>
                      <w:szCs w:val="21"/>
                    </w:rPr>
                    <w:t>空压机</w:t>
                  </w:r>
                </w:p>
              </w:tc>
              <w:tc>
                <w:tcPr>
                  <w:tcW w:w="848" w:type="pct"/>
                  <w:vAlign w:val="center"/>
                </w:tcPr>
                <w:p>
                  <w:pPr>
                    <w:spacing w:line="320" w:lineRule="exact"/>
                    <w:jc w:val="center"/>
                    <w:rPr>
                      <w:szCs w:val="21"/>
                    </w:rPr>
                  </w:pPr>
                  <w:r>
                    <w:rPr>
                      <w:rFonts w:hint="eastAsia"/>
                      <w:szCs w:val="21"/>
                    </w:rPr>
                    <w:t>/</w:t>
                  </w:r>
                </w:p>
              </w:tc>
              <w:tc>
                <w:tcPr>
                  <w:tcW w:w="686" w:type="pct"/>
                  <w:vAlign w:val="center"/>
                </w:tcPr>
                <w:p>
                  <w:pPr>
                    <w:spacing w:line="320" w:lineRule="exact"/>
                    <w:jc w:val="center"/>
                    <w:rPr>
                      <w:szCs w:val="21"/>
                    </w:rPr>
                  </w:pPr>
                  <w:r>
                    <w:rPr>
                      <w:rFonts w:hint="eastAsia"/>
                      <w:szCs w:val="21"/>
                    </w:rPr>
                    <w:t>2台</w:t>
                  </w:r>
                </w:p>
              </w:tc>
              <w:tc>
                <w:tcPr>
                  <w:tcW w:w="1980" w:type="pct"/>
                  <w:vAlign w:val="center"/>
                </w:tcPr>
                <w:p>
                  <w:pPr>
                    <w:snapToGrid w:val="0"/>
                    <w:spacing w:line="320" w:lineRule="exact"/>
                    <w:jc w:val="center"/>
                    <w:rPr>
                      <w:szCs w:val="21"/>
                    </w:rPr>
                  </w:pPr>
                  <w:r>
                    <w:rPr>
                      <w:rFonts w:hint="eastAsia"/>
                      <w:szCs w:val="21"/>
                    </w:rPr>
                    <w:t>为圆织机、吊围带机配套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Align w:val="center"/>
                </w:tcPr>
                <w:p>
                  <w:pPr>
                    <w:pStyle w:val="67"/>
                    <w:snapToGrid w:val="0"/>
                    <w:spacing w:line="320" w:lineRule="exact"/>
                    <w:ind w:firstLine="0" w:firstLineChars="0"/>
                    <w:jc w:val="center"/>
                    <w:rPr>
                      <w:sz w:val="21"/>
                      <w:szCs w:val="21"/>
                    </w:rPr>
                  </w:pPr>
                  <w:r>
                    <w:rPr>
                      <w:rFonts w:hint="eastAsia"/>
                      <w:sz w:val="21"/>
                      <w:szCs w:val="21"/>
                    </w:rPr>
                    <w:t>10</w:t>
                  </w:r>
                </w:p>
              </w:tc>
              <w:tc>
                <w:tcPr>
                  <w:tcW w:w="1020" w:type="pct"/>
                  <w:vAlign w:val="center"/>
                </w:tcPr>
                <w:p>
                  <w:pPr>
                    <w:spacing w:line="320" w:lineRule="exact"/>
                    <w:jc w:val="center"/>
                    <w:rPr>
                      <w:szCs w:val="21"/>
                    </w:rPr>
                  </w:pPr>
                  <w:r>
                    <w:rPr>
                      <w:rFonts w:hint="eastAsia"/>
                      <w:szCs w:val="21"/>
                    </w:rPr>
                    <w:t>冷却水循环池</w:t>
                  </w:r>
                </w:p>
              </w:tc>
              <w:tc>
                <w:tcPr>
                  <w:tcW w:w="848" w:type="pct"/>
                  <w:vAlign w:val="center"/>
                </w:tcPr>
                <w:p>
                  <w:pPr>
                    <w:spacing w:line="320" w:lineRule="exact"/>
                    <w:jc w:val="center"/>
                    <w:rPr>
                      <w:szCs w:val="21"/>
                    </w:rPr>
                  </w:pPr>
                  <w:r>
                    <w:rPr>
                      <w:rFonts w:hint="eastAsia"/>
                      <w:szCs w:val="21"/>
                    </w:rPr>
                    <w:t>100m</w:t>
                  </w:r>
                  <w:r>
                    <w:rPr>
                      <w:rFonts w:hint="eastAsia"/>
                      <w:szCs w:val="21"/>
                      <w:vertAlign w:val="superscript"/>
                    </w:rPr>
                    <w:t>3</w:t>
                  </w:r>
                </w:p>
              </w:tc>
              <w:tc>
                <w:tcPr>
                  <w:tcW w:w="686" w:type="pct"/>
                  <w:vAlign w:val="center"/>
                </w:tcPr>
                <w:p>
                  <w:pPr>
                    <w:spacing w:line="320" w:lineRule="exact"/>
                    <w:jc w:val="center"/>
                    <w:rPr>
                      <w:szCs w:val="21"/>
                    </w:rPr>
                  </w:pPr>
                  <w:r>
                    <w:rPr>
                      <w:rFonts w:hint="eastAsia"/>
                      <w:szCs w:val="21"/>
                    </w:rPr>
                    <w:t>1个</w:t>
                  </w:r>
                </w:p>
              </w:tc>
              <w:tc>
                <w:tcPr>
                  <w:tcW w:w="1980" w:type="pct"/>
                  <w:vMerge w:val="restart"/>
                  <w:vAlign w:val="center"/>
                </w:tcPr>
                <w:p>
                  <w:pPr>
                    <w:snapToGrid w:val="0"/>
                    <w:spacing w:line="320" w:lineRule="exact"/>
                    <w:jc w:val="center"/>
                    <w:rPr>
                      <w:szCs w:val="21"/>
                    </w:rPr>
                  </w:pPr>
                  <w:r>
                    <w:rPr>
                      <w:rFonts w:hint="eastAsia"/>
                      <w:kern w:val="0"/>
                      <w:szCs w:val="21"/>
                    </w:rPr>
                    <w:t>挤出、覆膜机组配套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Align w:val="center"/>
                </w:tcPr>
                <w:p>
                  <w:pPr>
                    <w:pStyle w:val="67"/>
                    <w:snapToGrid w:val="0"/>
                    <w:spacing w:line="320" w:lineRule="exact"/>
                    <w:ind w:firstLine="0" w:firstLineChars="0"/>
                    <w:jc w:val="center"/>
                    <w:rPr>
                      <w:sz w:val="21"/>
                      <w:szCs w:val="21"/>
                    </w:rPr>
                  </w:pPr>
                  <w:r>
                    <w:rPr>
                      <w:rFonts w:hint="eastAsia"/>
                      <w:sz w:val="21"/>
                      <w:szCs w:val="21"/>
                    </w:rPr>
                    <w:t>11</w:t>
                  </w:r>
                </w:p>
              </w:tc>
              <w:tc>
                <w:tcPr>
                  <w:tcW w:w="1020" w:type="pct"/>
                  <w:vAlign w:val="center"/>
                </w:tcPr>
                <w:p>
                  <w:pPr>
                    <w:spacing w:line="320" w:lineRule="exact"/>
                    <w:jc w:val="center"/>
                    <w:rPr>
                      <w:szCs w:val="21"/>
                    </w:rPr>
                  </w:pPr>
                  <w:r>
                    <w:rPr>
                      <w:rFonts w:hint="eastAsia"/>
                      <w:szCs w:val="21"/>
                    </w:rPr>
                    <w:t>冷却塔</w:t>
                  </w:r>
                </w:p>
              </w:tc>
              <w:tc>
                <w:tcPr>
                  <w:tcW w:w="848" w:type="pct"/>
                  <w:vAlign w:val="center"/>
                </w:tcPr>
                <w:p>
                  <w:pPr>
                    <w:spacing w:line="320" w:lineRule="exact"/>
                    <w:jc w:val="center"/>
                    <w:rPr>
                      <w:szCs w:val="21"/>
                    </w:rPr>
                  </w:pPr>
                  <w:r>
                    <w:rPr>
                      <w:rFonts w:hint="eastAsia"/>
                      <w:szCs w:val="21"/>
                    </w:rPr>
                    <w:t>200t/h</w:t>
                  </w:r>
                </w:p>
              </w:tc>
              <w:tc>
                <w:tcPr>
                  <w:tcW w:w="686" w:type="pct"/>
                  <w:vAlign w:val="center"/>
                </w:tcPr>
                <w:p>
                  <w:pPr>
                    <w:spacing w:line="320" w:lineRule="exact"/>
                    <w:jc w:val="center"/>
                    <w:rPr>
                      <w:szCs w:val="21"/>
                    </w:rPr>
                  </w:pPr>
                  <w:r>
                    <w:rPr>
                      <w:rFonts w:hint="eastAsia"/>
                      <w:szCs w:val="21"/>
                    </w:rPr>
                    <w:t>1台</w:t>
                  </w:r>
                </w:p>
              </w:tc>
              <w:tc>
                <w:tcPr>
                  <w:tcW w:w="1980" w:type="pct"/>
                  <w:vMerge w:val="continue"/>
                  <w:vAlign w:val="center"/>
                </w:tcPr>
                <w:p>
                  <w:pPr>
                    <w:snapToGrid w:val="0"/>
                    <w:spacing w:line="320" w:lineRule="exact"/>
                    <w:jc w:val="center"/>
                    <w:rPr>
                      <w:kern w:val="0"/>
                      <w:szCs w:val="21"/>
                    </w:rPr>
                  </w:pPr>
                </w:p>
              </w:tc>
            </w:tr>
          </w:tbl>
          <w:p>
            <w:pPr>
              <w:spacing w:line="360" w:lineRule="auto"/>
              <w:ind w:firstLine="480" w:firstLineChars="200"/>
              <w:rPr>
                <w:sz w:val="24"/>
              </w:rPr>
            </w:pPr>
            <w:r>
              <w:rPr>
                <w:rFonts w:hint="eastAsia"/>
                <w:bCs/>
                <w:sz w:val="24"/>
              </w:rPr>
              <w:t>对照</w:t>
            </w:r>
            <w:r>
              <w:rPr>
                <w:rFonts w:hint="eastAsia"/>
                <w:sz w:val="24"/>
              </w:rPr>
              <w:t>《河南省部分工业行业淘汰落后生产工艺装备和产品目录》和</w:t>
            </w:r>
            <w:r>
              <w:rPr>
                <w:rFonts w:hint="eastAsia"/>
                <w:bCs/>
                <w:sz w:val="24"/>
              </w:rPr>
              <w:t>工业和信息化部公告2014年工业行业淘汰落后和过剩产能企业名单（第一批-第四批）</w:t>
            </w:r>
            <w:r>
              <w:rPr>
                <w:rFonts w:hint="eastAsia"/>
                <w:sz w:val="24"/>
              </w:rPr>
              <w:t>，本项目生产产品及生产设备不在淘汰落后生产工艺装备和产品目录。</w:t>
            </w:r>
          </w:p>
          <w:p>
            <w:pPr>
              <w:adjustRightInd w:val="0"/>
              <w:snapToGrid w:val="0"/>
              <w:spacing w:line="360" w:lineRule="auto"/>
              <w:rPr>
                <w:b/>
                <w:bCs/>
                <w:sz w:val="24"/>
              </w:rPr>
            </w:pPr>
            <w:r>
              <w:rPr>
                <w:rFonts w:hint="eastAsia"/>
                <w:b/>
                <w:bCs/>
                <w:sz w:val="24"/>
              </w:rPr>
              <w:t>2.5</w:t>
            </w:r>
            <w:r>
              <w:rPr>
                <w:b/>
                <w:bCs/>
                <w:sz w:val="24"/>
              </w:rPr>
              <w:t>主要原辅材料及</w:t>
            </w:r>
            <w:r>
              <w:rPr>
                <w:rFonts w:hint="eastAsia"/>
                <w:b/>
                <w:bCs/>
                <w:sz w:val="24"/>
              </w:rPr>
              <w:t>能源</w:t>
            </w:r>
          </w:p>
          <w:p>
            <w:pPr>
              <w:spacing w:line="360" w:lineRule="auto"/>
              <w:rPr>
                <w:kern w:val="0"/>
                <w:sz w:val="24"/>
              </w:rPr>
            </w:pPr>
            <w:r>
              <w:rPr>
                <w:rFonts w:hint="eastAsia"/>
                <w:kern w:val="0"/>
                <w:sz w:val="24"/>
              </w:rPr>
              <w:t>2</w:t>
            </w:r>
            <w:r>
              <w:rPr>
                <w:kern w:val="0"/>
                <w:sz w:val="24"/>
              </w:rPr>
              <w:t>.5.1</w:t>
            </w:r>
            <w:r>
              <w:rPr>
                <w:rFonts w:hint="eastAsia"/>
                <w:kern w:val="0"/>
                <w:sz w:val="24"/>
              </w:rPr>
              <w:t>原辅材料及能源消耗</w:t>
            </w:r>
          </w:p>
          <w:p>
            <w:pPr>
              <w:spacing w:line="360" w:lineRule="auto"/>
              <w:ind w:firstLine="480" w:firstLineChars="200"/>
              <w:rPr>
                <w:kern w:val="0"/>
                <w:sz w:val="24"/>
              </w:rPr>
            </w:pPr>
            <w:r>
              <w:rPr>
                <w:kern w:val="0"/>
                <w:sz w:val="24"/>
              </w:rPr>
              <w:t>本项目</w:t>
            </w:r>
            <w:r>
              <w:rPr>
                <w:rFonts w:hint="eastAsia"/>
                <w:kern w:val="0"/>
                <w:sz w:val="24"/>
              </w:rPr>
              <w:t>的</w:t>
            </w:r>
            <w:r>
              <w:rPr>
                <w:kern w:val="0"/>
                <w:sz w:val="24"/>
              </w:rPr>
              <w:t>主要原辅材料</w:t>
            </w:r>
            <w:r>
              <w:rPr>
                <w:rFonts w:hint="eastAsia"/>
                <w:kern w:val="0"/>
                <w:sz w:val="24"/>
              </w:rPr>
              <w:t>用量</w:t>
            </w:r>
            <w:r>
              <w:rPr>
                <w:kern w:val="0"/>
                <w:sz w:val="24"/>
              </w:rPr>
              <w:t>及</w:t>
            </w:r>
            <w:r>
              <w:rPr>
                <w:rFonts w:hint="eastAsia"/>
                <w:kern w:val="0"/>
                <w:sz w:val="24"/>
              </w:rPr>
              <w:t>能源的消耗情况</w:t>
            </w:r>
            <w:r>
              <w:rPr>
                <w:kern w:val="0"/>
                <w:sz w:val="24"/>
              </w:rPr>
              <w:t>见</w:t>
            </w:r>
            <w:r>
              <w:rPr>
                <w:rFonts w:hint="eastAsia"/>
                <w:kern w:val="0"/>
                <w:sz w:val="24"/>
              </w:rPr>
              <w:t>下表</w:t>
            </w:r>
            <w:r>
              <w:rPr>
                <w:kern w:val="0"/>
                <w:sz w:val="24"/>
              </w:rPr>
              <w:t>。</w:t>
            </w:r>
          </w:p>
          <w:p>
            <w:pPr>
              <w:pStyle w:val="53"/>
              <w:numPr>
                <w:ilvl w:val="0"/>
                <w:numId w:val="2"/>
              </w:numPr>
              <w:adjustRightInd/>
              <w:snapToGrid/>
              <w:ind w:left="0" w:firstLine="0"/>
              <w:rPr>
                <w:kern w:val="0"/>
              </w:rPr>
            </w:pPr>
            <w:r>
              <w:rPr>
                <w:rFonts w:hint="eastAsia"/>
                <w:kern w:val="0"/>
              </w:rPr>
              <w:t>原辅材料及能源用量情况一览表</w:t>
            </w:r>
          </w:p>
          <w:tbl>
            <w:tblPr>
              <w:tblStyle w:val="2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1611"/>
              <w:gridCol w:w="1289"/>
              <w:gridCol w:w="42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67" w:type="dxa"/>
                  <w:gridSpan w:val="2"/>
                  <w:vAlign w:val="center"/>
                </w:tcPr>
                <w:p>
                  <w:pPr>
                    <w:pStyle w:val="80"/>
                  </w:pPr>
                  <w:r>
                    <w:t>名称</w:t>
                  </w:r>
                </w:p>
              </w:tc>
              <w:tc>
                <w:tcPr>
                  <w:tcW w:w="1289" w:type="dxa"/>
                  <w:vAlign w:val="center"/>
                </w:tcPr>
                <w:p>
                  <w:pPr>
                    <w:pStyle w:val="80"/>
                  </w:pPr>
                  <w:r>
                    <w:t>消耗量</w:t>
                  </w:r>
                </w:p>
              </w:tc>
              <w:tc>
                <w:tcPr>
                  <w:tcW w:w="4200" w:type="dxa"/>
                  <w:vAlign w:val="center"/>
                </w:tcPr>
                <w:p>
                  <w:pPr>
                    <w:pStyle w:val="80"/>
                  </w:pPr>
                  <w: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Merge w:val="restart"/>
                  <w:vAlign w:val="center"/>
                </w:tcPr>
                <w:p>
                  <w:pPr>
                    <w:pStyle w:val="58"/>
                    <w:spacing w:line="320" w:lineRule="exact"/>
                  </w:pPr>
                  <w:r>
                    <w:t>原材料</w:t>
                  </w:r>
                </w:p>
              </w:tc>
              <w:tc>
                <w:tcPr>
                  <w:tcW w:w="1611" w:type="dxa"/>
                  <w:vAlign w:val="center"/>
                </w:tcPr>
                <w:p>
                  <w:pPr>
                    <w:pStyle w:val="58"/>
                    <w:spacing w:line="320" w:lineRule="exact"/>
                    <w:rPr>
                      <w:szCs w:val="21"/>
                    </w:rPr>
                  </w:pPr>
                  <w:r>
                    <w:rPr>
                      <w:rFonts w:hint="eastAsia"/>
                      <w:szCs w:val="21"/>
                    </w:rPr>
                    <w:t>聚丙烯</w:t>
                  </w:r>
                </w:p>
              </w:tc>
              <w:tc>
                <w:tcPr>
                  <w:tcW w:w="1289" w:type="dxa"/>
                  <w:vAlign w:val="center"/>
                </w:tcPr>
                <w:p>
                  <w:pPr>
                    <w:pStyle w:val="58"/>
                    <w:spacing w:line="320" w:lineRule="exact"/>
                  </w:pPr>
                  <w:r>
                    <w:rPr>
                      <w:rFonts w:hint="eastAsia"/>
                    </w:rPr>
                    <w:t>4050</w:t>
                  </w:r>
                  <w:r>
                    <w:t>t/a</w:t>
                  </w:r>
                </w:p>
              </w:tc>
              <w:tc>
                <w:tcPr>
                  <w:tcW w:w="4200" w:type="dxa"/>
                  <w:vAlign w:val="center"/>
                </w:tcPr>
                <w:p>
                  <w:pPr>
                    <w:jc w:val="center"/>
                    <w:rPr>
                      <w:szCs w:val="21"/>
                    </w:rPr>
                  </w:pPr>
                  <w:r>
                    <w:rPr>
                      <w:rFonts w:hint="eastAsia"/>
                      <w:szCs w:val="21"/>
                    </w:rPr>
                    <w:t>25kg/袋，无色半透明颗粒状，拉丝原料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Merge w:val="continue"/>
                  <w:vAlign w:val="center"/>
                </w:tcPr>
                <w:p>
                  <w:pPr>
                    <w:pStyle w:val="58"/>
                    <w:spacing w:line="320" w:lineRule="exact"/>
                  </w:pPr>
                </w:p>
              </w:tc>
              <w:tc>
                <w:tcPr>
                  <w:tcW w:w="1611" w:type="dxa"/>
                  <w:vAlign w:val="center"/>
                </w:tcPr>
                <w:p>
                  <w:pPr>
                    <w:pStyle w:val="58"/>
                    <w:spacing w:line="320" w:lineRule="exact"/>
                    <w:rPr>
                      <w:szCs w:val="21"/>
                    </w:rPr>
                  </w:pPr>
                  <w:r>
                    <w:rPr>
                      <w:rFonts w:hint="eastAsia"/>
                      <w:szCs w:val="21"/>
                    </w:rPr>
                    <w:t>聚丙烯</w:t>
                  </w:r>
                </w:p>
              </w:tc>
              <w:tc>
                <w:tcPr>
                  <w:tcW w:w="1289" w:type="dxa"/>
                  <w:vAlign w:val="center"/>
                </w:tcPr>
                <w:p>
                  <w:pPr>
                    <w:pStyle w:val="58"/>
                    <w:spacing w:line="320" w:lineRule="exact"/>
                  </w:pPr>
                  <w:r>
                    <w:rPr>
                      <w:rFonts w:hint="eastAsia"/>
                    </w:rPr>
                    <w:t>450</w:t>
                  </w:r>
                  <w:r>
                    <w:t>t/a</w:t>
                  </w:r>
                </w:p>
              </w:tc>
              <w:tc>
                <w:tcPr>
                  <w:tcW w:w="4200" w:type="dxa"/>
                  <w:vAlign w:val="center"/>
                </w:tcPr>
                <w:p>
                  <w:pPr>
                    <w:jc w:val="center"/>
                    <w:rPr>
                      <w:szCs w:val="21"/>
                    </w:rPr>
                  </w:pPr>
                  <w:r>
                    <w:rPr>
                      <w:rFonts w:hint="eastAsia"/>
                      <w:szCs w:val="21"/>
                    </w:rPr>
                    <w:t>25kg/袋，无色半透明颗粒状，覆膜用料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Merge w:val="continue"/>
                  <w:vAlign w:val="center"/>
                </w:tcPr>
                <w:p>
                  <w:pPr>
                    <w:pStyle w:val="58"/>
                    <w:spacing w:line="320" w:lineRule="exact"/>
                  </w:pPr>
                </w:p>
              </w:tc>
              <w:tc>
                <w:tcPr>
                  <w:tcW w:w="1611" w:type="dxa"/>
                  <w:vAlign w:val="center"/>
                </w:tcPr>
                <w:p>
                  <w:pPr>
                    <w:pStyle w:val="58"/>
                    <w:spacing w:line="320" w:lineRule="exact"/>
                    <w:rPr>
                      <w:szCs w:val="21"/>
                    </w:rPr>
                  </w:pPr>
                  <w:r>
                    <w:rPr>
                      <w:rFonts w:hint="eastAsia"/>
                      <w:szCs w:val="21"/>
                    </w:rPr>
                    <w:t>聚乙烯</w:t>
                  </w:r>
                </w:p>
              </w:tc>
              <w:tc>
                <w:tcPr>
                  <w:tcW w:w="1289" w:type="dxa"/>
                  <w:vAlign w:val="center"/>
                </w:tcPr>
                <w:p>
                  <w:pPr>
                    <w:pStyle w:val="58"/>
                    <w:spacing w:line="320" w:lineRule="exact"/>
                  </w:pPr>
                  <w:r>
                    <w:rPr>
                      <w:rFonts w:hint="eastAsia"/>
                    </w:rPr>
                    <w:t>1650</w:t>
                  </w:r>
                  <w:r>
                    <w:t>t/a</w:t>
                  </w:r>
                </w:p>
              </w:tc>
              <w:tc>
                <w:tcPr>
                  <w:tcW w:w="4200" w:type="dxa"/>
                  <w:vAlign w:val="center"/>
                </w:tcPr>
                <w:p>
                  <w:pPr>
                    <w:jc w:val="center"/>
                    <w:rPr>
                      <w:szCs w:val="21"/>
                    </w:rPr>
                  </w:pPr>
                  <w:r>
                    <w:rPr>
                      <w:rFonts w:hint="eastAsia"/>
                      <w:szCs w:val="21"/>
                    </w:rPr>
                    <w:t>25kg/袋，白色颗粒状，拉丝原料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Merge w:val="continue"/>
                  <w:vAlign w:val="center"/>
                </w:tcPr>
                <w:p>
                  <w:pPr>
                    <w:pStyle w:val="58"/>
                    <w:spacing w:line="320" w:lineRule="exact"/>
                  </w:pPr>
                </w:p>
              </w:tc>
              <w:tc>
                <w:tcPr>
                  <w:tcW w:w="1611" w:type="dxa"/>
                  <w:vAlign w:val="center"/>
                </w:tcPr>
                <w:p>
                  <w:pPr>
                    <w:pStyle w:val="58"/>
                    <w:spacing w:line="320" w:lineRule="exact"/>
                    <w:rPr>
                      <w:szCs w:val="21"/>
                    </w:rPr>
                  </w:pPr>
                  <w:r>
                    <w:rPr>
                      <w:rFonts w:hint="eastAsia"/>
                      <w:szCs w:val="21"/>
                    </w:rPr>
                    <w:t>聚乙烯</w:t>
                  </w:r>
                </w:p>
              </w:tc>
              <w:tc>
                <w:tcPr>
                  <w:tcW w:w="1289" w:type="dxa"/>
                  <w:vAlign w:val="center"/>
                </w:tcPr>
                <w:p>
                  <w:pPr>
                    <w:pStyle w:val="58"/>
                    <w:spacing w:line="320" w:lineRule="exact"/>
                  </w:pPr>
                  <w:r>
                    <w:rPr>
                      <w:rFonts w:hint="eastAsia"/>
                    </w:rPr>
                    <w:t>75</w:t>
                  </w:r>
                  <w:r>
                    <w:t>t/a</w:t>
                  </w:r>
                </w:p>
              </w:tc>
              <w:tc>
                <w:tcPr>
                  <w:tcW w:w="4200" w:type="dxa"/>
                  <w:vAlign w:val="center"/>
                </w:tcPr>
                <w:p>
                  <w:pPr>
                    <w:jc w:val="center"/>
                    <w:rPr>
                      <w:szCs w:val="21"/>
                    </w:rPr>
                  </w:pPr>
                  <w:r>
                    <w:rPr>
                      <w:rFonts w:hint="eastAsia"/>
                      <w:szCs w:val="21"/>
                    </w:rPr>
                    <w:t>25kg/袋，白色颗粒状，覆膜用料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Merge w:val="restart"/>
                  <w:vAlign w:val="center"/>
                </w:tcPr>
                <w:p>
                  <w:pPr>
                    <w:pStyle w:val="58"/>
                    <w:spacing w:line="320" w:lineRule="exact"/>
                  </w:pPr>
                  <w:r>
                    <w:t>辅助材料</w:t>
                  </w:r>
                </w:p>
              </w:tc>
              <w:tc>
                <w:tcPr>
                  <w:tcW w:w="1611" w:type="dxa"/>
                  <w:vAlign w:val="center"/>
                </w:tcPr>
                <w:p>
                  <w:pPr>
                    <w:pStyle w:val="58"/>
                    <w:spacing w:line="320" w:lineRule="exact"/>
                    <w:rPr>
                      <w:highlight w:val="yellow"/>
                    </w:rPr>
                  </w:pPr>
                  <w:r>
                    <w:rPr>
                      <w:rFonts w:hint="eastAsia"/>
                      <w:szCs w:val="21"/>
                    </w:rPr>
                    <w:t>填充母料</w:t>
                  </w:r>
                </w:p>
              </w:tc>
              <w:tc>
                <w:tcPr>
                  <w:tcW w:w="1289" w:type="dxa"/>
                  <w:vAlign w:val="center"/>
                </w:tcPr>
                <w:p>
                  <w:pPr>
                    <w:pStyle w:val="58"/>
                    <w:spacing w:line="320" w:lineRule="exact"/>
                  </w:pPr>
                  <w:r>
                    <w:rPr>
                      <w:rFonts w:hint="eastAsia"/>
                    </w:rPr>
                    <w:t>7.5t</w:t>
                  </w:r>
                  <w:r>
                    <w:t>/a</w:t>
                  </w:r>
                </w:p>
              </w:tc>
              <w:tc>
                <w:tcPr>
                  <w:tcW w:w="4200" w:type="dxa"/>
                  <w:vAlign w:val="center"/>
                </w:tcPr>
                <w:p>
                  <w:pPr>
                    <w:jc w:val="center"/>
                    <w:rPr>
                      <w:szCs w:val="21"/>
                    </w:rPr>
                  </w:pPr>
                  <w:r>
                    <w:rPr>
                      <w:rFonts w:hint="eastAsia"/>
                      <w:szCs w:val="21"/>
                    </w:rPr>
                    <w:t>25kg/袋，白色颗粒状，袋装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Merge w:val="continue"/>
                  <w:vAlign w:val="center"/>
                </w:tcPr>
                <w:p>
                  <w:pPr>
                    <w:pStyle w:val="58"/>
                    <w:spacing w:line="320" w:lineRule="exact"/>
                  </w:pPr>
                </w:p>
              </w:tc>
              <w:tc>
                <w:tcPr>
                  <w:tcW w:w="1611" w:type="dxa"/>
                  <w:vAlign w:val="center"/>
                </w:tcPr>
                <w:p>
                  <w:pPr>
                    <w:pStyle w:val="58"/>
                    <w:spacing w:line="320" w:lineRule="exact"/>
                  </w:pPr>
                  <w:r>
                    <w:rPr>
                      <w:rFonts w:hint="eastAsia"/>
                      <w:szCs w:val="21"/>
                    </w:rPr>
                    <w:t>包装袋</w:t>
                  </w:r>
                </w:p>
              </w:tc>
              <w:tc>
                <w:tcPr>
                  <w:tcW w:w="1289" w:type="dxa"/>
                  <w:vAlign w:val="center"/>
                </w:tcPr>
                <w:p>
                  <w:pPr>
                    <w:pStyle w:val="58"/>
                    <w:spacing w:line="320" w:lineRule="exact"/>
                  </w:pPr>
                  <w:r>
                    <w:rPr>
                      <w:rFonts w:hint="eastAsia"/>
                    </w:rPr>
                    <w:t>2.4t</w:t>
                  </w:r>
                  <w:r>
                    <w:t>/a</w:t>
                  </w:r>
                </w:p>
              </w:tc>
              <w:tc>
                <w:tcPr>
                  <w:tcW w:w="4200" w:type="dxa"/>
                  <w:vAlign w:val="center"/>
                </w:tcPr>
                <w:p>
                  <w:pPr>
                    <w:pStyle w:val="58"/>
                    <w:spacing w:line="320" w:lineRule="exact"/>
                  </w:pPr>
                  <w:r>
                    <w:rPr>
                      <w:rFonts w:hint="eastAsia"/>
                      <w:szCs w:val="21"/>
                    </w:rPr>
                    <w:t>成品包装打包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Merge w:val="continue"/>
                  <w:vAlign w:val="center"/>
                </w:tcPr>
                <w:p>
                  <w:pPr>
                    <w:pStyle w:val="58"/>
                    <w:spacing w:line="320" w:lineRule="exact"/>
                  </w:pPr>
                </w:p>
              </w:tc>
              <w:tc>
                <w:tcPr>
                  <w:tcW w:w="1611" w:type="dxa"/>
                  <w:vAlign w:val="center"/>
                </w:tcPr>
                <w:p>
                  <w:pPr>
                    <w:pStyle w:val="58"/>
                    <w:spacing w:line="320" w:lineRule="exact"/>
                    <w:rPr>
                      <w:szCs w:val="21"/>
                    </w:rPr>
                  </w:pPr>
                  <w:r>
                    <w:rPr>
                      <w:rFonts w:hint="eastAsia"/>
                      <w:szCs w:val="21"/>
                    </w:rPr>
                    <w:t>缝纫线</w:t>
                  </w:r>
                </w:p>
              </w:tc>
              <w:tc>
                <w:tcPr>
                  <w:tcW w:w="1289" w:type="dxa"/>
                  <w:vAlign w:val="center"/>
                </w:tcPr>
                <w:p>
                  <w:pPr>
                    <w:pStyle w:val="58"/>
                    <w:spacing w:line="320" w:lineRule="exact"/>
                  </w:pPr>
                  <w:r>
                    <w:rPr>
                      <w:rFonts w:hint="eastAsia"/>
                    </w:rPr>
                    <w:t>15t</w:t>
                  </w:r>
                  <w:r>
                    <w:t>/a</w:t>
                  </w:r>
                </w:p>
              </w:tc>
              <w:tc>
                <w:tcPr>
                  <w:tcW w:w="4200" w:type="dxa"/>
                  <w:vAlign w:val="center"/>
                </w:tcPr>
                <w:p>
                  <w:pPr>
                    <w:pStyle w:val="58"/>
                    <w:spacing w:line="320" w:lineRule="exact"/>
                  </w:pPr>
                  <w:r>
                    <w:rPr>
                      <w:rFonts w:hint="eastAsia"/>
                    </w:rPr>
                    <w:t>外购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Merge w:val="continue"/>
                  <w:vAlign w:val="center"/>
                </w:tcPr>
                <w:p>
                  <w:pPr>
                    <w:pStyle w:val="58"/>
                    <w:spacing w:line="320" w:lineRule="exact"/>
                  </w:pPr>
                </w:p>
              </w:tc>
              <w:tc>
                <w:tcPr>
                  <w:tcW w:w="1611" w:type="dxa"/>
                  <w:vAlign w:val="center"/>
                </w:tcPr>
                <w:p>
                  <w:pPr>
                    <w:pStyle w:val="58"/>
                    <w:spacing w:line="320" w:lineRule="exact"/>
                    <w:rPr>
                      <w:szCs w:val="21"/>
                    </w:rPr>
                  </w:pPr>
                  <w:r>
                    <w:rPr>
                      <w:rFonts w:hint="eastAsia"/>
                      <w:szCs w:val="21"/>
                    </w:rPr>
                    <w:t>润滑油</w:t>
                  </w:r>
                </w:p>
              </w:tc>
              <w:tc>
                <w:tcPr>
                  <w:tcW w:w="1289" w:type="dxa"/>
                  <w:vAlign w:val="center"/>
                </w:tcPr>
                <w:p>
                  <w:pPr>
                    <w:pStyle w:val="58"/>
                    <w:spacing w:line="320" w:lineRule="exact"/>
                  </w:pPr>
                  <w:r>
                    <w:rPr>
                      <w:rFonts w:hint="eastAsia"/>
                      <w:szCs w:val="21"/>
                    </w:rPr>
                    <w:t>0.05</w:t>
                  </w:r>
                  <w:r>
                    <w:rPr>
                      <w:rFonts w:hint="eastAsia"/>
                    </w:rPr>
                    <w:t>t/a</w:t>
                  </w:r>
                </w:p>
              </w:tc>
              <w:tc>
                <w:tcPr>
                  <w:tcW w:w="4200" w:type="dxa"/>
                  <w:vAlign w:val="center"/>
                </w:tcPr>
                <w:p>
                  <w:pPr>
                    <w:pStyle w:val="58"/>
                    <w:spacing w:line="320" w:lineRule="exact"/>
                  </w:pPr>
                  <w:r>
                    <w:rPr>
                      <w:rFonts w:hint="eastAsia" w:hAnsi="宋体"/>
                      <w:szCs w:val="21"/>
                    </w:rPr>
                    <w:t>生产设备润滑使用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Merge w:val="restart"/>
                  <w:vAlign w:val="center"/>
                </w:tcPr>
                <w:p>
                  <w:pPr>
                    <w:pStyle w:val="58"/>
                    <w:spacing w:line="320" w:lineRule="exact"/>
                  </w:pPr>
                  <w:r>
                    <w:t>能源</w:t>
                  </w:r>
                </w:p>
              </w:tc>
              <w:tc>
                <w:tcPr>
                  <w:tcW w:w="1611" w:type="dxa"/>
                  <w:vAlign w:val="center"/>
                </w:tcPr>
                <w:p>
                  <w:pPr>
                    <w:pStyle w:val="58"/>
                    <w:spacing w:line="320" w:lineRule="exact"/>
                  </w:pPr>
                  <w:r>
                    <w:t>新鲜水</w:t>
                  </w:r>
                </w:p>
              </w:tc>
              <w:tc>
                <w:tcPr>
                  <w:tcW w:w="1289" w:type="dxa"/>
                  <w:vAlign w:val="center"/>
                </w:tcPr>
                <w:p>
                  <w:pPr>
                    <w:pStyle w:val="58"/>
                    <w:spacing w:line="320" w:lineRule="exact"/>
                    <w:rPr>
                      <w:highlight w:val="yellow"/>
                    </w:rPr>
                  </w:pPr>
                  <w:r>
                    <w:rPr>
                      <w:rFonts w:hint="eastAsia"/>
                    </w:rPr>
                    <w:t>3613.9</w:t>
                  </w:r>
                  <w:r>
                    <w:t>m</w:t>
                  </w:r>
                  <w:r>
                    <w:rPr>
                      <w:vertAlign w:val="superscript"/>
                    </w:rPr>
                    <w:t>3</w:t>
                  </w:r>
                  <w:r>
                    <w:t>/a</w:t>
                  </w:r>
                </w:p>
              </w:tc>
              <w:tc>
                <w:tcPr>
                  <w:tcW w:w="4200" w:type="dxa"/>
                  <w:vAlign w:val="center"/>
                </w:tcPr>
                <w:p>
                  <w:pPr>
                    <w:pStyle w:val="58"/>
                    <w:spacing w:line="320" w:lineRule="exact"/>
                  </w:pPr>
                  <w:r>
                    <w:rPr>
                      <w:rFonts w:hint="eastAsia"/>
                      <w:szCs w:val="21"/>
                    </w:rPr>
                    <w:t>生活用水和设备循环冷却用水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Merge w:val="continue"/>
                  <w:vAlign w:val="center"/>
                </w:tcPr>
                <w:p>
                  <w:pPr>
                    <w:pStyle w:val="58"/>
                    <w:spacing w:line="320" w:lineRule="exact"/>
                  </w:pPr>
                </w:p>
              </w:tc>
              <w:tc>
                <w:tcPr>
                  <w:tcW w:w="1611" w:type="dxa"/>
                  <w:vAlign w:val="center"/>
                </w:tcPr>
                <w:p>
                  <w:pPr>
                    <w:pStyle w:val="58"/>
                    <w:spacing w:line="320" w:lineRule="exact"/>
                  </w:pPr>
                  <w:r>
                    <w:t>电</w:t>
                  </w:r>
                </w:p>
              </w:tc>
              <w:tc>
                <w:tcPr>
                  <w:tcW w:w="1289" w:type="dxa"/>
                  <w:vAlign w:val="center"/>
                </w:tcPr>
                <w:p>
                  <w:pPr>
                    <w:pStyle w:val="58"/>
                    <w:spacing w:line="320" w:lineRule="exact"/>
                    <w:rPr>
                      <w:highlight w:val="yellow"/>
                    </w:rPr>
                  </w:pPr>
                  <w:r>
                    <w:t>30万</w:t>
                  </w:r>
                  <w:r>
                    <w:rPr>
                      <w:rFonts w:hint="eastAsia"/>
                    </w:rPr>
                    <w:t>度/a</w:t>
                  </w:r>
                </w:p>
              </w:tc>
              <w:tc>
                <w:tcPr>
                  <w:tcW w:w="4200" w:type="dxa"/>
                  <w:vAlign w:val="center"/>
                </w:tcPr>
                <w:p>
                  <w:pPr>
                    <w:pStyle w:val="58"/>
                    <w:spacing w:line="320" w:lineRule="exact"/>
                  </w:pPr>
                  <w:r>
                    <w:rPr>
                      <w:rFonts w:hint="eastAsia"/>
                      <w:szCs w:val="21"/>
                    </w:rPr>
                    <w:t>市政供电系统</w:t>
                  </w:r>
                </w:p>
              </w:tc>
            </w:tr>
          </w:tbl>
          <w:p>
            <w:pPr>
              <w:spacing w:line="360" w:lineRule="auto"/>
              <w:rPr>
                <w:kern w:val="0"/>
                <w:sz w:val="24"/>
              </w:rPr>
            </w:pPr>
            <w:r>
              <w:rPr>
                <w:kern w:val="0"/>
                <w:sz w:val="24"/>
              </w:rPr>
              <w:t>2.5.2</w:t>
            </w:r>
            <w:r>
              <w:rPr>
                <w:rFonts w:hint="eastAsia"/>
                <w:kern w:val="0"/>
                <w:sz w:val="24"/>
              </w:rPr>
              <w:t>原辅材料理化性质</w:t>
            </w:r>
          </w:p>
          <w:p>
            <w:pPr>
              <w:spacing w:line="360" w:lineRule="auto"/>
              <w:ind w:firstLine="480" w:firstLineChars="200"/>
              <w:rPr>
                <w:kern w:val="0"/>
                <w:sz w:val="24"/>
              </w:rPr>
            </w:pPr>
            <w:r>
              <w:rPr>
                <w:rFonts w:hint="eastAsia"/>
                <w:kern w:val="0"/>
                <w:sz w:val="24"/>
              </w:rPr>
              <w:t>（1）聚丙烯：聚丙烯是由丙烯聚合而制得的一种热塑性树脂。具有无毒、无臭、无味等特点，密度为0.90~0.91g/cm</w:t>
            </w:r>
            <w:r>
              <w:rPr>
                <w:rFonts w:hint="eastAsia"/>
                <w:kern w:val="0"/>
                <w:sz w:val="24"/>
                <w:vertAlign w:val="superscript"/>
              </w:rPr>
              <w:t>3</w:t>
            </w:r>
            <w:r>
              <w:rPr>
                <w:rFonts w:hint="eastAsia"/>
                <w:kern w:val="0"/>
                <w:sz w:val="24"/>
              </w:rPr>
              <w:t>，是目前所有塑料中最轻的品种之一。聚丙烯对水特别稳定，在水中的吸水率仅为0.01%，分子量约8万~15万，成型性好。聚丙烯具有较高的耐热性，连续使用温度可达110-120℃，与绝大多数化学药品不反应。</w:t>
            </w:r>
          </w:p>
          <w:p>
            <w:pPr>
              <w:spacing w:line="360" w:lineRule="auto"/>
              <w:ind w:firstLine="480" w:firstLineChars="200"/>
              <w:rPr>
                <w:kern w:val="0"/>
                <w:sz w:val="24"/>
              </w:rPr>
            </w:pPr>
            <w:r>
              <w:rPr>
                <w:kern w:val="0"/>
                <w:sz w:val="24"/>
              </w:rPr>
              <w:t>（2）聚乙烯是乙烯经聚合制得的一种热塑性树脂。在工业上，也包括乙烯与少量α-烯烃的共聚物。聚乙烯无臭，无毒，手感似蜡，具有优良的耐低温性能（最低使用温度可达-100~-70°C）</w:t>
            </w:r>
            <w:r>
              <w:rPr>
                <w:rFonts w:hint="eastAsia"/>
                <w:kern w:val="0"/>
                <w:sz w:val="24"/>
              </w:rPr>
              <w:t>，化学稳定性好，能耐大多数酸碱的侵蚀（不耐具有氧化性质的酸）。常温下不溶于一般溶剂，吸水性小，电绝缘性优良。</w:t>
            </w:r>
          </w:p>
          <w:p>
            <w:pPr>
              <w:spacing w:line="360" w:lineRule="auto"/>
              <w:ind w:firstLine="480" w:firstLineChars="200"/>
              <w:rPr>
                <w:kern w:val="0"/>
                <w:sz w:val="24"/>
                <w:u w:val="single"/>
              </w:rPr>
            </w:pPr>
            <w:r>
              <w:rPr>
                <w:kern w:val="0"/>
                <w:sz w:val="24"/>
              </w:rPr>
              <w:t>（3）</w:t>
            </w:r>
            <w:r>
              <w:rPr>
                <w:rFonts w:hint="eastAsia"/>
                <w:kern w:val="0"/>
                <w:sz w:val="24"/>
              </w:rPr>
              <w:t>填充</w:t>
            </w:r>
            <w:r>
              <w:rPr>
                <w:kern w:val="0"/>
                <w:sz w:val="24"/>
              </w:rPr>
              <w:t>母料：其主要成分为碳酸钙和石蜡，碳酸钙粉体粒径≤10μm，石蜡主要成分C16～C40的饱和烷烃，并含有少量的环烷烃及异构烷烃，熔点50~70℃，含油量≤2.0%，化学性质稳定，溶于乙醚、氯仿、苯及二硫化碳，不溶于水、乙醇及酸类。可提高塑料制品的耐热性、刚性及硬度，消除塑料制品表面的光泽，达到亚光效果，提高塑料制品表面的耐磨及防滑性能，降低塑料成品收缩率，从而提高尺寸稳定性。</w:t>
            </w:r>
          </w:p>
          <w:p>
            <w:pPr>
              <w:spacing w:line="360" w:lineRule="auto"/>
              <w:rPr>
                <w:rFonts w:hAnsi="宋体"/>
                <w:b/>
                <w:sz w:val="24"/>
              </w:rPr>
            </w:pPr>
            <w:r>
              <w:rPr>
                <w:rFonts w:hint="eastAsia"/>
                <w:b/>
                <w:kern w:val="0"/>
                <w:sz w:val="24"/>
              </w:rPr>
              <w:t>2.6</w:t>
            </w:r>
            <w:r>
              <w:rPr>
                <w:rFonts w:hAnsi="宋体"/>
                <w:b/>
                <w:sz w:val="24"/>
              </w:rPr>
              <w:t>职工定员及劳动制度</w:t>
            </w:r>
          </w:p>
          <w:p>
            <w:pPr>
              <w:spacing w:line="360" w:lineRule="auto"/>
              <w:ind w:firstLine="480" w:firstLineChars="200"/>
              <w:rPr>
                <w:sz w:val="24"/>
              </w:rPr>
            </w:pPr>
            <w:r>
              <w:rPr>
                <w:rFonts w:hAnsi="宋体"/>
                <w:sz w:val="24"/>
              </w:rPr>
              <w:t>本着精干、统一、高效的原则，结合本项目的特点，</w:t>
            </w:r>
            <w:r>
              <w:rPr>
                <w:rFonts w:hint="eastAsia" w:hAnsi="宋体"/>
                <w:sz w:val="24"/>
              </w:rPr>
              <w:t>本项目新增劳动定员36人，职工均不在厂区住宿。工作制度实行2班制（8h/班），16小时/d，全年工作260天。</w:t>
            </w:r>
            <w:r>
              <w:rPr>
                <w:rFonts w:hint="eastAsia"/>
                <w:sz w:val="24"/>
              </w:rPr>
              <w:t>各生产工序工作年时基数见下表。</w:t>
            </w:r>
          </w:p>
          <w:p>
            <w:pPr>
              <w:pStyle w:val="53"/>
              <w:numPr>
                <w:ilvl w:val="0"/>
                <w:numId w:val="2"/>
              </w:numPr>
              <w:adjustRightInd/>
              <w:snapToGrid/>
              <w:ind w:left="0" w:firstLine="0"/>
              <w:rPr>
                <w:kern w:val="0"/>
              </w:rPr>
            </w:pPr>
            <w:r>
              <w:rPr>
                <w:rFonts w:hint="eastAsia"/>
                <w:kern w:val="0"/>
              </w:rPr>
              <w:t>各生产工序年时基数</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1559"/>
              <w:gridCol w:w="1701"/>
              <w:gridCol w:w="1138"/>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8" w:type="dxa"/>
                  <w:vAlign w:val="center"/>
                </w:tcPr>
                <w:p>
                  <w:pPr>
                    <w:pStyle w:val="80"/>
                  </w:pPr>
                  <w:r>
                    <w:rPr>
                      <w:rFonts w:hint="eastAsia"/>
                    </w:rPr>
                    <w:t>工序</w:t>
                  </w:r>
                </w:p>
              </w:tc>
              <w:tc>
                <w:tcPr>
                  <w:tcW w:w="1559" w:type="dxa"/>
                  <w:vAlign w:val="center"/>
                </w:tcPr>
                <w:p>
                  <w:pPr>
                    <w:pStyle w:val="80"/>
                  </w:pPr>
                  <w:r>
                    <w:rPr>
                      <w:rFonts w:hint="eastAsia"/>
                    </w:rPr>
                    <w:t>年工作天数/d</w:t>
                  </w:r>
                </w:p>
              </w:tc>
              <w:tc>
                <w:tcPr>
                  <w:tcW w:w="1701" w:type="dxa"/>
                  <w:vAlign w:val="center"/>
                </w:tcPr>
                <w:p>
                  <w:pPr>
                    <w:pStyle w:val="80"/>
                  </w:pPr>
                  <w:r>
                    <w:rPr>
                      <w:rFonts w:hint="eastAsia"/>
                    </w:rPr>
                    <w:t>每班工作时间/h</w:t>
                  </w:r>
                </w:p>
              </w:tc>
              <w:tc>
                <w:tcPr>
                  <w:tcW w:w="1138" w:type="dxa"/>
                  <w:vAlign w:val="center"/>
                </w:tcPr>
                <w:p>
                  <w:pPr>
                    <w:pStyle w:val="80"/>
                  </w:pPr>
                  <w:r>
                    <w:rPr>
                      <w:rFonts w:hint="eastAsia"/>
                    </w:rPr>
                    <w:t>班制</w:t>
                  </w:r>
                </w:p>
              </w:tc>
              <w:tc>
                <w:tcPr>
                  <w:tcW w:w="1426" w:type="dxa"/>
                  <w:vAlign w:val="center"/>
                </w:tcPr>
                <w:p>
                  <w:pPr>
                    <w:pStyle w:val="80"/>
                  </w:pPr>
                  <w:r>
                    <w:rPr>
                      <w:rFonts w:hint="eastAsia"/>
                    </w:rPr>
                    <w:t>年时基数/h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8" w:type="dxa"/>
                  <w:vAlign w:val="center"/>
                </w:tcPr>
                <w:p>
                  <w:pPr>
                    <w:pStyle w:val="6"/>
                    <w:spacing w:line="240" w:lineRule="auto"/>
                    <w:ind w:firstLine="0" w:firstLineChars="0"/>
                    <w:jc w:val="center"/>
                    <w:rPr>
                      <w:kern w:val="2"/>
                      <w:sz w:val="21"/>
                      <w:szCs w:val="21"/>
                    </w:rPr>
                  </w:pPr>
                  <w:r>
                    <w:rPr>
                      <w:rFonts w:hint="eastAsia"/>
                      <w:kern w:val="2"/>
                      <w:sz w:val="21"/>
                      <w:szCs w:val="21"/>
                    </w:rPr>
                    <w:t>拉丝、圆织、吊带工序</w:t>
                  </w:r>
                </w:p>
              </w:tc>
              <w:tc>
                <w:tcPr>
                  <w:tcW w:w="1559" w:type="dxa"/>
                  <w:vAlign w:val="center"/>
                </w:tcPr>
                <w:p>
                  <w:pPr>
                    <w:pStyle w:val="6"/>
                    <w:spacing w:line="240" w:lineRule="auto"/>
                    <w:ind w:firstLine="0" w:firstLineChars="0"/>
                    <w:jc w:val="center"/>
                    <w:rPr>
                      <w:kern w:val="2"/>
                      <w:sz w:val="21"/>
                      <w:szCs w:val="21"/>
                    </w:rPr>
                  </w:pPr>
                  <w:r>
                    <w:rPr>
                      <w:rFonts w:hint="eastAsia"/>
                      <w:kern w:val="2"/>
                      <w:sz w:val="21"/>
                      <w:szCs w:val="21"/>
                    </w:rPr>
                    <w:t>190</w:t>
                  </w:r>
                </w:p>
              </w:tc>
              <w:tc>
                <w:tcPr>
                  <w:tcW w:w="1701" w:type="dxa"/>
                  <w:vAlign w:val="center"/>
                </w:tcPr>
                <w:p>
                  <w:pPr>
                    <w:pStyle w:val="6"/>
                    <w:spacing w:line="240" w:lineRule="auto"/>
                    <w:ind w:firstLine="0" w:firstLineChars="0"/>
                    <w:jc w:val="center"/>
                    <w:rPr>
                      <w:kern w:val="2"/>
                      <w:sz w:val="21"/>
                      <w:szCs w:val="21"/>
                    </w:rPr>
                  </w:pPr>
                  <w:r>
                    <w:rPr>
                      <w:rFonts w:hint="eastAsia"/>
                      <w:kern w:val="2"/>
                      <w:sz w:val="21"/>
                      <w:szCs w:val="21"/>
                    </w:rPr>
                    <w:t>8</w:t>
                  </w:r>
                </w:p>
              </w:tc>
              <w:tc>
                <w:tcPr>
                  <w:tcW w:w="1138" w:type="dxa"/>
                  <w:vAlign w:val="center"/>
                </w:tcPr>
                <w:p>
                  <w:pPr>
                    <w:pStyle w:val="6"/>
                    <w:spacing w:line="240" w:lineRule="auto"/>
                    <w:ind w:firstLine="0" w:firstLineChars="0"/>
                    <w:jc w:val="center"/>
                    <w:rPr>
                      <w:kern w:val="2"/>
                      <w:sz w:val="21"/>
                      <w:szCs w:val="21"/>
                    </w:rPr>
                  </w:pPr>
                  <w:r>
                    <w:rPr>
                      <w:rFonts w:hint="eastAsia"/>
                      <w:kern w:val="2"/>
                      <w:sz w:val="21"/>
                      <w:szCs w:val="21"/>
                    </w:rPr>
                    <w:t>两班</w:t>
                  </w:r>
                </w:p>
              </w:tc>
              <w:tc>
                <w:tcPr>
                  <w:tcW w:w="1426" w:type="dxa"/>
                  <w:vAlign w:val="center"/>
                </w:tcPr>
                <w:p>
                  <w:pPr>
                    <w:pStyle w:val="6"/>
                    <w:spacing w:line="240" w:lineRule="auto"/>
                    <w:ind w:firstLine="0" w:firstLineChars="0"/>
                    <w:jc w:val="center"/>
                    <w:rPr>
                      <w:kern w:val="2"/>
                      <w:sz w:val="21"/>
                      <w:szCs w:val="21"/>
                    </w:rPr>
                  </w:pPr>
                  <w:r>
                    <w:rPr>
                      <w:rFonts w:hint="eastAsia"/>
                      <w:kern w:val="2"/>
                      <w:sz w:val="21"/>
                      <w:szCs w:val="21"/>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8" w:type="dxa"/>
                  <w:vAlign w:val="center"/>
                </w:tcPr>
                <w:p>
                  <w:pPr>
                    <w:pStyle w:val="6"/>
                    <w:spacing w:line="240" w:lineRule="auto"/>
                    <w:ind w:firstLine="0" w:firstLineChars="0"/>
                    <w:jc w:val="center"/>
                    <w:rPr>
                      <w:kern w:val="2"/>
                      <w:sz w:val="21"/>
                      <w:szCs w:val="21"/>
                    </w:rPr>
                  </w:pPr>
                  <w:r>
                    <w:rPr>
                      <w:rFonts w:hint="eastAsia"/>
                      <w:kern w:val="2"/>
                      <w:sz w:val="21"/>
                      <w:szCs w:val="21"/>
                    </w:rPr>
                    <w:t>覆膜工序</w:t>
                  </w:r>
                </w:p>
              </w:tc>
              <w:tc>
                <w:tcPr>
                  <w:tcW w:w="1559" w:type="dxa"/>
                  <w:vAlign w:val="center"/>
                </w:tcPr>
                <w:p>
                  <w:pPr>
                    <w:pStyle w:val="6"/>
                    <w:spacing w:line="240" w:lineRule="auto"/>
                    <w:ind w:firstLine="0" w:firstLineChars="0"/>
                    <w:jc w:val="center"/>
                    <w:rPr>
                      <w:kern w:val="2"/>
                      <w:sz w:val="21"/>
                      <w:szCs w:val="21"/>
                    </w:rPr>
                  </w:pPr>
                  <w:r>
                    <w:rPr>
                      <w:rFonts w:hint="eastAsia"/>
                      <w:kern w:val="2"/>
                      <w:sz w:val="21"/>
                      <w:szCs w:val="21"/>
                    </w:rPr>
                    <w:t>190</w:t>
                  </w:r>
                </w:p>
              </w:tc>
              <w:tc>
                <w:tcPr>
                  <w:tcW w:w="1701" w:type="dxa"/>
                  <w:vAlign w:val="center"/>
                </w:tcPr>
                <w:p>
                  <w:pPr>
                    <w:pStyle w:val="6"/>
                    <w:spacing w:line="240" w:lineRule="auto"/>
                    <w:ind w:firstLine="0" w:firstLineChars="0"/>
                    <w:jc w:val="center"/>
                    <w:rPr>
                      <w:kern w:val="2"/>
                      <w:sz w:val="21"/>
                      <w:szCs w:val="21"/>
                    </w:rPr>
                  </w:pPr>
                  <w:r>
                    <w:rPr>
                      <w:rFonts w:hint="eastAsia"/>
                      <w:kern w:val="2"/>
                      <w:sz w:val="21"/>
                      <w:szCs w:val="21"/>
                    </w:rPr>
                    <w:t>8</w:t>
                  </w:r>
                </w:p>
              </w:tc>
              <w:tc>
                <w:tcPr>
                  <w:tcW w:w="1138" w:type="dxa"/>
                  <w:vAlign w:val="center"/>
                </w:tcPr>
                <w:p>
                  <w:pPr>
                    <w:pStyle w:val="6"/>
                    <w:spacing w:line="240" w:lineRule="auto"/>
                    <w:ind w:firstLine="0" w:firstLineChars="0"/>
                    <w:jc w:val="center"/>
                    <w:rPr>
                      <w:kern w:val="2"/>
                      <w:sz w:val="21"/>
                      <w:szCs w:val="21"/>
                    </w:rPr>
                  </w:pPr>
                  <w:r>
                    <w:rPr>
                      <w:rFonts w:hint="eastAsia"/>
                      <w:kern w:val="2"/>
                      <w:sz w:val="21"/>
                      <w:szCs w:val="21"/>
                    </w:rPr>
                    <w:t>两班</w:t>
                  </w:r>
                </w:p>
              </w:tc>
              <w:tc>
                <w:tcPr>
                  <w:tcW w:w="1426" w:type="dxa"/>
                  <w:vAlign w:val="center"/>
                </w:tcPr>
                <w:p>
                  <w:pPr>
                    <w:pStyle w:val="6"/>
                    <w:spacing w:line="240" w:lineRule="auto"/>
                    <w:ind w:firstLine="0" w:firstLineChars="0"/>
                    <w:jc w:val="center"/>
                    <w:rPr>
                      <w:kern w:val="2"/>
                      <w:sz w:val="21"/>
                      <w:szCs w:val="21"/>
                    </w:rPr>
                  </w:pPr>
                  <w:r>
                    <w:rPr>
                      <w:rFonts w:hint="eastAsia"/>
                      <w:kern w:val="2"/>
                      <w:sz w:val="21"/>
                      <w:szCs w:val="21"/>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8" w:type="dxa"/>
                  <w:vAlign w:val="center"/>
                </w:tcPr>
                <w:p>
                  <w:pPr>
                    <w:pStyle w:val="6"/>
                    <w:spacing w:line="240" w:lineRule="auto"/>
                    <w:ind w:firstLine="0" w:firstLineChars="0"/>
                    <w:jc w:val="center"/>
                    <w:rPr>
                      <w:kern w:val="2"/>
                      <w:sz w:val="21"/>
                      <w:szCs w:val="21"/>
                    </w:rPr>
                  </w:pPr>
                  <w:r>
                    <w:rPr>
                      <w:rFonts w:hint="eastAsia"/>
                      <w:kern w:val="2"/>
                      <w:sz w:val="21"/>
                      <w:szCs w:val="21"/>
                    </w:rPr>
                    <w:t>裁剪、缝纫、打包等工序</w:t>
                  </w:r>
                </w:p>
              </w:tc>
              <w:tc>
                <w:tcPr>
                  <w:tcW w:w="1559" w:type="dxa"/>
                  <w:vAlign w:val="center"/>
                </w:tcPr>
                <w:p>
                  <w:pPr>
                    <w:pStyle w:val="6"/>
                    <w:spacing w:line="240" w:lineRule="auto"/>
                    <w:ind w:firstLine="0" w:firstLineChars="0"/>
                    <w:jc w:val="center"/>
                    <w:rPr>
                      <w:kern w:val="2"/>
                      <w:sz w:val="21"/>
                      <w:szCs w:val="21"/>
                    </w:rPr>
                  </w:pPr>
                  <w:r>
                    <w:rPr>
                      <w:rFonts w:hint="eastAsia"/>
                      <w:kern w:val="2"/>
                      <w:sz w:val="21"/>
                      <w:szCs w:val="21"/>
                    </w:rPr>
                    <w:t>260</w:t>
                  </w:r>
                </w:p>
              </w:tc>
              <w:tc>
                <w:tcPr>
                  <w:tcW w:w="1701" w:type="dxa"/>
                  <w:vAlign w:val="center"/>
                </w:tcPr>
                <w:p>
                  <w:pPr>
                    <w:pStyle w:val="6"/>
                    <w:spacing w:line="240" w:lineRule="auto"/>
                    <w:ind w:firstLine="0" w:firstLineChars="0"/>
                    <w:jc w:val="center"/>
                    <w:rPr>
                      <w:kern w:val="2"/>
                      <w:sz w:val="21"/>
                      <w:szCs w:val="21"/>
                    </w:rPr>
                  </w:pPr>
                  <w:r>
                    <w:rPr>
                      <w:rFonts w:hint="eastAsia"/>
                      <w:kern w:val="2"/>
                      <w:sz w:val="21"/>
                      <w:szCs w:val="21"/>
                    </w:rPr>
                    <w:t>8</w:t>
                  </w:r>
                </w:p>
              </w:tc>
              <w:tc>
                <w:tcPr>
                  <w:tcW w:w="1138" w:type="dxa"/>
                  <w:vAlign w:val="center"/>
                </w:tcPr>
                <w:p>
                  <w:pPr>
                    <w:pStyle w:val="6"/>
                    <w:spacing w:line="240" w:lineRule="auto"/>
                    <w:ind w:firstLine="0" w:firstLineChars="0"/>
                    <w:jc w:val="center"/>
                    <w:rPr>
                      <w:kern w:val="2"/>
                      <w:sz w:val="21"/>
                      <w:szCs w:val="21"/>
                    </w:rPr>
                  </w:pPr>
                  <w:r>
                    <w:rPr>
                      <w:rFonts w:hint="eastAsia"/>
                      <w:kern w:val="2"/>
                      <w:sz w:val="21"/>
                      <w:szCs w:val="21"/>
                    </w:rPr>
                    <w:t>两班</w:t>
                  </w:r>
                </w:p>
              </w:tc>
              <w:tc>
                <w:tcPr>
                  <w:tcW w:w="1426" w:type="dxa"/>
                  <w:vAlign w:val="center"/>
                </w:tcPr>
                <w:p>
                  <w:pPr>
                    <w:pStyle w:val="6"/>
                    <w:spacing w:line="240" w:lineRule="auto"/>
                    <w:ind w:firstLine="0" w:firstLineChars="0"/>
                    <w:jc w:val="center"/>
                    <w:rPr>
                      <w:kern w:val="2"/>
                      <w:sz w:val="21"/>
                      <w:szCs w:val="21"/>
                    </w:rPr>
                  </w:pPr>
                  <w:r>
                    <w:rPr>
                      <w:rFonts w:hint="eastAsia"/>
                      <w:kern w:val="2"/>
                      <w:sz w:val="21"/>
                      <w:szCs w:val="21"/>
                    </w:rPr>
                    <w:t>4160</w:t>
                  </w:r>
                </w:p>
              </w:tc>
            </w:tr>
          </w:tbl>
          <w:p>
            <w:pPr>
              <w:spacing w:line="360" w:lineRule="auto"/>
              <w:rPr>
                <w:b/>
                <w:kern w:val="0"/>
                <w:sz w:val="24"/>
              </w:rPr>
            </w:pPr>
            <w:r>
              <w:rPr>
                <w:rFonts w:hint="eastAsia"/>
                <w:b/>
                <w:kern w:val="0"/>
                <w:sz w:val="24"/>
              </w:rPr>
              <w:t>2.7公用工程</w:t>
            </w:r>
          </w:p>
          <w:p>
            <w:pPr>
              <w:spacing w:line="360" w:lineRule="auto"/>
              <w:ind w:firstLine="480" w:firstLineChars="200"/>
              <w:rPr>
                <w:sz w:val="24"/>
              </w:rPr>
            </w:pPr>
            <w:r>
              <w:rPr>
                <w:rFonts w:hint="eastAsia"/>
                <w:kern w:val="0"/>
                <w:sz w:val="24"/>
              </w:rPr>
              <w:t>（1）</w:t>
            </w:r>
            <w:r>
              <w:rPr>
                <w:rFonts w:hint="eastAsia"/>
                <w:sz w:val="24"/>
              </w:rPr>
              <w:t>给水</w:t>
            </w:r>
          </w:p>
          <w:p>
            <w:pPr>
              <w:spacing w:line="360" w:lineRule="auto"/>
              <w:ind w:firstLine="480" w:firstLineChars="200"/>
              <w:rPr>
                <w:sz w:val="24"/>
              </w:rPr>
            </w:pPr>
            <w:r>
              <w:rPr>
                <w:sz w:val="24"/>
              </w:rPr>
              <w:t>本项目用水主要为职工生活用水、</w:t>
            </w:r>
            <w:r>
              <w:rPr>
                <w:rFonts w:hint="eastAsia"/>
                <w:sz w:val="24"/>
              </w:rPr>
              <w:t>设备循环冷却水</w:t>
            </w:r>
            <w:r>
              <w:rPr>
                <w:sz w:val="24"/>
              </w:rPr>
              <w:t>，总用水量为</w:t>
            </w:r>
            <w:r>
              <w:rPr>
                <w:rFonts w:hint="eastAsia"/>
                <w:sz w:val="24"/>
              </w:rPr>
              <w:t>3613.9</w:t>
            </w:r>
            <w:r>
              <w:rPr>
                <w:sz w:val="24"/>
              </w:rPr>
              <w:t>m</w:t>
            </w:r>
            <w:r>
              <w:rPr>
                <w:sz w:val="24"/>
                <w:vertAlign w:val="superscript"/>
              </w:rPr>
              <w:t>3</w:t>
            </w:r>
            <w:r>
              <w:rPr>
                <w:sz w:val="24"/>
              </w:rPr>
              <w:t>/a</w:t>
            </w:r>
            <w:r>
              <w:rPr>
                <w:rFonts w:hint="eastAsia"/>
                <w:sz w:val="24"/>
              </w:rPr>
              <w:t>（生活用水</w:t>
            </w:r>
            <w:r>
              <w:rPr>
                <w:rFonts w:hint="eastAsia"/>
                <w:kern w:val="0"/>
                <w:sz w:val="24"/>
              </w:rPr>
              <w:t>374.4</w:t>
            </w:r>
            <w:r>
              <w:rPr>
                <w:kern w:val="0"/>
                <w:sz w:val="24"/>
              </w:rPr>
              <w:t>m</w:t>
            </w:r>
            <w:r>
              <w:rPr>
                <w:kern w:val="0"/>
                <w:sz w:val="24"/>
                <w:vertAlign w:val="superscript"/>
              </w:rPr>
              <w:t>3</w:t>
            </w:r>
            <w:r>
              <w:rPr>
                <w:kern w:val="0"/>
                <w:sz w:val="24"/>
              </w:rPr>
              <w:t>/a</w:t>
            </w:r>
            <w:r>
              <w:rPr>
                <w:rFonts w:hint="eastAsia"/>
                <w:kern w:val="0"/>
                <w:sz w:val="24"/>
              </w:rPr>
              <w:t>，循环冷却水补充新鲜水量3239.5</w:t>
            </w:r>
            <w:r>
              <w:rPr>
                <w:kern w:val="0"/>
                <w:sz w:val="24"/>
              </w:rPr>
              <w:t>m</w:t>
            </w:r>
            <w:r>
              <w:rPr>
                <w:kern w:val="0"/>
                <w:sz w:val="24"/>
                <w:vertAlign w:val="superscript"/>
              </w:rPr>
              <w:t>3</w:t>
            </w:r>
            <w:r>
              <w:rPr>
                <w:kern w:val="0"/>
                <w:sz w:val="24"/>
              </w:rPr>
              <w:t>/a</w:t>
            </w:r>
            <w:r>
              <w:rPr>
                <w:rFonts w:hint="eastAsia"/>
                <w:sz w:val="24"/>
              </w:rPr>
              <w:t>）</w:t>
            </w:r>
            <w:r>
              <w:rPr>
                <w:sz w:val="24"/>
              </w:rPr>
              <w:t>，供水由</w:t>
            </w:r>
            <w:r>
              <w:rPr>
                <w:rFonts w:hint="eastAsia"/>
                <w:sz w:val="24"/>
              </w:rPr>
              <w:t>市政供水管网供给，</w:t>
            </w:r>
            <w:r>
              <w:rPr>
                <w:sz w:val="24"/>
              </w:rPr>
              <w:t>满足供水要求。</w:t>
            </w:r>
          </w:p>
          <w:p>
            <w:pPr>
              <w:widowControl/>
              <w:spacing w:line="360" w:lineRule="auto"/>
              <w:ind w:firstLine="480" w:firstLineChars="200"/>
              <w:rPr>
                <w:rFonts w:ascii="宋体" w:hAnsi="宋体"/>
                <w:sz w:val="24"/>
              </w:rPr>
            </w:pPr>
            <w:r>
              <w:rPr>
                <w:rFonts w:hint="eastAsia" w:ascii="宋体" w:hAnsi="宋体"/>
                <w:sz w:val="24"/>
              </w:rPr>
              <w:t>①生活用水</w:t>
            </w:r>
          </w:p>
          <w:p>
            <w:pPr>
              <w:widowControl/>
              <w:spacing w:line="360" w:lineRule="auto"/>
              <w:ind w:firstLine="480" w:firstLineChars="200"/>
              <w:rPr>
                <w:rFonts w:hAnsi="宋体"/>
                <w:bCs/>
                <w:sz w:val="24"/>
              </w:rPr>
            </w:pPr>
            <w:r>
              <w:rPr>
                <w:rFonts w:hint="eastAsia"/>
                <w:sz w:val="24"/>
              </w:rPr>
              <w:t>本项目职工定员36人，均不在厂食宿，年工作260d。</w:t>
            </w:r>
            <w:r>
              <w:rPr>
                <w:rFonts w:hint="eastAsia"/>
                <w:bCs/>
                <w:sz w:val="24"/>
              </w:rPr>
              <w:t>不在厂食宿生活用水量按40L</w:t>
            </w:r>
            <w:r>
              <w:rPr>
                <w:sz w:val="24"/>
              </w:rPr>
              <w:t>/</w:t>
            </w:r>
            <w:r>
              <w:rPr>
                <w:rFonts w:hAnsi="宋体"/>
                <w:sz w:val="24"/>
              </w:rPr>
              <w:t>人</w:t>
            </w:r>
            <w:r>
              <w:rPr>
                <w:rFonts w:hint="eastAsia"/>
                <w:sz w:val="24"/>
              </w:rPr>
              <w:t>·</w:t>
            </w:r>
            <w:r>
              <w:rPr>
                <w:sz w:val="24"/>
              </w:rPr>
              <w:t>d</w:t>
            </w:r>
            <w:r>
              <w:rPr>
                <w:rFonts w:hint="eastAsia"/>
                <w:sz w:val="24"/>
              </w:rPr>
              <w:t>，本项目生活用水量为374.4</w:t>
            </w:r>
            <w:r>
              <w:rPr>
                <w:rFonts w:hint="eastAsia" w:hAnsi="宋体"/>
                <w:bCs/>
                <w:sz w:val="24"/>
              </w:rPr>
              <w:t>m</w:t>
            </w:r>
            <w:r>
              <w:rPr>
                <w:rFonts w:hint="eastAsia" w:hAnsi="宋体"/>
                <w:bCs/>
                <w:sz w:val="24"/>
                <w:vertAlign w:val="superscript"/>
              </w:rPr>
              <w:t>3</w:t>
            </w:r>
            <w:r>
              <w:rPr>
                <w:rFonts w:hint="eastAsia" w:hAnsi="宋体"/>
                <w:bCs/>
                <w:sz w:val="24"/>
              </w:rPr>
              <w:t>/a（1.44</w:t>
            </w:r>
            <w:r>
              <w:rPr>
                <w:rFonts w:hint="eastAsia"/>
                <w:sz w:val="24"/>
              </w:rPr>
              <w:t>m</w:t>
            </w:r>
            <w:r>
              <w:rPr>
                <w:rFonts w:hint="eastAsia"/>
                <w:sz w:val="24"/>
                <w:vertAlign w:val="superscript"/>
              </w:rPr>
              <w:t>3</w:t>
            </w:r>
            <w:r>
              <w:rPr>
                <w:rFonts w:hint="eastAsia"/>
                <w:sz w:val="24"/>
              </w:rPr>
              <w:t>/d</w:t>
            </w:r>
            <w:r>
              <w:rPr>
                <w:rFonts w:hint="eastAsia" w:hAnsi="宋体"/>
                <w:bCs/>
                <w:sz w:val="24"/>
              </w:rPr>
              <w:t>）。</w:t>
            </w:r>
          </w:p>
          <w:p>
            <w:pPr>
              <w:widowControl/>
              <w:spacing w:line="360" w:lineRule="auto"/>
              <w:ind w:firstLine="480" w:firstLineChars="200"/>
              <w:rPr>
                <w:rFonts w:ascii="宋体" w:hAnsi="宋体"/>
                <w:sz w:val="24"/>
              </w:rPr>
            </w:pPr>
            <w:r>
              <w:rPr>
                <w:rFonts w:hint="eastAsia" w:ascii="宋体" w:hAnsi="宋体"/>
                <w:sz w:val="24"/>
              </w:rPr>
              <w:t>②生产用水</w:t>
            </w:r>
          </w:p>
          <w:p>
            <w:pPr>
              <w:widowControl/>
              <w:spacing w:line="360" w:lineRule="auto"/>
              <w:ind w:firstLine="480" w:firstLineChars="200"/>
              <w:rPr>
                <w:sz w:val="24"/>
              </w:rPr>
            </w:pPr>
            <w:r>
              <w:rPr>
                <w:rFonts w:hint="eastAsia"/>
                <w:sz w:val="24"/>
              </w:rPr>
              <w:t>拉丝机组、覆膜机</w:t>
            </w:r>
            <w:r>
              <w:rPr>
                <w:rFonts w:hint="eastAsia" w:ascii="宋体" w:hAnsi="宋体"/>
                <w:sz w:val="24"/>
              </w:rPr>
              <w:t>通过冷却水系统进行冷却，</w:t>
            </w:r>
            <w:r>
              <w:rPr>
                <w:sz w:val="24"/>
              </w:rPr>
              <w:t>循环冷却水</w:t>
            </w:r>
            <w:r>
              <w:rPr>
                <w:rFonts w:hint="eastAsia"/>
                <w:sz w:val="24"/>
              </w:rPr>
              <w:t>系统设循环水池和冷却塔，冷却水循环水量为200m</w:t>
            </w:r>
            <w:r>
              <w:rPr>
                <w:rFonts w:hint="eastAsia"/>
                <w:sz w:val="24"/>
                <w:vertAlign w:val="superscript"/>
              </w:rPr>
              <w:t>3</w:t>
            </w:r>
            <w:r>
              <w:rPr>
                <w:rFonts w:hint="eastAsia"/>
                <w:sz w:val="24"/>
              </w:rPr>
              <w:t>/h，则循环水量为200m</w:t>
            </w:r>
            <w:r>
              <w:rPr>
                <w:rFonts w:hint="eastAsia"/>
                <w:sz w:val="24"/>
                <w:vertAlign w:val="superscript"/>
              </w:rPr>
              <w:t>3</w:t>
            </w:r>
            <w:r>
              <w:rPr>
                <w:rFonts w:hint="eastAsia"/>
                <w:sz w:val="24"/>
              </w:rPr>
              <w:t>/h×16h/d×190d/a=608000m</w:t>
            </w:r>
            <w:r>
              <w:rPr>
                <w:rFonts w:hint="eastAsia"/>
                <w:sz w:val="24"/>
                <w:vertAlign w:val="superscript"/>
              </w:rPr>
              <w:t>3</w:t>
            </w:r>
            <w:r>
              <w:rPr>
                <w:rFonts w:hint="eastAsia"/>
                <w:sz w:val="24"/>
              </w:rPr>
              <w:t>/a（年工作190d，冷却水系统运行时间为16h/d）。冷却水循环使用，使用过程中损耗后定期补给水，损耗水量按循环水量0.5%计，补充水量16m</w:t>
            </w:r>
            <w:r>
              <w:rPr>
                <w:rFonts w:hint="eastAsia"/>
                <w:sz w:val="24"/>
                <w:vertAlign w:val="superscript"/>
              </w:rPr>
              <w:t>3</w:t>
            </w:r>
            <w:r>
              <w:rPr>
                <w:rFonts w:hint="eastAsia"/>
                <w:sz w:val="24"/>
              </w:rPr>
              <w:t>/d（3040m</w:t>
            </w:r>
            <w:r>
              <w:rPr>
                <w:rFonts w:hint="eastAsia"/>
                <w:sz w:val="24"/>
                <w:vertAlign w:val="superscript"/>
              </w:rPr>
              <w:t>3</w:t>
            </w:r>
            <w:r>
              <w:rPr>
                <w:rFonts w:hint="eastAsia"/>
                <w:sz w:val="24"/>
              </w:rPr>
              <w:t>/a）。冷却水循环使用，每年更换一次（200m</w:t>
            </w:r>
            <w:r>
              <w:rPr>
                <w:rFonts w:hint="eastAsia"/>
                <w:sz w:val="24"/>
                <w:vertAlign w:val="superscript"/>
              </w:rPr>
              <w:t>3</w:t>
            </w:r>
            <w:r>
              <w:rPr>
                <w:rFonts w:hint="eastAsia"/>
                <w:sz w:val="24"/>
              </w:rPr>
              <w:t>/a），用于厂区洒水绿化降尘。循环水使用自来水，不添加药剂。则冷却水共补充新鲜水量17.05t/d（3239.5m</w:t>
            </w:r>
            <w:r>
              <w:rPr>
                <w:rFonts w:hint="eastAsia"/>
                <w:sz w:val="24"/>
                <w:vertAlign w:val="superscript"/>
              </w:rPr>
              <w:t>3</w:t>
            </w:r>
            <w:r>
              <w:rPr>
                <w:rFonts w:hint="eastAsia"/>
                <w:sz w:val="24"/>
              </w:rPr>
              <w:t>/a）。</w:t>
            </w:r>
          </w:p>
          <w:p>
            <w:pPr>
              <w:widowControl/>
              <w:spacing w:line="360" w:lineRule="auto"/>
              <w:ind w:firstLine="480" w:firstLineChars="200"/>
              <w:rPr>
                <w:sz w:val="24"/>
              </w:rPr>
            </w:pPr>
            <w:r>
              <w:rPr>
                <w:rFonts w:hint="eastAsia"/>
                <w:sz w:val="24"/>
              </w:rPr>
              <w:t>（3）排水</w:t>
            </w:r>
          </w:p>
          <w:p>
            <w:pPr>
              <w:widowControl/>
              <w:spacing w:line="360" w:lineRule="auto"/>
              <w:ind w:firstLine="480" w:firstLineChars="200"/>
              <w:rPr>
                <w:sz w:val="24"/>
              </w:rPr>
            </w:pPr>
            <w:r>
              <w:rPr>
                <w:rFonts w:hint="eastAsia"/>
                <w:sz w:val="24"/>
              </w:rPr>
              <w:t>本项目所在厂区采取雨污分流制，</w:t>
            </w:r>
            <w:r>
              <w:rPr>
                <w:sz w:val="24"/>
              </w:rPr>
              <w:t>雨水经厂区雨水管网排出厂外。</w:t>
            </w:r>
          </w:p>
          <w:p>
            <w:pPr>
              <w:widowControl/>
              <w:spacing w:line="360" w:lineRule="auto"/>
              <w:ind w:firstLine="480" w:firstLineChars="200"/>
              <w:rPr>
                <w:rFonts w:ascii="宋体" w:hAnsi="宋体"/>
                <w:sz w:val="24"/>
              </w:rPr>
            </w:pPr>
            <w:r>
              <w:rPr>
                <w:rFonts w:hint="eastAsia" w:ascii="宋体" w:hAnsi="宋体"/>
                <w:sz w:val="24"/>
              </w:rPr>
              <w:t>①生活污水</w:t>
            </w:r>
          </w:p>
          <w:p>
            <w:pPr>
              <w:widowControl/>
              <w:spacing w:line="360" w:lineRule="auto"/>
              <w:ind w:firstLine="480" w:firstLineChars="200"/>
              <w:rPr>
                <w:rFonts w:hAnsi="宋体"/>
                <w:bCs/>
                <w:sz w:val="24"/>
              </w:rPr>
            </w:pPr>
            <w:r>
              <w:rPr>
                <w:rFonts w:hint="eastAsia" w:hAnsi="宋体"/>
                <w:bCs/>
                <w:sz w:val="24"/>
              </w:rPr>
              <w:t>生活污水产生量以用水量的80%计，则生活污水产生量为299.52m</w:t>
            </w:r>
            <w:r>
              <w:rPr>
                <w:rFonts w:hint="eastAsia" w:hAnsi="宋体"/>
                <w:bCs/>
                <w:sz w:val="24"/>
                <w:vertAlign w:val="superscript"/>
              </w:rPr>
              <w:t>3</w:t>
            </w:r>
            <w:r>
              <w:rPr>
                <w:rFonts w:hint="eastAsia" w:hAnsi="宋体"/>
                <w:bCs/>
                <w:sz w:val="24"/>
              </w:rPr>
              <w:t>/a（1.152</w:t>
            </w:r>
            <w:r>
              <w:rPr>
                <w:rFonts w:hint="eastAsia"/>
                <w:kern w:val="0"/>
                <w:sz w:val="24"/>
              </w:rPr>
              <w:t>m</w:t>
            </w:r>
            <w:r>
              <w:rPr>
                <w:rFonts w:hint="eastAsia"/>
                <w:kern w:val="0"/>
                <w:sz w:val="24"/>
                <w:vertAlign w:val="superscript"/>
              </w:rPr>
              <w:t>3</w:t>
            </w:r>
            <w:r>
              <w:rPr>
                <w:rFonts w:hint="eastAsia"/>
                <w:kern w:val="0"/>
                <w:sz w:val="24"/>
              </w:rPr>
              <w:t>/d</w:t>
            </w:r>
            <w:r>
              <w:rPr>
                <w:rFonts w:hint="eastAsia" w:hAnsi="宋体"/>
                <w:bCs/>
                <w:sz w:val="24"/>
              </w:rPr>
              <w:t>）。生活污水经厂区化粪池+一体化污水处理设施处理后，用于厂区绿化；远期经污水管网进入偃师区第二污水处理厂处理。</w:t>
            </w:r>
          </w:p>
          <w:p>
            <w:pPr>
              <w:widowControl/>
              <w:spacing w:line="360" w:lineRule="auto"/>
              <w:ind w:firstLine="480" w:firstLineChars="200"/>
              <w:rPr>
                <w:rFonts w:ascii="宋体" w:hAnsi="宋体"/>
                <w:sz w:val="24"/>
              </w:rPr>
            </w:pPr>
            <w:r>
              <w:rPr>
                <w:rFonts w:hint="eastAsia" w:ascii="宋体" w:hAnsi="宋体"/>
                <w:sz w:val="24"/>
              </w:rPr>
              <w:t>②生产废水</w:t>
            </w:r>
          </w:p>
          <w:p>
            <w:pPr>
              <w:widowControl/>
              <w:spacing w:line="360" w:lineRule="auto"/>
              <w:ind w:firstLine="480" w:firstLineChars="200"/>
              <w:rPr>
                <w:rFonts w:ascii="宋体" w:hAnsi="宋体"/>
                <w:sz w:val="24"/>
              </w:rPr>
            </w:pPr>
            <w:r>
              <w:rPr>
                <w:rFonts w:hint="eastAsia" w:ascii="宋体" w:hAnsi="宋体"/>
                <w:sz w:val="24"/>
              </w:rPr>
              <w:t>本项目生产线冷却水循环使用，损耗后补充，定期更换用于</w:t>
            </w:r>
            <w:r>
              <w:rPr>
                <w:rFonts w:hint="eastAsia"/>
                <w:sz w:val="24"/>
              </w:rPr>
              <w:t>厂区洒水绿化降尘</w:t>
            </w:r>
            <w:r>
              <w:rPr>
                <w:rFonts w:hint="eastAsia" w:ascii="宋体" w:hAnsi="宋体"/>
                <w:sz w:val="24"/>
              </w:rPr>
              <w:t>。</w:t>
            </w:r>
          </w:p>
          <w:p>
            <w:pPr>
              <w:widowControl/>
              <w:spacing w:line="360" w:lineRule="auto"/>
              <w:ind w:firstLine="480" w:firstLineChars="200"/>
              <w:rPr>
                <w:sz w:val="24"/>
              </w:rPr>
            </w:pPr>
            <w:r>
              <w:rPr>
                <w:rFonts w:hint="eastAsia"/>
                <w:sz w:val="24"/>
              </w:rPr>
              <w:t>本项目水平衡见下图。</w:t>
            </w:r>
          </w:p>
          <w:p>
            <w:pPr>
              <w:spacing w:line="360" w:lineRule="auto"/>
              <w:jc w:val="center"/>
              <w:rPr>
                <w:b/>
                <w:kern w:val="0"/>
                <w:sz w:val="24"/>
              </w:rPr>
            </w:pPr>
            <w:r>
              <w:rPr>
                <w:sz w:val="24"/>
              </w:rPr>
              <w:pict>
                <v:group id="画布 1" o:spid="_x0000_s2511" o:spt="203" style="height:174.9pt;width:404.25pt;" coordorigin="1978,2745" coordsize="8085,3498" editas="canvas">
                  <o:lock v:ext="edit"/>
                  <v:shape id="画布 1" o:spid="_x0000_s2512" o:spt="75" type="#_x0000_t75" style="position:absolute;left:1978;top:2745;height:3498;width:8085;" filled="f" o:preferrelative="t" stroked="f" coordsize="21600,21600">
                    <v:fill on="f" focussize="0,0"/>
                    <v:stroke on="f" joinstyle="miter"/>
                    <v:imagedata o:title=""/>
                    <o:lock v:ext="edit" aspectratio="t"/>
                  </v:shape>
                  <v:shape id="_x0000_s2513" o:spid="_x0000_s2513" o:spt="202" type="#_x0000_t202" style="position:absolute;left:1984;top:4218;height:451;width:109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v:path/>
                    <v:fill on="f" focussize="0,0"/>
                    <v:stroke on="f" weight="0.5pt" joinstyle="miter"/>
                    <v:imagedata o:title=""/>
                    <o:lock v:ext="edit"/>
                    <v:textbox>
                      <w:txbxContent>
                        <w:p>
                          <w:pPr>
                            <w:jc w:val="center"/>
                          </w:pPr>
                          <w:r>
                            <w:rPr>
                              <w:rFonts w:hint="eastAsia"/>
                            </w:rPr>
                            <w:t>新鲜水</w:t>
                          </w:r>
                        </w:p>
                      </w:txbxContent>
                    </v:textbox>
                  </v:shape>
                  <v:shape id="直接箭头连接符 3" o:spid="_x0000_s2514" o:spt="32" type="#_x0000_t32" style="position:absolute;left:2803;top:4464;height:1;width:567;"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PzfcEAAADaAAAADwAAAGRycy9kb3ducmV2LnhtbESPwWrDMBBE74X+g9hCbo1cG5LgRgml&#10;jaHkFif0vFhb29haGUm1nb+PCoEch5l5w2z3s+nFSM63lhW8LRMQxJXVLdcKLufidQPCB2SNvWVS&#10;cCUP+93z0xZzbSc+0ViGWkQI+xwVNCEMuZS+asigX9qBOHq/1hkMUbpaaodThJtepkmykgZbjgsN&#10;DvTZUNWVf0ZBy1ng9Csr6Hjo3Lr+6UabXZRavMwf7yACzeERvre/tYIM/q/EGyB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w/N9wQAAANoAAAAPAAAAAAAAAAAAAAAA&#10;AKECAABkcnMvZG93bnJldi54bWxQSwUGAAAAAAQABAD5AAAAjwMAAAAA&#10;">
                    <v:path arrowok="t"/>
                    <v:fill on="f" focussize="0,0"/>
                    <v:stroke endarrow="open"/>
                    <v:imagedata o:title=""/>
                    <o:lock v:ext="edit"/>
                  </v:shape>
                  <v:line id="直接连接符 4" o:spid="_x0000_s2515" o:spt="20" style="position:absolute;left:3356;top:3508;height:1814;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v:path arrowok="t"/>
                    <v:fill focussize="0,0"/>
                    <v:stroke/>
                    <v:imagedata o:title=""/>
                    <o:lock v:ext="edit"/>
                  </v:line>
                  <v:shape id="直接箭头连接符 140" o:spid="_x0000_s2516" o:spt="32" type="#_x0000_t32" style="position:absolute;left:3353;top:5324;height:1;width:68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Ajn8MAAADcAAAADwAAAGRycy9kb3ducmV2LnhtbESPQWvCQBCF7wX/wzJCb3WjKVWiq0hV&#10;KL1VxfOQHZOQ7GzY3cb033cOhd5meG/e+2azG12nBgqx8WxgPstAEZfeNlwZuF5OLytQMSFb7DyT&#10;gR+KsNtOnjZYWP/gLxrOqVISwrFAA3VKfaF1LGtyGGe+Jxbt7oPDJGuotA34kHDX6UWWvWmHDUtD&#10;jT2911S2529noOE88eKQn+jz2IZldWsHn1+NeZ6O+zWoRGP6N/9df1jBfxV8eUYm0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QI5/DAAAA3AAAAA8AAAAAAAAAAAAA&#10;AAAAoQIAAGRycy9kb3ducmV2LnhtbFBLBQYAAAAABAAEAPkAAACRAwAAAAA=&#10;">
                    <v:path arrowok="t"/>
                    <v:fill on="f" focussize="0,0"/>
                    <v:stroke endarrow="open"/>
                    <v:imagedata o:title=""/>
                    <o:lock v:ext="edit"/>
                  </v:shape>
                  <v:shape id="_x0000_s2517" o:spid="_x0000_s2517" o:spt="202" type="#_x0000_t202" style="position:absolute;left:4028;top:5068;height:481;width:123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04OMEA&#10;AADcAAAADwAAAGRycy9kb3ducmV2LnhtbERPTUsDMRC9C/6HMII3m1VoXbdNi0otgqe20vOwmSbB&#10;zWRJ0u36741Q6G0e73MWq9F3YqCYXGAFj5MKBHEbtGOj4Hv/8VCDSBlZYxeYFPxSgtXy9maBjQ5n&#10;3tKwy0aUEE4NKrA5942UqbXkMU1CT1y4Y4gec4HRSB3xXMJ9J5+qaiY9Oi4NFnt6t9T+7E5ewfrN&#10;vJi2xmjXtXZuGA/HL7NR6v5ufJ2DyDTmq/ji/tRl/vQZ/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dODjBAAAA3AAAAA8AAAAAAAAAAAAAAAAAmAIAAGRycy9kb3du&#10;cmV2LnhtbFBLBQYAAAAABAAEAPUAAACGAwAAAAA=&#10;">
                    <v:path/>
                    <v:fill focussize="0,0"/>
                    <v:stroke weight="0.5pt" joinstyle="miter"/>
                    <v:imagedata o:title=""/>
                    <o:lock v:ext="edit"/>
                    <v:textbox>
                      <w:txbxContent>
                        <w:p>
                          <w:pPr>
                            <w:pStyle w:val="23"/>
                            <w:spacing w:before="0" w:beforeAutospacing="0" w:after="0" w:afterAutospacing="0"/>
                            <w:jc w:val="center"/>
                          </w:pPr>
                          <w:r>
                            <w:rPr>
                              <w:rFonts w:hint="eastAsia" w:ascii="Times New Roman"/>
                              <w:sz w:val="21"/>
                              <w:szCs w:val="21"/>
                            </w:rPr>
                            <w:t>生活用水</w:t>
                          </w:r>
                        </w:p>
                      </w:txbxContent>
                    </v:textbox>
                  </v:shape>
                  <v:shape id="直接箭头连接符 169" o:spid="_x0000_s2518" o:spt="32" type="#_x0000_t32" style="position:absolute;left:4366;top:4800;flip:y;height:268;width:55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gN/MAAAADcAAAADwAAAGRycy9kb3ducmV2LnhtbERPS4vCMBC+C/6HMAvebGpF0a6xiFDw&#10;IvjC89CMbXebSWmi7f77jbCwt/n4nrPJBtOIF3WutqxgFsUgiAuray4V3K75dAXCeWSNjWVS8EMO&#10;su14tMFU257P9Lr4UoQQdikqqLxvUyldUZFBF9mWOHAP2xn0AXal1B32Idw0MonjpTRYc2iosKV9&#10;RcX35WkUHPfzxexs7/rEiMevJD/l9tErNfkYdp8gPA3+X/znPugwf7mG9zPhAr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YDfzAAAAA3AAAAA8AAAAAAAAAAAAAAAAA&#10;oQIAAGRycy9kb3ducmV2LnhtbFBLBQYAAAAABAAEAPkAAACOAwAAAAA=&#10;">
                    <v:path arrowok="t"/>
                    <v:fill on="f" focussize="0,0"/>
                    <v:stroke dashstyle="dash" endarrow="open"/>
                    <v:imagedata o:title=""/>
                    <o:lock v:ext="edit"/>
                  </v:shape>
                  <v:shape id="_x0000_s2519" o:spid="_x0000_s2519" o:spt="202" type="#_x0000_t202" style="position:absolute;left:5778;top:4951;height:708;width:1718;"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6H8MA&#10;AADcAAAADwAAAGRycy9kb3ducmV2LnhtbERPTYvCMBC9C/6HMMLeNFXYRbtGkYK4LHpQe/E224xt&#10;sZnUJmrdX28Ewds83udM562pxJUaV1pWMBxEIIgzq0vOFaT7ZX8MwnlkjZVlUnAnB/NZtzPFWNsb&#10;b+m687kIIexiVFB4X8dSuqwgg25ga+LAHW1j0AfY5FI3eAvhppKjKPqSBksODQXWlBSUnXYXo+A3&#10;WW5w+zcy4/8qWa2Pi/qcHj6V+ui1i28Qnlr/Fr/cPzrMnwzh+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I6H8MAAADcAAAADwAAAAAAAAAAAAAAAACYAgAAZHJzL2Rv&#10;d25yZXYueG1sUEsFBgAAAAAEAAQA9QAAAIgDAAAAAA==&#10;">
                    <v:path/>
                    <v:fill on="f" focussize="0,0"/>
                    <v:stroke weight="0.5pt" color="#000000" joinstyle="miter"/>
                    <v:imagedata o:title=""/>
                    <o:lock v:ext="edit"/>
                    <v:textbox>
                      <w:txbxContent>
                        <w:p>
                          <w:pPr>
                            <w:pStyle w:val="23"/>
                            <w:spacing w:before="0" w:beforeAutospacing="0" w:after="0" w:afterAutospacing="0"/>
                            <w:rPr>
                              <w:rFonts w:ascii="Times New Roman"/>
                              <w:sz w:val="21"/>
                              <w:szCs w:val="21"/>
                            </w:rPr>
                          </w:pPr>
                          <w:r>
                            <w:rPr>
                              <w:rFonts w:hint="eastAsia" w:ascii="Times New Roman"/>
                              <w:sz w:val="21"/>
                              <w:szCs w:val="21"/>
                            </w:rPr>
                            <w:t>化粪池+一体化污水处理设施</w:t>
                          </w:r>
                        </w:p>
                      </w:txbxContent>
                    </v:textbox>
                  </v:shape>
                  <v:shape id="_x0000_s2520" o:spid="_x0000_s2520" o:spt="202" type="#_x0000_t202" style="position:absolute;left:3123;top:5008;height:440;width:109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h8MA&#10;AADcAAAADwAAAGRycy9kb3ducmV2LnhtbERPS4vCMBC+L/gfwgje1lRZF61GkYKsiHvwcfE2NmNb&#10;bCa1iVr99ZsFwdt8fM+ZzBpTihvVrrCsoNeNQBCnVhecKdjvFp9DEM4jaywtk4IHOZhNWx8TjLW9&#10;84ZuW5+JEMIuRgW591UspUtzMui6tiIO3MnWBn2AdSZ1jfcQbkrZj6JvabDg0JBjRUlO6Xl7NQpW&#10;yeIXN8e+GT7L5Gd9mleX/WGgVKfdzMcgPDX+LX65lzrMH33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Zh8MAAADcAAAADwAAAAAAAAAAAAAAAACYAgAAZHJzL2Rv&#10;d25yZXYueG1sUEsFBgAAAAAEAAQA9QAAAIgDAAAAAA==&#10;">
                    <v:path/>
                    <v:fill on="f" focussize="0,0"/>
                    <v:stroke on="f" weight="0.5pt" joinstyle="miter"/>
                    <v:imagedata o:title=""/>
                    <o:lock v:ext="edit"/>
                    <v:textbox>
                      <w:txbxContent>
                        <w:p>
                          <w:pPr>
                            <w:pStyle w:val="23"/>
                            <w:spacing w:before="0" w:beforeAutospacing="0" w:after="0" w:afterAutospacing="0"/>
                            <w:jc w:val="center"/>
                          </w:pPr>
                          <w:r>
                            <w:rPr>
                              <w:rFonts w:hint="eastAsia" w:ascii="Times New Roman" w:hAnsi="Times New Roman"/>
                              <w:sz w:val="21"/>
                              <w:szCs w:val="21"/>
                            </w:rPr>
                            <w:t>1.44</w:t>
                          </w:r>
                        </w:p>
                      </w:txbxContent>
                    </v:textbox>
                  </v:shape>
                  <v:shape id="_x0000_s2521" o:spid="_x0000_s2521" o:spt="202" type="#_x0000_t202" style="position:absolute;left:4650;top:4567;height:382;width:109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8HMIA&#10;AADcAAAADwAAAGRycy9kb3ducmV2LnhtbERPS4vCMBC+C/6HMMLeNFVQtBpFCuKy6MHHxdvYjG2x&#10;mdQmq9VfbxYWvM3H95zZojGluFPtCssK+r0IBHFqdcGZguNh1R2DcB5ZY2mZFDzJwWLebs0w1vbB&#10;O7rvfSZCCLsYFeTeV7GULs3JoOvZijhwF1sb9AHWmdQ1PkK4KeUgikbSYMGhIceKkpzS6/7XKPhJ&#10;VlvcnQdm/CqT9eayrG7H01Cpr06znILw1PiP+N/9rcP8yRD+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TwcwgAAANwAAAAPAAAAAAAAAAAAAAAAAJgCAABkcnMvZG93&#10;bnJldi54bWxQSwUGAAAAAAQABAD1AAAAhwMAAAAA&#10;">
                    <v:path/>
                    <v:fill on="f" focussize="0,0"/>
                    <v:stroke on="f" weight="0.5pt" joinstyle="miter"/>
                    <v:imagedata o:title=""/>
                    <o:lock v:ext="edit"/>
                    <v:textbox>
                      <w:txbxContent>
                        <w:p>
                          <w:pPr>
                            <w:pStyle w:val="23"/>
                            <w:spacing w:before="0" w:beforeAutospacing="0" w:after="0" w:afterAutospacing="0"/>
                            <w:jc w:val="center"/>
                          </w:pPr>
                          <w:r>
                            <w:rPr>
                              <w:rFonts w:hint="eastAsia" w:ascii="Times New Roman" w:hAnsi="Times New Roman"/>
                              <w:sz w:val="21"/>
                              <w:szCs w:val="21"/>
                            </w:rPr>
                            <w:t>0.288</w:t>
                          </w:r>
                        </w:p>
                      </w:txbxContent>
                    </v:textbox>
                  </v:shape>
                  <v:shape id="直接箭头连接符 196" o:spid="_x0000_s2522" o:spt="32" type="#_x0000_t32" style="position:absolute;left:5277;top:5334;height:1;width:51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UyN78AAADcAAAADwAAAGRycy9kb3ducmV2LnhtbERPTYvCMBC9L/gfwgje1lQL7lqNIquC&#10;eFtXPA/N2JY2k5Jka/33RhC8zeN9znLdm0Z05HxlWcFknIAgzq2uuFBw/tt/foPwAVljY5kU3MnD&#10;ejX4WGKm7Y1/qTuFQsQQ9hkqKENoMyl9XpJBP7YtceSu1hkMEbpCaoe3GG4aOU2SmTRYcWwosaWf&#10;kvL69G8UVJwGnm7TPR13tfsqLnVn07NSo2G/WYAI1Ie3+OU+6Dh/PoPnM/ECuX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1UyN78AAADcAAAADwAAAAAAAAAAAAAAAACh&#10;AgAAZHJzL2Rvd25yZXYueG1sUEsFBgAAAAAEAAQA+QAAAI0DAAAAAA==&#10;">
                    <v:path arrowok="t"/>
                    <v:fill on="f" focussize="0,0"/>
                    <v:stroke endarrow="open"/>
                    <v:imagedata o:title=""/>
                    <o:lock v:ext="edit"/>
                  </v:shape>
                  <v:shape id="_x0000_s2523" o:spid="_x0000_s2523" o:spt="202" type="#_x0000_t202" style="position:absolute;left:4966;top:4949;height:355;width:109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H8MMA&#10;AADcAAAADwAAAGRycy9kb3ducmV2LnhtbERPS4vCMBC+L/gfwgje1lRhXa1GkYKsiHvwcfE2NmNb&#10;bCa1iVr99ZsFwdt8fM+ZzBpTihvVrrCsoNeNQBCnVhecKdjvFp9DEM4jaywtk4IHOZhNWx8TjLW9&#10;84ZuW5+JEMIuRgW591UspUtzMui6tiIO3MnWBn2AdSZ1jfcQbkrZj6KBNFhwaMixoiSn9Ly9GgWr&#10;ZPGLm2PfDJ9l8rM+zavL/vClVKfdzMcgPDX+LX65lzrMH33D/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cH8MMAAADcAAAADwAAAAAAAAAAAAAAAACYAgAAZHJzL2Rv&#10;d25yZXYueG1sUEsFBgAAAAAEAAQA9QAAAIgDAAAAAA==&#10;">
                    <v:path/>
                    <v:fill on="f" focussize="0,0"/>
                    <v:stroke on="f" weight="0.5pt" joinstyle="miter"/>
                    <v:imagedata o:title=""/>
                    <o:lock v:ext="edit"/>
                    <v:textbox>
                      <w:txbxContent>
                        <w:p>
                          <w:pPr>
                            <w:pStyle w:val="23"/>
                            <w:spacing w:before="0" w:beforeAutospacing="0" w:after="0" w:afterAutospacing="0"/>
                            <w:jc w:val="center"/>
                          </w:pPr>
                          <w:r>
                            <w:rPr>
                              <w:rFonts w:hint="eastAsia" w:ascii="Times New Roman" w:hAnsi="Times New Roman"/>
                              <w:sz w:val="21"/>
                              <w:szCs w:val="21"/>
                            </w:rPr>
                            <w:t>1.152</w:t>
                          </w:r>
                        </w:p>
                      </w:txbxContent>
                    </v:textbox>
                  </v:shape>
                  <v:shape id="_x0000_s2524" o:spid="_x0000_s2524" o:spt="202" type="#_x0000_t202" style="position:absolute;left:2531;top:4132;height:454;width:109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gs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rT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TgsYAAADcAAAADwAAAAAAAAAAAAAAAACYAgAAZHJz&#10;L2Rvd25yZXYueG1sUEsFBgAAAAAEAAQA9QAAAIsDAAAAAA==&#10;">
                    <v:path/>
                    <v:fill on="f" focussize="0,0"/>
                    <v:stroke on="f" weight="0.5pt" joinstyle="miter"/>
                    <v:imagedata o:title=""/>
                    <o:lock v:ext="edit"/>
                    <v:textbox>
                      <w:txbxContent>
                        <w:p>
                          <w:pPr>
                            <w:pStyle w:val="23"/>
                            <w:spacing w:before="0" w:beforeAutospacing="0" w:after="0" w:afterAutospacing="0"/>
                            <w:jc w:val="center"/>
                          </w:pPr>
                          <w:r>
                            <w:rPr>
                              <w:rFonts w:hint="eastAsia" w:ascii="Times New Roman" w:hAnsi="Times New Roman"/>
                              <w:sz w:val="21"/>
                              <w:szCs w:val="21"/>
                            </w:rPr>
                            <w:t>18.49</w:t>
                          </w:r>
                        </w:p>
                      </w:txbxContent>
                    </v:textbox>
                  </v:shape>
                  <v:shape id="_x0000_s2525" o:spid="_x0000_s2525" o:spt="202" type="#_x0000_t202" style="position:absolute;left:2311;top:5515;height:511;width:140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2GcUA&#10;AADcAAAADwAAAGRycy9kb3ducmV2LnhtbERPS2vCQBC+F/wPyxR6q5sGKiZ1FQmIpdSDj0tv0+yY&#10;hO7OxuwaU3+9Wyh4m4/vObPFYI3oqfONYwUv4wQEcel0w5WCw371PAXhA7JG45gU/JKHxXz0MMNc&#10;uwtvqd+FSsQQ9jkqqENocyl9WZNFP3YtceSOrrMYIuwqqTu8xHBrZJokE2mx4dhQY0tFTeXP7mwV&#10;fBSrDW6/Uzu9mmL9eVy2p8PXq1JPj8PyDUSgIdzF/+53HednG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DYZxQAAANwAAAAPAAAAAAAAAAAAAAAAAJgCAABkcnMv&#10;ZG93bnJldi54bWxQSwUGAAAAAAQABAD1AAAAigMAAAAA&#10;">
                    <v:path/>
                    <v:fill on="f" focussize="0,0"/>
                    <v:stroke on="f" weight="0.5pt" joinstyle="miter"/>
                    <v:imagedata o:title=""/>
                    <o:lock v:ext="edit"/>
                    <v:textbox>
                      <w:txbxContent>
                        <w:p>
                          <w:pPr>
                            <w:pStyle w:val="23"/>
                            <w:spacing w:before="0" w:beforeAutospacing="0" w:after="0" w:afterAutospacing="0"/>
                            <w:jc w:val="center"/>
                          </w:pPr>
                          <w:r>
                            <w:rPr>
                              <w:rFonts w:hint="eastAsia" w:ascii="Times New Roman"/>
                              <w:sz w:val="21"/>
                              <w:szCs w:val="21"/>
                            </w:rPr>
                            <w:t>单位：m</w:t>
                          </w:r>
                          <w:r>
                            <w:rPr>
                              <w:rFonts w:hint="eastAsia" w:ascii="Times New Roman"/>
                              <w:sz w:val="21"/>
                              <w:szCs w:val="21"/>
                              <w:vertAlign w:val="superscript"/>
                            </w:rPr>
                            <w:t>3</w:t>
                          </w:r>
                          <w:r>
                            <w:rPr>
                              <w:rFonts w:hint="eastAsia" w:ascii="Times New Roman"/>
                              <w:sz w:val="21"/>
                              <w:szCs w:val="21"/>
                            </w:rPr>
                            <w:t>/d</w:t>
                          </w:r>
                        </w:p>
                      </w:txbxContent>
                    </v:textbox>
                  </v:shape>
                  <v:shape id="_x0000_s2526" o:spid="_x0000_s2526" o:spt="202" type="#_x0000_t202" style="position:absolute;left:3093;top:3164;height:599;width:109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tfMYA&#10;AADcAAAADwAAAGRycy9kb3ducmV2LnhtbESPQWvCQBSE74X+h+UVvNWNQ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ptfMYAAADcAAAADwAAAAAAAAAAAAAAAACYAgAAZHJz&#10;L2Rvd25yZXYueG1sUEsFBgAAAAAEAAQA9QAAAIsDAAAAAA==&#10;">
                    <v:path/>
                    <v:fill on="f" focussize="0,0"/>
                    <v:stroke on="f" weight="0.5pt" joinstyle="miter"/>
                    <v:imagedata o:title=""/>
                    <o:lock v:ext="edit"/>
                    <v:textbox>
                      <w:txbxContent>
                        <w:p>
                          <w:pPr>
                            <w:pStyle w:val="23"/>
                            <w:spacing w:before="0" w:beforeAutospacing="0" w:after="0" w:afterAutospacing="0"/>
                            <w:jc w:val="center"/>
                          </w:pPr>
                          <w:r>
                            <w:rPr>
                              <w:rFonts w:hint="eastAsia" w:ascii="Times New Roman" w:hAnsi="Times New Roman"/>
                              <w:sz w:val="21"/>
                              <w:szCs w:val="21"/>
                            </w:rPr>
                            <w:t>17.05</w:t>
                          </w:r>
                        </w:p>
                      </w:txbxContent>
                    </v:textbox>
                  </v:shape>
                  <v:shape id="直接箭头连接符 205" o:spid="_x0000_s2527" o:spt="32" type="#_x0000_t32" style="position:absolute;left:3356;top:3523;height:1;width:533;"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j9/sIAAADcAAAADwAAAGRycy9kb3ducmV2LnhtbESPQYvCMBSE7wv+h/AEb2uqS5dSjSJC&#10;ca/qCnp7Ns+22LyUJtX6740geBxm5htmvuxNLW7Uusqygsk4AkGcW11xoeB/n30nIJxH1lhbJgUP&#10;crBcDL7mmGp75y3ddr4QAcIuRQWl900qpctLMujGtiEO3sW2Bn2QbSF1i/cAN7WcRtGvNFhxWCix&#10;oXVJ+XXXGQU/l3O/SfxKJtnRrrsujuNDdlJqNOxXMxCeev8Jv9t/WsE0iuF1JhwB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j9/sIAAADcAAAADwAAAAAAAAAAAAAA&#10;AAChAgAAZHJzL2Rvd25yZXYueG1sUEsFBgAAAAAEAAQA+QAAAJADAAAAAA==&#10;">
                    <v:path arrowok="t"/>
                    <v:fill on="f" focussize="0,0"/>
                    <v:stroke endarrow="open"/>
                    <v:imagedata o:title=""/>
                    <o:lock v:ext="edit"/>
                  </v:shape>
                  <v:shape id="_x0000_s2528" o:spid="_x0000_s2528" o:spt="202" type="#_x0000_t202" style="position:absolute;left:3903;top:3298;height:481;width:325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TwsIA&#10;AADcAAAADwAAAGRycy9kb3ducmV2LnhtbESPQWsCMRSE74X+h/AKvdWsHmS7GkWLLYWequL5sXkm&#10;wc3LkqTr9t83BcHjMDPfMMv16DsxUEwusILppAJB3Abt2Cg4Ht5fahApI2vsApOCX0qwXj0+LLHR&#10;4crfNOyzEQXCqUEFNue+kTK1ljymSeiJi3cO0WMuMhqpI14L3HdyVlVz6dFxWbDY05ul9rL/8Qp2&#10;W/Nq2hqj3dXauWE8nb/Mh1LPT+NmASLTmO/hW/tTK5hVc/g/U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9PCwgAAANwAAAAPAAAAAAAAAAAAAAAAAJgCAABkcnMvZG93&#10;bnJldi54bWxQSwUGAAAAAAQABAD1AAAAhwMAAAAA&#10;">
                    <v:path/>
                    <v:fill focussize="0,0"/>
                    <v:stroke weight="0.5pt" joinstyle="miter"/>
                    <v:imagedata o:title=""/>
                    <o:lock v:ext="edit"/>
                    <v:textbox>
                      <w:txbxContent>
                        <w:p>
                          <w:pPr>
                            <w:pStyle w:val="23"/>
                            <w:spacing w:before="0" w:beforeAutospacing="0" w:after="0" w:afterAutospacing="0"/>
                            <w:jc w:val="center"/>
                          </w:pPr>
                          <w:r>
                            <w:rPr>
                              <w:rFonts w:hint="eastAsia" w:ascii="Times New Roman"/>
                              <w:sz w:val="21"/>
                              <w:szCs w:val="21"/>
                            </w:rPr>
                            <w:t>拉丝机组、覆膜机组循环冷却水</w:t>
                          </w:r>
                        </w:p>
                      </w:txbxContent>
                    </v:textbox>
                  </v:shape>
                  <v:shape id="_x0000_s2529" o:spid="_x0000_s2529" o:spt="202" type="#_x0000_t202" style="position:absolute;left:5041;top:2845;height:457;width:112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necIA&#10;AADcAAAADwAAAGRycy9kb3ducmV2LnhtbERPy4rCMBTdD/gP4QqzG1MLM0g1LVIQRcaFj427a3Nt&#10;i81NbaJ2/PrJQnB5OO9Z1ptG3KlztWUF41EEgriwuuZSwWG/+JqAcB5ZY2OZFPyRgywdfMww0fbB&#10;W7rvfClCCLsEFVTet4mUrqjIoBvZljhwZ9sZ9AF2pdQdPkK4aWQcRT/SYM2hocKW8oqKy+5mFKzz&#10;xQa3p9hMnk2+/D3P2+vh+K3U57CfT0F46v1b/HKvtII4Cmv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2d5wgAAANwAAAAPAAAAAAAAAAAAAAAAAJgCAABkcnMvZG93&#10;bnJldi54bWxQSwUGAAAAAAQABAD1AAAAhwMAAAAA&#10;">
                    <v:path/>
                    <v:fill on="f" focussize="0,0"/>
                    <v:stroke on="f" weight="0.5pt" joinstyle="miter"/>
                    <v:imagedata o:title=""/>
                    <o:lock v:ext="edit"/>
                    <v:textbox>
                      <w:txbxContent>
                        <w:p>
                          <w:pPr>
                            <w:pStyle w:val="23"/>
                            <w:spacing w:before="0" w:beforeAutospacing="0" w:after="0" w:afterAutospacing="0"/>
                            <w:jc w:val="center"/>
                          </w:pPr>
                          <w:r>
                            <w:rPr>
                              <w:rFonts w:hint="eastAsia" w:ascii="Times New Roman" w:hAnsi="Times New Roman"/>
                              <w:sz w:val="21"/>
                              <w:szCs w:val="21"/>
                            </w:rPr>
                            <w:t>16</w:t>
                          </w:r>
                        </w:p>
                      </w:txbxContent>
                    </v:textbox>
                  </v:shape>
                  <v:shape id="_x0000_s2532" o:spid="_x0000_s2532" o:spt="202" type="#_x0000_t202" style="position:absolute;left:4051;top:3917;height:383;width:179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dKOMIA&#10;AADcAAAADwAAAGRycy9kb3ducmV2LnhtbERPy6rCMBDdC/cfwlxwp6mCItUoUhBFdOFj425uM7bl&#10;NpPaRK1+vREEd3M4z5nMGlOKG9WusKyg141AEKdWF5wpOB4WnREI55E1lpZJwYMczKY/rQnG2t55&#10;R7e9z0QIYRejgtz7KpbSpTkZdF1bEQfubGuDPsA6k7rGewg3pexH0VAaLDg05FhRklP6v78aBetk&#10;scXdX9+MnmWy3Jzn1eV4GijV/m3mYxCeGv8Vf9wrHeYPe/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0o4wgAAANwAAAAPAAAAAAAAAAAAAAAAAJgCAABkcnMvZG93&#10;bnJldi54bWxQSwUGAAAAAAQABAD1AAAAhwMAAAAA&#10;">
                    <v:path/>
                    <v:fill on="f" focussize="0,0"/>
                    <v:stroke on="f" weight="0.5pt" joinstyle="miter"/>
                    <v:imagedata o:title=""/>
                    <o:lock v:ext="edit"/>
                    <v:textbox>
                      <w:txbxContent>
                        <w:p>
                          <w:pPr>
                            <w:pStyle w:val="23"/>
                            <w:spacing w:before="0" w:beforeAutospacing="0" w:after="0" w:afterAutospacing="0"/>
                            <w:jc w:val="center"/>
                          </w:pPr>
                          <w:r>
                            <w:rPr>
                              <w:rFonts w:hint="eastAsia" w:ascii="Times New Roman" w:hAnsi="Times New Roman"/>
                              <w:sz w:val="21"/>
                              <w:szCs w:val="21"/>
                            </w:rPr>
                            <w:t>循环使用3200</w:t>
                          </w:r>
                        </w:p>
                      </w:txbxContent>
                    </v:textbox>
                  </v:shape>
                  <v:shape id="_x0000_s2533" o:spid="_x0000_s2533" o:spt="202" type="#_x0000_t202" style="position:absolute;left:3776;top:5669;height:450;width:449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6H8MA&#10;AADcAAAADwAAAGRycy9kb3ducmV2LnhtbERPTYvCMBC9C/6HMMLeNFXYRbtGkYK4LHpQe/E224xt&#10;sZnUJmrdX28Ewds83udM562pxJUaV1pWMBxEIIgzq0vOFaT7ZX8MwnlkjZVlUnAnB/NZtzPFWNsb&#10;b+m687kIIexiVFB4X8dSuqwgg25ga+LAHW1j0AfY5FI3eAvhppKjKPqSBksODQXWlBSUnXYXo+A3&#10;WW5w+zcy4/8qWa2Pi/qcHj6V+ui1i28Qnlr/Fr/cPzrMnwzh+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I6H8MAAADcAAAADwAAAAAAAAAAAAAAAACYAgAAZHJzL2Rv&#10;d25yZXYueG1sUEsFBgAAAAAEAAQA9QAAAIgDAAAAAA==&#10;">
                    <v:path/>
                    <v:fill on="f" focussize="0,0"/>
                    <v:stroke on="f" weight="0.5pt" joinstyle="miter"/>
                    <v:imagedata o:title=""/>
                    <o:lock v:ext="edit"/>
                    <v:textbox>
                      <w:txbxContent>
                        <w:p>
                          <w:pPr>
                            <w:pStyle w:val="53"/>
                            <w:numPr>
                              <w:ilvl w:val="0"/>
                              <w:numId w:val="0"/>
                            </w:numPr>
                          </w:pPr>
                          <w:r>
                            <w:rPr>
                              <w:rFonts w:hint="eastAsia"/>
                            </w:rPr>
                            <w:t>图1本项目水平衡图</w:t>
                          </w:r>
                        </w:p>
                      </w:txbxContent>
                    </v:textbox>
                  </v:shape>
                  <v:group id="_x0000_s2552" o:spid="_x0000_s2552" o:spt="203" style="position:absolute;left:3711;top:3703;height:598;width:2276;" coordorigin="3711,3703" coordsize="2276,598">
                    <o:lock v:ext="edit"/>
                    <v:shape id="直接箭头连接符 196" o:spid="_x0000_s2547" o:spt="32" type="#_x0000_t32" style="position:absolute;left:5986;top:3786;height:515;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UyN78AAADcAAAADwAAAGRycy9kb3ducmV2LnhtbERPTYvCMBC9L/gfwgje1lQL7lqNIquC&#10;eFtXPA/N2JY2k5Jka/33RhC8zeN9znLdm0Z05HxlWcFknIAgzq2uuFBw/tt/foPwAVljY5kU3MnD&#10;ejX4WGKm7Y1/qTuFQsQQ9hkqKENoMyl9XpJBP7YtceSu1hkMEbpCaoe3GG4aOU2SmTRYcWwosaWf&#10;kvL69G8UVJwGnm7TPR13tfsqLnVn07NSo2G/WYAI1Ie3+OU+6Dh/PoPnM/ECuX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1UyN78AAADcAAAADwAAAAAAAAAAAAAAAACh&#10;AgAAZHJzL2Rvd25yZXYueG1sUEsFBgAAAAAEAAQA+QAAAI0DAAAAAA==&#10;">
                      <v:path arrowok="t"/>
                      <v:fill on="f" focussize="0,0"/>
                      <v:stroke dashstyle="longDashDotDot" endarrow="open"/>
                      <v:imagedata o:title=""/>
                      <o:lock v:ext="edit"/>
                    </v:shape>
                    <v:shape id="直接箭头连接符 196" o:spid="_x0000_s2548" o:spt="32" type="#_x0000_t32" style="position:absolute;left:3711;top:4273;flip:x;height:1;width:2268;"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UyN78AAADcAAAADwAAAGRycy9kb3ducmV2LnhtbERPTYvCMBC9L/gfwgje1lQL7lqNIquC&#10;eFtXPA/N2JY2k5Jka/33RhC8zeN9znLdm0Z05HxlWcFknIAgzq2uuFBw/tt/foPwAVljY5kU3MnD&#10;ejX4WGKm7Y1/qTuFQsQQ9hkqKENoMyl9XpJBP7YtceSu1hkMEbpCaoe3GG4aOU2SmTRYcWwosaWf&#10;kvL69G8UVJwGnm7TPR13tfsqLnVn07NSo2G/WYAI1Ie3+OU+6Dh/PoPnM/ECuX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1UyN78AAADcAAAADwAAAAAAAAAAAAAAAACh&#10;AgAAZHJzL2Rvd25yZXYueG1sUEsFBgAAAAAEAAQA+QAAAI0DAAAAAA==&#10;">
                      <v:path arrowok="t"/>
                      <v:fill on="f" focussize="0,0"/>
                      <v:stroke dashstyle="longDashDotDot" endarrow="open"/>
                      <v:imagedata o:title=""/>
                      <o:lock v:ext="edit"/>
                    </v:shape>
                    <v:shape id="直接箭头连接符 196" o:spid="_x0000_s2549" o:spt="32" type="#_x0000_t32" style="position:absolute;left:3734;top:3704;flip:y;height:567;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UyN78AAADcAAAADwAAAGRycy9kb3ducmV2LnhtbERPTYvCMBC9L/gfwgje1lQL7lqNIquC&#10;eFtXPA/N2JY2k5Jka/33RhC8zeN9znLdm0Z05HxlWcFknIAgzq2uuFBw/tt/foPwAVljY5kU3MnD&#10;ejX4WGKm7Y1/qTuFQsQQ9hkqKENoMyl9XpJBP7YtceSu1hkMEbpCaoe3GG4aOU2SmTRYcWwosaWf&#10;kvL69G8UVJwGnm7TPR13tfsqLnVn07NSo2G/WYAI1Ie3+OU+6Dh/PoPnM/ECuX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1UyN78AAADcAAAADwAAAAAAAAAAAAAAAACh&#10;AgAAZHJzL2Rvd25yZXYueG1sUEsFBgAAAAAEAAQA+QAAAI0DAAAAAA==&#10;">
                      <v:path arrowok="t"/>
                      <v:fill on="f" focussize="0,0"/>
                      <v:stroke dashstyle="longDashDotDot" endarrow="open"/>
                      <v:imagedata o:title=""/>
                      <o:lock v:ext="edit"/>
                    </v:shape>
                    <v:shape id="直接箭头连接符 196" o:spid="_x0000_s2551" o:spt="32" type="#_x0000_t32" style="position:absolute;left:3728;top:3703;height:1;width:17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UyN78AAADcAAAADwAAAGRycy9kb3ducmV2LnhtbERPTYvCMBC9L/gfwgje1lQL7lqNIquC&#10;eFtXPA/N2JY2k5Jka/33RhC8zeN9znLdm0Z05HxlWcFknIAgzq2uuFBw/tt/foPwAVljY5kU3MnD&#10;ejX4WGKm7Y1/qTuFQsQQ9hkqKENoMyl9XpJBP7YtceSu1hkMEbpCaoe3GG4aOU2SmTRYcWwosaWf&#10;kvL69G8UVJwGnm7TPR13tfsqLnVn07NSo2G/WYAI1Ie3+OU+6Dh/PoPnM/ECuX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1UyN78AAADcAAAADwAAAAAAAAAAAAAAAACh&#10;AgAAZHJzL2Rvd25yZXYueG1sUEsFBgAAAAAEAAQA+QAAAI0DAAAAAA==&#10;">
                      <v:path arrowok="t"/>
                      <v:fill on="f" focussize="0,0"/>
                      <v:stroke dashstyle="longDashDotDot" endarrow="open"/>
                      <v:imagedata o:title=""/>
                      <o:lock v:ext="edit"/>
                    </v:shape>
                  </v:group>
                  <v:shape id="直接箭头连接符 169" o:spid="_x0000_s2557" o:spt="32" type="#_x0000_t32" style="position:absolute;left:4843;top:3015;flip:y;height:268;width:55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gN/MAAAADcAAAADwAAAGRycy9kb3ducmV2LnhtbERPS4vCMBC+C/6HMAvebGpF0a6xiFDw&#10;IvjC89CMbXebSWmi7f77jbCwt/n4nrPJBtOIF3WutqxgFsUgiAuray4V3K75dAXCeWSNjWVS8EMO&#10;su14tMFU257P9Lr4UoQQdikqqLxvUyldUZFBF9mWOHAP2xn0AXal1B32Idw0MonjpTRYc2iosKV9&#10;RcX35WkUHPfzxexs7/rEiMevJD/l9tErNfkYdp8gPA3+X/znPugwf7mG9zPhAr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YDfzAAAAA3AAAAA8AAAAAAAAAAAAAAAAA&#10;oQIAAGRycy9kb3ducmV2LnhtbFBLBQYAAAAABAAEAPkAAACOAwAAAAA=&#10;">
                    <v:path arrowok="t"/>
                    <v:fill on="f" focussize="0,0"/>
                    <v:stroke dashstyle="dash" endarrow="open"/>
                    <v:imagedata o:title=""/>
                    <o:lock v:ext="edit"/>
                  </v:shape>
                  <v:shape id="直接箭头连接符 196" o:spid="_x0000_s2604" o:spt="32" type="#_x0000_t32" style="position:absolute;left:7151;top:3549;height:1;width:68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UyN78AAADcAAAADwAAAGRycy9kb3ducmV2LnhtbERPTYvCMBC9L/gfwgje1lQL7lqNIquC&#10;eFtXPA/N2JY2k5Jka/33RhC8zeN9znLdm0Z05HxlWcFknIAgzq2uuFBw/tt/foPwAVljY5kU3MnD&#10;ejX4WGKm7Y1/qTuFQsQQ9hkqKENoMyl9XpJBP7YtceSu1hkMEbpCaoe3GG4aOU2SmTRYcWwosaWf&#10;kvL69G8UVJwGnm7TPR13tfsqLnVn07NSo2G/WYAI1Ie3+OU+6Dh/PoPnM/ECuX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1UyN78AAADcAAAADwAAAAAAAAAAAAAAAACh&#10;AgAAZHJzL2Rvd25yZXYueG1sUEsFBgAAAAAEAAQA+QAAAI0DAAAAAA==&#10;">
                    <v:path arrowok="t"/>
                    <v:fill on="f" focussize="0,0"/>
                    <v:stroke endarrow="open"/>
                    <v:imagedata o:title=""/>
                    <o:lock v:ext="edit"/>
                  </v:shape>
                  <v:shape id="_x0000_s2605" o:spid="_x0000_s2605" o:spt="202" type="#_x0000_t202" style="position:absolute;left:7657;top:3229;height:727;width:221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6H8MA&#10;AADcAAAADwAAAGRycy9kb3ducmV2LnhtbERPTYvCMBC9C/6HMMLeNFXYRbtGkYK4LHpQe/E224xt&#10;sZnUJmrdX28Ewds83udM562pxJUaV1pWMBxEIIgzq0vOFaT7ZX8MwnlkjZVlUnAnB/NZtzPFWNsb&#10;b+m687kIIexiVFB4X8dSuqwgg25ga+LAHW1j0AfY5FI3eAvhppKjKPqSBksODQXWlBSUnXYXo+A3&#10;WW5w+zcy4/8qWa2Pi/qcHj6V+ui1i28Qnlr/Fr/cPzrMnwzh+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I6H8MAAADcAAAADwAAAAAAAAAAAAAAAACYAgAAZHJzL2Rv&#10;d25yZXYueG1sUEsFBgAAAAAEAAQA9QAAAIgDAAAAAA==&#10;">
                    <v:path/>
                    <v:fill on="f" focussize="0,0"/>
                    <v:stroke on="f" weight="0.5pt" joinstyle="miter"/>
                    <v:imagedata o:title=""/>
                    <o:lock v:ext="edit"/>
                    <v:textbox>
                      <w:txbxContent>
                        <w:p>
                          <w:pPr>
                            <w:pStyle w:val="23"/>
                            <w:spacing w:before="0" w:beforeAutospacing="0" w:after="0" w:afterAutospacing="0"/>
                            <w:rPr>
                              <w:szCs w:val="21"/>
                            </w:rPr>
                          </w:pPr>
                          <w:r>
                            <w:rPr>
                              <w:rFonts w:hint="eastAsia" w:ascii="Times New Roman"/>
                              <w:sz w:val="21"/>
                              <w:szCs w:val="21"/>
                            </w:rPr>
                            <w:t>定期更换，用于厂区洒水绿化降尘</w:t>
                          </w:r>
                        </w:p>
                      </w:txbxContent>
                    </v:textbox>
                  </v:shape>
                  <v:shape id="_x0000_s2606" o:spid="_x0000_s2606" o:spt="202" type="#_x0000_t202" style="position:absolute;left:7909;top:4823;height:944;width:208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6H8MA&#10;AADcAAAADwAAAGRycy9kb3ducmV2LnhtbERPTYvCMBC9C/6HMMLeNFXYRbtGkYK4LHpQe/E224xt&#10;sZnUJmrdX28Ewds83udM562pxJUaV1pWMBxEIIgzq0vOFaT7ZX8MwnlkjZVlUnAnB/NZtzPFWNsb&#10;b+m687kIIexiVFB4X8dSuqwgg25ga+LAHW1j0AfY5FI3eAvhppKjKPqSBksODQXWlBSUnXYXo+A3&#10;WW5w+zcy4/8qWa2Pi/qcHj6V+ui1i28Qnlr/Fr/cPzrMnwzh+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I6H8MAAADcAAAADwAAAAAAAAAAAAAAAACYAgAAZHJzL2Rv&#10;d25yZXYueG1sUEsFBgAAAAAEAAQA9QAAAIgDAAAAAA==&#10;">
                    <v:path/>
                    <v:fill on="f" focussize="0,0"/>
                    <v:stroke on="f" weight="0.5pt" joinstyle="miter"/>
                    <v:imagedata o:title=""/>
                    <o:lock v:ext="edit"/>
                    <v:textbox>
                      <w:txbxContent>
                        <w:p>
                          <w:pPr>
                            <w:pStyle w:val="23"/>
                            <w:spacing w:before="0" w:beforeAutospacing="0" w:after="0" w:afterAutospacing="0"/>
                            <w:jc w:val="both"/>
                            <w:rPr>
                              <w:rFonts w:ascii="Times New Roman"/>
                              <w:sz w:val="21"/>
                              <w:szCs w:val="21"/>
                              <w:u w:val="single"/>
                            </w:rPr>
                          </w:pPr>
                          <w:r>
                            <w:rPr>
                              <w:rFonts w:hint="eastAsia" w:ascii="Times New Roman"/>
                              <w:sz w:val="21"/>
                              <w:szCs w:val="21"/>
                              <w:u w:val="single"/>
                            </w:rPr>
                            <w:t>用于厂区绿化，远期排入偃师区第二污水处理厂</w:t>
                          </w:r>
                        </w:p>
                      </w:txbxContent>
                    </v:textbox>
                  </v:shape>
                  <v:shape id="直接箭头连接符 196" o:spid="_x0000_s2607" o:spt="32" type="#_x0000_t32" style="position:absolute;left:7489;top:5316;height:1;width:51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UyN78AAADcAAAADwAAAGRycy9kb3ducmV2LnhtbERPTYvCMBC9L/gfwgje1lQL7lqNIquC&#10;eFtXPA/N2JY2k5Jka/33RhC8zeN9znLdm0Z05HxlWcFknIAgzq2uuFBw/tt/foPwAVljY5kU3MnD&#10;ejX4WGKm7Y1/qTuFQsQQ9hkqKENoMyl9XpJBP7YtceSu1hkMEbpCaoe3GG4aOU2SmTRYcWwosaWf&#10;kvL69G8UVJwGnm7TPR13tfsqLnVn07NSo2G/WYAI1Ie3+OU+6Dh/PoPnM/ECuX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1UyN78AAADcAAAADwAAAAAAAAAAAAAAAACh&#10;AgAAZHJzL2Rvd25yZXYueG1sUEsFBgAAAAAEAAQA+QAAAI0DAAAAAA==&#10;">
                    <v:path arrowok="t"/>
                    <v:fill on="f" focussize="0,0"/>
                    <v:stroke endarrow="open"/>
                    <v:imagedata o:title=""/>
                    <o:lock v:ext="edit"/>
                  </v:shape>
                  <v:shape id="_x0000_s2608" o:spid="_x0000_s2608" o:spt="202" type="#_x0000_t202" style="position:absolute;left:7184;top:5030;height:355;width:109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H8MMA&#10;AADcAAAADwAAAGRycy9kb3ducmV2LnhtbERPS4vCMBC+L/gfwgje1lRhXa1GkYKsiHvwcfE2NmNb&#10;bCa1iVr99ZsFwdt8fM+ZzBpTihvVrrCsoNeNQBCnVhecKdjvFp9DEM4jaywtk4IHOZhNWx8TjLW9&#10;84ZuW5+JEMIuRgW591UspUtzMui6tiIO3MnWBn2AdSZ1jfcQbkrZj6KBNFhwaMixoiSn9Ly9GgWr&#10;ZPGLm2PfDJ9l8rM+zavL/vClVKfdzMcgPDX+LX65lzrMH33D/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cH8MMAAADcAAAADwAAAAAAAAAAAAAAAACYAgAAZHJzL2Rv&#10;d25yZXYueG1sUEsFBgAAAAAEAAQA9QAAAIgDAAAAAA==&#10;">
                    <v:path/>
                    <v:fill on="f" focussize="0,0"/>
                    <v:stroke on="f" weight="0.5pt" joinstyle="miter"/>
                    <v:imagedata o:title=""/>
                    <o:lock v:ext="edit"/>
                    <v:textbox>
                      <w:txbxContent>
                        <w:p>
                          <w:pPr>
                            <w:pStyle w:val="23"/>
                            <w:spacing w:before="0" w:beforeAutospacing="0" w:after="0" w:afterAutospacing="0"/>
                            <w:jc w:val="center"/>
                          </w:pPr>
                          <w:r>
                            <w:rPr>
                              <w:rFonts w:hint="eastAsia" w:ascii="Times New Roman" w:hAnsi="Times New Roman"/>
                              <w:sz w:val="21"/>
                              <w:szCs w:val="21"/>
                            </w:rPr>
                            <w:t>1.152</w:t>
                          </w:r>
                        </w:p>
                      </w:txbxContent>
                    </v:textbox>
                  </v:shape>
                  <v:shape id="_x0000_s2609" o:spid="_x0000_s2609" o:spt="202" type="#_x0000_t202" style="position:absolute;left:6911;top:3227;height:355;width:109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H8MMA&#10;AADcAAAADwAAAGRycy9kb3ducmV2LnhtbERPS4vCMBC+L/gfwgje1lRhXa1GkYKsiHvwcfE2NmNb&#10;bCa1iVr99ZsFwdt8fM+ZzBpTihvVrrCsoNeNQBCnVhecKdjvFp9DEM4jaywtk4IHOZhNWx8TjLW9&#10;84ZuW5+JEMIuRgW591UspUtzMui6tiIO3MnWBn2AdSZ1jfcQbkrZj6KBNFhwaMixoiSn9Ly9GgWr&#10;ZPGLm2PfDJ9l8rM+zavL/vClVKfdzMcgPDX+LX65lzrMH33D/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cH8MMAAADcAAAADwAAAAAAAAAAAAAAAACYAgAAZHJzL2Rv&#10;d25yZXYueG1sUEsFBgAAAAAEAAQA9QAAAIgDAAAAAA==&#10;">
                    <v:path/>
                    <v:fill on="f" focussize="0,0"/>
                    <v:stroke on="f" weight="0.5pt" joinstyle="miter"/>
                    <v:imagedata o:title=""/>
                    <o:lock v:ext="edit"/>
                    <v:textbox>
                      <w:txbxContent>
                        <w:p>
                          <w:pPr>
                            <w:pStyle w:val="23"/>
                            <w:spacing w:before="0" w:beforeAutospacing="0" w:after="0" w:afterAutospacing="0"/>
                            <w:jc w:val="center"/>
                          </w:pPr>
                          <w:r>
                            <w:rPr>
                              <w:rFonts w:hint="eastAsia" w:ascii="Times New Roman" w:hAnsi="Times New Roman"/>
                              <w:sz w:val="21"/>
                              <w:szCs w:val="21"/>
                            </w:rPr>
                            <w:t>1.05</w:t>
                          </w:r>
                        </w:p>
                      </w:txbxContent>
                    </v:textbox>
                  </v:shape>
                  <w10:wrap type="none"/>
                  <w10:anchorlock/>
                </v:group>
              </w:pict>
            </w:r>
          </w:p>
          <w:p>
            <w:pPr>
              <w:spacing w:line="360" w:lineRule="auto"/>
              <w:rPr>
                <w:b/>
                <w:kern w:val="0"/>
                <w:sz w:val="24"/>
              </w:rPr>
            </w:pPr>
            <w:r>
              <w:rPr>
                <w:rFonts w:hint="eastAsia"/>
                <w:b/>
                <w:kern w:val="0"/>
                <w:sz w:val="24"/>
              </w:rPr>
              <w:t>2.8厂区、车间平面布置</w:t>
            </w:r>
          </w:p>
          <w:p>
            <w:pPr>
              <w:pStyle w:val="6"/>
              <w:ind w:firstLine="480"/>
              <w:rPr>
                <w:sz w:val="24"/>
                <w:szCs w:val="24"/>
              </w:rPr>
            </w:pPr>
            <w:r>
              <w:rPr>
                <w:rFonts w:hint="eastAsia"/>
                <w:sz w:val="24"/>
                <w:szCs w:val="24"/>
              </w:rPr>
              <w:t>本项目所在厂区入口布置在南侧，厂区内南侧布置办公区，生产车间至南向北布置，运输通道沿生产车间南北布置。1#、2#车间为</w:t>
            </w:r>
            <w:r>
              <w:rPr>
                <w:rFonts w:hint="eastAsia"/>
                <w:sz w:val="24"/>
              </w:rPr>
              <w:t>洛阳市凯胜实业有限公司生产车间。</w:t>
            </w:r>
          </w:p>
          <w:p>
            <w:pPr>
              <w:pStyle w:val="6"/>
              <w:ind w:firstLine="480"/>
              <w:rPr>
                <w:sz w:val="24"/>
                <w:szCs w:val="24"/>
              </w:rPr>
            </w:pPr>
            <w:r>
              <w:rPr>
                <w:rFonts w:hint="eastAsia"/>
                <w:sz w:val="24"/>
                <w:szCs w:val="24"/>
              </w:rPr>
              <w:t>本项目布置在厂区内2#车间内西北角、3#车间，生产车间内布置拉丝机组、覆膜机组、原料储存区、丝卷储存区、基布储存区、缝纫区等，</w:t>
            </w:r>
            <w:r>
              <w:rPr>
                <w:sz w:val="24"/>
                <w:szCs w:val="24"/>
              </w:rPr>
              <w:t>各功能区布置明确，</w:t>
            </w:r>
            <w:r>
              <w:rPr>
                <w:rFonts w:hint="eastAsia"/>
                <w:sz w:val="24"/>
                <w:szCs w:val="24"/>
              </w:rPr>
              <w:t>功能分区合理，</w:t>
            </w:r>
            <w:r>
              <w:rPr>
                <w:rFonts w:hint="eastAsia"/>
                <w:sz w:val="24"/>
                <w:lang w:val="zh-CN"/>
              </w:rPr>
              <w:t>生产工序转运流畅</w:t>
            </w:r>
            <w:r>
              <w:rPr>
                <w:sz w:val="24"/>
                <w:szCs w:val="24"/>
              </w:rPr>
              <w:t>。</w:t>
            </w:r>
            <w:r>
              <w:rPr>
                <w:rFonts w:hint="eastAsia"/>
                <w:sz w:val="24"/>
                <w:szCs w:val="24"/>
              </w:rPr>
              <w:t>厂区、车间</w:t>
            </w:r>
            <w:r>
              <w:rPr>
                <w:rFonts w:hint="eastAsia"/>
                <w:sz w:val="24"/>
              </w:rPr>
              <w:t>平面布置图见附图2。</w:t>
            </w:r>
          </w:p>
          <w:p>
            <w:pPr>
              <w:spacing w:line="360" w:lineRule="auto"/>
              <w:rPr>
                <w:b/>
                <w:kern w:val="0"/>
                <w:sz w:val="24"/>
              </w:rPr>
            </w:pPr>
            <w:r>
              <w:rPr>
                <w:b/>
                <w:kern w:val="0"/>
                <w:sz w:val="24"/>
              </w:rPr>
              <w:t>2.9</w:t>
            </w:r>
            <w:r>
              <w:rPr>
                <w:rFonts w:hint="eastAsia"/>
                <w:b/>
                <w:kern w:val="0"/>
                <w:sz w:val="24"/>
              </w:rPr>
              <w:t>本项目与洛阳市凯胜实业有限公司依托关系</w:t>
            </w:r>
          </w:p>
          <w:p>
            <w:pPr>
              <w:widowControl/>
              <w:spacing w:line="360" w:lineRule="auto"/>
              <w:ind w:firstLine="480" w:firstLineChars="200"/>
              <w:rPr>
                <w:rFonts w:hAnsi="宋体"/>
                <w:sz w:val="24"/>
              </w:rPr>
            </w:pPr>
            <w:r>
              <w:rPr>
                <w:rFonts w:hint="eastAsia" w:hAnsi="宋体"/>
                <w:sz w:val="24"/>
              </w:rPr>
              <w:t>本项目位于</w:t>
            </w:r>
            <w:r>
              <w:rPr>
                <w:rFonts w:hint="eastAsia"/>
                <w:sz w:val="24"/>
              </w:rPr>
              <w:t>洛阳市凯胜实业有限公司</w:t>
            </w:r>
            <w:r>
              <w:rPr>
                <w:rFonts w:hint="eastAsia" w:hAnsi="宋体"/>
                <w:sz w:val="24"/>
              </w:rPr>
              <w:t>厂区内</w:t>
            </w:r>
            <w:r>
              <w:rPr>
                <w:rFonts w:hAnsi="宋体"/>
                <w:sz w:val="24"/>
              </w:rPr>
              <w:t>2#</w:t>
            </w:r>
            <w:r>
              <w:rPr>
                <w:rFonts w:hint="eastAsia" w:hAnsi="宋体"/>
                <w:sz w:val="24"/>
              </w:rPr>
              <w:t>、</w:t>
            </w:r>
            <w:r>
              <w:rPr>
                <w:rFonts w:hAnsi="宋体"/>
                <w:sz w:val="24"/>
              </w:rPr>
              <w:t>3#</w:t>
            </w:r>
            <w:r>
              <w:rPr>
                <w:rFonts w:hint="eastAsia" w:hAnsi="宋体"/>
                <w:sz w:val="24"/>
              </w:rPr>
              <w:t>车间，生活污水依托厂区现有污水处理设施处理，供水供电等</w:t>
            </w:r>
            <w:r>
              <w:rPr>
                <w:rFonts w:hint="eastAsia"/>
                <w:kern w:val="0"/>
                <w:sz w:val="24"/>
              </w:rPr>
              <w:t>公用、辅助设施依托</w:t>
            </w:r>
            <w:r>
              <w:rPr>
                <w:rFonts w:hint="eastAsia"/>
                <w:sz w:val="24"/>
              </w:rPr>
              <w:t>厂区内现有设施。</w:t>
            </w:r>
          </w:p>
          <w:p>
            <w:pPr>
              <w:pStyle w:val="53"/>
              <w:numPr>
                <w:ilvl w:val="0"/>
                <w:numId w:val="2"/>
              </w:numPr>
              <w:adjustRightInd/>
              <w:snapToGrid/>
              <w:ind w:left="0" w:firstLine="0"/>
              <w:rPr>
                <w:kern w:val="0"/>
              </w:rPr>
            </w:pPr>
            <w:r>
              <w:rPr>
                <w:rFonts w:hint="eastAsia"/>
                <w:kern w:val="0"/>
              </w:rPr>
              <w:t>本项目与“凯胜公司”依托关系一览表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843"/>
              <w:gridCol w:w="1276"/>
              <w:gridCol w:w="992"/>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05" w:type="dxa"/>
                  <w:gridSpan w:val="2"/>
                  <w:tcBorders>
                    <w:top w:val="single" w:color="auto" w:sz="4" w:space="0"/>
                    <w:left w:val="single" w:color="auto" w:sz="4" w:space="0"/>
                    <w:bottom w:val="single" w:color="auto" w:sz="4" w:space="0"/>
                    <w:right w:val="single" w:color="auto" w:sz="4" w:space="0"/>
                  </w:tcBorders>
                  <w:vAlign w:val="center"/>
                </w:tcPr>
                <w:p>
                  <w:pPr>
                    <w:pStyle w:val="54"/>
                  </w:pPr>
                  <w:r>
                    <w:rPr>
                      <w:rFonts w:hint="eastAsia"/>
                    </w:rPr>
                    <w:t>依托内容</w:t>
                  </w:r>
                </w:p>
              </w:tc>
              <w:tc>
                <w:tcPr>
                  <w:tcW w:w="1276" w:type="dxa"/>
                  <w:tcBorders>
                    <w:top w:val="single" w:color="auto" w:sz="4" w:space="0"/>
                    <w:left w:val="single" w:color="auto" w:sz="4" w:space="0"/>
                    <w:bottom w:val="single" w:color="auto" w:sz="4" w:space="0"/>
                    <w:right w:val="single" w:color="auto" w:sz="4" w:space="0"/>
                  </w:tcBorders>
                  <w:vAlign w:val="center"/>
                </w:tcPr>
                <w:p>
                  <w:pPr>
                    <w:pStyle w:val="54"/>
                  </w:pPr>
                  <w:r>
                    <w:rPr>
                      <w:rFonts w:hint="eastAsia"/>
                    </w:rPr>
                    <w:t>凯胜公司</w:t>
                  </w:r>
                </w:p>
              </w:tc>
              <w:tc>
                <w:tcPr>
                  <w:tcW w:w="992" w:type="dxa"/>
                  <w:tcBorders>
                    <w:top w:val="single" w:color="auto" w:sz="4" w:space="0"/>
                    <w:left w:val="single" w:color="auto" w:sz="4" w:space="0"/>
                    <w:bottom w:val="single" w:color="auto" w:sz="4" w:space="0"/>
                    <w:right w:val="single" w:color="auto" w:sz="4" w:space="0"/>
                  </w:tcBorders>
                  <w:vAlign w:val="center"/>
                </w:tcPr>
                <w:p>
                  <w:pPr>
                    <w:pStyle w:val="54"/>
                  </w:pPr>
                  <w:r>
                    <w:rPr>
                      <w:rFonts w:hint="eastAsia"/>
                    </w:rPr>
                    <w:t>本项目</w:t>
                  </w:r>
                </w:p>
              </w:tc>
              <w:tc>
                <w:tcPr>
                  <w:tcW w:w="2989" w:type="dxa"/>
                  <w:tcBorders>
                    <w:top w:val="single" w:color="auto" w:sz="4" w:space="0"/>
                    <w:left w:val="single" w:color="auto" w:sz="4" w:space="0"/>
                    <w:bottom w:val="single" w:color="auto" w:sz="4" w:space="0"/>
                    <w:right w:val="single" w:color="auto" w:sz="4" w:space="0"/>
                  </w:tcBorders>
                  <w:vAlign w:val="center"/>
                </w:tcPr>
                <w:p>
                  <w:pPr>
                    <w:pStyle w:val="54"/>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62" w:type="dxa"/>
                  <w:vMerge w:val="restart"/>
                  <w:tcBorders>
                    <w:top w:val="single" w:color="auto" w:sz="4" w:space="0"/>
                    <w:left w:val="single" w:color="auto" w:sz="4" w:space="0"/>
                    <w:right w:val="single" w:color="auto" w:sz="4" w:space="0"/>
                  </w:tcBorders>
                  <w:vAlign w:val="center"/>
                </w:tcPr>
                <w:p>
                  <w:pPr>
                    <w:pStyle w:val="58"/>
                    <w:spacing w:line="320" w:lineRule="exact"/>
                    <w:rPr>
                      <w:kern w:val="0"/>
                    </w:rPr>
                  </w:pPr>
                  <w:r>
                    <w:rPr>
                      <w:rFonts w:hint="eastAsia"/>
                      <w:kern w:val="0"/>
                    </w:rPr>
                    <w:t>主体工程</w:t>
                  </w:r>
                </w:p>
              </w:tc>
              <w:tc>
                <w:tcPr>
                  <w:tcW w:w="1843"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r>
                    <w:rPr>
                      <w:rFonts w:hint="eastAsia"/>
                      <w:kern w:val="0"/>
                    </w:rPr>
                    <w:t>2#车间</w:t>
                  </w:r>
                </w:p>
              </w:tc>
              <w:tc>
                <w:tcPr>
                  <w:tcW w:w="1276"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r>
                    <w:rPr>
                      <w:rFonts w:hint="eastAsia"/>
                      <w:kern w:val="0"/>
                    </w:rPr>
                    <w:t>已建</w:t>
                  </w:r>
                </w:p>
              </w:tc>
              <w:tc>
                <w:tcPr>
                  <w:tcW w:w="992"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r>
                    <w:rPr>
                      <w:kern w:val="0"/>
                    </w:rPr>
                    <w:t>/</w:t>
                  </w:r>
                </w:p>
              </w:tc>
              <w:tc>
                <w:tcPr>
                  <w:tcW w:w="2989"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r>
                    <w:rPr>
                      <w:rFonts w:hint="eastAsia"/>
                      <w:kern w:val="0"/>
                    </w:rPr>
                    <w:t>租赁</w:t>
                  </w:r>
                  <w:r>
                    <w:rPr>
                      <w:rFonts w:hint="eastAsia"/>
                    </w:rPr>
                    <w:t>2#车间内部分空间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62" w:type="dxa"/>
                  <w:vMerge w:val="continue"/>
                  <w:tcBorders>
                    <w:left w:val="single" w:color="auto" w:sz="4" w:space="0"/>
                    <w:bottom w:val="single" w:color="auto" w:sz="4" w:space="0"/>
                    <w:right w:val="single" w:color="auto" w:sz="4" w:space="0"/>
                  </w:tcBorders>
                  <w:vAlign w:val="center"/>
                </w:tcPr>
                <w:p>
                  <w:pPr>
                    <w:pStyle w:val="58"/>
                    <w:spacing w:line="320" w:lineRule="exact"/>
                    <w:rPr>
                      <w:kern w:val="0"/>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r>
                    <w:rPr>
                      <w:rFonts w:hint="eastAsia"/>
                      <w:kern w:val="0"/>
                    </w:rPr>
                    <w:t>3#车间</w:t>
                  </w:r>
                </w:p>
              </w:tc>
              <w:tc>
                <w:tcPr>
                  <w:tcW w:w="1276"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r>
                    <w:rPr>
                      <w:rFonts w:hint="eastAsia"/>
                      <w:kern w:val="0"/>
                    </w:rPr>
                    <w:t>正在建设</w:t>
                  </w:r>
                </w:p>
              </w:tc>
              <w:tc>
                <w:tcPr>
                  <w:tcW w:w="992"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r>
                    <w:rPr>
                      <w:kern w:val="0"/>
                    </w:rPr>
                    <w:t>/</w:t>
                  </w:r>
                </w:p>
              </w:tc>
              <w:tc>
                <w:tcPr>
                  <w:tcW w:w="2989"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r>
                    <w:rPr>
                      <w:rFonts w:hint="eastAsia"/>
                    </w:rPr>
                    <w:t>租赁3#车间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62" w:type="dxa"/>
                  <w:vMerge w:val="restart"/>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r>
                    <w:rPr>
                      <w:rFonts w:hint="eastAsia"/>
                      <w:kern w:val="0"/>
                    </w:rPr>
                    <w:t>公用辅助工程</w:t>
                  </w:r>
                </w:p>
              </w:tc>
              <w:tc>
                <w:tcPr>
                  <w:tcW w:w="1843"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r>
                    <w:rPr>
                      <w:rFonts w:hint="eastAsia"/>
                      <w:kern w:val="0"/>
                    </w:rPr>
                    <w:t>办公室</w:t>
                  </w:r>
                </w:p>
              </w:tc>
              <w:tc>
                <w:tcPr>
                  <w:tcW w:w="1276"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r>
                    <w:rPr>
                      <w:rFonts w:hint="eastAsia"/>
                      <w:kern w:val="0"/>
                    </w:rPr>
                    <w:t>已建</w:t>
                  </w:r>
                </w:p>
              </w:tc>
              <w:tc>
                <w:tcPr>
                  <w:tcW w:w="992"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r>
                    <w:rPr>
                      <w:rFonts w:hint="eastAsia"/>
                      <w:kern w:val="0"/>
                    </w:rPr>
                    <w:t>/</w:t>
                  </w:r>
                </w:p>
              </w:tc>
              <w:tc>
                <w:tcPr>
                  <w:tcW w:w="2989"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r>
                    <w:rPr>
                      <w:rFonts w:hint="eastAsia"/>
                      <w:kern w:val="0"/>
                      <w:szCs w:val="21"/>
                    </w:rPr>
                    <w:t>办公室4间（租赁凯胜办公室）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62" w:type="dxa"/>
                  <w:vMerge w:val="continue"/>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r>
                    <w:rPr>
                      <w:rFonts w:hint="eastAsia"/>
                      <w:kern w:val="0"/>
                    </w:rPr>
                    <w:t>供电系统</w:t>
                  </w:r>
                </w:p>
              </w:tc>
              <w:tc>
                <w:tcPr>
                  <w:tcW w:w="1276"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r>
                    <w:rPr>
                      <w:rFonts w:hint="eastAsia"/>
                      <w:kern w:val="0"/>
                    </w:rPr>
                    <w:t>已建</w:t>
                  </w:r>
                </w:p>
              </w:tc>
              <w:tc>
                <w:tcPr>
                  <w:tcW w:w="992"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r>
                    <w:rPr>
                      <w:kern w:val="0"/>
                    </w:rPr>
                    <w:t>/</w:t>
                  </w:r>
                </w:p>
              </w:tc>
              <w:tc>
                <w:tcPr>
                  <w:tcW w:w="2989"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r>
                    <w:rPr>
                      <w:rFonts w:hint="eastAsia"/>
                      <w:kern w:val="0"/>
                    </w:rPr>
                    <w:t>市政供电系统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szCs w:val="21"/>
                    </w:rPr>
                  </w:pPr>
                  <w:r>
                    <w:rPr>
                      <w:rFonts w:hint="eastAsia"/>
                      <w:kern w:val="0"/>
                      <w:szCs w:val="21"/>
                    </w:rPr>
                    <w:t>供水工程</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szCs w:val="21"/>
                    </w:rPr>
                  </w:pPr>
                  <w:r>
                    <w:rPr>
                      <w:rFonts w:hint="eastAsia"/>
                      <w:kern w:val="0"/>
                      <w:szCs w:val="21"/>
                    </w:rPr>
                    <w:t>已建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pPr>
                  <w:r>
                    <w:t>/</w:t>
                  </w:r>
                </w:p>
              </w:tc>
              <w:tc>
                <w:tcPr>
                  <w:tcW w:w="29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pPr>
                  <w:r>
                    <w:rPr>
                      <w:rFonts w:hint="eastAsia"/>
                    </w:rPr>
                    <w:t>依托厂区现有设施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r>
                    <w:rPr>
                      <w:rFonts w:hint="eastAsia"/>
                      <w:kern w:val="0"/>
                    </w:rPr>
                    <w:t>环保设施</w:t>
                  </w:r>
                </w:p>
              </w:tc>
              <w:tc>
                <w:tcPr>
                  <w:tcW w:w="1843"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r>
                    <w:rPr>
                      <w:rFonts w:hint="eastAsia"/>
                      <w:kern w:val="0"/>
                    </w:rPr>
                    <w:t>化粪池+一体化污水处理设施</w:t>
                  </w:r>
                </w:p>
              </w:tc>
              <w:tc>
                <w:tcPr>
                  <w:tcW w:w="1276"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r>
                    <w:rPr>
                      <w:rFonts w:hint="eastAsia"/>
                      <w:kern w:val="0"/>
                    </w:rPr>
                    <w:t>已建</w:t>
                  </w:r>
                </w:p>
              </w:tc>
              <w:tc>
                <w:tcPr>
                  <w:tcW w:w="992"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r>
                    <w:rPr>
                      <w:kern w:val="0"/>
                    </w:rPr>
                    <w:t>/</w:t>
                  </w:r>
                </w:p>
              </w:tc>
              <w:tc>
                <w:tcPr>
                  <w:tcW w:w="2989"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kern w:val="0"/>
                    </w:rPr>
                  </w:pPr>
                  <w:r>
                    <w:rPr>
                      <w:rFonts w:hint="eastAsia"/>
                    </w:rPr>
                    <w:t>依托厂区现有设施</w:t>
                  </w:r>
                </w:p>
              </w:tc>
            </w:tr>
          </w:tbl>
          <w:p>
            <w:pPr>
              <w:spacing w:line="360" w:lineRule="auto"/>
              <w:ind w:firstLine="480" w:firstLineChars="200"/>
              <w:rPr>
                <w:sz w:val="24"/>
              </w:rPr>
            </w:pPr>
            <w:r>
              <w:rPr>
                <w:rFonts w:hint="eastAsia"/>
                <w:sz w:val="24"/>
              </w:rPr>
              <w:t>根据现场调查，洛阳市凯胜实业有限公司生产设备设施主要布置在1#车间、2#车间内，本项目拟使用的2#车间西北角一层1440m</w:t>
            </w:r>
            <w:r>
              <w:rPr>
                <w:rFonts w:hint="eastAsia"/>
                <w:sz w:val="24"/>
                <w:vertAlign w:val="superscript"/>
              </w:rPr>
              <w:t>2</w:t>
            </w:r>
            <w:r>
              <w:rPr>
                <w:rFonts w:hint="eastAsia"/>
                <w:sz w:val="24"/>
              </w:rPr>
              <w:t>现为仓库，主要存放丝卷，本项目租赁该位置后，现有暂存丝卷转移至该位置2楼仓库。3#车间正在进行土地平整，计划2023年建设完成，凯胜公司未对2#车间本项目拟利用位置、3#车间进行规划利用。因此本项目利用凯胜公司2#车间内部分空间及3#车间建设可行。</w:t>
            </w:r>
          </w:p>
          <w:p>
            <w:pPr>
              <w:spacing w:line="360" w:lineRule="auto"/>
              <w:ind w:firstLine="480" w:firstLineChars="200"/>
              <w:rPr>
                <w:sz w:val="24"/>
              </w:rPr>
            </w:pPr>
            <w:r>
              <w:rPr>
                <w:rFonts w:hint="eastAsia"/>
                <w:sz w:val="24"/>
              </w:rPr>
              <w:t>供水供电设施依托洛阳市凯胜实业有限公司厂区内现有设施，现有厂区内供水供电设施已布设到位，满足项目生产需要。</w:t>
            </w:r>
          </w:p>
          <w:p>
            <w:pPr>
              <w:spacing w:line="360" w:lineRule="auto"/>
              <w:ind w:firstLine="480" w:firstLineChars="200"/>
              <w:rPr>
                <w:sz w:val="24"/>
              </w:rPr>
            </w:pPr>
            <w:r>
              <w:rPr>
                <w:rFonts w:hint="eastAsia"/>
                <w:sz w:val="24"/>
              </w:rPr>
              <w:t>凯胜实业公司现有化粪池容积30m</w:t>
            </w:r>
            <w:r>
              <w:rPr>
                <w:rFonts w:hint="eastAsia"/>
                <w:sz w:val="24"/>
                <w:vertAlign w:val="superscript"/>
              </w:rPr>
              <w:t>3</w:t>
            </w:r>
            <w:r>
              <w:rPr>
                <w:rFonts w:hint="eastAsia"/>
                <w:sz w:val="24"/>
              </w:rPr>
              <w:t>（生产车间东西两侧绿化带下方2个10m</w:t>
            </w:r>
            <w:r>
              <w:rPr>
                <w:rFonts w:hint="eastAsia"/>
                <w:sz w:val="24"/>
                <w:vertAlign w:val="superscript"/>
              </w:rPr>
              <w:t>3</w:t>
            </w:r>
            <w:r>
              <w:rPr>
                <w:rFonts w:hint="eastAsia"/>
                <w:sz w:val="24"/>
              </w:rPr>
              <w:t>、综合楼和食堂之间1个10m</w:t>
            </w:r>
            <w:r>
              <w:rPr>
                <w:rFonts w:hint="eastAsia"/>
                <w:sz w:val="24"/>
                <w:vertAlign w:val="superscript"/>
              </w:rPr>
              <w:t>3</w:t>
            </w:r>
            <w:r>
              <w:rPr>
                <w:rFonts w:hint="eastAsia"/>
                <w:sz w:val="24"/>
              </w:rPr>
              <w:t>），地埋式一体化生活污水处理设施1m</w:t>
            </w:r>
            <w:r>
              <w:rPr>
                <w:rFonts w:hint="eastAsia"/>
                <w:sz w:val="24"/>
                <w:vertAlign w:val="superscript"/>
              </w:rPr>
              <w:t>3</w:t>
            </w:r>
            <w:r>
              <w:rPr>
                <w:rFonts w:hint="eastAsia"/>
                <w:sz w:val="24"/>
              </w:rPr>
              <w:t>/h。本项目生活污水产生量为1.152</w:t>
            </w:r>
            <w:r>
              <w:rPr>
                <w:kern w:val="0"/>
                <w:sz w:val="24"/>
              </w:rPr>
              <w:t>m</w:t>
            </w:r>
            <w:r>
              <w:rPr>
                <w:rFonts w:hint="eastAsia"/>
                <w:sz w:val="24"/>
                <w:vertAlign w:val="superscript"/>
              </w:rPr>
              <w:t>3</w:t>
            </w:r>
            <w:r>
              <w:rPr>
                <w:kern w:val="0"/>
                <w:sz w:val="24"/>
              </w:rPr>
              <w:t>/d</w:t>
            </w:r>
            <w:r>
              <w:rPr>
                <w:rFonts w:hint="eastAsia" w:hAnsi="宋体"/>
                <w:kern w:val="0"/>
                <w:sz w:val="24"/>
              </w:rPr>
              <w:t>，</w:t>
            </w:r>
            <w:r>
              <w:rPr>
                <w:rFonts w:hint="eastAsia"/>
                <w:sz w:val="24"/>
              </w:rPr>
              <w:t>洛阳市凯胜实业有限公司生活污水产生量为5.76</w:t>
            </w:r>
            <w:r>
              <w:rPr>
                <w:kern w:val="0"/>
                <w:sz w:val="24"/>
              </w:rPr>
              <w:t>m</w:t>
            </w:r>
            <w:r>
              <w:rPr>
                <w:rFonts w:hint="eastAsia"/>
                <w:sz w:val="24"/>
                <w:vertAlign w:val="superscript"/>
              </w:rPr>
              <w:t>3</w:t>
            </w:r>
            <w:r>
              <w:rPr>
                <w:kern w:val="0"/>
                <w:sz w:val="24"/>
              </w:rPr>
              <w:t>/d</w:t>
            </w:r>
            <w:r>
              <w:rPr>
                <w:rFonts w:hint="eastAsia"/>
                <w:sz w:val="24"/>
              </w:rPr>
              <w:t>，本项目建设后厂区生活污水产生量为6.912</w:t>
            </w:r>
            <w:r>
              <w:rPr>
                <w:kern w:val="0"/>
                <w:sz w:val="24"/>
              </w:rPr>
              <w:t>m</w:t>
            </w:r>
            <w:r>
              <w:rPr>
                <w:rFonts w:hint="eastAsia"/>
                <w:sz w:val="24"/>
                <w:vertAlign w:val="superscript"/>
              </w:rPr>
              <w:t>3</w:t>
            </w:r>
            <w:r>
              <w:rPr>
                <w:kern w:val="0"/>
                <w:sz w:val="24"/>
              </w:rPr>
              <w:t>/d</w:t>
            </w:r>
            <w:r>
              <w:rPr>
                <w:rFonts w:hint="eastAsia" w:hAnsi="宋体"/>
                <w:kern w:val="0"/>
                <w:sz w:val="24"/>
              </w:rPr>
              <w:t>，</w:t>
            </w:r>
            <w:r>
              <w:rPr>
                <w:rFonts w:hint="eastAsia"/>
                <w:sz w:val="24"/>
              </w:rPr>
              <w:t>生活污水经</w:t>
            </w:r>
            <w:r>
              <w:rPr>
                <w:rFonts w:hint="eastAsia" w:hAnsi="宋体"/>
                <w:kern w:val="0"/>
                <w:sz w:val="24"/>
              </w:rPr>
              <w:t>厂区现有</w:t>
            </w:r>
            <w:r>
              <w:rPr>
                <w:rFonts w:hint="eastAsia"/>
                <w:kern w:val="0"/>
                <w:sz w:val="24"/>
              </w:rPr>
              <w:t>3</w:t>
            </w:r>
            <w:r>
              <w:rPr>
                <w:kern w:val="0"/>
                <w:sz w:val="24"/>
              </w:rPr>
              <w:t>0m</w:t>
            </w:r>
            <w:r>
              <w:rPr>
                <w:kern w:val="0"/>
                <w:sz w:val="24"/>
                <w:vertAlign w:val="superscript"/>
              </w:rPr>
              <w:t>3</w:t>
            </w:r>
            <w:r>
              <w:rPr>
                <w:rFonts w:hint="eastAsia"/>
                <w:kern w:val="0"/>
                <w:sz w:val="24"/>
              </w:rPr>
              <w:t>化粪池+</w:t>
            </w:r>
            <w:r>
              <w:rPr>
                <w:rFonts w:hint="eastAsia"/>
                <w:sz w:val="24"/>
              </w:rPr>
              <w:t>1m</w:t>
            </w:r>
            <w:r>
              <w:rPr>
                <w:rFonts w:hint="eastAsia"/>
                <w:sz w:val="24"/>
                <w:vertAlign w:val="superscript"/>
              </w:rPr>
              <w:t>3</w:t>
            </w:r>
            <w:r>
              <w:rPr>
                <w:rFonts w:hint="eastAsia"/>
                <w:sz w:val="24"/>
              </w:rPr>
              <w:t>/h</w:t>
            </w:r>
            <w:r>
              <w:rPr>
                <w:rFonts w:hint="eastAsia"/>
                <w:kern w:val="0"/>
                <w:sz w:val="24"/>
              </w:rPr>
              <w:t>地埋式</w:t>
            </w:r>
            <w:r>
              <w:rPr>
                <w:rFonts w:hint="eastAsia"/>
                <w:sz w:val="24"/>
              </w:rPr>
              <w:t>一体化生活污水设施处理，因此本项目生活污水依托厂区现有生活污水处理设施处理可行。</w:t>
            </w:r>
          </w:p>
          <w:p>
            <w:pPr>
              <w:spacing w:line="360" w:lineRule="auto"/>
              <w:rPr>
                <w:sz w:val="24"/>
              </w:rPr>
            </w:pPr>
            <w:r>
              <w:rPr>
                <w:rFonts w:hint="eastAsia" w:hAnsi="宋体"/>
                <w:b/>
                <w:sz w:val="24"/>
              </w:rPr>
              <w:t>3</w:t>
            </w:r>
            <w:r>
              <w:rPr>
                <w:rFonts w:hAnsi="宋体"/>
                <w:b/>
                <w:sz w:val="24"/>
              </w:rPr>
              <w:t>总投资</w:t>
            </w:r>
          </w:p>
          <w:p>
            <w:pPr>
              <w:pStyle w:val="6"/>
              <w:ind w:firstLine="480"/>
              <w:rPr>
                <w:rFonts w:hAnsi="宋体"/>
                <w:sz w:val="24"/>
                <w:szCs w:val="24"/>
              </w:rPr>
            </w:pPr>
            <w:r>
              <w:rPr>
                <w:rFonts w:hAnsi="宋体"/>
                <w:sz w:val="24"/>
                <w:szCs w:val="24"/>
              </w:rPr>
              <w:t>本项目</w:t>
            </w:r>
            <w:r>
              <w:rPr>
                <w:rFonts w:hint="eastAsia" w:hAnsi="宋体"/>
                <w:sz w:val="24"/>
                <w:szCs w:val="24"/>
              </w:rPr>
              <w:t>总</w:t>
            </w:r>
            <w:r>
              <w:rPr>
                <w:rFonts w:hAnsi="宋体"/>
                <w:sz w:val="24"/>
                <w:szCs w:val="24"/>
              </w:rPr>
              <w:t>投资9</w:t>
            </w:r>
            <w:r>
              <w:rPr>
                <w:rFonts w:hint="eastAsia" w:hAnsi="宋体"/>
                <w:sz w:val="24"/>
                <w:szCs w:val="24"/>
              </w:rPr>
              <w:t>00</w:t>
            </w:r>
            <w:r>
              <w:rPr>
                <w:rFonts w:hAnsi="宋体"/>
                <w:sz w:val="24"/>
                <w:szCs w:val="24"/>
              </w:rPr>
              <w:t>万元，</w:t>
            </w:r>
            <w:r>
              <w:rPr>
                <w:rFonts w:hint="eastAsia" w:hAnsi="宋体"/>
                <w:sz w:val="24"/>
                <w:szCs w:val="24"/>
              </w:rPr>
              <w:t>全部为企业自筹</w:t>
            </w:r>
            <w:r>
              <w:rPr>
                <w:rFonts w:hAnsi="宋体"/>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pStyle w:val="23"/>
              <w:adjustRightInd w:val="0"/>
              <w:snapToGrid w:val="0"/>
              <w:spacing w:before="0" w:beforeAutospacing="0" w:after="0" w:afterAutospacing="0"/>
              <w:jc w:val="center"/>
              <w:rPr>
                <w:rFonts w:ascii="Times New Roman"/>
                <w:bCs/>
                <w:kern w:val="2"/>
                <w:szCs w:val="24"/>
              </w:rPr>
            </w:pPr>
            <w:r>
              <w:rPr>
                <w:rFonts w:ascii="Times New Roman"/>
                <w:szCs w:val="24"/>
              </w:rPr>
              <w:t>工艺流程和产排污环节</w:t>
            </w:r>
          </w:p>
        </w:tc>
        <w:tc>
          <w:tcPr>
            <w:tcW w:w="8488" w:type="dxa"/>
          </w:tcPr>
          <w:p>
            <w:pPr>
              <w:spacing w:beforeLines="50" w:line="360" w:lineRule="auto"/>
              <w:jc w:val="left"/>
              <w:rPr>
                <w:rFonts w:hAnsi="宋体"/>
                <w:b/>
                <w:sz w:val="24"/>
              </w:rPr>
            </w:pPr>
            <w:r>
              <w:rPr>
                <w:rFonts w:hint="eastAsia" w:hAnsi="宋体"/>
                <w:b/>
                <w:sz w:val="24"/>
              </w:rPr>
              <w:t>1生产工艺流程简述及图示</w:t>
            </w:r>
          </w:p>
          <w:p>
            <w:pPr>
              <w:pStyle w:val="10"/>
              <w:spacing w:before="0" w:after="0" w:line="360" w:lineRule="auto"/>
              <w:ind w:right="0" w:firstLine="480" w:firstLineChars="200"/>
              <w:rPr>
                <w:sz w:val="24"/>
                <w:szCs w:val="24"/>
              </w:rPr>
            </w:pPr>
            <w:r>
              <w:rPr>
                <w:rFonts w:hint="eastAsia"/>
                <w:sz w:val="24"/>
                <w:szCs w:val="24"/>
              </w:rPr>
              <w:t>（1）投料搅拌</w:t>
            </w:r>
          </w:p>
          <w:p>
            <w:pPr>
              <w:pStyle w:val="10"/>
              <w:spacing w:before="0" w:after="0" w:line="360" w:lineRule="auto"/>
              <w:ind w:right="0" w:firstLine="480" w:firstLineChars="200"/>
              <w:rPr>
                <w:sz w:val="24"/>
                <w:szCs w:val="24"/>
                <w:u w:val="single"/>
              </w:rPr>
            </w:pPr>
            <w:r>
              <w:rPr>
                <w:rFonts w:hint="eastAsia"/>
                <w:sz w:val="24"/>
                <w:szCs w:val="24"/>
              </w:rPr>
              <w:t>根据产品需求选择相应的原料（聚丙烯、填充母料或聚乙烯、填充母料）按配比称重后投料，投入搅拌机进行混合。</w:t>
            </w:r>
            <w:r>
              <w:rPr>
                <w:rFonts w:hint="eastAsia"/>
                <w:sz w:val="24"/>
                <w:szCs w:val="24"/>
                <w:u w:val="single"/>
              </w:rPr>
              <w:t>搅拌机密闭搅拌，塑料原料投料、搅拌过程中会产生少量颗粒物。</w:t>
            </w:r>
          </w:p>
          <w:p>
            <w:pPr>
              <w:pStyle w:val="10"/>
              <w:spacing w:before="0" w:after="0" w:line="360" w:lineRule="auto"/>
              <w:ind w:right="0" w:firstLine="480" w:firstLineChars="200"/>
              <w:rPr>
                <w:sz w:val="24"/>
                <w:szCs w:val="24"/>
              </w:rPr>
            </w:pPr>
            <w:r>
              <w:rPr>
                <w:rFonts w:hint="eastAsia"/>
                <w:sz w:val="24"/>
                <w:szCs w:val="24"/>
              </w:rPr>
              <w:t>（2）下料</w:t>
            </w:r>
          </w:p>
          <w:p>
            <w:pPr>
              <w:pStyle w:val="10"/>
              <w:spacing w:before="0" w:after="0" w:line="360" w:lineRule="auto"/>
              <w:ind w:right="0" w:firstLine="480" w:firstLineChars="200"/>
              <w:rPr>
                <w:sz w:val="24"/>
                <w:szCs w:val="24"/>
                <w:u w:val="single"/>
              </w:rPr>
            </w:pPr>
            <w:r>
              <w:rPr>
                <w:rFonts w:hint="eastAsia"/>
                <w:sz w:val="24"/>
                <w:szCs w:val="24"/>
                <w:u w:val="single"/>
              </w:rPr>
              <w:t>混合均匀的物料从搅拌机出料口由螺旋输送机送至拉丝机料斗，完成拉丝前的物料准备工作。拉丝机料斗密闭设置，螺旋输送机密闭输送。</w:t>
            </w:r>
          </w:p>
          <w:p>
            <w:pPr>
              <w:pStyle w:val="10"/>
              <w:spacing w:before="0" w:after="0" w:line="360" w:lineRule="auto"/>
              <w:ind w:right="0" w:firstLine="480" w:firstLineChars="200"/>
              <w:rPr>
                <w:sz w:val="24"/>
                <w:szCs w:val="24"/>
              </w:rPr>
            </w:pPr>
            <w:r>
              <w:rPr>
                <w:rFonts w:hint="eastAsia"/>
                <w:sz w:val="24"/>
                <w:szCs w:val="24"/>
              </w:rPr>
              <w:t>（3）拉丝</w:t>
            </w:r>
          </w:p>
          <w:p>
            <w:pPr>
              <w:pStyle w:val="10"/>
              <w:spacing w:before="0" w:after="0" w:line="360" w:lineRule="auto"/>
              <w:ind w:right="0" w:firstLine="480" w:firstLineChars="200"/>
              <w:rPr>
                <w:sz w:val="24"/>
                <w:szCs w:val="24"/>
              </w:rPr>
            </w:pPr>
            <w:r>
              <w:rPr>
                <w:rFonts w:hint="eastAsia"/>
                <w:sz w:val="24"/>
                <w:szCs w:val="24"/>
              </w:rPr>
              <w:t>混合物料进入拉丝机后通过电加热段熔融（拉丝机的熔融挤出温度约220℃）、挤出后带着粘流态的膜片状物立即进入冷却水箱进行急骤冷却来定型成薄膜，通过划切再经过两组烘箱背部热板的热处理，在拉伸牵引力的作用下（拉伸的过程采用电加热对薄膜加热，加热温度130℃），扁丝拉长分子发生取向作用，使扁丝纵向强度增加。拉丝机电加热段熔融挤出过程会产生有机废气。</w:t>
            </w:r>
          </w:p>
          <w:p>
            <w:pPr>
              <w:pStyle w:val="10"/>
              <w:spacing w:before="0" w:after="0" w:line="360" w:lineRule="auto"/>
              <w:ind w:right="0" w:firstLine="480" w:firstLineChars="200"/>
              <w:rPr>
                <w:sz w:val="24"/>
                <w:szCs w:val="24"/>
              </w:rPr>
            </w:pPr>
            <w:r>
              <w:rPr>
                <w:rFonts w:hint="eastAsia"/>
                <w:sz w:val="24"/>
                <w:szCs w:val="24"/>
              </w:rPr>
              <w:t>（4）绕丝</w:t>
            </w:r>
          </w:p>
          <w:p>
            <w:pPr>
              <w:pStyle w:val="10"/>
              <w:spacing w:before="0" w:after="0" w:line="360" w:lineRule="auto"/>
              <w:ind w:right="0" w:firstLine="480" w:firstLineChars="200"/>
              <w:rPr>
                <w:sz w:val="24"/>
                <w:szCs w:val="24"/>
              </w:rPr>
            </w:pPr>
            <w:r>
              <w:rPr>
                <w:rFonts w:hint="eastAsia"/>
                <w:sz w:val="24"/>
                <w:szCs w:val="24"/>
              </w:rPr>
              <w:t>被拉伸之后的扁丝经绕丝段自动收丝成丝辊。</w:t>
            </w:r>
          </w:p>
          <w:p>
            <w:pPr>
              <w:pStyle w:val="10"/>
              <w:spacing w:before="0" w:after="0" w:line="360" w:lineRule="auto"/>
              <w:ind w:right="0"/>
              <w:jc w:val="center"/>
              <w:rPr>
                <w:sz w:val="24"/>
                <w:szCs w:val="24"/>
              </w:rPr>
            </w:pPr>
            <w:r>
              <w:rPr>
                <w:sz w:val="24"/>
                <w:szCs w:val="24"/>
              </w:rPr>
              <w:pict>
                <v:group id="_x0000_s2559" o:spid="_x0000_s2559" o:spt="203" style="height:209.4pt;width:414.55pt;" coordorigin="2471,3062" coordsize="8291,4188" editas="canvas">
                  <o:lock v:ext="edit"/>
                  <v:shape id="_x0000_s2560" o:spid="_x0000_s2560" o:spt="75" type="#_x0000_t75" style="position:absolute;left:2471;top:3062;height:4188;width:8291;" filled="f" o:preferrelative="f" stroked="f" coordsize="21600,21600">
                    <v:fill on="f" focussize="0,0"/>
                    <v:stroke on="f" joinstyle="miter"/>
                    <v:imagedata o:title=""/>
                    <o:lock v:ext="edit" text="t" aspectratio="t"/>
                  </v:shape>
                  <v:rect id="_x0000_s2561" o:spid="_x0000_s2561" o:spt="1" style="position:absolute;left:6823;top:5280;height:405;width:975;" stroked="f" coordsize="21600,21600">
                    <v:path/>
                    <v:fill focussize="0,0"/>
                    <v:stroke on="f"/>
                    <v:imagedata o:title=""/>
                    <o:lock v:ext="edit"/>
                    <v:textbox>
                      <w:txbxContent>
                        <w:p>
                          <w:pPr>
                            <w:ind w:firstLine="210" w:firstLineChars="100"/>
                          </w:pPr>
                          <w:r>
                            <w:rPr>
                              <w:rFonts w:hint="eastAsia"/>
                            </w:rPr>
                            <w:t>●</w:t>
                          </w:r>
                        </w:p>
                      </w:txbxContent>
                    </v:textbox>
                  </v:rect>
                  <v:rect id="_x0000_s2562" o:spid="_x0000_s2562" o:spt="1" style="position:absolute;left:8195;top:5280;height:405;width:975;" stroked="f" coordsize="21600,21600">
                    <v:path/>
                    <v:fill focussize="0,0"/>
                    <v:stroke on="f"/>
                    <v:imagedata o:title=""/>
                    <o:lock v:ext="edit"/>
                    <v:textbox>
                      <w:txbxContent>
                        <w:p>
                          <w:pPr>
                            <w:ind w:firstLine="105" w:firstLineChars="50"/>
                          </w:pPr>
                          <w:r>
                            <w:t>◆</w:t>
                          </w:r>
                          <w:r>
                            <w:rPr>
                              <w:rFonts w:hint="eastAsia"/>
                            </w:rPr>
                            <w:t>●</w:t>
                          </w:r>
                        </w:p>
                      </w:txbxContent>
                    </v:textbox>
                  </v:rect>
                  <v:rect id="_x0000_s2563" o:spid="_x0000_s2563" o:spt="1" style="position:absolute;left:8979;top:4199;height:405;width:975;" stroked="f" coordsize="21600,21600">
                    <v:path/>
                    <v:fill focussize="0,0"/>
                    <v:stroke on="f"/>
                    <v:imagedata o:title=""/>
                    <o:lock v:ext="edit"/>
                    <v:textbox>
                      <w:txbxContent>
                        <w:p>
                          <w:pPr>
                            <w:ind w:firstLine="105" w:firstLineChars="50"/>
                          </w:pPr>
                          <w:r>
                            <w:t>◆</w:t>
                          </w:r>
                          <w:r>
                            <w:rPr>
                              <w:rFonts w:hint="eastAsia"/>
                            </w:rPr>
                            <w:t>●</w:t>
                          </w:r>
                        </w:p>
                      </w:txbxContent>
                    </v:textbox>
                  </v:rect>
                  <v:rect id="_x0000_s2564" o:spid="_x0000_s2564" o:spt="1" style="position:absolute;left:8903;top:3345;height:405;width:975;" stroked="f" coordsize="21600,21600">
                    <v:path/>
                    <v:fill focussize="0,0"/>
                    <v:stroke on="f"/>
                    <v:imagedata o:title=""/>
                    <o:lock v:ext="edit"/>
                    <v:textbox>
                      <w:txbxContent>
                        <w:p>
                          <w:pPr>
                            <w:ind w:firstLine="105" w:firstLineChars="50"/>
                          </w:pPr>
                          <w:r>
                            <w:t>◆</w:t>
                          </w:r>
                          <w:r>
                            <w:rPr>
                              <w:rFonts w:hint="eastAsia"/>
                            </w:rPr>
                            <w:t>●</w:t>
                          </w:r>
                        </w:p>
                      </w:txbxContent>
                    </v:textbox>
                  </v:rect>
                  <v:rect id="_x0000_s2565" o:spid="_x0000_s2565" o:spt="1" style="position:absolute;left:6143;top:3750;height:405;width:1043;" stroked="f" coordsize="21600,21600">
                    <v:path/>
                    <v:fill focussize="0,0"/>
                    <v:stroke on="f"/>
                    <v:imagedata o:title=""/>
                    <o:lock v:ext="edit"/>
                    <v:textbox>
                      <w:txbxContent>
                        <w:p>
                          <w:pPr>
                            <w:ind w:firstLine="105" w:firstLineChars="50"/>
                          </w:pPr>
                          <w:r>
                            <w:t>◆</w:t>
                          </w:r>
                          <w:r>
                            <w:rPr>
                              <w:rFonts w:hint="eastAsia"/>
                            </w:rPr>
                            <w:t>▲●</w:t>
                          </w:r>
                        </w:p>
                      </w:txbxContent>
                    </v:textbox>
                  </v:rect>
                  <v:rect id="_x0000_s2567" o:spid="_x0000_s2567" o:spt="1" style="position:absolute;left:2523;top:3118;height:688;width:1750;" stroked="f" coordsize="21600,21600">
                    <v:path/>
                    <v:fill opacity="0f" focussize="0,0"/>
                    <v:stroke on="f"/>
                    <v:imagedata o:title=""/>
                    <o:lock v:ext="edit"/>
                    <v:textbox>
                      <w:txbxContent>
                        <w:p>
                          <w:pPr>
                            <w:ind w:firstLine="105" w:firstLineChars="50"/>
                            <w:jc w:val="center"/>
                          </w:pPr>
                          <w:r>
                            <w:rPr>
                              <w:rFonts w:hint="eastAsia"/>
                            </w:rPr>
                            <w:t>聚丙烯、聚乙烯、填充母料</w:t>
                          </w:r>
                        </w:p>
                      </w:txbxContent>
                    </v:textbox>
                  </v:rect>
                  <v:rect id="_x0000_s2569" o:spid="_x0000_s2569" o:spt="1" style="position:absolute;left:3977;top:4094;height:421;width:751;" coordsize="21600,21600">
                    <v:path/>
                    <v:fill focussize="0,0"/>
                    <v:stroke/>
                    <v:imagedata o:title=""/>
                    <o:lock v:ext="edit"/>
                    <v:textbox>
                      <w:txbxContent>
                        <w:p>
                          <w:pPr>
                            <w:jc w:val="center"/>
                          </w:pPr>
                          <w:r>
                            <w:rPr>
                              <w:rFonts w:hint="eastAsia"/>
                            </w:rPr>
                            <w:t>搅拌</w:t>
                          </w:r>
                        </w:p>
                      </w:txbxContent>
                    </v:textbox>
                  </v:rect>
                  <v:shape id="_x0000_s2570" o:spid="_x0000_s2570" o:spt="32" type="#_x0000_t32" style="position:absolute;left:5802;top:4304;flip:y;height:1;width:567;" o:connectortype="straight" filled="f" coordsize="21600,21600">
                    <v:path arrowok="t"/>
                    <v:fill on="f" focussize="0,0"/>
                    <v:stroke endarrow="block"/>
                    <v:imagedata o:title=""/>
                    <o:lock v:ext="edit"/>
                  </v:shape>
                  <v:rect id="_x0000_s2571" o:spid="_x0000_s2571" o:spt="1" style="position:absolute;left:6362;top:4094;height:421;width:775;" coordsize="21600,21600">
                    <v:path/>
                    <v:fill focussize="0,0"/>
                    <v:stroke/>
                    <v:imagedata o:title=""/>
                    <o:lock v:ext="edit"/>
                    <v:textbox>
                      <w:txbxContent>
                        <w:p>
                          <w:pPr>
                            <w:jc w:val="center"/>
                          </w:pPr>
                          <w:r>
                            <w:rPr>
                              <w:rFonts w:hint="eastAsia"/>
                            </w:rPr>
                            <w:t>拉丝</w:t>
                          </w:r>
                        </w:p>
                      </w:txbxContent>
                    </v:textbox>
                  </v:rect>
                  <v:shape id="_x0000_s2572" o:spid="_x0000_s2572" o:spt="32" type="#_x0000_t32" style="position:absolute;left:7123;top:4305;height:1;width:397;" o:connectortype="straight" filled="f" coordsize="21600,21600">
                    <v:path arrowok="t"/>
                    <v:fill on="f" focussize="0,0"/>
                    <v:stroke endarrow="block"/>
                    <v:imagedata o:title=""/>
                    <o:lock v:ext="edit"/>
                  </v:shape>
                  <v:rect id="_x0000_s2573" o:spid="_x0000_s2573" o:spt="1" style="position:absolute;left:7506;top:4094;height:421;width:828;" coordsize="21600,21600">
                    <v:path/>
                    <v:fill focussize="0,0"/>
                    <v:stroke/>
                    <v:imagedata o:title=""/>
                    <o:lock v:ext="edit"/>
                    <v:textbox>
                      <w:txbxContent>
                        <w:p>
                          <w:pPr>
                            <w:jc w:val="center"/>
                          </w:pPr>
                          <w:r>
                            <w:rPr>
                              <w:rFonts w:hint="eastAsia"/>
                            </w:rPr>
                            <w:t>绕丝</w:t>
                          </w:r>
                        </w:p>
                      </w:txbxContent>
                    </v:textbox>
                  </v:rect>
                  <v:shape id="_x0000_s2574" o:spid="_x0000_s2574" o:spt="32" type="#_x0000_t32" style="position:absolute;left:8700;top:3915;flip:y;height:1;width:391;" o:connectortype="straight" filled="f" coordsize="21600,21600">
                    <v:path arrowok="t"/>
                    <v:fill on="f" focussize="0,0"/>
                    <v:stroke endarrow="block"/>
                    <v:imagedata o:title=""/>
                    <o:lock v:ext="edit"/>
                  </v:shape>
                  <v:shape id="_x0000_s2575" o:spid="_x0000_s2575" o:spt="32" type="#_x0000_t32" style="position:absolute;left:8700;top:3915;height:826;width:1;" o:connectortype="straight" filled="f" coordsize="21600,21600">
                    <v:path arrowok="t"/>
                    <v:fill on="f" focussize="0,0"/>
                    <v:stroke/>
                    <v:imagedata o:title=""/>
                    <o:lock v:ext="edit"/>
                  </v:shape>
                  <v:shape id="_x0000_s2576" o:spid="_x0000_s2576" o:spt="32" type="#_x0000_t32" style="position:absolute;left:8322;top:4305;height:1;width:391;" o:connectortype="straight" filled="f" coordsize="21600,21600">
                    <v:path arrowok="t"/>
                    <v:fill on="f" focussize="0,0"/>
                    <v:stroke/>
                    <v:imagedata o:title=""/>
                    <o:lock v:ext="edit"/>
                  </v:shape>
                  <v:shape id="_x0000_s2577" o:spid="_x0000_s2577" o:spt="32" type="#_x0000_t32" style="position:absolute;left:8700;top:4740;flip:y;height:1;width:391;" o:connectortype="straight" filled="f" coordsize="21600,21600">
                    <v:path arrowok="t"/>
                    <v:fill on="f" focussize="0,0"/>
                    <v:stroke endarrow="block"/>
                    <v:imagedata o:title=""/>
                    <o:lock v:ext="edit"/>
                  </v:shape>
                  <v:rect id="_x0000_s2578" o:spid="_x0000_s2578" o:spt="1" style="position:absolute;left:9091;top:3673;height:421;width:787;" coordsize="21600,21600">
                    <v:path/>
                    <v:fill focussize="0,0"/>
                    <v:stroke/>
                    <v:imagedata o:title=""/>
                    <o:lock v:ext="edit"/>
                    <v:textbox>
                      <w:txbxContent>
                        <w:p>
                          <w:pPr>
                            <w:jc w:val="center"/>
                          </w:pPr>
                          <w:r>
                            <w:rPr>
                              <w:rFonts w:hint="eastAsia"/>
                            </w:rPr>
                            <w:t>织布</w:t>
                          </w:r>
                        </w:p>
                      </w:txbxContent>
                    </v:textbox>
                  </v:rect>
                  <v:rect id="_x0000_s2579" o:spid="_x0000_s2579" o:spt="1" style="position:absolute;left:9091;top:4515;height:421;width:787;" coordsize="21600,21600">
                    <v:path/>
                    <v:fill focussize="0,0"/>
                    <v:stroke/>
                    <v:imagedata o:title=""/>
                    <o:lock v:ext="edit"/>
                    <v:textbox>
                      <w:txbxContent>
                        <w:p>
                          <w:pPr>
                            <w:jc w:val="center"/>
                          </w:pPr>
                          <w:r>
                            <w:rPr>
                              <w:rFonts w:hint="eastAsia"/>
                            </w:rPr>
                            <w:t>织带</w:t>
                          </w:r>
                        </w:p>
                      </w:txbxContent>
                    </v:textbox>
                  </v:rect>
                  <v:shape id="_x0000_s2580" o:spid="_x0000_s2580" o:spt="32" type="#_x0000_t32" style="position:absolute;left:9878;top:3825;height:1;width:391;" o:connectortype="straight" filled="f" coordsize="21600,21600">
                    <v:path arrowok="t"/>
                    <v:fill on="f" focussize="0,0"/>
                    <v:stroke/>
                    <v:imagedata o:title=""/>
                    <o:lock v:ext="edit"/>
                  </v:shape>
                  <v:shape id="_x0000_s2581" o:spid="_x0000_s2581" o:spt="32" type="#_x0000_t32" style="position:absolute;left:10269;top:3826;height:1768;width:1;" o:connectortype="straight" filled="f" coordsize="21600,21600">
                    <v:path arrowok="t"/>
                    <v:fill on="f" focussize="0,0"/>
                    <v:stroke endarrow="block"/>
                    <v:imagedata o:title=""/>
                    <o:lock v:ext="edit"/>
                  </v:shape>
                  <v:rect id="_x0000_s2582" o:spid="_x0000_s2582" o:spt="1" style="position:absolute;left:8256;top:5594;height:421;width:929;" coordsize="21600,21600">
                    <v:path/>
                    <v:fill focussize="0,0"/>
                    <v:stroke/>
                    <v:imagedata o:title=""/>
                    <o:lock v:ext="edit"/>
                    <v:textbox>
                      <w:txbxContent>
                        <w:p>
                          <w:pPr>
                            <w:jc w:val="center"/>
                          </w:pPr>
                          <w:r>
                            <w:rPr>
                              <w:rFonts w:hint="eastAsia"/>
                            </w:rPr>
                            <w:t>裁剪</w:t>
                          </w:r>
                        </w:p>
                      </w:txbxContent>
                    </v:textbox>
                  </v:rect>
                  <v:shape id="_x0000_s2583" o:spid="_x0000_s2583" o:spt="32" type="#_x0000_t32" style="position:absolute;left:7694;top:5807;flip:x;height:1;width:562;" o:connectortype="straight" filled="f" coordsize="21600,21600">
                    <v:path arrowok="t"/>
                    <v:fill on="f" focussize="0,0"/>
                    <v:stroke endarrow="block"/>
                    <v:imagedata o:title=""/>
                    <o:lock v:ext="edit"/>
                  </v:shape>
                  <v:rect id="_x0000_s2584" o:spid="_x0000_s2584" o:spt="1" style="position:absolute;left:6765;top:5594;height:421;width:929;" coordsize="21600,21600">
                    <v:path/>
                    <v:fill focussize="0,0"/>
                    <v:stroke/>
                    <v:imagedata o:title=""/>
                    <o:lock v:ext="edit"/>
                    <v:textbox>
                      <w:txbxContent>
                        <w:p>
                          <w:pPr>
                            <w:jc w:val="center"/>
                          </w:pPr>
                          <w:r>
                            <w:rPr>
                              <w:rFonts w:hint="eastAsia"/>
                            </w:rPr>
                            <w:t>缝纫</w:t>
                          </w:r>
                        </w:p>
                      </w:txbxContent>
                    </v:textbox>
                  </v:rect>
                  <v:shape id="_x0000_s2585" o:spid="_x0000_s2585" o:spt="32" type="#_x0000_t32" style="position:absolute;left:6203;top:5808;flip:x;height:1;width:562;" o:connectortype="straight" filled="f" coordsize="21600,21600">
                    <v:path arrowok="t"/>
                    <v:fill on="f" focussize="0,0"/>
                    <v:stroke endarrow="block"/>
                    <v:imagedata o:title=""/>
                    <o:lock v:ext="edit"/>
                  </v:shape>
                  <v:rect id="_x0000_s2586" o:spid="_x0000_s2586" o:spt="1" style="position:absolute;left:5274;top:5594;height:421;width:929;" coordsize="21600,21600">
                    <v:path/>
                    <v:fill focussize="0,0"/>
                    <v:stroke/>
                    <v:imagedata o:title=""/>
                    <o:lock v:ext="edit"/>
                    <v:textbox>
                      <w:txbxContent>
                        <w:p>
                          <w:pPr>
                            <w:jc w:val="center"/>
                          </w:pPr>
                          <w:r>
                            <w:rPr>
                              <w:rFonts w:hint="eastAsia"/>
                            </w:rPr>
                            <w:t>成品</w:t>
                          </w:r>
                        </w:p>
                      </w:txbxContent>
                    </v:textbox>
                  </v:rect>
                  <v:rect id="_x0000_s2587" o:spid="_x0000_s2587" o:spt="1" style="position:absolute;left:2549;top:6105;height:525;width:4504;" stroked="f" coordsize="21600,21600">
                    <v:path/>
                    <v:fill opacity="0f" focussize="0,0"/>
                    <v:stroke on="f"/>
                    <v:imagedata o:title=""/>
                    <o:lock v:ext="edit"/>
                    <v:textbox>
                      <w:txbxContent>
                        <w:p>
                          <w:pPr>
                            <w:ind w:firstLine="105" w:firstLineChars="50"/>
                          </w:pPr>
                          <w:r>
                            <w:rPr>
                              <w:rFonts w:hint="eastAsia"/>
                            </w:rPr>
                            <w:t>图例：噪声：●    废气：▲    固废：◆</w:t>
                          </w:r>
                        </w:p>
                      </w:txbxContent>
                    </v:textbox>
                  </v:rect>
                  <v:rect id="_x0000_s2588" o:spid="_x0000_s2588" o:spt="1" style="position:absolute;left:2670;top:4089;height:421;width:858;" coordsize="21600,21600">
                    <v:path/>
                    <v:fill focussize="0,0"/>
                    <v:stroke/>
                    <v:imagedata o:title=""/>
                    <o:lock v:ext="edit"/>
                    <v:textbox>
                      <w:txbxContent>
                        <w:p>
                          <w:pPr>
                            <w:jc w:val="center"/>
                          </w:pPr>
                          <w:r>
                            <w:rPr>
                              <w:rFonts w:hint="eastAsia"/>
                            </w:rPr>
                            <w:t>投料</w:t>
                          </w:r>
                        </w:p>
                      </w:txbxContent>
                    </v:textbox>
                  </v:rect>
                  <v:shape id="_x0000_s2589" o:spid="_x0000_s2589" o:spt="32" type="#_x0000_t32" style="position:absolute;left:3543;top:4306;flip:y;height:1;width:454;" o:connectortype="straight" filled="f" coordsize="21600,21600">
                    <v:path arrowok="t"/>
                    <v:fill on="f" focussize="0,0"/>
                    <v:stroke endarrow="block"/>
                    <v:imagedata o:title=""/>
                    <o:lock v:ext="edit"/>
                  </v:shape>
                  <v:rect id="_x0000_s2590" o:spid="_x0000_s2590" o:spt="1" style="position:absolute;left:2655;top:3738;height:405;width:621;" stroked="f" coordsize="21600,21600">
                    <v:path/>
                    <v:fill opacity="0f" focussize="0,0"/>
                    <v:stroke on="f"/>
                    <v:imagedata o:title=""/>
                    <o:lock v:ext="edit"/>
                    <v:textbox>
                      <w:txbxContent>
                        <w:p>
                          <w:pPr>
                            <w:ind w:firstLine="105" w:firstLineChars="50"/>
                          </w:pPr>
                          <w:r>
                            <w:rPr>
                              <w:rFonts w:hint="eastAsia"/>
                            </w:rPr>
                            <w:t>▲</w:t>
                          </w:r>
                        </w:p>
                      </w:txbxContent>
                    </v:textbox>
                  </v:rect>
                  <v:rect id="_x0000_s2591" o:spid="_x0000_s2591" o:spt="1" style="position:absolute;left:5162;top:4112;height:421;width:751;" coordsize="21600,21600">
                    <v:path/>
                    <v:fill focussize="0,0"/>
                    <v:stroke/>
                    <v:imagedata o:title=""/>
                    <o:lock v:ext="edit"/>
                    <v:textbox>
                      <w:txbxContent>
                        <w:p>
                          <w:pPr>
                            <w:jc w:val="center"/>
                          </w:pPr>
                          <w:r>
                            <w:rPr>
                              <w:rFonts w:hint="eastAsia"/>
                            </w:rPr>
                            <w:t>下料</w:t>
                          </w:r>
                        </w:p>
                      </w:txbxContent>
                    </v:textbox>
                  </v:rect>
                  <v:shape id="_x0000_s2592" o:spid="_x0000_s2592" o:spt="32" type="#_x0000_t32" style="position:absolute;left:4728;top:4324;flip:y;height:1;width:454;" o:connectortype="straight" filled="f" coordsize="21600,21600">
                    <v:path arrowok="t"/>
                    <v:fill on="f" focussize="0,0"/>
                    <v:stroke endarrow="block"/>
                    <v:imagedata o:title=""/>
                    <o:lock v:ext="edit"/>
                  </v:shape>
                  <v:rect id="_x0000_s2593" o:spid="_x0000_s2593" o:spt="1" style="position:absolute;left:7370;top:3724;height:405;width:1043;" stroked="f" coordsize="21600,21600">
                    <v:path/>
                    <v:fill opacity="0f" focussize="0,0"/>
                    <v:stroke on="f"/>
                    <v:imagedata o:title=""/>
                    <o:lock v:ext="edit"/>
                    <v:textbox>
                      <w:txbxContent>
                        <w:p>
                          <w:pPr>
                            <w:ind w:firstLine="105" w:firstLineChars="50"/>
                          </w:pPr>
                          <w:r>
                            <w:t>◆</w:t>
                          </w:r>
                          <w:r>
                            <w:rPr>
                              <w:rFonts w:hint="eastAsia"/>
                            </w:rPr>
                            <w:t>●</w:t>
                          </w:r>
                        </w:p>
                      </w:txbxContent>
                    </v:textbox>
                  </v:rect>
                  <v:rect id="_x0000_s2594" o:spid="_x0000_s2594" o:spt="1" style="position:absolute;left:3861;top:3727;height:405;width:1043;" stroked="f" coordsize="21600,21600">
                    <v:path/>
                    <v:fill opacity="0f" focussize="0,0"/>
                    <v:stroke on="f"/>
                    <v:imagedata o:title=""/>
                    <o:lock v:ext="edit"/>
                    <v:textbox>
                      <w:txbxContent>
                        <w:p>
                          <w:pPr>
                            <w:ind w:firstLine="105" w:firstLineChars="50"/>
                          </w:pPr>
                          <w:r>
                            <w:rPr>
                              <w:rFonts w:hint="eastAsia"/>
                            </w:rPr>
                            <w:t>▲●</w:t>
                          </w:r>
                        </w:p>
                      </w:txbxContent>
                    </v:textbox>
                  </v:rect>
                  <v:rect id="_x0000_s2595" o:spid="_x0000_s2595" o:spt="1" style="position:absolute;left:5067;top:3771;height:405;width:1043;" stroked="f" coordsize="21600,21600">
                    <v:path/>
                    <v:fill opacity="0f" focussize="0,0"/>
                    <v:stroke on="f"/>
                    <v:imagedata o:title=""/>
                    <o:lock v:ext="edit"/>
                    <v:textbox>
                      <w:txbxContent>
                        <w:p>
                          <w:pPr>
                            <w:ind w:firstLine="105" w:firstLineChars="50"/>
                          </w:pPr>
                          <w:r>
                            <w:rPr>
                              <w:rFonts w:hint="eastAsia"/>
                            </w:rPr>
                            <w:t>▲●</w:t>
                          </w:r>
                        </w:p>
                      </w:txbxContent>
                    </v:textbox>
                  </v:rect>
                  <v:shape id="_x0000_s2596" o:spid="_x0000_s2596" o:spt="32" type="#_x0000_t32" style="position:absolute;left:9498;top:4931;height:907;width:1;" o:connectortype="straight" filled="f" coordsize="21600,21600">
                    <v:path arrowok="t"/>
                    <v:fill on="f" focussize="0,0"/>
                    <v:stroke endarrow="block"/>
                    <v:imagedata o:title=""/>
                    <o:lock v:ext="edit"/>
                  </v:shape>
                  <v:rect id="_x0000_s2597" o:spid="_x0000_s2597" o:spt="1" style="position:absolute;left:9567;top:5280;height:405;width:975;" stroked="f" coordsize="21600,21600">
                    <v:path/>
                    <v:fill opacity="0f" focussize="0,0"/>
                    <v:stroke on="f"/>
                    <v:imagedata o:title=""/>
                    <o:lock v:ext="edit"/>
                    <v:textbox>
                      <w:txbxContent>
                        <w:p>
                          <w:pPr>
                            <w:ind w:firstLine="105" w:firstLineChars="50"/>
                          </w:pPr>
                          <w:r>
                            <w:rPr>
                              <w:rFonts w:hint="eastAsia"/>
                            </w:rPr>
                            <w:t>▲●</w:t>
                          </w:r>
                        </w:p>
                      </w:txbxContent>
                    </v:textbox>
                  </v:rect>
                  <v:rect id="_x0000_s2598" o:spid="_x0000_s2598" o:spt="1" style="position:absolute;left:9732;top:5594;height:421;width:929;" coordsize="21600,21600">
                    <v:path/>
                    <v:fill opacity="0f" focussize="0,0"/>
                    <v:stroke/>
                    <v:imagedata o:title=""/>
                    <o:lock v:ext="edit"/>
                    <v:textbox>
                      <w:txbxContent>
                        <w:p>
                          <w:pPr>
                            <w:jc w:val="center"/>
                          </w:pPr>
                          <w:r>
                            <w:rPr>
                              <w:rFonts w:hint="eastAsia"/>
                            </w:rPr>
                            <w:t>覆膜</w:t>
                          </w:r>
                        </w:p>
                      </w:txbxContent>
                    </v:textbox>
                  </v:rect>
                  <v:shape id="_x0000_s2599" o:spid="_x0000_s2599" o:spt="32" type="#_x0000_t32" style="position:absolute;left:9170;top:5807;flip:x;height:1;width:562;" o:connectortype="straight" filled="f" coordsize="21600,21600">
                    <v:path arrowok="t"/>
                    <v:fill on="f" focussize="0,0"/>
                    <v:stroke endarrow="block"/>
                    <v:imagedata o:title=""/>
                    <o:lock v:ext="edit"/>
                  </v:shape>
                  <v:rect id="_x0000_s2600" o:spid="_x0000_s2600" o:spt="1" style="position:absolute;left:8002;top:6190;height:415;width:2506;" stroked="f" coordsize="21600,21600">
                    <v:path/>
                    <v:fill opacity="0f" focussize="0,0"/>
                    <v:stroke on="f"/>
                    <v:imagedata o:title=""/>
                    <o:lock v:ext="edit"/>
                    <v:textbox>
                      <w:txbxContent>
                        <w:p>
                          <w:pPr>
                            <w:jc w:val="center"/>
                          </w:pPr>
                          <w:r>
                            <w:rPr>
                              <w:rFonts w:hint="eastAsia"/>
                            </w:rPr>
                            <w:t>聚丙烯、聚乙烯覆膜料</w:t>
                          </w:r>
                        </w:p>
                      </w:txbxContent>
                    </v:textbox>
                  </v:rect>
                  <v:shape id="_x0000_s2601" o:spid="_x0000_s2601" o:spt="32" type="#_x0000_t32" style="position:absolute;left:9871;top:6015;flip:y;height:340;width:1;" o:connectortype="straight" filled="f" coordsize="21600,21600">
                    <v:path arrowok="t"/>
                    <v:fill on="f" focussize="0,0"/>
                    <v:stroke endarrow="block"/>
                    <v:imagedata o:title=""/>
                    <o:lock v:ext="edit"/>
                  </v:shape>
                  <v:shape id="_x0000_s2611" o:spid="_x0000_s2611" o:spt="32" type="#_x0000_t32" style="position:absolute;left:6589;top:3524;height:567;width:1;" o:connectortype="straight" filled="f" coordsize="21600,21600">
                    <v:path arrowok="t"/>
                    <v:fill on="f" focussize="0,0"/>
                    <v:stroke endarrow="block"/>
                    <v:imagedata o:title=""/>
                    <o:lock v:ext="edit"/>
                  </v:shape>
                  <v:rect id="_x0000_s2612" o:spid="_x0000_s2612" o:spt="1" style="position:absolute;left:5837;top:3189;height:422;width:1486;" stroked="f" coordsize="21600,21600">
                    <v:path/>
                    <v:fill opacity="0f" focussize="0,0"/>
                    <v:stroke on="f"/>
                    <v:imagedata o:title=""/>
                    <o:lock v:ext="edit"/>
                    <v:textbox>
                      <w:txbxContent>
                        <w:p>
                          <w:pPr>
                            <w:ind w:firstLine="105" w:firstLineChars="50"/>
                            <w:rPr>
                              <w:u w:val="single"/>
                            </w:rPr>
                          </w:pPr>
                          <w:r>
                            <w:rPr>
                              <w:rFonts w:hint="eastAsia"/>
                              <w:u w:val="single"/>
                            </w:rPr>
                            <w:t>循环冷却水</w:t>
                          </w:r>
                        </w:p>
                      </w:txbxContent>
                    </v:textbox>
                  </v:rect>
                  <v:shape id="_x0000_s2613" o:spid="_x0000_s2613" o:spt="32" type="#_x0000_t32" style="position:absolute;left:10445;top:6010;flip:x y;height:567;width:1;" o:connectortype="straight" filled="f" coordsize="21600,21600">
                    <v:path arrowok="t"/>
                    <v:fill on="f" focussize="0,0"/>
                    <v:stroke endarrow="block"/>
                    <v:imagedata o:title=""/>
                    <o:lock v:ext="edit"/>
                  </v:shape>
                  <v:rect id="_x0000_s2614" o:spid="_x0000_s2614" o:spt="1" style="position:absolute;left:9257;top:6514;height:422;width:1486;" stroked="f" coordsize="21600,21600">
                    <v:path/>
                    <v:fill opacity="0f" focussize="0,0"/>
                    <v:stroke on="f"/>
                    <v:imagedata o:title=""/>
                    <o:lock v:ext="edit"/>
                    <v:textbox>
                      <w:txbxContent>
                        <w:p>
                          <w:pPr>
                            <w:ind w:firstLine="105" w:firstLineChars="50"/>
                            <w:rPr>
                              <w:u w:val="single"/>
                            </w:rPr>
                          </w:pPr>
                          <w:r>
                            <w:rPr>
                              <w:rFonts w:hint="eastAsia"/>
                              <w:u w:val="single"/>
                            </w:rPr>
                            <w:t>循环冷却水</w:t>
                          </w:r>
                        </w:p>
                      </w:txbxContent>
                    </v:textbox>
                  </v:rect>
                  <v:rect id="_x0000_s2615" o:spid="_x0000_s2615" o:spt="1" style="position:absolute;left:4645;top:6665;height:422;width:3963;" stroked="f" coordsize="21600,21600">
                    <v:path/>
                    <v:fill opacity="0f" focussize="0,0"/>
                    <v:stroke on="f"/>
                    <v:imagedata o:title=""/>
                    <o:lock v:ext="edit"/>
                    <v:textbox>
                      <w:txbxContent>
                        <w:p>
                          <w:pPr>
                            <w:spacing w:line="360" w:lineRule="auto"/>
                            <w:jc w:val="center"/>
                            <w:rPr>
                              <w:rFonts w:hAnsi="黑体" w:eastAsia="黑体"/>
                              <w:sz w:val="24"/>
                            </w:rPr>
                          </w:pPr>
                          <w:r>
                            <w:rPr>
                              <w:rFonts w:hint="eastAsia" w:hAnsi="黑体" w:eastAsia="黑体"/>
                              <w:sz w:val="24"/>
                            </w:rPr>
                            <w:t>附图2生产工艺流程及产污环节图</w:t>
                          </w:r>
                        </w:p>
                        <w:p/>
                      </w:txbxContent>
                    </v:textbox>
                  </v:rect>
                  <v:shape id="_x0000_s2616" o:spid="_x0000_s2616" o:spt="32" type="#_x0000_t32" style="position:absolute;left:3163;top:3628;height:454;width:1;" o:connectortype="straight" filled="f" coordsize="21600,21600">
                    <v:path arrowok="t"/>
                    <v:fill on="f" focussize="0,0"/>
                    <v:stroke endarrow="block"/>
                    <v:imagedata o:title=""/>
                    <o:lock v:ext="edit"/>
                  </v:shape>
                  <w10:wrap type="none"/>
                  <w10:anchorlock/>
                </v:group>
              </w:pict>
            </w:r>
          </w:p>
          <w:p>
            <w:pPr>
              <w:pStyle w:val="10"/>
              <w:spacing w:before="0" w:after="0" w:line="360" w:lineRule="auto"/>
              <w:ind w:right="0" w:firstLine="480" w:firstLineChars="200"/>
              <w:rPr>
                <w:sz w:val="24"/>
                <w:szCs w:val="24"/>
              </w:rPr>
            </w:pPr>
            <w:r>
              <w:rPr>
                <w:rFonts w:hint="eastAsia"/>
                <w:sz w:val="24"/>
                <w:szCs w:val="24"/>
              </w:rPr>
              <w:t>（5）织布、织带</w:t>
            </w:r>
          </w:p>
          <w:p>
            <w:pPr>
              <w:pStyle w:val="10"/>
              <w:spacing w:before="0" w:after="0" w:line="360" w:lineRule="auto"/>
              <w:ind w:right="0" w:firstLine="480" w:firstLineChars="200"/>
              <w:rPr>
                <w:sz w:val="24"/>
                <w:szCs w:val="24"/>
              </w:rPr>
            </w:pPr>
            <w:r>
              <w:rPr>
                <w:rFonts w:hint="eastAsia"/>
                <w:sz w:val="24"/>
                <w:szCs w:val="24"/>
              </w:rPr>
              <w:t>将丝辊安装织带机上进行编制，编制成成品即为吊带；将丝辊安装在圆织机上进行编制，织好的布卷即为基布。</w:t>
            </w:r>
          </w:p>
          <w:p>
            <w:pPr>
              <w:pStyle w:val="10"/>
              <w:spacing w:before="0" w:after="0" w:line="360" w:lineRule="auto"/>
              <w:ind w:right="0" w:firstLine="480" w:firstLineChars="200"/>
              <w:rPr>
                <w:sz w:val="24"/>
                <w:szCs w:val="24"/>
              </w:rPr>
            </w:pPr>
            <w:r>
              <w:rPr>
                <w:rFonts w:hint="eastAsia"/>
                <w:sz w:val="24"/>
                <w:szCs w:val="24"/>
              </w:rPr>
              <w:t>（6）覆膜</w:t>
            </w:r>
          </w:p>
          <w:p>
            <w:pPr>
              <w:pStyle w:val="10"/>
              <w:spacing w:before="0" w:after="0" w:line="360" w:lineRule="auto"/>
              <w:ind w:right="0" w:firstLine="480" w:firstLineChars="200"/>
              <w:rPr>
                <w:sz w:val="24"/>
                <w:szCs w:val="24"/>
                <w:u w:val="single"/>
              </w:rPr>
            </w:pPr>
            <w:r>
              <w:rPr>
                <w:rFonts w:hint="eastAsia"/>
                <w:sz w:val="24"/>
                <w:szCs w:val="24"/>
              </w:rPr>
              <w:t>根据客户要求部分产品需进行覆膜加工，覆膜过程由投料搅拌、下料、挤出、复合、收卷工序构成。将编织袋基布安装在覆膜机组的放卷轴，在覆膜机料仓中加入聚丙烯、聚乙烯覆膜料，覆膜料在一定温度下熔融（熔融温度约220℃），经螺杆塑化后由挤出段平模头模口成线性挤出、拉伸形成薄膜，</w:t>
            </w:r>
            <w:r>
              <w:rPr>
                <w:rFonts w:hint="eastAsia"/>
                <w:sz w:val="24"/>
                <w:szCs w:val="24"/>
                <w:u w:val="single"/>
              </w:rPr>
              <w:t>复合段采用两个滚轴对挤出的热薄膜和基布进行挤压，将薄膜和基布复合在一起形成半成品覆膜基布。滚轴内使用冷却水冷却滚轴，达到对基布和薄膜降温的目的。复合后收卷即为基布成品。覆膜机电加热段熔融挤出过程产生有机废气。</w:t>
            </w:r>
          </w:p>
          <w:p>
            <w:pPr>
              <w:pStyle w:val="10"/>
              <w:spacing w:before="0" w:after="0" w:line="360" w:lineRule="auto"/>
              <w:ind w:right="0" w:firstLine="480" w:firstLineChars="200"/>
              <w:rPr>
                <w:sz w:val="24"/>
                <w:szCs w:val="24"/>
              </w:rPr>
            </w:pPr>
            <w:r>
              <w:rPr>
                <w:rFonts w:hint="eastAsia"/>
                <w:sz w:val="24"/>
                <w:szCs w:val="24"/>
              </w:rPr>
              <w:t>（7）裁剪、缝底</w:t>
            </w:r>
          </w:p>
          <w:p>
            <w:pPr>
              <w:pStyle w:val="10"/>
              <w:spacing w:before="0" w:after="0" w:line="360" w:lineRule="auto"/>
              <w:ind w:right="0" w:firstLine="480" w:firstLineChars="200"/>
              <w:rPr>
                <w:sz w:val="24"/>
                <w:szCs w:val="24"/>
              </w:rPr>
            </w:pPr>
            <w:r>
              <w:rPr>
                <w:rFonts w:hint="eastAsia"/>
                <w:sz w:val="24"/>
                <w:szCs w:val="24"/>
              </w:rPr>
              <w:t>根据客户需求，剪裁后的布卷与吊带经过缝纫后制成集装袋即为成品。</w:t>
            </w:r>
          </w:p>
          <w:p>
            <w:pPr>
              <w:spacing w:line="360" w:lineRule="auto"/>
              <w:rPr>
                <w:rFonts w:hAnsi="宋体"/>
                <w:sz w:val="24"/>
              </w:rPr>
            </w:pPr>
            <w:r>
              <w:rPr>
                <w:rFonts w:hint="eastAsia" w:hAnsi="宋体"/>
                <w:b/>
                <w:sz w:val="24"/>
              </w:rPr>
              <w:t>2产污环节</w:t>
            </w:r>
          </w:p>
          <w:p>
            <w:pPr>
              <w:pStyle w:val="6"/>
              <w:ind w:firstLine="480"/>
              <w:rPr>
                <w:sz w:val="24"/>
                <w:szCs w:val="24"/>
              </w:rPr>
            </w:pPr>
            <w:r>
              <w:rPr>
                <w:rFonts w:hint="eastAsia"/>
                <w:sz w:val="24"/>
                <w:szCs w:val="24"/>
              </w:rPr>
              <w:t>运营期产污工序及污染物见下表。</w:t>
            </w:r>
          </w:p>
          <w:p>
            <w:pPr>
              <w:pStyle w:val="53"/>
              <w:numPr>
                <w:ilvl w:val="0"/>
                <w:numId w:val="2"/>
              </w:numPr>
              <w:ind w:left="0" w:firstLine="0"/>
              <w:rPr>
                <w:kern w:val="0"/>
              </w:rPr>
            </w:pPr>
            <w:r>
              <w:rPr>
                <w:rFonts w:hint="eastAsia"/>
                <w:kern w:val="0"/>
              </w:rPr>
              <w:t>本项目产污环节一览表</w:t>
            </w:r>
          </w:p>
          <w:tbl>
            <w:tblPr>
              <w:tblStyle w:val="2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1"/>
              <w:gridCol w:w="850"/>
              <w:gridCol w:w="1526"/>
              <w:gridCol w:w="2602"/>
              <w:gridCol w:w="2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1" w:type="dxa"/>
                  <w:vAlign w:val="center"/>
                </w:tcPr>
                <w:p>
                  <w:pPr>
                    <w:pStyle w:val="80"/>
                  </w:pPr>
                  <w:r>
                    <w:rPr>
                      <w:rFonts w:hint="eastAsia"/>
                    </w:rPr>
                    <w:t>类别</w:t>
                  </w:r>
                </w:p>
              </w:tc>
              <w:tc>
                <w:tcPr>
                  <w:tcW w:w="2376" w:type="dxa"/>
                  <w:gridSpan w:val="2"/>
                  <w:vAlign w:val="center"/>
                </w:tcPr>
                <w:p>
                  <w:pPr>
                    <w:pStyle w:val="80"/>
                  </w:pPr>
                  <w:r>
                    <w:rPr>
                      <w:rFonts w:hint="eastAsia"/>
                    </w:rPr>
                    <w:t>污染源</w:t>
                  </w:r>
                </w:p>
              </w:tc>
              <w:tc>
                <w:tcPr>
                  <w:tcW w:w="2602" w:type="dxa"/>
                  <w:vAlign w:val="center"/>
                </w:tcPr>
                <w:p>
                  <w:pPr>
                    <w:pStyle w:val="80"/>
                  </w:pPr>
                  <w:r>
                    <w:rPr>
                      <w:rFonts w:hint="eastAsia"/>
                    </w:rPr>
                    <w:t>产生环节</w:t>
                  </w:r>
                </w:p>
              </w:tc>
              <w:tc>
                <w:tcPr>
                  <w:tcW w:w="2263" w:type="dxa"/>
                  <w:vAlign w:val="center"/>
                </w:tcPr>
                <w:p>
                  <w:pPr>
                    <w:pStyle w:val="80"/>
                  </w:pPr>
                  <w:r>
                    <w:rPr>
                      <w:rFonts w:hint="eastAsia"/>
                    </w:rPr>
                    <w:t>污染因子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1" w:type="dxa"/>
                  <w:vMerge w:val="restart"/>
                  <w:vAlign w:val="center"/>
                </w:tcPr>
                <w:p>
                  <w:pPr>
                    <w:snapToGrid w:val="0"/>
                    <w:spacing w:line="320" w:lineRule="exact"/>
                    <w:jc w:val="center"/>
                    <w:rPr>
                      <w:spacing w:val="-2"/>
                      <w:szCs w:val="21"/>
                    </w:rPr>
                  </w:pPr>
                  <w:r>
                    <w:rPr>
                      <w:rFonts w:hint="eastAsia"/>
                      <w:spacing w:val="-2"/>
                      <w:szCs w:val="21"/>
                    </w:rPr>
                    <w:t>废气</w:t>
                  </w:r>
                </w:p>
              </w:tc>
              <w:tc>
                <w:tcPr>
                  <w:tcW w:w="850" w:type="dxa"/>
                  <w:vMerge w:val="restart"/>
                  <w:vAlign w:val="center"/>
                </w:tcPr>
                <w:p>
                  <w:pPr>
                    <w:snapToGrid w:val="0"/>
                    <w:spacing w:line="320" w:lineRule="exact"/>
                    <w:jc w:val="center"/>
                    <w:rPr>
                      <w:spacing w:val="-2"/>
                      <w:szCs w:val="21"/>
                    </w:rPr>
                  </w:pPr>
                  <w:r>
                    <w:rPr>
                      <w:rFonts w:hint="eastAsia"/>
                      <w:spacing w:val="-2"/>
                      <w:szCs w:val="21"/>
                    </w:rPr>
                    <w:t>拉丝机</w:t>
                  </w:r>
                </w:p>
              </w:tc>
              <w:tc>
                <w:tcPr>
                  <w:tcW w:w="1526" w:type="dxa"/>
                  <w:vAlign w:val="center"/>
                </w:tcPr>
                <w:p>
                  <w:pPr>
                    <w:snapToGrid w:val="0"/>
                    <w:spacing w:line="320" w:lineRule="exact"/>
                    <w:jc w:val="center"/>
                    <w:rPr>
                      <w:spacing w:val="-2"/>
                      <w:szCs w:val="21"/>
                      <w:u w:val="single"/>
                    </w:rPr>
                  </w:pPr>
                  <w:r>
                    <w:rPr>
                      <w:rFonts w:hint="eastAsia"/>
                      <w:spacing w:val="-2"/>
                      <w:szCs w:val="21"/>
                      <w:u w:val="single"/>
                    </w:rPr>
                    <w:t>搅拌段</w:t>
                  </w:r>
                </w:p>
              </w:tc>
              <w:tc>
                <w:tcPr>
                  <w:tcW w:w="2602" w:type="dxa"/>
                  <w:vAlign w:val="center"/>
                </w:tcPr>
                <w:p>
                  <w:pPr>
                    <w:snapToGrid w:val="0"/>
                    <w:spacing w:line="320" w:lineRule="exact"/>
                    <w:jc w:val="center"/>
                    <w:rPr>
                      <w:spacing w:val="-2"/>
                      <w:szCs w:val="21"/>
                      <w:u w:val="single"/>
                    </w:rPr>
                  </w:pPr>
                  <w:r>
                    <w:rPr>
                      <w:rFonts w:hint="eastAsia"/>
                      <w:spacing w:val="-2"/>
                      <w:szCs w:val="21"/>
                      <w:u w:val="single"/>
                    </w:rPr>
                    <w:t>搅拌机进料、搅拌过程</w:t>
                  </w:r>
                </w:p>
              </w:tc>
              <w:tc>
                <w:tcPr>
                  <w:tcW w:w="2263" w:type="dxa"/>
                  <w:vAlign w:val="center"/>
                </w:tcPr>
                <w:p>
                  <w:pPr>
                    <w:snapToGrid w:val="0"/>
                    <w:spacing w:line="320" w:lineRule="exact"/>
                    <w:jc w:val="center"/>
                    <w:rPr>
                      <w:spacing w:val="-2"/>
                      <w:szCs w:val="21"/>
                      <w:u w:val="single"/>
                    </w:rPr>
                  </w:pPr>
                  <w:r>
                    <w:rPr>
                      <w:rFonts w:hint="eastAsia"/>
                      <w:spacing w:val="-2"/>
                      <w:szCs w:val="21"/>
                      <w:u w:val="single"/>
                    </w:rPr>
                    <w:t>颗粒物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1" w:type="dxa"/>
                  <w:vMerge w:val="continue"/>
                  <w:vAlign w:val="center"/>
                </w:tcPr>
                <w:p>
                  <w:pPr>
                    <w:snapToGrid w:val="0"/>
                    <w:spacing w:line="320" w:lineRule="exact"/>
                    <w:jc w:val="center"/>
                    <w:rPr>
                      <w:spacing w:val="-2"/>
                      <w:szCs w:val="21"/>
                    </w:rPr>
                  </w:pPr>
                </w:p>
              </w:tc>
              <w:tc>
                <w:tcPr>
                  <w:tcW w:w="850" w:type="dxa"/>
                  <w:vMerge w:val="continue"/>
                  <w:vAlign w:val="center"/>
                </w:tcPr>
                <w:p>
                  <w:pPr>
                    <w:snapToGrid w:val="0"/>
                    <w:spacing w:line="320" w:lineRule="exact"/>
                    <w:jc w:val="center"/>
                    <w:rPr>
                      <w:spacing w:val="-2"/>
                      <w:szCs w:val="21"/>
                    </w:rPr>
                  </w:pPr>
                </w:p>
              </w:tc>
              <w:tc>
                <w:tcPr>
                  <w:tcW w:w="1526" w:type="dxa"/>
                  <w:vAlign w:val="center"/>
                </w:tcPr>
                <w:p>
                  <w:pPr>
                    <w:snapToGrid w:val="0"/>
                    <w:spacing w:line="320" w:lineRule="exact"/>
                    <w:jc w:val="center"/>
                    <w:rPr>
                      <w:spacing w:val="-2"/>
                      <w:szCs w:val="21"/>
                    </w:rPr>
                  </w:pPr>
                  <w:r>
                    <w:rPr>
                      <w:rFonts w:hint="eastAsia"/>
                      <w:spacing w:val="-2"/>
                      <w:szCs w:val="21"/>
                    </w:rPr>
                    <w:t>挤出工序</w:t>
                  </w:r>
                </w:p>
              </w:tc>
              <w:tc>
                <w:tcPr>
                  <w:tcW w:w="2602" w:type="dxa"/>
                  <w:vAlign w:val="center"/>
                </w:tcPr>
                <w:p>
                  <w:pPr>
                    <w:snapToGrid w:val="0"/>
                    <w:spacing w:line="320" w:lineRule="exact"/>
                    <w:jc w:val="center"/>
                    <w:rPr>
                      <w:spacing w:val="-2"/>
                      <w:szCs w:val="21"/>
                    </w:rPr>
                  </w:pPr>
                  <w:r>
                    <w:rPr>
                      <w:rFonts w:hint="eastAsia"/>
                      <w:spacing w:val="-2"/>
                      <w:szCs w:val="21"/>
                    </w:rPr>
                    <w:t>塑料</w:t>
                  </w:r>
                  <w:r>
                    <w:rPr>
                      <w:rFonts w:hint="eastAsia"/>
                      <w:szCs w:val="21"/>
                    </w:rPr>
                    <w:t>熔融</w:t>
                  </w:r>
                  <w:r>
                    <w:rPr>
                      <w:rFonts w:hint="eastAsia"/>
                      <w:spacing w:val="-2"/>
                      <w:szCs w:val="21"/>
                    </w:rPr>
                    <w:t>拉丝过程</w:t>
                  </w:r>
                </w:p>
              </w:tc>
              <w:tc>
                <w:tcPr>
                  <w:tcW w:w="2263" w:type="dxa"/>
                  <w:vAlign w:val="center"/>
                </w:tcPr>
                <w:p>
                  <w:pPr>
                    <w:snapToGrid w:val="0"/>
                    <w:spacing w:line="320" w:lineRule="exact"/>
                    <w:jc w:val="center"/>
                    <w:rPr>
                      <w:spacing w:val="-2"/>
                      <w:szCs w:val="21"/>
                    </w:rPr>
                  </w:pPr>
                  <w:r>
                    <w:rPr>
                      <w:rFonts w:hint="eastAsia"/>
                      <w:spacing w:val="-2"/>
                      <w:szCs w:val="21"/>
                    </w:rPr>
                    <w:t>非甲烷总烃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1" w:type="dxa"/>
                  <w:vMerge w:val="continue"/>
                  <w:vAlign w:val="center"/>
                </w:tcPr>
                <w:p>
                  <w:pPr>
                    <w:snapToGrid w:val="0"/>
                    <w:spacing w:line="320" w:lineRule="exact"/>
                    <w:jc w:val="center"/>
                    <w:rPr>
                      <w:spacing w:val="-2"/>
                      <w:szCs w:val="21"/>
                    </w:rPr>
                  </w:pPr>
                </w:p>
              </w:tc>
              <w:tc>
                <w:tcPr>
                  <w:tcW w:w="850" w:type="dxa"/>
                  <w:vMerge w:val="restart"/>
                  <w:vAlign w:val="center"/>
                </w:tcPr>
                <w:p>
                  <w:pPr>
                    <w:snapToGrid w:val="0"/>
                    <w:spacing w:line="320" w:lineRule="exact"/>
                    <w:jc w:val="center"/>
                    <w:rPr>
                      <w:spacing w:val="-2"/>
                      <w:szCs w:val="21"/>
                    </w:rPr>
                  </w:pPr>
                  <w:r>
                    <w:rPr>
                      <w:rFonts w:hint="eastAsia"/>
                      <w:spacing w:val="-2"/>
                      <w:szCs w:val="21"/>
                    </w:rPr>
                    <w:t>覆膜机</w:t>
                  </w:r>
                </w:p>
              </w:tc>
              <w:tc>
                <w:tcPr>
                  <w:tcW w:w="1526" w:type="dxa"/>
                  <w:vAlign w:val="center"/>
                </w:tcPr>
                <w:p>
                  <w:pPr>
                    <w:snapToGrid w:val="0"/>
                    <w:spacing w:line="320" w:lineRule="exact"/>
                    <w:jc w:val="center"/>
                    <w:rPr>
                      <w:spacing w:val="-2"/>
                      <w:szCs w:val="21"/>
                      <w:u w:val="single"/>
                    </w:rPr>
                  </w:pPr>
                  <w:r>
                    <w:rPr>
                      <w:rFonts w:hint="eastAsia"/>
                      <w:spacing w:val="-2"/>
                      <w:szCs w:val="21"/>
                      <w:u w:val="single"/>
                    </w:rPr>
                    <w:t>搅拌段</w:t>
                  </w:r>
                </w:p>
              </w:tc>
              <w:tc>
                <w:tcPr>
                  <w:tcW w:w="2602" w:type="dxa"/>
                  <w:vAlign w:val="center"/>
                </w:tcPr>
                <w:p>
                  <w:pPr>
                    <w:snapToGrid w:val="0"/>
                    <w:spacing w:line="320" w:lineRule="exact"/>
                    <w:jc w:val="center"/>
                    <w:rPr>
                      <w:spacing w:val="-2"/>
                      <w:szCs w:val="21"/>
                      <w:u w:val="single"/>
                    </w:rPr>
                  </w:pPr>
                  <w:r>
                    <w:rPr>
                      <w:rFonts w:hint="eastAsia"/>
                      <w:spacing w:val="-2"/>
                      <w:szCs w:val="21"/>
                      <w:u w:val="single"/>
                    </w:rPr>
                    <w:t>搅拌机进料、搅拌过程</w:t>
                  </w:r>
                </w:p>
              </w:tc>
              <w:tc>
                <w:tcPr>
                  <w:tcW w:w="2263" w:type="dxa"/>
                  <w:vAlign w:val="center"/>
                </w:tcPr>
                <w:p>
                  <w:pPr>
                    <w:snapToGrid w:val="0"/>
                    <w:spacing w:line="320" w:lineRule="exact"/>
                    <w:jc w:val="center"/>
                    <w:rPr>
                      <w:spacing w:val="-2"/>
                      <w:szCs w:val="21"/>
                      <w:u w:val="single"/>
                    </w:rPr>
                  </w:pPr>
                  <w:r>
                    <w:rPr>
                      <w:rFonts w:hint="eastAsia"/>
                      <w:spacing w:val="-2"/>
                      <w:szCs w:val="21"/>
                      <w:u w:val="single"/>
                    </w:rPr>
                    <w:t>颗粒物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1" w:type="dxa"/>
                  <w:vMerge w:val="continue"/>
                  <w:vAlign w:val="center"/>
                </w:tcPr>
                <w:p>
                  <w:pPr>
                    <w:snapToGrid w:val="0"/>
                    <w:spacing w:line="320" w:lineRule="exact"/>
                    <w:jc w:val="center"/>
                    <w:rPr>
                      <w:spacing w:val="-2"/>
                      <w:szCs w:val="21"/>
                    </w:rPr>
                  </w:pPr>
                </w:p>
              </w:tc>
              <w:tc>
                <w:tcPr>
                  <w:tcW w:w="850" w:type="dxa"/>
                  <w:vMerge w:val="continue"/>
                  <w:vAlign w:val="center"/>
                </w:tcPr>
                <w:p>
                  <w:pPr>
                    <w:snapToGrid w:val="0"/>
                    <w:spacing w:line="320" w:lineRule="exact"/>
                    <w:jc w:val="center"/>
                    <w:rPr>
                      <w:spacing w:val="-2"/>
                      <w:szCs w:val="21"/>
                    </w:rPr>
                  </w:pPr>
                </w:p>
              </w:tc>
              <w:tc>
                <w:tcPr>
                  <w:tcW w:w="1526" w:type="dxa"/>
                  <w:vAlign w:val="center"/>
                </w:tcPr>
                <w:p>
                  <w:pPr>
                    <w:snapToGrid w:val="0"/>
                    <w:spacing w:line="320" w:lineRule="exact"/>
                    <w:jc w:val="center"/>
                    <w:rPr>
                      <w:spacing w:val="-2"/>
                      <w:szCs w:val="21"/>
                    </w:rPr>
                  </w:pPr>
                  <w:r>
                    <w:rPr>
                      <w:rFonts w:hint="eastAsia"/>
                      <w:spacing w:val="-2"/>
                      <w:szCs w:val="21"/>
                    </w:rPr>
                    <w:t>挤出工序</w:t>
                  </w:r>
                </w:p>
              </w:tc>
              <w:tc>
                <w:tcPr>
                  <w:tcW w:w="2602" w:type="dxa"/>
                  <w:vAlign w:val="center"/>
                </w:tcPr>
                <w:p>
                  <w:pPr>
                    <w:snapToGrid w:val="0"/>
                    <w:spacing w:line="320" w:lineRule="exact"/>
                    <w:jc w:val="center"/>
                    <w:rPr>
                      <w:spacing w:val="-2"/>
                      <w:szCs w:val="21"/>
                    </w:rPr>
                  </w:pPr>
                  <w:r>
                    <w:rPr>
                      <w:rFonts w:hint="eastAsia"/>
                      <w:spacing w:val="-2"/>
                      <w:szCs w:val="21"/>
                    </w:rPr>
                    <w:t>塑料</w:t>
                  </w:r>
                  <w:r>
                    <w:rPr>
                      <w:rFonts w:hint="eastAsia"/>
                      <w:szCs w:val="21"/>
                    </w:rPr>
                    <w:t>熔融</w:t>
                  </w:r>
                  <w:r>
                    <w:rPr>
                      <w:rFonts w:hint="eastAsia"/>
                      <w:spacing w:val="-2"/>
                      <w:szCs w:val="21"/>
                    </w:rPr>
                    <w:t>挤出过程</w:t>
                  </w:r>
                </w:p>
              </w:tc>
              <w:tc>
                <w:tcPr>
                  <w:tcW w:w="2263" w:type="dxa"/>
                  <w:vAlign w:val="center"/>
                </w:tcPr>
                <w:p>
                  <w:pPr>
                    <w:snapToGrid w:val="0"/>
                    <w:spacing w:line="320" w:lineRule="exact"/>
                    <w:jc w:val="center"/>
                    <w:rPr>
                      <w:spacing w:val="-2"/>
                      <w:szCs w:val="21"/>
                    </w:rPr>
                  </w:pPr>
                  <w:r>
                    <w:rPr>
                      <w:rFonts w:hint="eastAsia"/>
                      <w:spacing w:val="-2"/>
                      <w:szCs w:val="21"/>
                    </w:rPr>
                    <w:t>非甲烷总烃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1" w:type="dxa"/>
                  <w:vMerge w:val="restart"/>
                  <w:vAlign w:val="center"/>
                </w:tcPr>
                <w:p>
                  <w:pPr>
                    <w:snapToGrid w:val="0"/>
                    <w:spacing w:line="320" w:lineRule="exact"/>
                    <w:jc w:val="center"/>
                    <w:rPr>
                      <w:spacing w:val="-2"/>
                      <w:szCs w:val="21"/>
                    </w:rPr>
                  </w:pPr>
                  <w:r>
                    <w:rPr>
                      <w:rFonts w:hint="eastAsia"/>
                      <w:spacing w:val="-2"/>
                      <w:szCs w:val="21"/>
                    </w:rPr>
                    <w:t>废水</w:t>
                  </w:r>
                </w:p>
              </w:tc>
              <w:tc>
                <w:tcPr>
                  <w:tcW w:w="2376" w:type="dxa"/>
                  <w:gridSpan w:val="2"/>
                  <w:vAlign w:val="center"/>
                </w:tcPr>
                <w:p>
                  <w:pPr>
                    <w:snapToGrid w:val="0"/>
                    <w:spacing w:line="320" w:lineRule="exact"/>
                    <w:jc w:val="center"/>
                    <w:rPr>
                      <w:spacing w:val="-2"/>
                      <w:szCs w:val="21"/>
                    </w:rPr>
                  </w:pPr>
                  <w:r>
                    <w:rPr>
                      <w:rFonts w:hint="eastAsia"/>
                      <w:spacing w:val="-2"/>
                      <w:szCs w:val="21"/>
                    </w:rPr>
                    <w:t>生活污水</w:t>
                  </w:r>
                </w:p>
              </w:tc>
              <w:tc>
                <w:tcPr>
                  <w:tcW w:w="2602" w:type="dxa"/>
                  <w:vAlign w:val="center"/>
                </w:tcPr>
                <w:p>
                  <w:pPr>
                    <w:snapToGrid w:val="0"/>
                    <w:spacing w:line="320" w:lineRule="exact"/>
                    <w:jc w:val="center"/>
                    <w:rPr>
                      <w:spacing w:val="-2"/>
                      <w:szCs w:val="21"/>
                    </w:rPr>
                  </w:pPr>
                  <w:r>
                    <w:rPr>
                      <w:rFonts w:hint="eastAsia"/>
                      <w:spacing w:val="-2"/>
                      <w:szCs w:val="21"/>
                    </w:rPr>
                    <w:t>职工生活</w:t>
                  </w:r>
                </w:p>
              </w:tc>
              <w:tc>
                <w:tcPr>
                  <w:tcW w:w="2263" w:type="dxa"/>
                  <w:vAlign w:val="center"/>
                </w:tcPr>
                <w:p>
                  <w:pPr>
                    <w:snapToGrid w:val="0"/>
                    <w:spacing w:line="320" w:lineRule="exact"/>
                    <w:jc w:val="center"/>
                    <w:rPr>
                      <w:spacing w:val="-2"/>
                      <w:szCs w:val="21"/>
                    </w:rPr>
                  </w:pPr>
                  <w:r>
                    <w:rPr>
                      <w:rFonts w:hint="eastAsia"/>
                      <w:spacing w:val="-2"/>
                      <w:szCs w:val="21"/>
                    </w:rPr>
                    <w:t>COD、氨氮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1" w:type="dxa"/>
                  <w:vMerge w:val="continue"/>
                  <w:vAlign w:val="center"/>
                </w:tcPr>
                <w:p>
                  <w:pPr>
                    <w:snapToGrid w:val="0"/>
                    <w:spacing w:line="320" w:lineRule="exact"/>
                    <w:jc w:val="center"/>
                    <w:rPr>
                      <w:spacing w:val="-2"/>
                      <w:szCs w:val="21"/>
                    </w:rPr>
                  </w:pPr>
                </w:p>
              </w:tc>
              <w:tc>
                <w:tcPr>
                  <w:tcW w:w="2376" w:type="dxa"/>
                  <w:gridSpan w:val="2"/>
                  <w:vAlign w:val="center"/>
                </w:tcPr>
                <w:p>
                  <w:pPr>
                    <w:snapToGrid w:val="0"/>
                    <w:spacing w:line="320" w:lineRule="exact"/>
                    <w:jc w:val="center"/>
                    <w:rPr>
                      <w:spacing w:val="-2"/>
                      <w:szCs w:val="21"/>
                    </w:rPr>
                  </w:pPr>
                  <w:r>
                    <w:rPr>
                      <w:rFonts w:hint="eastAsia"/>
                      <w:spacing w:val="-2"/>
                      <w:szCs w:val="21"/>
                    </w:rPr>
                    <w:t>循环冷却水</w:t>
                  </w:r>
                </w:p>
              </w:tc>
              <w:tc>
                <w:tcPr>
                  <w:tcW w:w="2602" w:type="dxa"/>
                  <w:vAlign w:val="center"/>
                </w:tcPr>
                <w:p>
                  <w:pPr>
                    <w:snapToGrid w:val="0"/>
                    <w:spacing w:line="320" w:lineRule="exact"/>
                    <w:jc w:val="center"/>
                    <w:rPr>
                      <w:spacing w:val="-2"/>
                      <w:szCs w:val="21"/>
                    </w:rPr>
                  </w:pPr>
                  <w:r>
                    <w:rPr>
                      <w:rFonts w:hint="eastAsia"/>
                      <w:spacing w:val="-2"/>
                      <w:szCs w:val="21"/>
                    </w:rPr>
                    <w:t>循环冷却水排水</w:t>
                  </w:r>
                </w:p>
              </w:tc>
              <w:tc>
                <w:tcPr>
                  <w:tcW w:w="2263" w:type="dxa"/>
                  <w:vAlign w:val="center"/>
                </w:tcPr>
                <w:p>
                  <w:pPr>
                    <w:snapToGrid w:val="0"/>
                    <w:spacing w:line="320" w:lineRule="exact"/>
                    <w:jc w:val="center"/>
                    <w:rPr>
                      <w:spacing w:val="-2"/>
                      <w:szCs w:val="21"/>
                    </w:rPr>
                  </w:pPr>
                  <w:r>
                    <w:rPr>
                      <w:rFonts w:hint="eastAsia"/>
                      <w:spacing w:val="-2"/>
                      <w:szCs w:val="21"/>
                    </w:rPr>
                    <w:t>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1" w:type="dxa"/>
                  <w:vAlign w:val="center"/>
                </w:tcPr>
                <w:p>
                  <w:pPr>
                    <w:snapToGrid w:val="0"/>
                    <w:spacing w:line="320" w:lineRule="exact"/>
                    <w:jc w:val="center"/>
                    <w:rPr>
                      <w:spacing w:val="-2"/>
                      <w:szCs w:val="21"/>
                    </w:rPr>
                  </w:pPr>
                  <w:r>
                    <w:rPr>
                      <w:rFonts w:hint="eastAsia"/>
                      <w:spacing w:val="-2"/>
                      <w:szCs w:val="21"/>
                    </w:rPr>
                    <w:t>噪声</w:t>
                  </w:r>
                </w:p>
              </w:tc>
              <w:tc>
                <w:tcPr>
                  <w:tcW w:w="2376" w:type="dxa"/>
                  <w:gridSpan w:val="2"/>
                  <w:vAlign w:val="center"/>
                </w:tcPr>
                <w:p>
                  <w:pPr>
                    <w:snapToGrid w:val="0"/>
                    <w:spacing w:line="320" w:lineRule="exact"/>
                    <w:jc w:val="center"/>
                    <w:rPr>
                      <w:spacing w:val="-2"/>
                      <w:szCs w:val="21"/>
                    </w:rPr>
                  </w:pPr>
                  <w:r>
                    <w:rPr>
                      <w:rFonts w:hint="eastAsia"/>
                      <w:spacing w:val="-2"/>
                      <w:szCs w:val="21"/>
                    </w:rPr>
                    <w:t>设备噪声</w:t>
                  </w:r>
                </w:p>
              </w:tc>
              <w:tc>
                <w:tcPr>
                  <w:tcW w:w="2602" w:type="dxa"/>
                  <w:vAlign w:val="center"/>
                </w:tcPr>
                <w:p>
                  <w:pPr>
                    <w:snapToGrid w:val="0"/>
                    <w:spacing w:line="320" w:lineRule="exact"/>
                    <w:jc w:val="center"/>
                    <w:rPr>
                      <w:spacing w:val="-2"/>
                      <w:szCs w:val="21"/>
                    </w:rPr>
                  </w:pPr>
                  <w:r>
                    <w:rPr>
                      <w:rFonts w:hint="eastAsia"/>
                      <w:spacing w:val="-2"/>
                      <w:szCs w:val="21"/>
                    </w:rPr>
                    <w:t>设备运行</w:t>
                  </w:r>
                </w:p>
              </w:tc>
              <w:tc>
                <w:tcPr>
                  <w:tcW w:w="2263" w:type="dxa"/>
                  <w:vAlign w:val="center"/>
                </w:tcPr>
                <w:p>
                  <w:pPr>
                    <w:snapToGrid w:val="0"/>
                    <w:spacing w:line="320" w:lineRule="exact"/>
                    <w:jc w:val="center"/>
                    <w:rPr>
                      <w:spacing w:val="-2"/>
                      <w:szCs w:val="21"/>
                    </w:rPr>
                  </w:pPr>
                  <w:r>
                    <w:rPr>
                      <w:rFonts w:hint="eastAsia"/>
                      <w:spacing w:val="-2"/>
                      <w:szCs w:val="21"/>
                    </w:rPr>
                    <w:t>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1" w:type="dxa"/>
                  <w:vMerge w:val="restart"/>
                  <w:vAlign w:val="center"/>
                </w:tcPr>
                <w:p>
                  <w:pPr>
                    <w:snapToGrid w:val="0"/>
                    <w:spacing w:line="320" w:lineRule="exact"/>
                    <w:jc w:val="center"/>
                    <w:rPr>
                      <w:spacing w:val="-2"/>
                      <w:szCs w:val="21"/>
                    </w:rPr>
                  </w:pPr>
                  <w:r>
                    <w:rPr>
                      <w:rFonts w:hint="eastAsia"/>
                      <w:spacing w:val="-2"/>
                      <w:szCs w:val="21"/>
                    </w:rPr>
                    <w:t>固体废物</w:t>
                  </w:r>
                </w:p>
              </w:tc>
              <w:tc>
                <w:tcPr>
                  <w:tcW w:w="2376" w:type="dxa"/>
                  <w:gridSpan w:val="2"/>
                  <w:vMerge w:val="restart"/>
                  <w:vAlign w:val="center"/>
                </w:tcPr>
                <w:p>
                  <w:pPr>
                    <w:snapToGrid w:val="0"/>
                    <w:spacing w:line="320" w:lineRule="exact"/>
                    <w:jc w:val="center"/>
                    <w:rPr>
                      <w:spacing w:val="-2"/>
                      <w:szCs w:val="21"/>
                    </w:rPr>
                  </w:pPr>
                  <w:r>
                    <w:rPr>
                      <w:rFonts w:hint="eastAsia"/>
                      <w:spacing w:val="-2"/>
                      <w:szCs w:val="21"/>
                    </w:rPr>
                    <w:t>拉丝机</w:t>
                  </w:r>
                </w:p>
              </w:tc>
              <w:tc>
                <w:tcPr>
                  <w:tcW w:w="2602" w:type="dxa"/>
                  <w:vAlign w:val="center"/>
                </w:tcPr>
                <w:p>
                  <w:pPr>
                    <w:snapToGrid w:val="0"/>
                    <w:spacing w:line="320" w:lineRule="exact"/>
                    <w:jc w:val="center"/>
                    <w:rPr>
                      <w:spacing w:val="-2"/>
                      <w:szCs w:val="21"/>
                    </w:rPr>
                  </w:pPr>
                  <w:r>
                    <w:rPr>
                      <w:rFonts w:hint="eastAsia"/>
                      <w:spacing w:val="-2"/>
                      <w:szCs w:val="21"/>
                    </w:rPr>
                    <w:t>拉丝以及绕丝过程</w:t>
                  </w:r>
                </w:p>
              </w:tc>
              <w:tc>
                <w:tcPr>
                  <w:tcW w:w="2263" w:type="dxa"/>
                  <w:vAlign w:val="center"/>
                </w:tcPr>
                <w:p>
                  <w:pPr>
                    <w:snapToGrid w:val="0"/>
                    <w:spacing w:line="320" w:lineRule="exact"/>
                    <w:jc w:val="center"/>
                    <w:rPr>
                      <w:spacing w:val="-2"/>
                      <w:szCs w:val="21"/>
                    </w:rPr>
                  </w:pPr>
                  <w:r>
                    <w:rPr>
                      <w:rFonts w:hint="eastAsia"/>
                      <w:spacing w:val="-2"/>
                      <w:szCs w:val="21"/>
                    </w:rPr>
                    <w:t>废丝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1" w:type="dxa"/>
                  <w:vMerge w:val="continue"/>
                  <w:vAlign w:val="center"/>
                </w:tcPr>
                <w:p>
                  <w:pPr>
                    <w:snapToGrid w:val="0"/>
                    <w:spacing w:line="320" w:lineRule="exact"/>
                    <w:jc w:val="center"/>
                    <w:rPr>
                      <w:spacing w:val="-2"/>
                      <w:szCs w:val="21"/>
                    </w:rPr>
                  </w:pPr>
                </w:p>
              </w:tc>
              <w:tc>
                <w:tcPr>
                  <w:tcW w:w="2376" w:type="dxa"/>
                  <w:gridSpan w:val="2"/>
                  <w:vMerge w:val="continue"/>
                  <w:vAlign w:val="center"/>
                </w:tcPr>
                <w:p>
                  <w:pPr>
                    <w:snapToGrid w:val="0"/>
                    <w:spacing w:line="320" w:lineRule="exact"/>
                    <w:jc w:val="center"/>
                    <w:rPr>
                      <w:spacing w:val="-2"/>
                      <w:szCs w:val="21"/>
                    </w:rPr>
                  </w:pPr>
                </w:p>
              </w:tc>
              <w:tc>
                <w:tcPr>
                  <w:tcW w:w="2602" w:type="dxa"/>
                  <w:vAlign w:val="center"/>
                </w:tcPr>
                <w:p>
                  <w:pPr>
                    <w:snapToGrid w:val="0"/>
                    <w:spacing w:line="320" w:lineRule="exact"/>
                    <w:jc w:val="center"/>
                    <w:rPr>
                      <w:spacing w:val="-2"/>
                      <w:szCs w:val="21"/>
                    </w:rPr>
                  </w:pPr>
                  <w:r>
                    <w:rPr>
                      <w:rFonts w:hint="eastAsia"/>
                      <w:spacing w:val="-2"/>
                      <w:szCs w:val="21"/>
                    </w:rPr>
                    <w:t>拉丝冷却水</w:t>
                  </w:r>
                </w:p>
              </w:tc>
              <w:tc>
                <w:tcPr>
                  <w:tcW w:w="2263" w:type="dxa"/>
                  <w:vAlign w:val="center"/>
                </w:tcPr>
                <w:p>
                  <w:pPr>
                    <w:snapToGrid w:val="0"/>
                    <w:spacing w:line="320" w:lineRule="exact"/>
                    <w:jc w:val="center"/>
                    <w:rPr>
                      <w:spacing w:val="-2"/>
                      <w:szCs w:val="21"/>
                    </w:rPr>
                  </w:pPr>
                  <w:r>
                    <w:rPr>
                      <w:rFonts w:hint="eastAsia"/>
                      <w:spacing w:val="-2"/>
                      <w:szCs w:val="21"/>
                    </w:rPr>
                    <w:t>塑料漂浮渣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1" w:type="dxa"/>
                  <w:vMerge w:val="continue"/>
                  <w:vAlign w:val="center"/>
                </w:tcPr>
                <w:p>
                  <w:pPr>
                    <w:snapToGrid w:val="0"/>
                    <w:spacing w:line="320" w:lineRule="exact"/>
                    <w:jc w:val="center"/>
                    <w:rPr>
                      <w:spacing w:val="-2"/>
                      <w:szCs w:val="21"/>
                    </w:rPr>
                  </w:pPr>
                </w:p>
              </w:tc>
              <w:tc>
                <w:tcPr>
                  <w:tcW w:w="2376" w:type="dxa"/>
                  <w:gridSpan w:val="2"/>
                  <w:vAlign w:val="center"/>
                </w:tcPr>
                <w:p>
                  <w:pPr>
                    <w:snapToGrid w:val="0"/>
                    <w:spacing w:line="320" w:lineRule="exact"/>
                    <w:jc w:val="center"/>
                    <w:rPr>
                      <w:spacing w:val="-2"/>
                      <w:szCs w:val="21"/>
                    </w:rPr>
                  </w:pPr>
                  <w:r>
                    <w:rPr>
                      <w:rFonts w:hint="eastAsia"/>
                      <w:spacing w:val="-2"/>
                      <w:szCs w:val="21"/>
                    </w:rPr>
                    <w:t>覆膜机</w:t>
                  </w:r>
                </w:p>
              </w:tc>
              <w:tc>
                <w:tcPr>
                  <w:tcW w:w="2602" w:type="dxa"/>
                  <w:vAlign w:val="center"/>
                </w:tcPr>
                <w:p>
                  <w:pPr>
                    <w:snapToGrid w:val="0"/>
                    <w:spacing w:line="320" w:lineRule="exact"/>
                    <w:jc w:val="center"/>
                    <w:rPr>
                      <w:spacing w:val="-2"/>
                      <w:szCs w:val="21"/>
                    </w:rPr>
                  </w:pPr>
                  <w:r>
                    <w:rPr>
                      <w:rFonts w:hint="eastAsia"/>
                      <w:spacing w:val="-2"/>
                      <w:szCs w:val="21"/>
                    </w:rPr>
                    <w:t>覆膜过程</w:t>
                  </w:r>
                </w:p>
              </w:tc>
              <w:tc>
                <w:tcPr>
                  <w:tcW w:w="2263" w:type="dxa"/>
                  <w:vAlign w:val="center"/>
                </w:tcPr>
                <w:p>
                  <w:pPr>
                    <w:snapToGrid w:val="0"/>
                    <w:spacing w:line="320" w:lineRule="exact"/>
                    <w:jc w:val="center"/>
                    <w:rPr>
                      <w:spacing w:val="-2"/>
                      <w:szCs w:val="21"/>
                    </w:rPr>
                  </w:pPr>
                  <w:r>
                    <w:rPr>
                      <w:rFonts w:hint="eastAsia"/>
                      <w:spacing w:val="-2"/>
                      <w:szCs w:val="21"/>
                    </w:rPr>
                    <w:t>废边角料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1" w:type="dxa"/>
                  <w:vMerge w:val="continue"/>
                  <w:vAlign w:val="center"/>
                </w:tcPr>
                <w:p>
                  <w:pPr>
                    <w:snapToGrid w:val="0"/>
                    <w:spacing w:line="320" w:lineRule="exact"/>
                    <w:jc w:val="center"/>
                    <w:rPr>
                      <w:spacing w:val="-2"/>
                      <w:szCs w:val="21"/>
                    </w:rPr>
                  </w:pPr>
                </w:p>
              </w:tc>
              <w:tc>
                <w:tcPr>
                  <w:tcW w:w="2376" w:type="dxa"/>
                  <w:gridSpan w:val="2"/>
                  <w:vAlign w:val="center"/>
                </w:tcPr>
                <w:p>
                  <w:pPr>
                    <w:snapToGrid w:val="0"/>
                    <w:spacing w:line="320" w:lineRule="exact"/>
                    <w:jc w:val="center"/>
                    <w:rPr>
                      <w:spacing w:val="-2"/>
                      <w:szCs w:val="21"/>
                    </w:rPr>
                  </w:pPr>
                  <w:r>
                    <w:rPr>
                      <w:rFonts w:hint="eastAsia"/>
                      <w:spacing w:val="-2"/>
                      <w:szCs w:val="21"/>
                    </w:rPr>
                    <w:t>圆织机</w:t>
                  </w:r>
                </w:p>
              </w:tc>
              <w:tc>
                <w:tcPr>
                  <w:tcW w:w="2602" w:type="dxa"/>
                  <w:vAlign w:val="center"/>
                </w:tcPr>
                <w:p>
                  <w:pPr>
                    <w:snapToGrid w:val="0"/>
                    <w:spacing w:line="320" w:lineRule="exact"/>
                    <w:jc w:val="center"/>
                    <w:rPr>
                      <w:spacing w:val="-2"/>
                      <w:szCs w:val="21"/>
                    </w:rPr>
                  </w:pPr>
                  <w:r>
                    <w:rPr>
                      <w:rFonts w:hint="eastAsia"/>
                      <w:spacing w:val="-2"/>
                      <w:szCs w:val="21"/>
                    </w:rPr>
                    <w:t>圆织过程</w:t>
                  </w:r>
                </w:p>
              </w:tc>
              <w:tc>
                <w:tcPr>
                  <w:tcW w:w="2263" w:type="dxa"/>
                  <w:vAlign w:val="center"/>
                </w:tcPr>
                <w:p>
                  <w:pPr>
                    <w:snapToGrid w:val="0"/>
                    <w:spacing w:line="320" w:lineRule="exact"/>
                    <w:jc w:val="center"/>
                    <w:rPr>
                      <w:spacing w:val="-2"/>
                      <w:szCs w:val="21"/>
                    </w:rPr>
                  </w:pPr>
                  <w:r>
                    <w:rPr>
                      <w:rFonts w:hint="eastAsia"/>
                      <w:spacing w:val="-2"/>
                      <w:szCs w:val="21"/>
                    </w:rPr>
                    <w:t>废丝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1" w:type="dxa"/>
                  <w:vMerge w:val="continue"/>
                  <w:vAlign w:val="center"/>
                </w:tcPr>
                <w:p>
                  <w:pPr>
                    <w:snapToGrid w:val="0"/>
                    <w:spacing w:line="320" w:lineRule="exact"/>
                    <w:jc w:val="center"/>
                    <w:rPr>
                      <w:spacing w:val="-2"/>
                      <w:szCs w:val="21"/>
                    </w:rPr>
                  </w:pPr>
                </w:p>
              </w:tc>
              <w:tc>
                <w:tcPr>
                  <w:tcW w:w="2376" w:type="dxa"/>
                  <w:gridSpan w:val="2"/>
                  <w:vAlign w:val="center"/>
                </w:tcPr>
                <w:p>
                  <w:pPr>
                    <w:snapToGrid w:val="0"/>
                    <w:spacing w:line="320" w:lineRule="exact"/>
                    <w:jc w:val="center"/>
                    <w:rPr>
                      <w:spacing w:val="-2"/>
                      <w:szCs w:val="21"/>
                    </w:rPr>
                  </w:pPr>
                  <w:r>
                    <w:rPr>
                      <w:rFonts w:hint="eastAsia"/>
                      <w:spacing w:val="-2"/>
                      <w:szCs w:val="21"/>
                    </w:rPr>
                    <w:t>吊带机</w:t>
                  </w:r>
                </w:p>
              </w:tc>
              <w:tc>
                <w:tcPr>
                  <w:tcW w:w="2602" w:type="dxa"/>
                  <w:vAlign w:val="center"/>
                </w:tcPr>
                <w:p>
                  <w:pPr>
                    <w:snapToGrid w:val="0"/>
                    <w:spacing w:line="320" w:lineRule="exact"/>
                    <w:jc w:val="center"/>
                    <w:rPr>
                      <w:spacing w:val="-2"/>
                      <w:szCs w:val="21"/>
                    </w:rPr>
                  </w:pPr>
                  <w:r>
                    <w:rPr>
                      <w:rFonts w:hint="eastAsia"/>
                      <w:spacing w:val="-2"/>
                      <w:szCs w:val="21"/>
                    </w:rPr>
                    <w:t>编织过程</w:t>
                  </w:r>
                </w:p>
              </w:tc>
              <w:tc>
                <w:tcPr>
                  <w:tcW w:w="2263" w:type="dxa"/>
                  <w:vAlign w:val="center"/>
                </w:tcPr>
                <w:p>
                  <w:pPr>
                    <w:snapToGrid w:val="0"/>
                    <w:spacing w:line="320" w:lineRule="exact"/>
                    <w:jc w:val="center"/>
                    <w:rPr>
                      <w:spacing w:val="-2"/>
                      <w:szCs w:val="21"/>
                    </w:rPr>
                  </w:pPr>
                  <w:r>
                    <w:rPr>
                      <w:rFonts w:hint="eastAsia"/>
                      <w:spacing w:val="-2"/>
                      <w:szCs w:val="21"/>
                    </w:rPr>
                    <w:t>废丝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1" w:type="dxa"/>
                  <w:vMerge w:val="continue"/>
                  <w:vAlign w:val="center"/>
                </w:tcPr>
                <w:p>
                  <w:pPr>
                    <w:snapToGrid w:val="0"/>
                    <w:spacing w:line="320" w:lineRule="exact"/>
                    <w:jc w:val="center"/>
                    <w:rPr>
                      <w:spacing w:val="-2"/>
                      <w:szCs w:val="21"/>
                    </w:rPr>
                  </w:pPr>
                </w:p>
              </w:tc>
              <w:tc>
                <w:tcPr>
                  <w:tcW w:w="2376" w:type="dxa"/>
                  <w:gridSpan w:val="2"/>
                  <w:vAlign w:val="center"/>
                </w:tcPr>
                <w:p>
                  <w:pPr>
                    <w:snapToGrid w:val="0"/>
                    <w:spacing w:line="320" w:lineRule="exact"/>
                    <w:jc w:val="center"/>
                    <w:rPr>
                      <w:spacing w:val="-2"/>
                      <w:szCs w:val="21"/>
                    </w:rPr>
                  </w:pPr>
                  <w:r>
                    <w:rPr>
                      <w:rFonts w:hint="eastAsia"/>
                      <w:spacing w:val="-2"/>
                      <w:szCs w:val="21"/>
                    </w:rPr>
                    <w:t>裁剪机</w:t>
                  </w:r>
                </w:p>
              </w:tc>
              <w:tc>
                <w:tcPr>
                  <w:tcW w:w="2602" w:type="dxa"/>
                  <w:vAlign w:val="center"/>
                </w:tcPr>
                <w:p>
                  <w:pPr>
                    <w:snapToGrid w:val="0"/>
                    <w:spacing w:line="320" w:lineRule="exact"/>
                    <w:jc w:val="center"/>
                    <w:rPr>
                      <w:spacing w:val="-2"/>
                      <w:szCs w:val="21"/>
                    </w:rPr>
                  </w:pPr>
                  <w:r>
                    <w:rPr>
                      <w:rFonts w:hint="eastAsia"/>
                      <w:spacing w:val="-2"/>
                      <w:szCs w:val="21"/>
                    </w:rPr>
                    <w:t>裁剪过程</w:t>
                  </w:r>
                </w:p>
              </w:tc>
              <w:tc>
                <w:tcPr>
                  <w:tcW w:w="2263" w:type="dxa"/>
                  <w:vAlign w:val="center"/>
                </w:tcPr>
                <w:p>
                  <w:pPr>
                    <w:snapToGrid w:val="0"/>
                    <w:spacing w:line="320" w:lineRule="exact"/>
                    <w:jc w:val="center"/>
                    <w:rPr>
                      <w:spacing w:val="-2"/>
                      <w:szCs w:val="21"/>
                    </w:rPr>
                  </w:pPr>
                  <w:r>
                    <w:rPr>
                      <w:rFonts w:hint="eastAsia"/>
                      <w:spacing w:val="-2"/>
                      <w:szCs w:val="21"/>
                    </w:rPr>
                    <w:t>废边角料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1" w:type="dxa"/>
                  <w:vMerge w:val="continue"/>
                  <w:vAlign w:val="center"/>
                </w:tcPr>
                <w:p>
                  <w:pPr>
                    <w:snapToGrid w:val="0"/>
                    <w:spacing w:line="320" w:lineRule="exact"/>
                    <w:jc w:val="center"/>
                    <w:rPr>
                      <w:spacing w:val="-2"/>
                      <w:szCs w:val="21"/>
                    </w:rPr>
                  </w:pPr>
                </w:p>
              </w:tc>
              <w:tc>
                <w:tcPr>
                  <w:tcW w:w="2376" w:type="dxa"/>
                  <w:gridSpan w:val="2"/>
                  <w:vAlign w:val="center"/>
                </w:tcPr>
                <w:p>
                  <w:pPr>
                    <w:snapToGrid w:val="0"/>
                    <w:spacing w:line="320" w:lineRule="exact"/>
                    <w:jc w:val="center"/>
                    <w:rPr>
                      <w:spacing w:val="-2"/>
                      <w:szCs w:val="21"/>
                    </w:rPr>
                  </w:pPr>
                  <w:r>
                    <w:rPr>
                      <w:rFonts w:hint="eastAsia"/>
                      <w:spacing w:val="-2"/>
                      <w:szCs w:val="21"/>
                    </w:rPr>
                    <w:t>机械设备</w:t>
                  </w:r>
                </w:p>
              </w:tc>
              <w:tc>
                <w:tcPr>
                  <w:tcW w:w="2602" w:type="dxa"/>
                  <w:vAlign w:val="center"/>
                </w:tcPr>
                <w:p>
                  <w:pPr>
                    <w:snapToGrid w:val="0"/>
                    <w:spacing w:line="320" w:lineRule="exact"/>
                    <w:jc w:val="center"/>
                    <w:rPr>
                      <w:spacing w:val="-2"/>
                      <w:szCs w:val="21"/>
                    </w:rPr>
                  </w:pPr>
                  <w:r>
                    <w:rPr>
                      <w:rFonts w:hint="eastAsia"/>
                      <w:spacing w:val="-2"/>
                      <w:szCs w:val="21"/>
                    </w:rPr>
                    <w:t>设备维护</w:t>
                  </w:r>
                </w:p>
              </w:tc>
              <w:tc>
                <w:tcPr>
                  <w:tcW w:w="2263" w:type="dxa"/>
                  <w:vAlign w:val="center"/>
                </w:tcPr>
                <w:p>
                  <w:pPr>
                    <w:snapToGrid w:val="0"/>
                    <w:spacing w:line="320" w:lineRule="exact"/>
                    <w:jc w:val="center"/>
                    <w:rPr>
                      <w:spacing w:val="-2"/>
                      <w:szCs w:val="21"/>
                    </w:rPr>
                  </w:pPr>
                  <w:r>
                    <w:rPr>
                      <w:rFonts w:hint="eastAsia"/>
                      <w:spacing w:val="-2"/>
                      <w:szCs w:val="21"/>
                    </w:rPr>
                    <w:t>废润滑油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1" w:type="dxa"/>
                  <w:vMerge w:val="continue"/>
                  <w:vAlign w:val="center"/>
                </w:tcPr>
                <w:p>
                  <w:pPr>
                    <w:snapToGrid w:val="0"/>
                    <w:spacing w:line="320" w:lineRule="exact"/>
                    <w:jc w:val="center"/>
                    <w:rPr>
                      <w:spacing w:val="-2"/>
                      <w:szCs w:val="21"/>
                    </w:rPr>
                  </w:pPr>
                </w:p>
              </w:tc>
              <w:tc>
                <w:tcPr>
                  <w:tcW w:w="2376" w:type="dxa"/>
                  <w:gridSpan w:val="2"/>
                  <w:vMerge w:val="restart"/>
                  <w:vAlign w:val="center"/>
                </w:tcPr>
                <w:p>
                  <w:pPr>
                    <w:snapToGrid w:val="0"/>
                    <w:spacing w:line="320" w:lineRule="exact"/>
                    <w:jc w:val="center"/>
                    <w:rPr>
                      <w:spacing w:val="-2"/>
                      <w:szCs w:val="21"/>
                    </w:rPr>
                  </w:pPr>
                  <w:r>
                    <w:rPr>
                      <w:rFonts w:hint="eastAsia"/>
                      <w:spacing w:val="-2"/>
                      <w:szCs w:val="21"/>
                    </w:rPr>
                    <w:t>有机废气环保设施</w:t>
                  </w:r>
                </w:p>
              </w:tc>
              <w:tc>
                <w:tcPr>
                  <w:tcW w:w="2602" w:type="dxa"/>
                  <w:vAlign w:val="center"/>
                </w:tcPr>
                <w:p>
                  <w:pPr>
                    <w:snapToGrid w:val="0"/>
                    <w:spacing w:line="320" w:lineRule="exact"/>
                    <w:jc w:val="center"/>
                    <w:rPr>
                      <w:spacing w:val="-2"/>
                      <w:szCs w:val="21"/>
                    </w:rPr>
                  </w:pPr>
                  <w:r>
                    <w:rPr>
                      <w:rFonts w:hint="eastAsia"/>
                      <w:spacing w:val="-2"/>
                      <w:szCs w:val="21"/>
                    </w:rPr>
                    <w:t>活性炭更换</w:t>
                  </w:r>
                </w:p>
              </w:tc>
              <w:tc>
                <w:tcPr>
                  <w:tcW w:w="2263" w:type="dxa"/>
                  <w:vAlign w:val="center"/>
                </w:tcPr>
                <w:p>
                  <w:pPr>
                    <w:snapToGrid w:val="0"/>
                    <w:spacing w:line="320" w:lineRule="exact"/>
                    <w:jc w:val="center"/>
                    <w:rPr>
                      <w:spacing w:val="-2"/>
                      <w:szCs w:val="21"/>
                    </w:rPr>
                  </w:pPr>
                  <w:r>
                    <w:rPr>
                      <w:rFonts w:hint="eastAsia"/>
                      <w:spacing w:val="-2"/>
                      <w:szCs w:val="21"/>
                    </w:rPr>
                    <w:t>废活性炭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1" w:type="dxa"/>
                  <w:vMerge w:val="continue"/>
                  <w:vAlign w:val="center"/>
                </w:tcPr>
                <w:p>
                  <w:pPr>
                    <w:snapToGrid w:val="0"/>
                    <w:spacing w:line="320" w:lineRule="exact"/>
                    <w:jc w:val="center"/>
                    <w:rPr>
                      <w:spacing w:val="-2"/>
                      <w:szCs w:val="21"/>
                    </w:rPr>
                  </w:pPr>
                </w:p>
              </w:tc>
              <w:tc>
                <w:tcPr>
                  <w:tcW w:w="2376" w:type="dxa"/>
                  <w:gridSpan w:val="2"/>
                  <w:vMerge w:val="continue"/>
                  <w:vAlign w:val="center"/>
                </w:tcPr>
                <w:p>
                  <w:pPr>
                    <w:snapToGrid w:val="0"/>
                    <w:spacing w:line="320" w:lineRule="exact"/>
                    <w:jc w:val="center"/>
                    <w:rPr>
                      <w:spacing w:val="-2"/>
                      <w:szCs w:val="21"/>
                    </w:rPr>
                  </w:pPr>
                </w:p>
              </w:tc>
              <w:tc>
                <w:tcPr>
                  <w:tcW w:w="2602" w:type="dxa"/>
                  <w:vAlign w:val="center"/>
                </w:tcPr>
                <w:p>
                  <w:pPr>
                    <w:snapToGrid w:val="0"/>
                    <w:spacing w:line="320" w:lineRule="exact"/>
                    <w:jc w:val="center"/>
                    <w:rPr>
                      <w:spacing w:val="-2"/>
                      <w:szCs w:val="21"/>
                    </w:rPr>
                  </w:pPr>
                  <w:r>
                    <w:rPr>
                      <w:rFonts w:hint="eastAsia"/>
                      <w:spacing w:val="-2"/>
                      <w:szCs w:val="21"/>
                    </w:rPr>
                    <w:t>光氧灯管更换</w:t>
                  </w:r>
                </w:p>
              </w:tc>
              <w:tc>
                <w:tcPr>
                  <w:tcW w:w="2263" w:type="dxa"/>
                  <w:vAlign w:val="center"/>
                </w:tcPr>
                <w:p>
                  <w:pPr>
                    <w:snapToGrid w:val="0"/>
                    <w:spacing w:line="320" w:lineRule="exact"/>
                    <w:jc w:val="center"/>
                    <w:rPr>
                      <w:spacing w:val="-2"/>
                      <w:szCs w:val="21"/>
                    </w:rPr>
                  </w:pPr>
                  <w:r>
                    <w:rPr>
                      <w:rFonts w:hint="eastAsia"/>
                      <w:spacing w:val="-2"/>
                      <w:szCs w:val="21"/>
                    </w:rPr>
                    <w:t>废光氧灯管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1" w:type="dxa"/>
                  <w:vMerge w:val="continue"/>
                  <w:tcBorders>
                    <w:bottom w:val="single" w:color="000000" w:sz="4" w:space="0"/>
                  </w:tcBorders>
                  <w:vAlign w:val="center"/>
                </w:tcPr>
                <w:p>
                  <w:pPr>
                    <w:snapToGrid w:val="0"/>
                    <w:spacing w:line="320" w:lineRule="exact"/>
                    <w:jc w:val="center"/>
                    <w:rPr>
                      <w:spacing w:val="-2"/>
                      <w:szCs w:val="21"/>
                    </w:rPr>
                  </w:pPr>
                </w:p>
              </w:tc>
              <w:tc>
                <w:tcPr>
                  <w:tcW w:w="2376" w:type="dxa"/>
                  <w:gridSpan w:val="2"/>
                  <w:tcBorders>
                    <w:bottom w:val="single" w:color="000000" w:sz="4" w:space="0"/>
                  </w:tcBorders>
                  <w:vAlign w:val="center"/>
                </w:tcPr>
                <w:p>
                  <w:pPr>
                    <w:snapToGrid w:val="0"/>
                    <w:spacing w:line="320" w:lineRule="exact"/>
                    <w:jc w:val="center"/>
                    <w:rPr>
                      <w:spacing w:val="-2"/>
                      <w:szCs w:val="21"/>
                    </w:rPr>
                  </w:pPr>
                  <w:r>
                    <w:rPr>
                      <w:rFonts w:hint="eastAsia"/>
                      <w:spacing w:val="-2"/>
                      <w:szCs w:val="21"/>
                    </w:rPr>
                    <w:t>生活垃圾</w:t>
                  </w:r>
                </w:p>
              </w:tc>
              <w:tc>
                <w:tcPr>
                  <w:tcW w:w="2602" w:type="dxa"/>
                  <w:tcBorders>
                    <w:bottom w:val="single" w:color="000000" w:sz="4" w:space="0"/>
                  </w:tcBorders>
                  <w:vAlign w:val="center"/>
                </w:tcPr>
                <w:p>
                  <w:pPr>
                    <w:snapToGrid w:val="0"/>
                    <w:spacing w:line="320" w:lineRule="exact"/>
                    <w:jc w:val="center"/>
                    <w:rPr>
                      <w:spacing w:val="-2"/>
                      <w:szCs w:val="21"/>
                    </w:rPr>
                  </w:pPr>
                  <w:r>
                    <w:rPr>
                      <w:rFonts w:hint="eastAsia"/>
                      <w:spacing w:val="-2"/>
                      <w:szCs w:val="21"/>
                    </w:rPr>
                    <w:t>职工生活</w:t>
                  </w:r>
                </w:p>
              </w:tc>
              <w:tc>
                <w:tcPr>
                  <w:tcW w:w="2263" w:type="dxa"/>
                  <w:tcBorders>
                    <w:bottom w:val="single" w:color="000000" w:sz="4" w:space="0"/>
                  </w:tcBorders>
                  <w:vAlign w:val="center"/>
                </w:tcPr>
                <w:p>
                  <w:pPr>
                    <w:snapToGrid w:val="0"/>
                    <w:spacing w:line="320" w:lineRule="exact"/>
                    <w:jc w:val="center"/>
                    <w:rPr>
                      <w:spacing w:val="-2"/>
                      <w:szCs w:val="21"/>
                    </w:rPr>
                  </w:pPr>
                  <w:r>
                    <w:rPr>
                      <w:rFonts w:hint="eastAsia"/>
                      <w:spacing w:val="-2"/>
                      <w:szCs w:val="21"/>
                    </w:rPr>
                    <w:t>生活垃圾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1" w:type="dxa"/>
                  <w:tcBorders>
                    <w:left w:val="nil"/>
                    <w:bottom w:val="nil"/>
                    <w:right w:val="nil"/>
                  </w:tcBorders>
                  <w:vAlign w:val="center"/>
                </w:tcPr>
                <w:p>
                  <w:pPr>
                    <w:snapToGrid w:val="0"/>
                    <w:spacing w:line="320" w:lineRule="exact"/>
                    <w:jc w:val="center"/>
                    <w:rPr>
                      <w:spacing w:val="-2"/>
                      <w:szCs w:val="21"/>
                    </w:rPr>
                  </w:pPr>
                </w:p>
              </w:tc>
              <w:tc>
                <w:tcPr>
                  <w:tcW w:w="2376" w:type="dxa"/>
                  <w:gridSpan w:val="2"/>
                  <w:tcBorders>
                    <w:left w:val="nil"/>
                    <w:bottom w:val="nil"/>
                    <w:right w:val="nil"/>
                  </w:tcBorders>
                  <w:vAlign w:val="center"/>
                </w:tcPr>
                <w:p>
                  <w:pPr>
                    <w:snapToGrid w:val="0"/>
                    <w:spacing w:line="320" w:lineRule="exact"/>
                    <w:jc w:val="center"/>
                    <w:rPr>
                      <w:spacing w:val="-2"/>
                      <w:szCs w:val="21"/>
                    </w:rPr>
                  </w:pPr>
                </w:p>
              </w:tc>
              <w:tc>
                <w:tcPr>
                  <w:tcW w:w="2602" w:type="dxa"/>
                  <w:tcBorders>
                    <w:left w:val="nil"/>
                    <w:bottom w:val="nil"/>
                    <w:right w:val="nil"/>
                  </w:tcBorders>
                  <w:vAlign w:val="center"/>
                </w:tcPr>
                <w:p>
                  <w:pPr>
                    <w:snapToGrid w:val="0"/>
                    <w:spacing w:line="320" w:lineRule="exact"/>
                    <w:jc w:val="center"/>
                    <w:rPr>
                      <w:spacing w:val="-2"/>
                      <w:szCs w:val="21"/>
                    </w:rPr>
                  </w:pPr>
                </w:p>
              </w:tc>
              <w:tc>
                <w:tcPr>
                  <w:tcW w:w="2263" w:type="dxa"/>
                  <w:tcBorders>
                    <w:left w:val="nil"/>
                    <w:bottom w:val="nil"/>
                    <w:right w:val="nil"/>
                  </w:tcBorders>
                  <w:vAlign w:val="center"/>
                </w:tcPr>
                <w:p>
                  <w:pPr>
                    <w:snapToGrid w:val="0"/>
                    <w:spacing w:line="320" w:lineRule="exact"/>
                    <w:jc w:val="center"/>
                    <w:rPr>
                      <w:spacing w:val="-2"/>
                      <w:szCs w:val="21"/>
                    </w:rPr>
                  </w:pPr>
                </w:p>
              </w:tc>
            </w:tr>
          </w:tbl>
          <w:p>
            <w:pPr>
              <w:pStyle w:val="53"/>
              <w:numPr>
                <w:ilvl w:val="0"/>
                <w:numId w:val="0"/>
              </w:numPr>
              <w:ind w:left="845"/>
              <w:rPr>
                <w:rFonts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96" w:type="dxa"/>
            <w:vAlign w:val="center"/>
          </w:tcPr>
          <w:p>
            <w:pPr>
              <w:pStyle w:val="23"/>
              <w:adjustRightInd w:val="0"/>
              <w:snapToGrid w:val="0"/>
              <w:spacing w:before="0" w:beforeAutospacing="0" w:after="0" w:afterAutospacing="0"/>
              <w:jc w:val="center"/>
              <w:rPr>
                <w:rFonts w:ascii="Times New Roman" w:hAnsi="Times New Roman"/>
                <w:szCs w:val="24"/>
              </w:rPr>
            </w:pPr>
            <w:r>
              <w:rPr>
                <w:rFonts w:ascii="Times New Roman"/>
                <w:bCs/>
                <w:kern w:val="2"/>
                <w:szCs w:val="24"/>
              </w:rPr>
              <w:t>与项目有关的原有环境污染问题</w:t>
            </w:r>
          </w:p>
        </w:tc>
        <w:tc>
          <w:tcPr>
            <w:tcW w:w="8488" w:type="dxa"/>
          </w:tcPr>
          <w:p>
            <w:pPr>
              <w:adjustRightInd w:val="0"/>
              <w:snapToGrid w:val="0"/>
              <w:spacing w:line="360" w:lineRule="auto"/>
              <w:rPr>
                <w:b/>
                <w:bCs/>
                <w:sz w:val="24"/>
                <w:u w:val="single"/>
              </w:rPr>
            </w:pPr>
            <w:r>
              <w:rPr>
                <w:rFonts w:hint="eastAsia"/>
                <w:b/>
                <w:bCs/>
                <w:sz w:val="24"/>
                <w:u w:val="single"/>
              </w:rPr>
              <w:t>1</w:t>
            </w:r>
            <w:r>
              <w:rPr>
                <w:rFonts w:hint="eastAsia"/>
                <w:b/>
                <w:sz w:val="24"/>
                <w:u w:val="single"/>
              </w:rPr>
              <w:t>洛阳东资实业有限公司现有工程概况</w:t>
            </w:r>
          </w:p>
          <w:p>
            <w:pPr>
              <w:adjustRightInd w:val="0"/>
              <w:snapToGrid w:val="0"/>
              <w:spacing w:line="360" w:lineRule="auto"/>
              <w:rPr>
                <w:b/>
                <w:bCs/>
                <w:sz w:val="24"/>
                <w:u w:val="single"/>
              </w:rPr>
            </w:pPr>
            <w:r>
              <w:rPr>
                <w:rFonts w:hint="eastAsia"/>
                <w:b/>
                <w:bCs/>
                <w:sz w:val="24"/>
                <w:u w:val="single"/>
              </w:rPr>
              <w:t>1.1现有项目环保手续履行情况</w:t>
            </w:r>
          </w:p>
          <w:p>
            <w:pPr>
              <w:widowControl/>
              <w:spacing w:line="360" w:lineRule="auto"/>
              <w:ind w:firstLine="480" w:firstLineChars="200"/>
              <w:rPr>
                <w:sz w:val="24"/>
                <w:u w:val="single"/>
              </w:rPr>
            </w:pPr>
            <w:r>
              <w:rPr>
                <w:rFonts w:hint="eastAsia"/>
                <w:sz w:val="24"/>
                <w:u w:val="single"/>
              </w:rPr>
              <w:t>洛阳东资实业有限公司现有厂区位于</w:t>
            </w:r>
            <w:r>
              <w:rPr>
                <w:rFonts w:hint="eastAsia" w:ascii="宋体"/>
                <w:sz w:val="24"/>
                <w:u w:val="single"/>
              </w:rPr>
              <w:t>偃师区首阳山街道办事处寨后村，</w:t>
            </w:r>
            <w:r>
              <w:rPr>
                <w:rFonts w:hint="eastAsia"/>
                <w:kern w:val="0"/>
                <w:sz w:val="24"/>
                <w:u w:val="single"/>
              </w:rPr>
              <w:t>现有环保手续履行情况见下表。</w:t>
            </w:r>
          </w:p>
          <w:p>
            <w:pPr>
              <w:pStyle w:val="53"/>
              <w:numPr>
                <w:ilvl w:val="0"/>
                <w:numId w:val="2"/>
              </w:numPr>
              <w:ind w:left="0" w:firstLine="0"/>
              <w:rPr>
                <w:kern w:val="0"/>
              </w:rPr>
            </w:pPr>
            <w:r>
              <w:rPr>
                <w:rFonts w:hint="eastAsia"/>
                <w:kern w:val="0"/>
              </w:rPr>
              <w:t>现有环保手续履行情况一览表</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6"/>
              <w:gridCol w:w="4282"/>
              <w:gridCol w:w="31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46" w:type="dxa"/>
                  <w:vAlign w:val="center"/>
                </w:tcPr>
                <w:p>
                  <w:pPr>
                    <w:pStyle w:val="80"/>
                  </w:pPr>
                  <w:r>
                    <w:rPr>
                      <w:rFonts w:hint="eastAsia"/>
                    </w:rPr>
                    <w:t>序号</w:t>
                  </w:r>
                </w:p>
              </w:tc>
              <w:tc>
                <w:tcPr>
                  <w:tcW w:w="4282" w:type="dxa"/>
                  <w:vAlign w:val="center"/>
                </w:tcPr>
                <w:p>
                  <w:pPr>
                    <w:pStyle w:val="80"/>
                  </w:pPr>
                  <w:r>
                    <w:rPr>
                      <w:rFonts w:hint="eastAsia"/>
                    </w:rPr>
                    <w:t>项目名称</w:t>
                  </w:r>
                </w:p>
              </w:tc>
              <w:tc>
                <w:tcPr>
                  <w:tcW w:w="3128" w:type="dxa"/>
                  <w:vAlign w:val="center"/>
                </w:tcPr>
                <w:p>
                  <w:pPr>
                    <w:pStyle w:val="80"/>
                  </w:pPr>
                  <w:r>
                    <w:rPr>
                      <w:rFonts w:hint="eastAsia"/>
                    </w:rPr>
                    <w:t>审批文号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46" w:type="dxa"/>
                  <w:vMerge w:val="restart"/>
                  <w:vAlign w:val="center"/>
                </w:tcPr>
                <w:p>
                  <w:pPr>
                    <w:spacing w:line="320" w:lineRule="exact"/>
                    <w:jc w:val="center"/>
                    <w:rPr>
                      <w:szCs w:val="21"/>
                    </w:rPr>
                  </w:pPr>
                  <w:r>
                    <w:rPr>
                      <w:rFonts w:hint="eastAsia"/>
                      <w:szCs w:val="21"/>
                    </w:rPr>
                    <w:t>1</w:t>
                  </w:r>
                </w:p>
              </w:tc>
              <w:tc>
                <w:tcPr>
                  <w:tcW w:w="4282" w:type="dxa"/>
                  <w:vAlign w:val="center"/>
                </w:tcPr>
                <w:p>
                  <w:pPr>
                    <w:spacing w:line="320" w:lineRule="exact"/>
                    <w:jc w:val="center"/>
                    <w:rPr>
                      <w:szCs w:val="21"/>
                    </w:rPr>
                  </w:pPr>
                  <w:r>
                    <w:rPr>
                      <w:rFonts w:hint="eastAsia"/>
                      <w:szCs w:val="21"/>
                    </w:rPr>
                    <w:t>年产100万条集装袋项目</w:t>
                  </w:r>
                </w:p>
              </w:tc>
              <w:tc>
                <w:tcPr>
                  <w:tcW w:w="3128" w:type="dxa"/>
                  <w:vAlign w:val="center"/>
                </w:tcPr>
                <w:p>
                  <w:pPr>
                    <w:spacing w:line="320" w:lineRule="exact"/>
                    <w:jc w:val="center"/>
                    <w:rPr>
                      <w:szCs w:val="21"/>
                    </w:rPr>
                  </w:pPr>
                  <w:r>
                    <w:rPr>
                      <w:rFonts w:hint="eastAsia"/>
                      <w:szCs w:val="21"/>
                    </w:rPr>
                    <w:t>偃环监表〔2019〕53号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46" w:type="dxa"/>
                  <w:vMerge w:val="continue"/>
                  <w:vAlign w:val="center"/>
                </w:tcPr>
                <w:p>
                  <w:pPr>
                    <w:spacing w:line="320" w:lineRule="exact"/>
                    <w:jc w:val="center"/>
                    <w:rPr>
                      <w:szCs w:val="21"/>
                    </w:rPr>
                  </w:pPr>
                </w:p>
              </w:tc>
              <w:tc>
                <w:tcPr>
                  <w:tcW w:w="7410" w:type="dxa"/>
                  <w:gridSpan w:val="2"/>
                  <w:vAlign w:val="center"/>
                </w:tcPr>
                <w:p>
                  <w:pPr>
                    <w:spacing w:line="320" w:lineRule="exact"/>
                    <w:jc w:val="center"/>
                    <w:rPr>
                      <w:szCs w:val="21"/>
                    </w:rPr>
                  </w:pPr>
                  <w:r>
                    <w:rPr>
                      <w:rFonts w:hint="eastAsia"/>
                      <w:szCs w:val="21"/>
                    </w:rPr>
                    <w:t>该项目分阶段建设，于2019年12月和2020年10月进行了企业自主验收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46" w:type="dxa"/>
                  <w:vMerge w:val="restart"/>
                  <w:vAlign w:val="center"/>
                </w:tcPr>
                <w:p>
                  <w:pPr>
                    <w:spacing w:line="320" w:lineRule="exact"/>
                    <w:jc w:val="center"/>
                    <w:rPr>
                      <w:szCs w:val="21"/>
                    </w:rPr>
                  </w:pPr>
                  <w:r>
                    <w:rPr>
                      <w:rFonts w:hint="eastAsia"/>
                      <w:szCs w:val="21"/>
                    </w:rPr>
                    <w:t>2</w:t>
                  </w:r>
                </w:p>
              </w:tc>
              <w:tc>
                <w:tcPr>
                  <w:tcW w:w="4282" w:type="dxa"/>
                  <w:vAlign w:val="center"/>
                </w:tcPr>
                <w:p>
                  <w:pPr>
                    <w:spacing w:line="320" w:lineRule="exact"/>
                    <w:jc w:val="center"/>
                    <w:rPr>
                      <w:szCs w:val="21"/>
                    </w:rPr>
                  </w:pPr>
                  <w:r>
                    <w:rPr>
                      <w:rFonts w:hint="eastAsia"/>
                      <w:szCs w:val="21"/>
                    </w:rPr>
                    <w:t>扩建年产100万条集装袋项目</w:t>
                  </w:r>
                </w:p>
              </w:tc>
              <w:tc>
                <w:tcPr>
                  <w:tcW w:w="3128" w:type="dxa"/>
                  <w:vAlign w:val="center"/>
                </w:tcPr>
                <w:p>
                  <w:pPr>
                    <w:spacing w:line="320" w:lineRule="exact"/>
                    <w:jc w:val="center"/>
                    <w:rPr>
                      <w:szCs w:val="21"/>
                    </w:rPr>
                  </w:pPr>
                  <w:r>
                    <w:rPr>
                      <w:rFonts w:hint="eastAsia"/>
                      <w:szCs w:val="21"/>
                    </w:rPr>
                    <w:t>偃环监表〔2021〕11号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46" w:type="dxa"/>
                  <w:vMerge w:val="continue"/>
                  <w:vAlign w:val="center"/>
                </w:tcPr>
                <w:p>
                  <w:pPr>
                    <w:spacing w:line="320" w:lineRule="exact"/>
                    <w:jc w:val="center"/>
                    <w:rPr>
                      <w:szCs w:val="21"/>
                    </w:rPr>
                  </w:pPr>
                </w:p>
              </w:tc>
              <w:tc>
                <w:tcPr>
                  <w:tcW w:w="7410" w:type="dxa"/>
                  <w:gridSpan w:val="2"/>
                  <w:vAlign w:val="center"/>
                </w:tcPr>
                <w:p>
                  <w:pPr>
                    <w:spacing w:line="320" w:lineRule="exact"/>
                    <w:rPr>
                      <w:szCs w:val="21"/>
                    </w:rPr>
                  </w:pPr>
                  <w:r>
                    <w:rPr>
                      <w:rFonts w:hint="eastAsia"/>
                      <w:szCs w:val="21"/>
                    </w:rPr>
                    <w:t>该项目分阶段建设，并于2021年5月、2021年9月和2022年10月进行了企业自主验收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46" w:type="dxa"/>
                  <w:vAlign w:val="center"/>
                </w:tcPr>
                <w:p>
                  <w:pPr>
                    <w:spacing w:line="320" w:lineRule="exact"/>
                    <w:jc w:val="center"/>
                    <w:rPr>
                      <w:szCs w:val="21"/>
                    </w:rPr>
                  </w:pPr>
                  <w:r>
                    <w:rPr>
                      <w:rFonts w:hint="eastAsia"/>
                      <w:szCs w:val="21"/>
                    </w:rPr>
                    <w:t>3</w:t>
                  </w:r>
                </w:p>
              </w:tc>
              <w:tc>
                <w:tcPr>
                  <w:tcW w:w="4282" w:type="dxa"/>
                  <w:vAlign w:val="center"/>
                </w:tcPr>
                <w:p>
                  <w:pPr>
                    <w:spacing w:line="320" w:lineRule="exact"/>
                    <w:jc w:val="center"/>
                    <w:rPr>
                      <w:bCs/>
                      <w:sz w:val="24"/>
                    </w:rPr>
                  </w:pPr>
                  <w:r>
                    <w:rPr>
                      <w:rFonts w:hint="eastAsia"/>
                      <w:szCs w:val="21"/>
                    </w:rPr>
                    <w:t>企业申请了固定污染源排污登记</w:t>
                  </w:r>
                </w:p>
              </w:tc>
              <w:tc>
                <w:tcPr>
                  <w:tcW w:w="3128" w:type="dxa"/>
                  <w:vAlign w:val="center"/>
                </w:tcPr>
                <w:p>
                  <w:pPr>
                    <w:spacing w:line="320" w:lineRule="exact"/>
                    <w:jc w:val="center"/>
                    <w:rPr>
                      <w:kern w:val="0"/>
                      <w:szCs w:val="21"/>
                    </w:rPr>
                  </w:pPr>
                  <w:r>
                    <w:rPr>
                      <w:rFonts w:hint="eastAsia"/>
                      <w:szCs w:val="21"/>
                    </w:rPr>
                    <w:t>排污登记编号：</w:t>
                  </w:r>
                  <w:r>
                    <w:rPr>
                      <w:szCs w:val="21"/>
                    </w:rPr>
                    <w:t>91410381MA46CK2Q5H001Z</w:t>
                  </w:r>
                </w:p>
              </w:tc>
            </w:tr>
          </w:tbl>
          <w:p>
            <w:pPr>
              <w:spacing w:line="360" w:lineRule="auto"/>
              <w:rPr>
                <w:bCs/>
                <w:sz w:val="24"/>
              </w:rPr>
            </w:pPr>
            <w:r>
              <w:rPr>
                <w:rFonts w:hint="eastAsia"/>
                <w:b/>
                <w:bCs/>
                <w:sz w:val="24"/>
              </w:rPr>
              <w:t>1.2现有工程基本情况</w:t>
            </w:r>
          </w:p>
          <w:p>
            <w:pPr>
              <w:spacing w:line="360" w:lineRule="auto"/>
              <w:ind w:firstLine="480" w:firstLineChars="200"/>
              <w:rPr>
                <w:sz w:val="24"/>
              </w:rPr>
            </w:pPr>
            <w:r>
              <w:rPr>
                <w:rFonts w:hint="eastAsia"/>
                <w:bCs/>
                <w:sz w:val="24"/>
              </w:rPr>
              <w:t>现有工程基本情况见下表。</w:t>
            </w:r>
          </w:p>
          <w:p>
            <w:pPr>
              <w:pStyle w:val="53"/>
              <w:numPr>
                <w:ilvl w:val="0"/>
                <w:numId w:val="2"/>
              </w:numPr>
              <w:ind w:left="0" w:firstLine="0"/>
            </w:pPr>
            <w:r>
              <w:rPr>
                <w:rFonts w:hint="eastAsia"/>
              </w:rPr>
              <w:t>现有工程概况一览表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197"/>
              <w:gridCol w:w="617"/>
              <w:gridCol w:w="5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757" w:type="dxa"/>
                  <w:vAlign w:val="center"/>
                </w:tcPr>
                <w:p>
                  <w:pPr>
                    <w:pStyle w:val="54"/>
                    <w:spacing w:line="320" w:lineRule="exact"/>
                  </w:pPr>
                  <w:r>
                    <w:t>序号</w:t>
                  </w:r>
                </w:p>
              </w:tc>
              <w:tc>
                <w:tcPr>
                  <w:tcW w:w="1197" w:type="dxa"/>
                  <w:vAlign w:val="center"/>
                </w:tcPr>
                <w:p>
                  <w:pPr>
                    <w:pStyle w:val="54"/>
                    <w:spacing w:line="320" w:lineRule="exact"/>
                  </w:pPr>
                  <w:r>
                    <w:t>项目</w:t>
                  </w:r>
                </w:p>
              </w:tc>
              <w:tc>
                <w:tcPr>
                  <w:tcW w:w="6308" w:type="dxa"/>
                  <w:gridSpan w:val="2"/>
                  <w:vAlign w:val="center"/>
                </w:tcPr>
                <w:p>
                  <w:pPr>
                    <w:pStyle w:val="54"/>
                    <w:spacing w:line="320" w:lineRule="exact"/>
                  </w:pPr>
                  <w:r>
                    <w:rPr>
                      <w:rFonts w:hint="eastAsia"/>
                    </w:rPr>
                    <w:t>现有工程基本情况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7" w:type="dxa"/>
                  <w:vAlign w:val="center"/>
                </w:tcPr>
                <w:p>
                  <w:pPr>
                    <w:adjustRightInd w:val="0"/>
                    <w:snapToGrid w:val="0"/>
                    <w:spacing w:line="320" w:lineRule="exact"/>
                    <w:jc w:val="center"/>
                    <w:textAlignment w:val="center"/>
                    <w:rPr>
                      <w:kern w:val="0"/>
                      <w:szCs w:val="21"/>
                    </w:rPr>
                  </w:pPr>
                  <w:r>
                    <w:rPr>
                      <w:kern w:val="0"/>
                      <w:szCs w:val="21"/>
                    </w:rPr>
                    <w:t>1</w:t>
                  </w:r>
                </w:p>
              </w:tc>
              <w:tc>
                <w:tcPr>
                  <w:tcW w:w="1197" w:type="dxa"/>
                  <w:vAlign w:val="center"/>
                </w:tcPr>
                <w:p>
                  <w:pPr>
                    <w:adjustRightInd w:val="0"/>
                    <w:snapToGrid w:val="0"/>
                    <w:spacing w:line="320" w:lineRule="exact"/>
                    <w:jc w:val="center"/>
                    <w:textAlignment w:val="center"/>
                    <w:rPr>
                      <w:kern w:val="0"/>
                      <w:szCs w:val="21"/>
                    </w:rPr>
                  </w:pPr>
                  <w:r>
                    <w:rPr>
                      <w:rFonts w:hint="eastAsia"/>
                      <w:kern w:val="0"/>
                      <w:szCs w:val="21"/>
                    </w:rPr>
                    <w:t>生产规模</w:t>
                  </w:r>
                </w:p>
              </w:tc>
              <w:tc>
                <w:tcPr>
                  <w:tcW w:w="6308" w:type="dxa"/>
                  <w:gridSpan w:val="2"/>
                  <w:vAlign w:val="center"/>
                </w:tcPr>
                <w:p>
                  <w:pPr>
                    <w:adjustRightInd w:val="0"/>
                    <w:snapToGrid w:val="0"/>
                    <w:spacing w:line="320" w:lineRule="exact"/>
                    <w:jc w:val="center"/>
                    <w:textAlignment w:val="center"/>
                    <w:rPr>
                      <w:kern w:val="0"/>
                      <w:szCs w:val="21"/>
                    </w:rPr>
                  </w:pPr>
                  <w:r>
                    <w:rPr>
                      <w:rFonts w:hint="eastAsia"/>
                      <w:kern w:val="0"/>
                      <w:szCs w:val="21"/>
                    </w:rPr>
                    <w:t>年产200万条集装袋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7" w:type="dxa"/>
                  <w:vAlign w:val="center"/>
                </w:tcPr>
                <w:p>
                  <w:pPr>
                    <w:adjustRightInd w:val="0"/>
                    <w:snapToGrid w:val="0"/>
                    <w:spacing w:line="320" w:lineRule="exact"/>
                    <w:jc w:val="center"/>
                    <w:textAlignment w:val="center"/>
                    <w:rPr>
                      <w:kern w:val="0"/>
                      <w:szCs w:val="21"/>
                    </w:rPr>
                  </w:pPr>
                  <w:r>
                    <w:rPr>
                      <w:kern w:val="0"/>
                      <w:szCs w:val="21"/>
                    </w:rPr>
                    <w:t>2</w:t>
                  </w:r>
                </w:p>
              </w:tc>
              <w:tc>
                <w:tcPr>
                  <w:tcW w:w="1197" w:type="dxa"/>
                  <w:vAlign w:val="center"/>
                </w:tcPr>
                <w:p>
                  <w:pPr>
                    <w:adjustRightInd w:val="0"/>
                    <w:snapToGrid w:val="0"/>
                    <w:spacing w:line="320" w:lineRule="exact"/>
                    <w:jc w:val="center"/>
                    <w:textAlignment w:val="center"/>
                    <w:rPr>
                      <w:kern w:val="0"/>
                      <w:szCs w:val="21"/>
                    </w:rPr>
                  </w:pPr>
                  <w:r>
                    <w:rPr>
                      <w:rFonts w:hint="eastAsia"/>
                      <w:kern w:val="0"/>
                      <w:szCs w:val="21"/>
                    </w:rPr>
                    <w:t>职工人数</w:t>
                  </w:r>
                </w:p>
              </w:tc>
              <w:tc>
                <w:tcPr>
                  <w:tcW w:w="6308" w:type="dxa"/>
                  <w:gridSpan w:val="2"/>
                  <w:vAlign w:val="center"/>
                </w:tcPr>
                <w:p>
                  <w:pPr>
                    <w:adjustRightInd w:val="0"/>
                    <w:snapToGrid w:val="0"/>
                    <w:spacing w:line="320" w:lineRule="exact"/>
                    <w:jc w:val="center"/>
                    <w:textAlignment w:val="center"/>
                    <w:rPr>
                      <w:kern w:val="0"/>
                      <w:szCs w:val="21"/>
                    </w:rPr>
                  </w:pPr>
                  <w:r>
                    <w:rPr>
                      <w:rFonts w:hint="eastAsia"/>
                      <w:kern w:val="0"/>
                      <w:szCs w:val="21"/>
                    </w:rPr>
                    <w:t>72</w:t>
                  </w:r>
                  <w:r>
                    <w:rPr>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7" w:type="dxa"/>
                  <w:vAlign w:val="center"/>
                </w:tcPr>
                <w:p>
                  <w:pPr>
                    <w:adjustRightInd w:val="0"/>
                    <w:snapToGrid w:val="0"/>
                    <w:spacing w:line="320" w:lineRule="exact"/>
                    <w:jc w:val="center"/>
                    <w:textAlignment w:val="center"/>
                    <w:rPr>
                      <w:kern w:val="0"/>
                      <w:szCs w:val="21"/>
                    </w:rPr>
                  </w:pPr>
                  <w:r>
                    <w:rPr>
                      <w:rFonts w:hint="eastAsia"/>
                      <w:kern w:val="0"/>
                      <w:szCs w:val="21"/>
                    </w:rPr>
                    <w:t>3</w:t>
                  </w:r>
                </w:p>
              </w:tc>
              <w:tc>
                <w:tcPr>
                  <w:tcW w:w="1197" w:type="dxa"/>
                  <w:vAlign w:val="center"/>
                </w:tcPr>
                <w:p>
                  <w:pPr>
                    <w:spacing w:line="320" w:lineRule="exact"/>
                    <w:jc w:val="center"/>
                    <w:rPr>
                      <w:b/>
                      <w:szCs w:val="21"/>
                    </w:rPr>
                  </w:pPr>
                  <w:r>
                    <w:rPr>
                      <w:bCs/>
                      <w:szCs w:val="21"/>
                    </w:rPr>
                    <w:t>工作制度</w:t>
                  </w:r>
                </w:p>
              </w:tc>
              <w:tc>
                <w:tcPr>
                  <w:tcW w:w="6308" w:type="dxa"/>
                  <w:gridSpan w:val="2"/>
                  <w:vAlign w:val="center"/>
                </w:tcPr>
                <w:p>
                  <w:pPr>
                    <w:adjustRightInd w:val="0"/>
                    <w:snapToGrid w:val="0"/>
                    <w:spacing w:line="320" w:lineRule="exact"/>
                    <w:jc w:val="center"/>
                    <w:textAlignment w:val="center"/>
                    <w:rPr>
                      <w:szCs w:val="21"/>
                    </w:rPr>
                  </w:pPr>
                  <w:r>
                    <w:rPr>
                      <w:szCs w:val="21"/>
                    </w:rPr>
                    <w:t>年工作</w:t>
                  </w:r>
                  <w:r>
                    <w:rPr>
                      <w:rFonts w:hint="eastAsia"/>
                      <w:szCs w:val="21"/>
                    </w:rPr>
                    <w:t>260d</w:t>
                  </w:r>
                  <w:r>
                    <w:rPr>
                      <w:szCs w:val="21"/>
                    </w:rPr>
                    <w:t>，每天</w:t>
                  </w:r>
                  <w:r>
                    <w:rPr>
                      <w:rFonts w:hint="eastAsia"/>
                      <w:szCs w:val="21"/>
                    </w:rPr>
                    <w:t>2</w:t>
                  </w:r>
                  <w:r>
                    <w:rPr>
                      <w:szCs w:val="21"/>
                    </w:rPr>
                    <w:t>班，每班</w:t>
                  </w:r>
                  <w:r>
                    <w:rPr>
                      <w:rFonts w:hint="eastAsia"/>
                      <w:szCs w:val="21"/>
                    </w:rPr>
                    <w:t>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7" w:type="dxa"/>
                  <w:vAlign w:val="center"/>
                </w:tcPr>
                <w:p>
                  <w:pPr>
                    <w:adjustRightInd w:val="0"/>
                    <w:snapToGrid w:val="0"/>
                    <w:spacing w:line="320" w:lineRule="exact"/>
                    <w:jc w:val="center"/>
                    <w:textAlignment w:val="center"/>
                    <w:rPr>
                      <w:kern w:val="0"/>
                      <w:szCs w:val="21"/>
                    </w:rPr>
                  </w:pPr>
                  <w:r>
                    <w:rPr>
                      <w:rFonts w:hint="eastAsia"/>
                      <w:kern w:val="0"/>
                      <w:szCs w:val="21"/>
                    </w:rPr>
                    <w:t>4</w:t>
                  </w:r>
                </w:p>
              </w:tc>
              <w:tc>
                <w:tcPr>
                  <w:tcW w:w="1197" w:type="dxa"/>
                  <w:vAlign w:val="center"/>
                </w:tcPr>
                <w:p>
                  <w:pPr>
                    <w:spacing w:line="320" w:lineRule="exact"/>
                    <w:jc w:val="center"/>
                    <w:rPr>
                      <w:bCs/>
                      <w:szCs w:val="21"/>
                    </w:rPr>
                  </w:pPr>
                  <w:r>
                    <w:rPr>
                      <w:rFonts w:hint="eastAsia"/>
                      <w:bCs/>
                      <w:szCs w:val="21"/>
                    </w:rPr>
                    <w:t>生产工艺</w:t>
                  </w:r>
                </w:p>
              </w:tc>
              <w:tc>
                <w:tcPr>
                  <w:tcW w:w="6308" w:type="dxa"/>
                  <w:gridSpan w:val="2"/>
                  <w:vAlign w:val="center"/>
                </w:tcPr>
                <w:p>
                  <w:pPr>
                    <w:spacing w:line="320" w:lineRule="exact"/>
                    <w:rPr>
                      <w:kern w:val="0"/>
                      <w:szCs w:val="21"/>
                    </w:rPr>
                  </w:pPr>
                  <w:r>
                    <w:rPr>
                      <w:rFonts w:hint="eastAsia"/>
                      <w:kern w:val="0"/>
                      <w:szCs w:val="21"/>
                    </w:rPr>
                    <w:t>集装袋：外购聚丙烯、聚乙烯、填充母料原料-称重-投料-搅拌-下料-拉丝-绕丝-织布、织带-裁剪-缝纫-成品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7" w:type="dxa"/>
                  <w:vAlign w:val="center"/>
                </w:tcPr>
                <w:p>
                  <w:pPr>
                    <w:adjustRightInd w:val="0"/>
                    <w:snapToGrid w:val="0"/>
                    <w:spacing w:line="320" w:lineRule="exact"/>
                    <w:jc w:val="center"/>
                    <w:textAlignment w:val="center"/>
                    <w:rPr>
                      <w:kern w:val="0"/>
                      <w:szCs w:val="21"/>
                    </w:rPr>
                  </w:pPr>
                  <w:r>
                    <w:rPr>
                      <w:rFonts w:hint="eastAsia"/>
                      <w:kern w:val="0"/>
                      <w:szCs w:val="21"/>
                    </w:rPr>
                    <w:t>5</w:t>
                  </w:r>
                </w:p>
              </w:tc>
              <w:tc>
                <w:tcPr>
                  <w:tcW w:w="1197" w:type="dxa"/>
                  <w:vAlign w:val="center"/>
                </w:tcPr>
                <w:p>
                  <w:pPr>
                    <w:spacing w:line="320" w:lineRule="exact"/>
                    <w:jc w:val="center"/>
                    <w:rPr>
                      <w:bCs/>
                      <w:szCs w:val="21"/>
                    </w:rPr>
                  </w:pPr>
                  <w:r>
                    <w:rPr>
                      <w:kern w:val="0"/>
                      <w:szCs w:val="21"/>
                    </w:rPr>
                    <w:t>主体工程</w:t>
                  </w:r>
                </w:p>
              </w:tc>
              <w:tc>
                <w:tcPr>
                  <w:tcW w:w="6308" w:type="dxa"/>
                  <w:gridSpan w:val="2"/>
                  <w:vAlign w:val="center"/>
                </w:tcPr>
                <w:p>
                  <w:pPr>
                    <w:spacing w:line="320" w:lineRule="exact"/>
                    <w:jc w:val="center"/>
                    <w:rPr>
                      <w:bCs/>
                      <w:szCs w:val="21"/>
                    </w:rPr>
                  </w:pPr>
                  <w:r>
                    <w:rPr>
                      <w:rFonts w:hint="eastAsia"/>
                      <w:kern w:val="0"/>
                      <w:szCs w:val="21"/>
                    </w:rPr>
                    <w:t>生产车间2栋，拉丝机组1500/1800/2100型6组，覆膜机组1组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7" w:type="dxa"/>
                  <w:vMerge w:val="restart"/>
                  <w:vAlign w:val="center"/>
                </w:tcPr>
                <w:p>
                  <w:pPr>
                    <w:adjustRightInd w:val="0"/>
                    <w:snapToGrid w:val="0"/>
                    <w:spacing w:line="320" w:lineRule="exact"/>
                    <w:jc w:val="center"/>
                    <w:textAlignment w:val="center"/>
                    <w:rPr>
                      <w:kern w:val="0"/>
                      <w:szCs w:val="21"/>
                    </w:rPr>
                  </w:pPr>
                  <w:r>
                    <w:rPr>
                      <w:rFonts w:hint="eastAsia"/>
                      <w:kern w:val="0"/>
                      <w:szCs w:val="21"/>
                    </w:rPr>
                    <w:t>6</w:t>
                  </w:r>
                </w:p>
              </w:tc>
              <w:tc>
                <w:tcPr>
                  <w:tcW w:w="1197" w:type="dxa"/>
                  <w:vMerge w:val="restart"/>
                  <w:vAlign w:val="center"/>
                </w:tcPr>
                <w:p>
                  <w:pPr>
                    <w:adjustRightInd w:val="0"/>
                    <w:snapToGrid w:val="0"/>
                    <w:spacing w:line="320" w:lineRule="exact"/>
                    <w:jc w:val="center"/>
                    <w:textAlignment w:val="center"/>
                    <w:rPr>
                      <w:kern w:val="0"/>
                      <w:szCs w:val="21"/>
                    </w:rPr>
                  </w:pPr>
                  <w:r>
                    <w:rPr>
                      <w:rFonts w:hint="eastAsia"/>
                      <w:kern w:val="0"/>
                      <w:szCs w:val="21"/>
                    </w:rPr>
                    <w:t>环保工程</w:t>
                  </w:r>
                </w:p>
              </w:tc>
              <w:tc>
                <w:tcPr>
                  <w:tcW w:w="617" w:type="dxa"/>
                  <w:vAlign w:val="center"/>
                </w:tcPr>
                <w:p>
                  <w:pPr>
                    <w:pStyle w:val="6"/>
                    <w:spacing w:line="320" w:lineRule="exact"/>
                    <w:ind w:firstLine="0" w:firstLineChars="0"/>
                    <w:jc w:val="center"/>
                    <w:textAlignment w:val="center"/>
                    <w:rPr>
                      <w:sz w:val="21"/>
                      <w:szCs w:val="21"/>
                    </w:rPr>
                  </w:pPr>
                  <w:r>
                    <w:rPr>
                      <w:rFonts w:hint="eastAsia"/>
                      <w:sz w:val="21"/>
                      <w:szCs w:val="21"/>
                    </w:rPr>
                    <w:t>废气</w:t>
                  </w:r>
                </w:p>
              </w:tc>
              <w:tc>
                <w:tcPr>
                  <w:tcW w:w="5691" w:type="dxa"/>
                  <w:vAlign w:val="center"/>
                </w:tcPr>
                <w:p>
                  <w:pPr>
                    <w:spacing w:line="320" w:lineRule="exact"/>
                    <w:contextualSpacing/>
                    <w:rPr>
                      <w:kern w:val="0"/>
                      <w:szCs w:val="21"/>
                    </w:rPr>
                  </w:pPr>
                  <w:r>
                    <w:rPr>
                      <w:rFonts w:hint="eastAsia"/>
                      <w:kern w:val="0"/>
                      <w:szCs w:val="21"/>
                    </w:rPr>
                    <w:t>东侧车间：3组</w:t>
                  </w:r>
                  <w:r>
                    <w:rPr>
                      <w:rFonts w:hint="eastAsia"/>
                      <w:szCs w:val="21"/>
                    </w:rPr>
                    <w:t>拉丝机组搅拌机设密闭集气罩，密闭集气罩</w:t>
                  </w:r>
                  <w:r>
                    <w:rPr>
                      <w:szCs w:val="21"/>
                    </w:rPr>
                    <w:t>+</w:t>
                  </w:r>
                  <w:r>
                    <w:rPr>
                      <w:rFonts w:hint="eastAsia"/>
                      <w:szCs w:val="21"/>
                    </w:rPr>
                    <w:t>袋式除尘器</w:t>
                  </w:r>
                  <w:r>
                    <w:rPr>
                      <w:rFonts w:hint="eastAsia"/>
                      <w:kern w:val="0"/>
                      <w:szCs w:val="21"/>
                    </w:rPr>
                    <w:t>（1套）</w:t>
                  </w:r>
                  <w:r>
                    <w:rPr>
                      <w:rFonts w:hint="eastAsia"/>
                      <w:szCs w:val="21"/>
                    </w:rPr>
                    <w:t>+</w:t>
                  </w:r>
                  <w:r>
                    <w:rPr>
                      <w:szCs w:val="21"/>
                    </w:rPr>
                    <w:t>15m排气筒</w:t>
                  </w:r>
                  <w:r>
                    <w:rPr>
                      <w:rFonts w:hint="eastAsia"/>
                      <w:kern w:val="0"/>
                      <w:szCs w:val="21"/>
                    </w:rPr>
                    <w:t>（1根）</w:t>
                  </w:r>
                </w:p>
                <w:p>
                  <w:pPr>
                    <w:spacing w:line="320" w:lineRule="exact"/>
                    <w:contextualSpacing/>
                    <w:rPr>
                      <w:szCs w:val="21"/>
                    </w:rPr>
                  </w:pPr>
                  <w:r>
                    <w:rPr>
                      <w:rFonts w:hint="eastAsia"/>
                      <w:kern w:val="0"/>
                      <w:szCs w:val="21"/>
                    </w:rPr>
                    <w:t>西侧车间：3组</w:t>
                  </w:r>
                  <w:r>
                    <w:rPr>
                      <w:rFonts w:hint="eastAsia"/>
                      <w:szCs w:val="21"/>
                    </w:rPr>
                    <w:t>拉丝机组搅拌机设密闭集气罩，密闭集气罩</w:t>
                  </w:r>
                  <w:r>
                    <w:rPr>
                      <w:szCs w:val="21"/>
                    </w:rPr>
                    <w:t>+</w:t>
                  </w:r>
                  <w:r>
                    <w:rPr>
                      <w:rFonts w:hint="eastAsia"/>
                      <w:szCs w:val="21"/>
                    </w:rPr>
                    <w:t>袋式除尘器</w:t>
                  </w:r>
                  <w:r>
                    <w:rPr>
                      <w:rFonts w:hint="eastAsia"/>
                      <w:kern w:val="0"/>
                      <w:szCs w:val="21"/>
                    </w:rPr>
                    <w:t>（1套）</w:t>
                  </w:r>
                  <w:r>
                    <w:rPr>
                      <w:rFonts w:hint="eastAsia"/>
                      <w:szCs w:val="21"/>
                    </w:rPr>
                    <w:t>+</w:t>
                  </w:r>
                  <w:r>
                    <w:rPr>
                      <w:szCs w:val="21"/>
                    </w:rPr>
                    <w:t>15m排气筒</w:t>
                  </w:r>
                  <w:r>
                    <w:rPr>
                      <w:rFonts w:hint="eastAsia"/>
                      <w:kern w:val="0"/>
                      <w:szCs w:val="21"/>
                    </w:rPr>
                    <w:t>（1根）</w:t>
                  </w:r>
                </w:p>
                <w:p>
                  <w:pPr>
                    <w:spacing w:line="320" w:lineRule="exact"/>
                    <w:contextualSpacing/>
                    <w:rPr>
                      <w:kern w:val="0"/>
                      <w:szCs w:val="21"/>
                    </w:rPr>
                  </w:pPr>
                  <w:r>
                    <w:rPr>
                      <w:rFonts w:hint="eastAsia"/>
                      <w:kern w:val="0"/>
                      <w:szCs w:val="21"/>
                    </w:rPr>
                    <w:t>6组拉丝机挤出工序、烘干工序进出口设集气罩，集气罩+活性炭吸附-脱附+催化燃烧装置（1套）+15m高排气筒（1根）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7" w:type="dxa"/>
                  <w:vMerge w:val="continue"/>
                  <w:vAlign w:val="center"/>
                </w:tcPr>
                <w:p>
                  <w:pPr>
                    <w:adjustRightInd w:val="0"/>
                    <w:snapToGrid w:val="0"/>
                    <w:spacing w:line="320" w:lineRule="exact"/>
                    <w:jc w:val="center"/>
                    <w:textAlignment w:val="center"/>
                    <w:rPr>
                      <w:kern w:val="0"/>
                      <w:szCs w:val="21"/>
                    </w:rPr>
                  </w:pPr>
                </w:p>
              </w:tc>
              <w:tc>
                <w:tcPr>
                  <w:tcW w:w="1197" w:type="dxa"/>
                  <w:vMerge w:val="continue"/>
                  <w:vAlign w:val="center"/>
                </w:tcPr>
                <w:p>
                  <w:pPr>
                    <w:adjustRightInd w:val="0"/>
                    <w:snapToGrid w:val="0"/>
                    <w:spacing w:line="320" w:lineRule="exact"/>
                    <w:jc w:val="center"/>
                    <w:textAlignment w:val="center"/>
                    <w:rPr>
                      <w:kern w:val="0"/>
                      <w:szCs w:val="21"/>
                    </w:rPr>
                  </w:pPr>
                </w:p>
              </w:tc>
              <w:tc>
                <w:tcPr>
                  <w:tcW w:w="617" w:type="dxa"/>
                  <w:vAlign w:val="center"/>
                </w:tcPr>
                <w:p>
                  <w:pPr>
                    <w:pStyle w:val="6"/>
                    <w:spacing w:line="320" w:lineRule="exact"/>
                    <w:ind w:firstLine="0" w:firstLineChars="0"/>
                    <w:jc w:val="center"/>
                    <w:textAlignment w:val="center"/>
                    <w:rPr>
                      <w:sz w:val="21"/>
                      <w:szCs w:val="21"/>
                    </w:rPr>
                  </w:pPr>
                  <w:r>
                    <w:rPr>
                      <w:rFonts w:hint="eastAsia"/>
                      <w:sz w:val="21"/>
                      <w:szCs w:val="21"/>
                    </w:rPr>
                    <w:t>废水</w:t>
                  </w:r>
                </w:p>
              </w:tc>
              <w:tc>
                <w:tcPr>
                  <w:tcW w:w="5691" w:type="dxa"/>
                  <w:vAlign w:val="center"/>
                </w:tcPr>
                <w:p>
                  <w:pPr>
                    <w:spacing w:line="320" w:lineRule="exact"/>
                    <w:contextualSpacing/>
                    <w:jc w:val="left"/>
                    <w:rPr>
                      <w:kern w:val="0"/>
                      <w:szCs w:val="21"/>
                    </w:rPr>
                  </w:pPr>
                  <w:r>
                    <w:rPr>
                      <w:rFonts w:hint="eastAsia"/>
                      <w:kern w:val="0"/>
                      <w:szCs w:val="21"/>
                    </w:rPr>
                    <w:t>1、</w:t>
                  </w:r>
                  <w:r>
                    <w:rPr>
                      <w:kern w:val="0"/>
                      <w:szCs w:val="21"/>
                    </w:rPr>
                    <w:t>生活污水经化粪池</w:t>
                  </w:r>
                  <w:r>
                    <w:rPr>
                      <w:rFonts w:hint="eastAsia"/>
                      <w:kern w:val="0"/>
                      <w:szCs w:val="21"/>
                    </w:rPr>
                    <w:t>收集，</w:t>
                  </w:r>
                  <w:r>
                    <w:rPr>
                      <w:kern w:val="0"/>
                      <w:szCs w:val="21"/>
                    </w:rPr>
                    <w:t>定期清掏肥田；</w:t>
                  </w:r>
                </w:p>
                <w:p>
                  <w:pPr>
                    <w:spacing w:line="320" w:lineRule="exact"/>
                    <w:contextualSpacing/>
                    <w:jc w:val="left"/>
                    <w:rPr>
                      <w:kern w:val="0"/>
                      <w:szCs w:val="21"/>
                    </w:rPr>
                  </w:pPr>
                  <w:r>
                    <w:rPr>
                      <w:rFonts w:hint="eastAsia"/>
                      <w:kern w:val="0"/>
                      <w:szCs w:val="21"/>
                    </w:rPr>
                    <w:t>2、冷却水回用于生产</w:t>
                  </w:r>
                  <w:r>
                    <w:rPr>
                      <w:kern w:val="0"/>
                      <w:szCs w:val="21"/>
                    </w:rPr>
                    <w:t>，不外排</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7" w:type="dxa"/>
                  <w:vMerge w:val="continue"/>
                  <w:vAlign w:val="center"/>
                </w:tcPr>
                <w:p>
                  <w:pPr>
                    <w:adjustRightInd w:val="0"/>
                    <w:snapToGrid w:val="0"/>
                    <w:spacing w:line="320" w:lineRule="exact"/>
                    <w:jc w:val="center"/>
                    <w:textAlignment w:val="center"/>
                    <w:rPr>
                      <w:kern w:val="0"/>
                      <w:szCs w:val="21"/>
                    </w:rPr>
                  </w:pPr>
                </w:p>
              </w:tc>
              <w:tc>
                <w:tcPr>
                  <w:tcW w:w="1197" w:type="dxa"/>
                  <w:vMerge w:val="continue"/>
                  <w:vAlign w:val="center"/>
                </w:tcPr>
                <w:p>
                  <w:pPr>
                    <w:adjustRightInd w:val="0"/>
                    <w:snapToGrid w:val="0"/>
                    <w:spacing w:line="320" w:lineRule="exact"/>
                    <w:jc w:val="center"/>
                    <w:textAlignment w:val="center"/>
                    <w:rPr>
                      <w:kern w:val="0"/>
                      <w:szCs w:val="21"/>
                    </w:rPr>
                  </w:pPr>
                </w:p>
              </w:tc>
              <w:tc>
                <w:tcPr>
                  <w:tcW w:w="617" w:type="dxa"/>
                  <w:vAlign w:val="center"/>
                </w:tcPr>
                <w:p>
                  <w:pPr>
                    <w:pStyle w:val="6"/>
                    <w:spacing w:line="320" w:lineRule="exact"/>
                    <w:ind w:firstLine="0" w:firstLineChars="0"/>
                    <w:jc w:val="center"/>
                    <w:textAlignment w:val="center"/>
                    <w:rPr>
                      <w:sz w:val="21"/>
                      <w:szCs w:val="21"/>
                    </w:rPr>
                  </w:pPr>
                  <w:r>
                    <w:rPr>
                      <w:rFonts w:hint="eastAsia"/>
                      <w:sz w:val="21"/>
                      <w:szCs w:val="21"/>
                    </w:rPr>
                    <w:t>固废</w:t>
                  </w:r>
                </w:p>
              </w:tc>
              <w:tc>
                <w:tcPr>
                  <w:tcW w:w="5691" w:type="dxa"/>
                  <w:vAlign w:val="center"/>
                </w:tcPr>
                <w:p>
                  <w:pPr>
                    <w:spacing w:line="320" w:lineRule="exact"/>
                    <w:contextualSpacing/>
                    <w:jc w:val="left"/>
                    <w:rPr>
                      <w:kern w:val="0"/>
                      <w:szCs w:val="21"/>
                    </w:rPr>
                  </w:pPr>
                  <w:r>
                    <w:rPr>
                      <w:rFonts w:hint="eastAsia"/>
                      <w:kern w:val="0"/>
                      <w:szCs w:val="21"/>
                    </w:rPr>
                    <w:t>1、一般工业固体废物：废丝、</w:t>
                  </w:r>
                  <w:r>
                    <w:rPr>
                      <w:kern w:val="0"/>
                      <w:szCs w:val="21"/>
                    </w:rPr>
                    <w:t>原材料包装物</w:t>
                  </w:r>
                  <w:r>
                    <w:rPr>
                      <w:rFonts w:hint="eastAsia"/>
                      <w:kern w:val="0"/>
                      <w:szCs w:val="21"/>
                    </w:rPr>
                    <w:t>等，一般固废暂存间暂存，外售综合利用。</w:t>
                  </w:r>
                </w:p>
                <w:p>
                  <w:pPr>
                    <w:spacing w:line="320" w:lineRule="exact"/>
                    <w:contextualSpacing/>
                    <w:jc w:val="left"/>
                    <w:rPr>
                      <w:kern w:val="0"/>
                      <w:szCs w:val="21"/>
                    </w:rPr>
                  </w:pPr>
                  <w:r>
                    <w:rPr>
                      <w:rFonts w:hint="eastAsia"/>
                      <w:kern w:val="0"/>
                      <w:szCs w:val="21"/>
                    </w:rPr>
                    <w:t>2、危废暂存间：活性炭、废光氧灯管、废润滑油，危废暂存间暂存，交有资质单位处理处置。</w:t>
                  </w:r>
                </w:p>
              </w:tc>
            </w:tr>
          </w:tbl>
          <w:p>
            <w:pPr>
              <w:adjustRightInd w:val="0"/>
              <w:snapToGrid w:val="0"/>
              <w:spacing w:line="360" w:lineRule="auto"/>
              <w:rPr>
                <w:b/>
                <w:bCs/>
                <w:sz w:val="24"/>
              </w:rPr>
            </w:pPr>
            <w:r>
              <w:rPr>
                <w:rFonts w:hint="eastAsia"/>
                <w:b/>
                <w:bCs/>
                <w:sz w:val="24"/>
              </w:rPr>
              <w:t>1.3现有工程污染物排放情况</w:t>
            </w:r>
          </w:p>
          <w:p>
            <w:pPr>
              <w:spacing w:line="360" w:lineRule="auto"/>
              <w:ind w:firstLine="480" w:firstLineChars="200"/>
              <w:rPr>
                <w:sz w:val="24"/>
              </w:rPr>
            </w:pPr>
            <w:r>
              <w:rPr>
                <w:rFonts w:hint="eastAsia"/>
                <w:sz w:val="24"/>
              </w:rPr>
              <w:t>现有工程产排污达标排放情况如下（各项产污数据依据洛阳东资实业有限公司2023年自行监测数据：</w:t>
            </w:r>
          </w:p>
          <w:p>
            <w:pPr>
              <w:adjustRightInd w:val="0"/>
              <w:snapToGrid w:val="0"/>
              <w:spacing w:line="360" w:lineRule="auto"/>
              <w:rPr>
                <w:b/>
                <w:bCs/>
                <w:sz w:val="24"/>
              </w:rPr>
            </w:pPr>
            <w:r>
              <w:rPr>
                <w:rFonts w:hint="eastAsia"/>
                <w:b/>
                <w:bCs/>
                <w:sz w:val="24"/>
              </w:rPr>
              <w:t>1.3.1废气</w:t>
            </w:r>
          </w:p>
          <w:p>
            <w:pPr>
              <w:spacing w:line="360" w:lineRule="auto"/>
              <w:ind w:firstLine="480" w:firstLineChars="200"/>
              <w:rPr>
                <w:rFonts w:eastAsiaTheme="minorEastAsia"/>
                <w:kern w:val="0"/>
                <w:sz w:val="24"/>
                <w:lang w:val="zh-CN"/>
              </w:rPr>
            </w:pPr>
            <w:r>
              <w:rPr>
                <w:rFonts w:eastAsiaTheme="minorEastAsia"/>
                <w:kern w:val="0"/>
                <w:sz w:val="24"/>
                <w:lang w:val="zh-CN"/>
              </w:rPr>
              <w:t>搅拌机</w:t>
            </w:r>
            <w:r>
              <w:rPr>
                <w:rFonts w:hint="eastAsia" w:eastAsiaTheme="minorEastAsia"/>
                <w:kern w:val="0"/>
                <w:sz w:val="24"/>
                <w:lang w:val="zh-CN"/>
              </w:rPr>
              <w:t>产生的颗粒物经袋式除尘器（共2套）处理，15m排气筒排放（2根）。拉丝机组产生有机废气经光氧催化+活性炭吸附装置处理后，</w:t>
            </w:r>
            <w:r>
              <w:rPr>
                <w:rFonts w:eastAsiaTheme="minorEastAsia"/>
                <w:kern w:val="0"/>
                <w:sz w:val="24"/>
                <w:lang w:val="zh-CN"/>
              </w:rPr>
              <w:t>通过1根15m</w:t>
            </w:r>
            <w:r>
              <w:rPr>
                <w:rFonts w:hint="eastAsia" w:eastAsiaTheme="minorEastAsia"/>
                <w:kern w:val="0"/>
                <w:sz w:val="24"/>
                <w:lang w:val="zh-CN"/>
              </w:rPr>
              <w:t>排气筒</w:t>
            </w:r>
            <w:r>
              <w:rPr>
                <w:rFonts w:eastAsiaTheme="minorEastAsia"/>
                <w:kern w:val="0"/>
                <w:sz w:val="24"/>
                <w:lang w:val="zh-CN"/>
              </w:rPr>
              <w:t>排放。</w:t>
            </w:r>
          </w:p>
          <w:p>
            <w:pPr>
              <w:pStyle w:val="53"/>
              <w:numPr>
                <w:ilvl w:val="0"/>
                <w:numId w:val="2"/>
              </w:numPr>
              <w:ind w:left="0" w:firstLine="0"/>
            </w:pPr>
            <w:r>
              <w:rPr>
                <w:rFonts w:hint="eastAsia"/>
              </w:rPr>
              <w:t>废气污染物排放情况一览表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957"/>
              <w:gridCol w:w="792"/>
              <w:gridCol w:w="935"/>
              <w:gridCol w:w="885"/>
              <w:gridCol w:w="1088"/>
              <w:gridCol w:w="826"/>
              <w:gridCol w:w="827"/>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5" w:type="dxa"/>
                  <w:vMerge w:val="restart"/>
                  <w:vAlign w:val="center"/>
                </w:tcPr>
                <w:p>
                  <w:pPr>
                    <w:pStyle w:val="54"/>
                    <w:spacing w:line="320" w:lineRule="exact"/>
                    <w:rPr>
                      <w:sz w:val="18"/>
                      <w:szCs w:val="18"/>
                    </w:rPr>
                  </w:pPr>
                  <w:r>
                    <w:rPr>
                      <w:rFonts w:hint="eastAsia"/>
                      <w:sz w:val="18"/>
                      <w:szCs w:val="18"/>
                    </w:rPr>
                    <w:t>污染源</w:t>
                  </w:r>
                </w:p>
              </w:tc>
              <w:tc>
                <w:tcPr>
                  <w:tcW w:w="957" w:type="dxa"/>
                  <w:vMerge w:val="restart"/>
                  <w:vAlign w:val="center"/>
                </w:tcPr>
                <w:p>
                  <w:pPr>
                    <w:pStyle w:val="54"/>
                    <w:spacing w:line="320" w:lineRule="exact"/>
                    <w:rPr>
                      <w:sz w:val="18"/>
                      <w:szCs w:val="18"/>
                    </w:rPr>
                  </w:pPr>
                  <w:r>
                    <w:rPr>
                      <w:rFonts w:hint="eastAsia"/>
                      <w:sz w:val="18"/>
                      <w:szCs w:val="18"/>
                    </w:rPr>
                    <w:t>检测</w:t>
                  </w:r>
                </w:p>
                <w:p>
                  <w:pPr>
                    <w:pStyle w:val="54"/>
                    <w:spacing w:line="320" w:lineRule="exact"/>
                    <w:rPr>
                      <w:sz w:val="18"/>
                      <w:szCs w:val="18"/>
                    </w:rPr>
                  </w:pPr>
                  <w:r>
                    <w:rPr>
                      <w:rFonts w:hint="eastAsia"/>
                      <w:sz w:val="18"/>
                      <w:szCs w:val="18"/>
                    </w:rPr>
                    <w:t>时间</w:t>
                  </w:r>
                </w:p>
              </w:tc>
              <w:tc>
                <w:tcPr>
                  <w:tcW w:w="792" w:type="dxa"/>
                  <w:vMerge w:val="restart"/>
                  <w:vAlign w:val="center"/>
                </w:tcPr>
                <w:p>
                  <w:pPr>
                    <w:pStyle w:val="54"/>
                    <w:spacing w:line="320" w:lineRule="exact"/>
                    <w:rPr>
                      <w:sz w:val="18"/>
                      <w:szCs w:val="18"/>
                    </w:rPr>
                  </w:pPr>
                  <w:r>
                    <w:rPr>
                      <w:rFonts w:hint="eastAsia"/>
                      <w:sz w:val="18"/>
                      <w:szCs w:val="18"/>
                    </w:rPr>
                    <w:t>监测</w:t>
                  </w:r>
                </w:p>
                <w:p>
                  <w:pPr>
                    <w:pStyle w:val="54"/>
                    <w:spacing w:line="320" w:lineRule="exact"/>
                    <w:rPr>
                      <w:sz w:val="18"/>
                      <w:szCs w:val="18"/>
                    </w:rPr>
                  </w:pPr>
                  <w:r>
                    <w:rPr>
                      <w:rFonts w:hint="eastAsia"/>
                      <w:sz w:val="18"/>
                      <w:szCs w:val="18"/>
                    </w:rPr>
                    <w:t>方式</w:t>
                  </w:r>
                </w:p>
              </w:tc>
              <w:tc>
                <w:tcPr>
                  <w:tcW w:w="935" w:type="dxa"/>
                  <w:vMerge w:val="restart"/>
                  <w:vAlign w:val="center"/>
                </w:tcPr>
                <w:p>
                  <w:pPr>
                    <w:pStyle w:val="54"/>
                    <w:spacing w:line="320" w:lineRule="exact"/>
                    <w:rPr>
                      <w:sz w:val="18"/>
                      <w:szCs w:val="18"/>
                    </w:rPr>
                  </w:pPr>
                  <w:r>
                    <w:rPr>
                      <w:rFonts w:hint="eastAsia"/>
                      <w:sz w:val="18"/>
                      <w:szCs w:val="18"/>
                    </w:rPr>
                    <w:t>污染</w:t>
                  </w:r>
                </w:p>
                <w:p>
                  <w:pPr>
                    <w:pStyle w:val="54"/>
                    <w:spacing w:line="320" w:lineRule="exact"/>
                    <w:rPr>
                      <w:sz w:val="18"/>
                      <w:szCs w:val="18"/>
                    </w:rPr>
                  </w:pPr>
                  <w:r>
                    <w:rPr>
                      <w:rFonts w:hint="eastAsia"/>
                      <w:sz w:val="18"/>
                      <w:szCs w:val="18"/>
                    </w:rPr>
                    <w:t>因子</w:t>
                  </w:r>
                </w:p>
              </w:tc>
              <w:tc>
                <w:tcPr>
                  <w:tcW w:w="2799" w:type="dxa"/>
                  <w:gridSpan w:val="3"/>
                  <w:vAlign w:val="center"/>
                </w:tcPr>
                <w:p>
                  <w:pPr>
                    <w:pStyle w:val="54"/>
                    <w:spacing w:line="320" w:lineRule="exact"/>
                    <w:rPr>
                      <w:rFonts w:hAnsi="宋体"/>
                      <w:sz w:val="18"/>
                      <w:szCs w:val="18"/>
                    </w:rPr>
                  </w:pPr>
                  <w:r>
                    <w:rPr>
                      <w:rFonts w:hint="eastAsia"/>
                      <w:sz w:val="18"/>
                      <w:szCs w:val="18"/>
                    </w:rPr>
                    <w:t>监测数据</w:t>
                  </w:r>
                </w:p>
              </w:tc>
              <w:tc>
                <w:tcPr>
                  <w:tcW w:w="827" w:type="dxa"/>
                  <w:vAlign w:val="center"/>
                </w:tcPr>
                <w:p>
                  <w:pPr>
                    <w:pStyle w:val="54"/>
                    <w:spacing w:line="320" w:lineRule="exact"/>
                    <w:rPr>
                      <w:sz w:val="18"/>
                      <w:szCs w:val="18"/>
                    </w:rPr>
                  </w:pPr>
                  <w:r>
                    <w:rPr>
                      <w:rFonts w:hint="eastAsia"/>
                      <w:sz w:val="18"/>
                      <w:szCs w:val="18"/>
                    </w:rPr>
                    <w:t>执行标准</w:t>
                  </w:r>
                </w:p>
              </w:tc>
              <w:tc>
                <w:tcPr>
                  <w:tcW w:w="707" w:type="dxa"/>
                  <w:vMerge w:val="restart"/>
                  <w:vAlign w:val="center"/>
                </w:tcPr>
                <w:p>
                  <w:pPr>
                    <w:pStyle w:val="54"/>
                    <w:spacing w:line="320" w:lineRule="exact"/>
                    <w:rPr>
                      <w:sz w:val="18"/>
                      <w:szCs w:val="18"/>
                    </w:rPr>
                  </w:pPr>
                  <w:r>
                    <w:rPr>
                      <w:rFonts w:hint="eastAsia"/>
                      <w:sz w:val="18"/>
                      <w:szCs w:val="18"/>
                    </w:rPr>
                    <w:t>达标</w:t>
                  </w:r>
                </w:p>
                <w:p>
                  <w:pPr>
                    <w:pStyle w:val="54"/>
                    <w:spacing w:line="320" w:lineRule="exact"/>
                    <w:rPr>
                      <w:sz w:val="18"/>
                      <w:szCs w:val="18"/>
                    </w:rPr>
                  </w:pPr>
                  <w:r>
                    <w:rPr>
                      <w:rFonts w:hint="eastAsia"/>
                      <w:sz w:val="18"/>
                      <w:szCs w:val="1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5" w:type="dxa"/>
                  <w:vMerge w:val="continue"/>
                  <w:vAlign w:val="center"/>
                </w:tcPr>
                <w:p>
                  <w:pPr>
                    <w:pStyle w:val="54"/>
                    <w:spacing w:line="320" w:lineRule="exact"/>
                    <w:rPr>
                      <w:sz w:val="18"/>
                      <w:szCs w:val="18"/>
                    </w:rPr>
                  </w:pPr>
                </w:p>
              </w:tc>
              <w:tc>
                <w:tcPr>
                  <w:tcW w:w="957" w:type="dxa"/>
                  <w:vMerge w:val="continue"/>
                  <w:vAlign w:val="center"/>
                </w:tcPr>
                <w:p>
                  <w:pPr>
                    <w:pStyle w:val="54"/>
                    <w:spacing w:line="320" w:lineRule="exact"/>
                    <w:rPr>
                      <w:sz w:val="18"/>
                      <w:szCs w:val="18"/>
                    </w:rPr>
                  </w:pPr>
                </w:p>
              </w:tc>
              <w:tc>
                <w:tcPr>
                  <w:tcW w:w="792" w:type="dxa"/>
                  <w:vMerge w:val="continue"/>
                  <w:vAlign w:val="center"/>
                </w:tcPr>
                <w:p>
                  <w:pPr>
                    <w:pStyle w:val="54"/>
                    <w:spacing w:line="320" w:lineRule="exact"/>
                    <w:rPr>
                      <w:sz w:val="18"/>
                      <w:szCs w:val="18"/>
                    </w:rPr>
                  </w:pPr>
                </w:p>
              </w:tc>
              <w:tc>
                <w:tcPr>
                  <w:tcW w:w="935" w:type="dxa"/>
                  <w:vMerge w:val="continue"/>
                  <w:vAlign w:val="center"/>
                </w:tcPr>
                <w:p>
                  <w:pPr>
                    <w:pStyle w:val="54"/>
                    <w:spacing w:line="320" w:lineRule="exact"/>
                    <w:rPr>
                      <w:sz w:val="18"/>
                      <w:szCs w:val="18"/>
                    </w:rPr>
                  </w:pPr>
                </w:p>
              </w:tc>
              <w:tc>
                <w:tcPr>
                  <w:tcW w:w="885" w:type="dxa"/>
                  <w:vAlign w:val="center"/>
                </w:tcPr>
                <w:p>
                  <w:pPr>
                    <w:pStyle w:val="54"/>
                    <w:spacing w:line="320" w:lineRule="exact"/>
                    <w:rPr>
                      <w:sz w:val="18"/>
                      <w:szCs w:val="18"/>
                    </w:rPr>
                  </w:pPr>
                  <w:r>
                    <w:rPr>
                      <w:rFonts w:hint="eastAsia"/>
                      <w:sz w:val="18"/>
                      <w:szCs w:val="18"/>
                    </w:rPr>
                    <w:t>废气量m</w:t>
                  </w:r>
                  <w:r>
                    <w:rPr>
                      <w:rFonts w:hint="eastAsia"/>
                      <w:sz w:val="18"/>
                      <w:szCs w:val="18"/>
                      <w:vertAlign w:val="superscript"/>
                    </w:rPr>
                    <w:t>3</w:t>
                  </w:r>
                  <w:r>
                    <w:rPr>
                      <w:rFonts w:hint="eastAsia"/>
                      <w:sz w:val="18"/>
                      <w:szCs w:val="18"/>
                    </w:rPr>
                    <w:t>/h</w:t>
                  </w:r>
                </w:p>
              </w:tc>
              <w:tc>
                <w:tcPr>
                  <w:tcW w:w="1088" w:type="dxa"/>
                  <w:vAlign w:val="center"/>
                </w:tcPr>
                <w:p>
                  <w:pPr>
                    <w:pStyle w:val="54"/>
                    <w:spacing w:line="320" w:lineRule="exact"/>
                    <w:rPr>
                      <w:sz w:val="18"/>
                      <w:szCs w:val="18"/>
                    </w:rPr>
                  </w:pPr>
                  <w:r>
                    <w:rPr>
                      <w:rFonts w:hint="eastAsia"/>
                      <w:sz w:val="18"/>
                      <w:szCs w:val="18"/>
                    </w:rPr>
                    <w:t>排放浓度</w:t>
                  </w:r>
                  <w:r>
                    <w:rPr>
                      <w:sz w:val="18"/>
                      <w:szCs w:val="18"/>
                    </w:rPr>
                    <w:t>mg/m</w:t>
                  </w:r>
                  <w:r>
                    <w:rPr>
                      <w:sz w:val="18"/>
                      <w:szCs w:val="18"/>
                      <w:vertAlign w:val="superscript"/>
                    </w:rPr>
                    <w:t>3</w:t>
                  </w:r>
                </w:p>
              </w:tc>
              <w:tc>
                <w:tcPr>
                  <w:tcW w:w="826" w:type="dxa"/>
                  <w:vAlign w:val="center"/>
                </w:tcPr>
                <w:p>
                  <w:pPr>
                    <w:pStyle w:val="54"/>
                    <w:spacing w:line="320" w:lineRule="exact"/>
                    <w:rPr>
                      <w:sz w:val="18"/>
                      <w:szCs w:val="18"/>
                    </w:rPr>
                  </w:pPr>
                  <w:r>
                    <w:rPr>
                      <w:rFonts w:hint="eastAsia"/>
                      <w:sz w:val="18"/>
                      <w:szCs w:val="18"/>
                    </w:rPr>
                    <w:t>排放速率kg/h</w:t>
                  </w:r>
                </w:p>
              </w:tc>
              <w:tc>
                <w:tcPr>
                  <w:tcW w:w="827" w:type="dxa"/>
                  <w:vAlign w:val="center"/>
                </w:tcPr>
                <w:p>
                  <w:pPr>
                    <w:pStyle w:val="54"/>
                    <w:spacing w:line="320" w:lineRule="exact"/>
                    <w:rPr>
                      <w:sz w:val="18"/>
                      <w:szCs w:val="18"/>
                    </w:rPr>
                  </w:pPr>
                  <w:r>
                    <w:rPr>
                      <w:rFonts w:hint="eastAsia"/>
                      <w:sz w:val="18"/>
                      <w:szCs w:val="18"/>
                    </w:rPr>
                    <w:t>排放浓度</w:t>
                  </w:r>
                  <w:r>
                    <w:rPr>
                      <w:sz w:val="18"/>
                      <w:szCs w:val="18"/>
                    </w:rPr>
                    <w:t>mg/m</w:t>
                  </w:r>
                  <w:r>
                    <w:rPr>
                      <w:sz w:val="18"/>
                      <w:szCs w:val="18"/>
                      <w:vertAlign w:val="superscript"/>
                    </w:rPr>
                    <w:t>3</w:t>
                  </w:r>
                </w:p>
              </w:tc>
              <w:tc>
                <w:tcPr>
                  <w:tcW w:w="707" w:type="dxa"/>
                  <w:vMerge w:val="continue"/>
                  <w:vAlign w:val="center"/>
                </w:tcPr>
                <w:p>
                  <w:pPr>
                    <w:spacing w:line="320" w:lineRule="exact"/>
                    <w:jc w:val="center"/>
                    <w:rPr>
                      <w:rFonts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5" w:type="dxa"/>
                  <w:vAlign w:val="center"/>
                </w:tcPr>
                <w:p>
                  <w:pPr>
                    <w:snapToGrid w:val="0"/>
                    <w:spacing w:line="320" w:lineRule="exact"/>
                    <w:jc w:val="center"/>
                    <w:rPr>
                      <w:rFonts w:ascii="仿宋" w:hAnsi="仿宋" w:cs="仿宋"/>
                      <w:sz w:val="18"/>
                      <w:szCs w:val="18"/>
                    </w:rPr>
                  </w:pPr>
                  <w:r>
                    <w:rPr>
                      <w:rFonts w:hint="eastAsia" w:ascii="仿宋" w:hAnsi="仿宋" w:cs="仿宋"/>
                      <w:sz w:val="18"/>
                      <w:szCs w:val="18"/>
                    </w:rPr>
                    <w:t>1#除尘器排气筒出口</w:t>
                  </w:r>
                </w:p>
              </w:tc>
              <w:tc>
                <w:tcPr>
                  <w:tcW w:w="957" w:type="dxa"/>
                  <w:vMerge w:val="restart"/>
                  <w:vAlign w:val="center"/>
                </w:tcPr>
                <w:p>
                  <w:pPr>
                    <w:spacing w:line="320" w:lineRule="exact"/>
                    <w:jc w:val="center"/>
                    <w:rPr>
                      <w:sz w:val="18"/>
                      <w:szCs w:val="18"/>
                    </w:rPr>
                  </w:pPr>
                  <w:r>
                    <w:rPr>
                      <w:rFonts w:hint="eastAsia"/>
                      <w:sz w:val="18"/>
                      <w:szCs w:val="18"/>
                    </w:rPr>
                    <w:t>2023.05.13</w:t>
                  </w:r>
                </w:p>
              </w:tc>
              <w:tc>
                <w:tcPr>
                  <w:tcW w:w="792" w:type="dxa"/>
                  <w:vAlign w:val="center"/>
                </w:tcPr>
                <w:p>
                  <w:pPr>
                    <w:spacing w:line="320" w:lineRule="exact"/>
                    <w:jc w:val="center"/>
                    <w:rPr>
                      <w:sz w:val="18"/>
                      <w:szCs w:val="18"/>
                    </w:rPr>
                  </w:pPr>
                  <w:r>
                    <w:rPr>
                      <w:rFonts w:hint="eastAsia"/>
                      <w:sz w:val="18"/>
                      <w:szCs w:val="18"/>
                    </w:rPr>
                    <w:t>手工</w:t>
                  </w:r>
                </w:p>
              </w:tc>
              <w:tc>
                <w:tcPr>
                  <w:tcW w:w="935" w:type="dxa"/>
                  <w:vAlign w:val="center"/>
                </w:tcPr>
                <w:p>
                  <w:pPr>
                    <w:spacing w:line="320" w:lineRule="exact"/>
                    <w:jc w:val="center"/>
                    <w:rPr>
                      <w:sz w:val="18"/>
                      <w:szCs w:val="18"/>
                    </w:rPr>
                  </w:pPr>
                  <w:r>
                    <w:rPr>
                      <w:rFonts w:hint="eastAsia"/>
                      <w:sz w:val="18"/>
                      <w:szCs w:val="18"/>
                    </w:rPr>
                    <w:t>颗粒物</w:t>
                  </w:r>
                </w:p>
              </w:tc>
              <w:tc>
                <w:tcPr>
                  <w:tcW w:w="885" w:type="dxa"/>
                  <w:vAlign w:val="center"/>
                </w:tcPr>
                <w:p>
                  <w:pPr>
                    <w:widowControl/>
                    <w:spacing w:line="320" w:lineRule="exact"/>
                    <w:jc w:val="center"/>
                    <w:rPr>
                      <w:sz w:val="18"/>
                      <w:szCs w:val="18"/>
                    </w:rPr>
                  </w:pPr>
                  <w:r>
                    <w:rPr>
                      <w:rFonts w:hint="eastAsia"/>
                      <w:sz w:val="18"/>
                      <w:szCs w:val="18"/>
                    </w:rPr>
                    <w:t>2940</w:t>
                  </w:r>
                </w:p>
              </w:tc>
              <w:tc>
                <w:tcPr>
                  <w:tcW w:w="1088" w:type="dxa"/>
                  <w:vAlign w:val="center"/>
                </w:tcPr>
                <w:p>
                  <w:pPr>
                    <w:widowControl/>
                    <w:spacing w:line="320" w:lineRule="exact"/>
                    <w:jc w:val="center"/>
                    <w:rPr>
                      <w:sz w:val="18"/>
                      <w:szCs w:val="18"/>
                    </w:rPr>
                  </w:pPr>
                  <w:r>
                    <w:rPr>
                      <w:rFonts w:hint="eastAsia"/>
                      <w:sz w:val="18"/>
                      <w:szCs w:val="18"/>
                    </w:rPr>
                    <w:t>6.7</w:t>
                  </w:r>
                </w:p>
              </w:tc>
              <w:tc>
                <w:tcPr>
                  <w:tcW w:w="826" w:type="dxa"/>
                  <w:vAlign w:val="center"/>
                </w:tcPr>
                <w:p>
                  <w:pPr>
                    <w:spacing w:line="320" w:lineRule="exact"/>
                    <w:jc w:val="center"/>
                    <w:rPr>
                      <w:sz w:val="18"/>
                      <w:szCs w:val="18"/>
                    </w:rPr>
                  </w:pPr>
                  <w:r>
                    <w:rPr>
                      <w:rFonts w:hint="eastAsia"/>
                      <w:sz w:val="18"/>
                      <w:szCs w:val="18"/>
                    </w:rPr>
                    <w:t>0.02</w:t>
                  </w:r>
                </w:p>
              </w:tc>
              <w:tc>
                <w:tcPr>
                  <w:tcW w:w="827" w:type="dxa"/>
                  <w:vAlign w:val="center"/>
                </w:tcPr>
                <w:p>
                  <w:pPr>
                    <w:spacing w:line="320" w:lineRule="exact"/>
                    <w:jc w:val="center"/>
                    <w:rPr>
                      <w:sz w:val="18"/>
                      <w:szCs w:val="18"/>
                    </w:rPr>
                  </w:pPr>
                  <w:r>
                    <w:rPr>
                      <w:rFonts w:hint="eastAsia"/>
                      <w:sz w:val="18"/>
                      <w:szCs w:val="18"/>
                    </w:rPr>
                    <w:t>20</w:t>
                  </w:r>
                </w:p>
              </w:tc>
              <w:tc>
                <w:tcPr>
                  <w:tcW w:w="707" w:type="dxa"/>
                  <w:vAlign w:val="center"/>
                </w:tcPr>
                <w:p>
                  <w:pPr>
                    <w:spacing w:line="320" w:lineRule="exact"/>
                    <w:jc w:val="center"/>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5" w:type="dxa"/>
                  <w:vAlign w:val="center"/>
                </w:tcPr>
                <w:p>
                  <w:pPr>
                    <w:snapToGrid w:val="0"/>
                    <w:spacing w:line="320" w:lineRule="exact"/>
                    <w:jc w:val="center"/>
                    <w:rPr>
                      <w:rFonts w:ascii="仿宋" w:hAnsi="仿宋" w:cs="仿宋"/>
                      <w:sz w:val="18"/>
                      <w:szCs w:val="18"/>
                    </w:rPr>
                  </w:pPr>
                  <w:r>
                    <w:rPr>
                      <w:rFonts w:hint="eastAsia" w:ascii="仿宋" w:hAnsi="仿宋" w:cs="仿宋"/>
                      <w:sz w:val="18"/>
                      <w:szCs w:val="18"/>
                    </w:rPr>
                    <w:t>2#除尘器排气筒出口</w:t>
                  </w:r>
                </w:p>
              </w:tc>
              <w:tc>
                <w:tcPr>
                  <w:tcW w:w="957" w:type="dxa"/>
                  <w:vMerge w:val="continue"/>
                  <w:vAlign w:val="center"/>
                </w:tcPr>
                <w:p>
                  <w:pPr>
                    <w:spacing w:line="320" w:lineRule="exact"/>
                    <w:jc w:val="center"/>
                    <w:rPr>
                      <w:sz w:val="18"/>
                      <w:szCs w:val="18"/>
                    </w:rPr>
                  </w:pPr>
                </w:p>
              </w:tc>
              <w:tc>
                <w:tcPr>
                  <w:tcW w:w="792" w:type="dxa"/>
                  <w:vAlign w:val="center"/>
                </w:tcPr>
                <w:p>
                  <w:pPr>
                    <w:spacing w:line="320" w:lineRule="exact"/>
                    <w:jc w:val="center"/>
                    <w:rPr>
                      <w:sz w:val="18"/>
                      <w:szCs w:val="18"/>
                    </w:rPr>
                  </w:pPr>
                  <w:r>
                    <w:rPr>
                      <w:rFonts w:hint="eastAsia"/>
                      <w:sz w:val="18"/>
                      <w:szCs w:val="18"/>
                    </w:rPr>
                    <w:t>手工</w:t>
                  </w:r>
                </w:p>
              </w:tc>
              <w:tc>
                <w:tcPr>
                  <w:tcW w:w="935" w:type="dxa"/>
                  <w:vAlign w:val="center"/>
                </w:tcPr>
                <w:p>
                  <w:pPr>
                    <w:spacing w:line="320" w:lineRule="exact"/>
                    <w:jc w:val="center"/>
                    <w:rPr>
                      <w:sz w:val="18"/>
                      <w:szCs w:val="18"/>
                    </w:rPr>
                  </w:pPr>
                  <w:r>
                    <w:rPr>
                      <w:rFonts w:hint="eastAsia"/>
                      <w:sz w:val="18"/>
                      <w:szCs w:val="18"/>
                    </w:rPr>
                    <w:t>颗粒物</w:t>
                  </w:r>
                </w:p>
              </w:tc>
              <w:tc>
                <w:tcPr>
                  <w:tcW w:w="885" w:type="dxa"/>
                  <w:vAlign w:val="center"/>
                </w:tcPr>
                <w:p>
                  <w:pPr>
                    <w:widowControl/>
                    <w:spacing w:line="320" w:lineRule="exact"/>
                    <w:jc w:val="center"/>
                    <w:rPr>
                      <w:sz w:val="18"/>
                      <w:szCs w:val="18"/>
                    </w:rPr>
                  </w:pPr>
                  <w:r>
                    <w:rPr>
                      <w:rFonts w:hint="eastAsia"/>
                      <w:sz w:val="18"/>
                      <w:szCs w:val="18"/>
                    </w:rPr>
                    <w:t>3440</w:t>
                  </w:r>
                </w:p>
              </w:tc>
              <w:tc>
                <w:tcPr>
                  <w:tcW w:w="1088" w:type="dxa"/>
                  <w:vAlign w:val="center"/>
                </w:tcPr>
                <w:p>
                  <w:pPr>
                    <w:widowControl/>
                    <w:spacing w:line="320" w:lineRule="exact"/>
                    <w:jc w:val="center"/>
                    <w:rPr>
                      <w:sz w:val="18"/>
                      <w:szCs w:val="18"/>
                    </w:rPr>
                  </w:pPr>
                  <w:r>
                    <w:rPr>
                      <w:rFonts w:hint="eastAsia"/>
                      <w:sz w:val="18"/>
                      <w:szCs w:val="18"/>
                    </w:rPr>
                    <w:t>8.1</w:t>
                  </w:r>
                </w:p>
              </w:tc>
              <w:tc>
                <w:tcPr>
                  <w:tcW w:w="826" w:type="dxa"/>
                  <w:vAlign w:val="center"/>
                </w:tcPr>
                <w:p>
                  <w:pPr>
                    <w:spacing w:line="320" w:lineRule="exact"/>
                    <w:jc w:val="center"/>
                    <w:rPr>
                      <w:sz w:val="18"/>
                      <w:szCs w:val="18"/>
                    </w:rPr>
                  </w:pPr>
                  <w:r>
                    <w:rPr>
                      <w:rFonts w:hint="eastAsia"/>
                      <w:sz w:val="18"/>
                      <w:szCs w:val="18"/>
                    </w:rPr>
                    <w:t>0.028</w:t>
                  </w:r>
                </w:p>
              </w:tc>
              <w:tc>
                <w:tcPr>
                  <w:tcW w:w="827" w:type="dxa"/>
                  <w:vAlign w:val="center"/>
                </w:tcPr>
                <w:p>
                  <w:pPr>
                    <w:spacing w:line="320" w:lineRule="exact"/>
                    <w:jc w:val="center"/>
                    <w:rPr>
                      <w:sz w:val="18"/>
                      <w:szCs w:val="18"/>
                    </w:rPr>
                  </w:pPr>
                  <w:r>
                    <w:rPr>
                      <w:rFonts w:hint="eastAsia"/>
                      <w:sz w:val="18"/>
                      <w:szCs w:val="18"/>
                    </w:rPr>
                    <w:t>20</w:t>
                  </w:r>
                </w:p>
              </w:tc>
              <w:tc>
                <w:tcPr>
                  <w:tcW w:w="707" w:type="dxa"/>
                  <w:vAlign w:val="center"/>
                </w:tcPr>
                <w:p>
                  <w:pPr>
                    <w:spacing w:line="320" w:lineRule="exact"/>
                    <w:jc w:val="center"/>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5" w:type="dxa"/>
                  <w:vAlign w:val="center"/>
                </w:tcPr>
                <w:p>
                  <w:pPr>
                    <w:snapToGrid w:val="0"/>
                    <w:spacing w:line="320" w:lineRule="exact"/>
                    <w:jc w:val="center"/>
                    <w:rPr>
                      <w:rFonts w:ascii="仿宋" w:hAnsi="仿宋" w:cs="仿宋"/>
                      <w:sz w:val="18"/>
                      <w:szCs w:val="18"/>
                    </w:rPr>
                  </w:pPr>
                  <w:r>
                    <w:rPr>
                      <w:rFonts w:hint="eastAsia" w:ascii="仿宋" w:hAnsi="仿宋" w:cs="仿宋"/>
                      <w:sz w:val="18"/>
                      <w:szCs w:val="18"/>
                    </w:rPr>
                    <w:t>拉丝机组催化燃烧装置排气筒</w:t>
                  </w:r>
                </w:p>
              </w:tc>
              <w:tc>
                <w:tcPr>
                  <w:tcW w:w="957" w:type="dxa"/>
                  <w:vMerge w:val="continue"/>
                  <w:vAlign w:val="center"/>
                </w:tcPr>
                <w:p>
                  <w:pPr>
                    <w:spacing w:line="320" w:lineRule="exact"/>
                    <w:jc w:val="center"/>
                    <w:rPr>
                      <w:sz w:val="18"/>
                      <w:szCs w:val="18"/>
                    </w:rPr>
                  </w:pPr>
                </w:p>
              </w:tc>
              <w:tc>
                <w:tcPr>
                  <w:tcW w:w="792" w:type="dxa"/>
                  <w:vAlign w:val="center"/>
                </w:tcPr>
                <w:p>
                  <w:pPr>
                    <w:spacing w:line="320" w:lineRule="exact"/>
                    <w:jc w:val="center"/>
                    <w:rPr>
                      <w:sz w:val="18"/>
                      <w:szCs w:val="18"/>
                    </w:rPr>
                  </w:pPr>
                  <w:r>
                    <w:rPr>
                      <w:rFonts w:hint="eastAsia"/>
                      <w:sz w:val="18"/>
                      <w:szCs w:val="18"/>
                    </w:rPr>
                    <w:t>手工</w:t>
                  </w:r>
                </w:p>
              </w:tc>
              <w:tc>
                <w:tcPr>
                  <w:tcW w:w="935" w:type="dxa"/>
                  <w:vAlign w:val="center"/>
                </w:tcPr>
                <w:p>
                  <w:pPr>
                    <w:spacing w:line="320" w:lineRule="exact"/>
                    <w:jc w:val="center"/>
                    <w:rPr>
                      <w:sz w:val="18"/>
                      <w:szCs w:val="18"/>
                    </w:rPr>
                  </w:pPr>
                  <w:r>
                    <w:rPr>
                      <w:rFonts w:hint="eastAsia"/>
                      <w:sz w:val="18"/>
                      <w:szCs w:val="18"/>
                    </w:rPr>
                    <w:t>非甲烷总烃</w:t>
                  </w:r>
                </w:p>
              </w:tc>
              <w:tc>
                <w:tcPr>
                  <w:tcW w:w="885" w:type="dxa"/>
                  <w:vAlign w:val="center"/>
                </w:tcPr>
                <w:p>
                  <w:pPr>
                    <w:widowControl/>
                    <w:spacing w:line="320" w:lineRule="exact"/>
                    <w:jc w:val="center"/>
                    <w:rPr>
                      <w:sz w:val="18"/>
                      <w:szCs w:val="18"/>
                    </w:rPr>
                  </w:pPr>
                  <w:r>
                    <w:rPr>
                      <w:rFonts w:hint="eastAsia"/>
                      <w:sz w:val="18"/>
                      <w:szCs w:val="18"/>
                    </w:rPr>
                    <w:t>9250</w:t>
                  </w:r>
                </w:p>
              </w:tc>
              <w:tc>
                <w:tcPr>
                  <w:tcW w:w="1088" w:type="dxa"/>
                  <w:vAlign w:val="center"/>
                </w:tcPr>
                <w:p>
                  <w:pPr>
                    <w:widowControl/>
                    <w:spacing w:line="320" w:lineRule="exact"/>
                    <w:jc w:val="center"/>
                    <w:rPr>
                      <w:sz w:val="18"/>
                      <w:szCs w:val="18"/>
                    </w:rPr>
                  </w:pPr>
                  <w:r>
                    <w:rPr>
                      <w:rFonts w:hint="eastAsia"/>
                      <w:sz w:val="18"/>
                      <w:szCs w:val="18"/>
                    </w:rPr>
                    <w:t>5.32</w:t>
                  </w:r>
                </w:p>
              </w:tc>
              <w:tc>
                <w:tcPr>
                  <w:tcW w:w="826" w:type="dxa"/>
                  <w:vAlign w:val="center"/>
                </w:tcPr>
                <w:p>
                  <w:pPr>
                    <w:spacing w:line="320" w:lineRule="exact"/>
                    <w:jc w:val="center"/>
                    <w:rPr>
                      <w:sz w:val="18"/>
                      <w:szCs w:val="18"/>
                    </w:rPr>
                  </w:pPr>
                  <w:r>
                    <w:rPr>
                      <w:rFonts w:hint="eastAsia"/>
                      <w:sz w:val="18"/>
                      <w:szCs w:val="18"/>
                    </w:rPr>
                    <w:t>0.049</w:t>
                  </w:r>
                </w:p>
              </w:tc>
              <w:tc>
                <w:tcPr>
                  <w:tcW w:w="827" w:type="dxa"/>
                  <w:vAlign w:val="center"/>
                </w:tcPr>
                <w:p>
                  <w:pPr>
                    <w:spacing w:line="320" w:lineRule="exact"/>
                    <w:jc w:val="center"/>
                    <w:rPr>
                      <w:sz w:val="18"/>
                      <w:szCs w:val="18"/>
                    </w:rPr>
                  </w:pPr>
                  <w:r>
                    <w:rPr>
                      <w:rFonts w:hint="eastAsia"/>
                      <w:sz w:val="18"/>
                      <w:szCs w:val="18"/>
                    </w:rPr>
                    <w:t>60</w:t>
                  </w:r>
                </w:p>
              </w:tc>
              <w:tc>
                <w:tcPr>
                  <w:tcW w:w="707" w:type="dxa"/>
                  <w:vAlign w:val="center"/>
                </w:tcPr>
                <w:p>
                  <w:pPr>
                    <w:spacing w:line="320" w:lineRule="exact"/>
                    <w:jc w:val="center"/>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5" w:type="dxa"/>
                  <w:vMerge w:val="restart"/>
                  <w:vAlign w:val="center"/>
                </w:tcPr>
                <w:p>
                  <w:pPr>
                    <w:spacing w:line="320" w:lineRule="exact"/>
                    <w:jc w:val="center"/>
                    <w:rPr>
                      <w:sz w:val="18"/>
                      <w:szCs w:val="18"/>
                    </w:rPr>
                  </w:pPr>
                  <w:r>
                    <w:rPr>
                      <w:rFonts w:hint="eastAsia"/>
                      <w:sz w:val="18"/>
                      <w:szCs w:val="18"/>
                    </w:rPr>
                    <w:t>厂界无组织</w:t>
                  </w:r>
                </w:p>
              </w:tc>
              <w:tc>
                <w:tcPr>
                  <w:tcW w:w="957" w:type="dxa"/>
                  <w:vMerge w:val="continue"/>
                  <w:vAlign w:val="center"/>
                </w:tcPr>
                <w:p>
                  <w:pPr>
                    <w:spacing w:line="320" w:lineRule="exact"/>
                    <w:jc w:val="center"/>
                    <w:rPr>
                      <w:sz w:val="18"/>
                      <w:szCs w:val="18"/>
                    </w:rPr>
                  </w:pPr>
                </w:p>
              </w:tc>
              <w:tc>
                <w:tcPr>
                  <w:tcW w:w="792" w:type="dxa"/>
                  <w:vMerge w:val="restart"/>
                  <w:vAlign w:val="center"/>
                </w:tcPr>
                <w:p>
                  <w:pPr>
                    <w:spacing w:line="320" w:lineRule="exact"/>
                    <w:jc w:val="center"/>
                    <w:rPr>
                      <w:sz w:val="18"/>
                      <w:szCs w:val="18"/>
                    </w:rPr>
                  </w:pPr>
                  <w:r>
                    <w:rPr>
                      <w:rFonts w:hint="eastAsia"/>
                      <w:sz w:val="18"/>
                      <w:szCs w:val="18"/>
                    </w:rPr>
                    <w:t>手工</w:t>
                  </w:r>
                </w:p>
              </w:tc>
              <w:tc>
                <w:tcPr>
                  <w:tcW w:w="935" w:type="dxa"/>
                  <w:tcBorders>
                    <w:bottom w:val="single" w:color="auto" w:sz="4" w:space="0"/>
                  </w:tcBorders>
                  <w:vAlign w:val="center"/>
                </w:tcPr>
                <w:p>
                  <w:pPr>
                    <w:spacing w:line="320" w:lineRule="exact"/>
                    <w:jc w:val="center"/>
                    <w:rPr>
                      <w:sz w:val="18"/>
                      <w:szCs w:val="18"/>
                    </w:rPr>
                  </w:pPr>
                  <w:r>
                    <w:rPr>
                      <w:rFonts w:hint="eastAsia"/>
                      <w:sz w:val="18"/>
                      <w:szCs w:val="18"/>
                    </w:rPr>
                    <w:t>颗粒物</w:t>
                  </w:r>
                </w:p>
              </w:tc>
              <w:tc>
                <w:tcPr>
                  <w:tcW w:w="885" w:type="dxa"/>
                  <w:tcBorders>
                    <w:bottom w:val="single" w:color="auto" w:sz="4" w:space="0"/>
                  </w:tcBorders>
                  <w:vAlign w:val="center"/>
                </w:tcPr>
                <w:p>
                  <w:pPr>
                    <w:spacing w:line="320" w:lineRule="exact"/>
                    <w:jc w:val="center"/>
                    <w:rPr>
                      <w:sz w:val="18"/>
                      <w:szCs w:val="18"/>
                    </w:rPr>
                  </w:pPr>
                  <w:r>
                    <w:rPr>
                      <w:rFonts w:hint="eastAsia"/>
                      <w:sz w:val="18"/>
                      <w:szCs w:val="18"/>
                    </w:rPr>
                    <w:t>/</w:t>
                  </w:r>
                </w:p>
              </w:tc>
              <w:tc>
                <w:tcPr>
                  <w:tcW w:w="1088" w:type="dxa"/>
                  <w:tcBorders>
                    <w:bottom w:val="single" w:color="auto" w:sz="4" w:space="0"/>
                  </w:tcBorders>
                  <w:vAlign w:val="center"/>
                </w:tcPr>
                <w:p>
                  <w:pPr>
                    <w:spacing w:line="320" w:lineRule="exact"/>
                    <w:jc w:val="center"/>
                    <w:rPr>
                      <w:sz w:val="18"/>
                      <w:szCs w:val="18"/>
                    </w:rPr>
                  </w:pPr>
                  <w:r>
                    <w:rPr>
                      <w:rFonts w:hint="eastAsia"/>
                      <w:sz w:val="18"/>
                      <w:szCs w:val="18"/>
                    </w:rPr>
                    <w:t>0.205-0.325</w:t>
                  </w:r>
                </w:p>
              </w:tc>
              <w:tc>
                <w:tcPr>
                  <w:tcW w:w="826" w:type="dxa"/>
                  <w:tcBorders>
                    <w:bottom w:val="single" w:color="auto" w:sz="4" w:space="0"/>
                  </w:tcBorders>
                  <w:vAlign w:val="center"/>
                </w:tcPr>
                <w:p>
                  <w:pPr>
                    <w:spacing w:line="320" w:lineRule="exact"/>
                    <w:jc w:val="center"/>
                    <w:rPr>
                      <w:sz w:val="18"/>
                      <w:szCs w:val="18"/>
                    </w:rPr>
                  </w:pPr>
                  <w:r>
                    <w:rPr>
                      <w:rFonts w:hint="eastAsia"/>
                      <w:sz w:val="18"/>
                      <w:szCs w:val="18"/>
                    </w:rPr>
                    <w:t>/</w:t>
                  </w:r>
                </w:p>
              </w:tc>
              <w:tc>
                <w:tcPr>
                  <w:tcW w:w="827" w:type="dxa"/>
                  <w:tcBorders>
                    <w:bottom w:val="single" w:color="auto" w:sz="4" w:space="0"/>
                  </w:tcBorders>
                  <w:vAlign w:val="center"/>
                </w:tcPr>
                <w:p>
                  <w:pPr>
                    <w:spacing w:line="320" w:lineRule="exact"/>
                    <w:jc w:val="center"/>
                    <w:rPr>
                      <w:sz w:val="18"/>
                      <w:szCs w:val="18"/>
                    </w:rPr>
                  </w:pPr>
                  <w:r>
                    <w:rPr>
                      <w:rFonts w:hint="eastAsia"/>
                      <w:sz w:val="18"/>
                      <w:szCs w:val="18"/>
                    </w:rPr>
                    <w:t>1</w:t>
                  </w:r>
                </w:p>
              </w:tc>
              <w:tc>
                <w:tcPr>
                  <w:tcW w:w="707" w:type="dxa"/>
                  <w:tcBorders>
                    <w:bottom w:val="single" w:color="auto" w:sz="4" w:space="0"/>
                  </w:tcBorders>
                  <w:vAlign w:val="center"/>
                </w:tcPr>
                <w:p>
                  <w:pPr>
                    <w:spacing w:line="320" w:lineRule="exact"/>
                    <w:jc w:val="center"/>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5" w:type="dxa"/>
                  <w:vMerge w:val="continue"/>
                  <w:vAlign w:val="center"/>
                </w:tcPr>
                <w:p>
                  <w:pPr>
                    <w:spacing w:line="320" w:lineRule="exact"/>
                    <w:jc w:val="center"/>
                    <w:rPr>
                      <w:sz w:val="18"/>
                      <w:szCs w:val="18"/>
                    </w:rPr>
                  </w:pPr>
                </w:p>
              </w:tc>
              <w:tc>
                <w:tcPr>
                  <w:tcW w:w="957" w:type="dxa"/>
                  <w:vMerge w:val="continue"/>
                  <w:vAlign w:val="center"/>
                </w:tcPr>
                <w:p>
                  <w:pPr>
                    <w:spacing w:line="320" w:lineRule="exact"/>
                    <w:jc w:val="center"/>
                    <w:rPr>
                      <w:sz w:val="18"/>
                      <w:szCs w:val="18"/>
                    </w:rPr>
                  </w:pPr>
                </w:p>
              </w:tc>
              <w:tc>
                <w:tcPr>
                  <w:tcW w:w="792" w:type="dxa"/>
                  <w:vMerge w:val="continue"/>
                  <w:vAlign w:val="center"/>
                </w:tcPr>
                <w:p>
                  <w:pPr>
                    <w:spacing w:line="320" w:lineRule="exact"/>
                    <w:jc w:val="center"/>
                    <w:rPr>
                      <w:sz w:val="18"/>
                      <w:szCs w:val="18"/>
                    </w:rPr>
                  </w:pPr>
                </w:p>
              </w:tc>
              <w:tc>
                <w:tcPr>
                  <w:tcW w:w="935" w:type="dxa"/>
                  <w:tcBorders>
                    <w:bottom w:val="single" w:color="auto" w:sz="4" w:space="0"/>
                  </w:tcBorders>
                  <w:vAlign w:val="center"/>
                </w:tcPr>
                <w:p>
                  <w:pPr>
                    <w:spacing w:line="320" w:lineRule="exact"/>
                    <w:jc w:val="center"/>
                    <w:rPr>
                      <w:sz w:val="18"/>
                      <w:szCs w:val="18"/>
                    </w:rPr>
                  </w:pPr>
                  <w:r>
                    <w:rPr>
                      <w:rFonts w:hint="eastAsia"/>
                      <w:sz w:val="18"/>
                      <w:szCs w:val="18"/>
                    </w:rPr>
                    <w:t>非甲烷总烃</w:t>
                  </w:r>
                </w:p>
              </w:tc>
              <w:tc>
                <w:tcPr>
                  <w:tcW w:w="885" w:type="dxa"/>
                  <w:tcBorders>
                    <w:bottom w:val="single" w:color="auto" w:sz="4" w:space="0"/>
                  </w:tcBorders>
                  <w:vAlign w:val="center"/>
                </w:tcPr>
                <w:p>
                  <w:pPr>
                    <w:spacing w:line="320" w:lineRule="exact"/>
                    <w:jc w:val="center"/>
                    <w:rPr>
                      <w:sz w:val="18"/>
                      <w:szCs w:val="18"/>
                    </w:rPr>
                  </w:pPr>
                  <w:r>
                    <w:rPr>
                      <w:rFonts w:hint="eastAsia"/>
                      <w:sz w:val="18"/>
                      <w:szCs w:val="18"/>
                    </w:rPr>
                    <w:t>/</w:t>
                  </w:r>
                </w:p>
              </w:tc>
              <w:tc>
                <w:tcPr>
                  <w:tcW w:w="1088" w:type="dxa"/>
                  <w:tcBorders>
                    <w:bottom w:val="single" w:color="auto" w:sz="4" w:space="0"/>
                  </w:tcBorders>
                  <w:vAlign w:val="center"/>
                </w:tcPr>
                <w:p>
                  <w:pPr>
                    <w:spacing w:line="320" w:lineRule="exact"/>
                    <w:jc w:val="center"/>
                    <w:rPr>
                      <w:sz w:val="18"/>
                      <w:szCs w:val="18"/>
                    </w:rPr>
                  </w:pPr>
                  <w:r>
                    <w:rPr>
                      <w:rFonts w:hint="eastAsia"/>
                      <w:sz w:val="18"/>
                      <w:szCs w:val="18"/>
                    </w:rPr>
                    <w:t>0.49-0.79</w:t>
                  </w:r>
                </w:p>
              </w:tc>
              <w:tc>
                <w:tcPr>
                  <w:tcW w:w="826" w:type="dxa"/>
                  <w:tcBorders>
                    <w:bottom w:val="single" w:color="auto" w:sz="4" w:space="0"/>
                  </w:tcBorders>
                  <w:vAlign w:val="center"/>
                </w:tcPr>
                <w:p>
                  <w:pPr>
                    <w:spacing w:line="320" w:lineRule="exact"/>
                    <w:jc w:val="center"/>
                    <w:rPr>
                      <w:sz w:val="18"/>
                      <w:szCs w:val="18"/>
                    </w:rPr>
                  </w:pPr>
                  <w:r>
                    <w:rPr>
                      <w:rFonts w:hint="eastAsia"/>
                      <w:sz w:val="18"/>
                      <w:szCs w:val="18"/>
                    </w:rPr>
                    <w:t>/</w:t>
                  </w:r>
                </w:p>
              </w:tc>
              <w:tc>
                <w:tcPr>
                  <w:tcW w:w="827" w:type="dxa"/>
                  <w:tcBorders>
                    <w:bottom w:val="single" w:color="auto" w:sz="4" w:space="0"/>
                  </w:tcBorders>
                  <w:vAlign w:val="center"/>
                </w:tcPr>
                <w:p>
                  <w:pPr>
                    <w:spacing w:line="320" w:lineRule="exact"/>
                    <w:jc w:val="center"/>
                    <w:rPr>
                      <w:sz w:val="18"/>
                      <w:szCs w:val="18"/>
                    </w:rPr>
                  </w:pPr>
                  <w:r>
                    <w:rPr>
                      <w:rFonts w:hint="eastAsia"/>
                      <w:sz w:val="18"/>
                      <w:szCs w:val="18"/>
                    </w:rPr>
                    <w:t>4.0</w:t>
                  </w:r>
                </w:p>
              </w:tc>
              <w:tc>
                <w:tcPr>
                  <w:tcW w:w="707" w:type="dxa"/>
                  <w:tcBorders>
                    <w:bottom w:val="single" w:color="auto" w:sz="4" w:space="0"/>
                  </w:tcBorders>
                  <w:vAlign w:val="center"/>
                </w:tcPr>
                <w:p>
                  <w:pPr>
                    <w:spacing w:line="320" w:lineRule="exact"/>
                    <w:jc w:val="center"/>
                    <w:rPr>
                      <w:sz w:val="18"/>
                      <w:szCs w:val="18"/>
                    </w:rPr>
                  </w:pPr>
                  <w:r>
                    <w:rPr>
                      <w:rFonts w:hint="eastAsia"/>
                      <w:sz w:val="18"/>
                      <w:szCs w:val="18"/>
                    </w:rPr>
                    <w:t>达标</w:t>
                  </w:r>
                </w:p>
              </w:tc>
            </w:tr>
          </w:tbl>
          <w:p>
            <w:pPr>
              <w:widowControl/>
              <w:spacing w:line="360" w:lineRule="auto"/>
              <w:ind w:firstLine="480" w:firstLineChars="200"/>
              <w:rPr>
                <w:sz w:val="24"/>
              </w:rPr>
            </w:pPr>
            <w:r>
              <w:rPr>
                <w:rFonts w:hint="eastAsia" w:eastAsiaTheme="minorEastAsia"/>
                <w:kern w:val="0"/>
                <w:sz w:val="24"/>
                <w:lang w:val="zh-CN"/>
              </w:rPr>
              <w:t>根据企业2023年5月自行监测数据，颗粒物、非甲烷总烃</w:t>
            </w:r>
            <w:r>
              <w:rPr>
                <w:rFonts w:eastAsiaTheme="minorEastAsia"/>
                <w:kern w:val="0"/>
                <w:sz w:val="24"/>
                <w:lang w:val="zh-CN"/>
              </w:rPr>
              <w:t>满足《合成树脂工业污染物排放标准》（GB31572-2015）表5</w:t>
            </w:r>
            <w:r>
              <w:rPr>
                <w:rFonts w:hint="eastAsia" w:eastAsiaTheme="minorEastAsia"/>
                <w:kern w:val="0"/>
                <w:sz w:val="24"/>
                <w:lang w:val="zh-CN"/>
              </w:rPr>
              <w:t>、表9</w:t>
            </w:r>
            <w:r>
              <w:rPr>
                <w:rFonts w:eastAsiaTheme="minorEastAsia"/>
                <w:kern w:val="0"/>
                <w:sz w:val="24"/>
                <w:lang w:val="zh-CN"/>
              </w:rPr>
              <w:t>排放限值要求。同时非甲烷总烃的排放浓度满足</w:t>
            </w:r>
            <w:r>
              <w:rPr>
                <w:rFonts w:hint="eastAsia"/>
                <w:sz w:val="24"/>
              </w:rPr>
              <w:t>《全省开展工业企业挥发性有机物专项治理工作中排放建议值》（豫环攻坚办〔</w:t>
            </w:r>
            <w:r>
              <w:rPr>
                <w:sz w:val="24"/>
              </w:rPr>
              <w:t>2017</w:t>
            </w:r>
            <w:r>
              <w:rPr>
                <w:rFonts w:hint="eastAsia"/>
                <w:sz w:val="24"/>
              </w:rPr>
              <w:t>〕</w:t>
            </w:r>
            <w:r>
              <w:rPr>
                <w:sz w:val="24"/>
              </w:rPr>
              <w:t>162</w:t>
            </w:r>
            <w:r>
              <w:rPr>
                <w:rFonts w:hint="eastAsia"/>
                <w:sz w:val="24"/>
              </w:rPr>
              <w:t>号）要求（工业企业边界挥发性有机物建议排放值2</w:t>
            </w:r>
            <w:r>
              <w:rPr>
                <w:sz w:val="24"/>
              </w:rPr>
              <w:t>.0mg/m</w:t>
            </w:r>
            <w:r>
              <w:rPr>
                <w:sz w:val="24"/>
                <w:vertAlign w:val="superscript"/>
              </w:rPr>
              <w:t>3</w:t>
            </w:r>
            <w:r>
              <w:rPr>
                <w:rFonts w:hint="eastAsia"/>
                <w:sz w:val="24"/>
              </w:rPr>
              <w:t>限值）。</w:t>
            </w:r>
          </w:p>
          <w:p>
            <w:pPr>
              <w:widowControl/>
              <w:spacing w:line="360" w:lineRule="auto"/>
              <w:ind w:firstLine="480" w:firstLineChars="200"/>
              <w:rPr>
                <w:sz w:val="24"/>
              </w:rPr>
            </w:pPr>
            <w:r>
              <w:rPr>
                <w:rFonts w:hint="eastAsia"/>
                <w:bCs/>
                <w:sz w:val="24"/>
              </w:rPr>
              <w:t>根据</w:t>
            </w:r>
            <w:r>
              <w:rPr>
                <w:rFonts w:hint="eastAsia"/>
                <w:sz w:val="24"/>
              </w:rPr>
              <w:t>洛阳东资实业有限公司现有工程环评报告：（1）“年产100万条集装袋项目”废气无组织排放量为：颗粒物0.0874t/a，非甲烷总烃0.133t/a。（2）“扩建年产100万条集装袋项目”废气无组织排放量为：颗粒物：0.0928t/a、非甲烷总烃：0.1589t/a。现有工程废气无组织排放量合计为：颗粒物0.1802t/a，非甲烷总烃0.2919t/a。</w:t>
            </w:r>
          </w:p>
          <w:p>
            <w:pPr>
              <w:pStyle w:val="11"/>
              <w:spacing w:after="0" w:line="360" w:lineRule="auto"/>
              <w:ind w:left="0" w:leftChars="0" w:firstLine="480" w:firstLineChars="200"/>
              <w:rPr>
                <w:szCs w:val="21"/>
              </w:rPr>
            </w:pPr>
            <w:r>
              <w:rPr>
                <w:rFonts w:hint="eastAsia"/>
              </w:rPr>
              <w:t>根据企业自行监测数据统计，2023年污染物</w:t>
            </w:r>
            <w:r>
              <w:rPr>
                <w:rFonts w:hint="eastAsia"/>
                <w:szCs w:val="21"/>
              </w:rPr>
              <w:t>有组织</w:t>
            </w:r>
            <w:r>
              <w:rPr>
                <w:rFonts w:hint="eastAsia"/>
              </w:rPr>
              <w:t>排放量为颗粒物</w:t>
            </w:r>
            <w:r>
              <w:rPr>
                <w:rFonts w:hint="eastAsia"/>
                <w:szCs w:val="21"/>
              </w:rPr>
              <w:t>0.1459t/a、非甲烷总烃0.1490t/a。根据企业生产负荷统计，</w:t>
            </w:r>
            <w:r>
              <w:rPr>
                <w:rFonts w:hint="eastAsia"/>
              </w:rPr>
              <w:t>2023年生产负荷占满负荷生产的65%。根据监测数据计算，生产负荷为100%时，污染物</w:t>
            </w:r>
            <w:r>
              <w:rPr>
                <w:rFonts w:hint="eastAsia"/>
                <w:szCs w:val="21"/>
              </w:rPr>
              <w:t>有组织</w:t>
            </w:r>
            <w:r>
              <w:rPr>
                <w:rFonts w:hint="eastAsia"/>
              </w:rPr>
              <w:t>排放量为颗粒物</w:t>
            </w:r>
            <w:r>
              <w:rPr>
                <w:rFonts w:hint="eastAsia"/>
                <w:szCs w:val="21"/>
              </w:rPr>
              <w:t>0.2245t/a、非甲烷总烃0.2292t/a。</w:t>
            </w:r>
          </w:p>
          <w:p>
            <w:pPr>
              <w:spacing w:line="360" w:lineRule="auto"/>
              <w:rPr>
                <w:b/>
                <w:sz w:val="24"/>
              </w:rPr>
            </w:pPr>
            <w:r>
              <w:rPr>
                <w:rFonts w:hint="eastAsia"/>
                <w:b/>
                <w:sz w:val="24"/>
              </w:rPr>
              <w:t>1.3.2废水</w:t>
            </w:r>
          </w:p>
          <w:p>
            <w:pPr>
              <w:widowControl/>
              <w:spacing w:line="360" w:lineRule="auto"/>
              <w:ind w:firstLine="480" w:firstLineChars="200"/>
              <w:rPr>
                <w:sz w:val="24"/>
              </w:rPr>
            </w:pPr>
            <w:r>
              <w:rPr>
                <w:rFonts w:hint="eastAsia"/>
                <w:sz w:val="24"/>
              </w:rPr>
              <w:t>生活污水经化粪池收集，定期清掏，用于周围农户肥田；冷却水循环使用，损耗后加入，不外排。</w:t>
            </w:r>
          </w:p>
          <w:p>
            <w:pPr>
              <w:spacing w:line="360" w:lineRule="auto"/>
              <w:rPr>
                <w:b/>
                <w:sz w:val="24"/>
              </w:rPr>
            </w:pPr>
            <w:r>
              <w:rPr>
                <w:rFonts w:hint="eastAsia"/>
                <w:b/>
                <w:sz w:val="24"/>
              </w:rPr>
              <w:t>1.3.3噪声</w:t>
            </w:r>
          </w:p>
          <w:p>
            <w:pPr>
              <w:spacing w:line="360" w:lineRule="auto"/>
              <w:ind w:firstLine="480" w:firstLineChars="200"/>
              <w:rPr>
                <w:rFonts w:eastAsiaTheme="minorEastAsia"/>
                <w:kern w:val="0"/>
                <w:sz w:val="24"/>
                <w:lang w:val="zh-CN"/>
              </w:rPr>
            </w:pPr>
            <w:r>
              <w:rPr>
                <w:rFonts w:hint="eastAsia" w:eastAsiaTheme="minorEastAsia"/>
                <w:kern w:val="0"/>
                <w:sz w:val="24"/>
                <w:lang w:val="zh-CN"/>
              </w:rPr>
              <w:t>根据2023年自行监测数据，</w:t>
            </w:r>
            <w:r>
              <w:rPr>
                <w:rFonts w:eastAsiaTheme="minorEastAsia"/>
                <w:kern w:val="0"/>
                <w:sz w:val="24"/>
                <w:lang w:val="zh-CN"/>
              </w:rPr>
              <w:t>北厂界昼间噪声监测值</w:t>
            </w:r>
            <w:r>
              <w:rPr>
                <w:rFonts w:hint="eastAsia" w:eastAsiaTheme="minorEastAsia"/>
                <w:kern w:val="0"/>
                <w:sz w:val="24"/>
                <w:lang w:val="zh-CN"/>
              </w:rPr>
              <w:t>55</w:t>
            </w:r>
            <w:r>
              <w:rPr>
                <w:rFonts w:eastAsiaTheme="minorEastAsia"/>
                <w:kern w:val="0"/>
                <w:sz w:val="24"/>
                <w:lang w:val="zh-CN"/>
              </w:rPr>
              <w:t>dB（A），夜间噪声监测值</w:t>
            </w:r>
            <w:r>
              <w:rPr>
                <w:rFonts w:hint="eastAsia" w:eastAsiaTheme="minorEastAsia"/>
                <w:kern w:val="0"/>
                <w:sz w:val="24"/>
                <w:lang w:val="zh-CN"/>
              </w:rPr>
              <w:t>43</w:t>
            </w:r>
            <w:r>
              <w:rPr>
                <w:rFonts w:eastAsiaTheme="minorEastAsia"/>
                <w:kern w:val="0"/>
                <w:sz w:val="24"/>
                <w:lang w:val="zh-CN"/>
              </w:rPr>
              <w:t>dB（A），满足</w:t>
            </w:r>
            <w:r>
              <w:rPr>
                <w:rFonts w:hint="eastAsia" w:eastAsiaTheme="minorEastAsia"/>
                <w:kern w:val="0"/>
                <w:sz w:val="24"/>
                <w:lang w:val="zh-CN"/>
              </w:rPr>
              <w:t>《</w:t>
            </w:r>
            <w:r>
              <w:rPr>
                <w:rFonts w:eastAsiaTheme="minorEastAsia"/>
                <w:kern w:val="0"/>
                <w:sz w:val="24"/>
                <w:lang w:val="zh-CN"/>
              </w:rPr>
              <w:t>工业企业厂界环境噪声排放标准》（GB12348-2008）中2类标准</w:t>
            </w:r>
            <w:r>
              <w:rPr>
                <w:rFonts w:hint="eastAsia" w:eastAsiaTheme="minorEastAsia"/>
                <w:kern w:val="0"/>
                <w:sz w:val="24"/>
                <w:lang w:val="zh-CN"/>
              </w:rPr>
              <w:t>限值要求。</w:t>
            </w:r>
            <w:r>
              <w:rPr>
                <w:rFonts w:eastAsiaTheme="minorEastAsia"/>
                <w:kern w:val="0"/>
                <w:sz w:val="24"/>
                <w:lang w:val="zh-CN"/>
              </w:rPr>
              <w:t>南厂界</w:t>
            </w:r>
            <w:r>
              <w:rPr>
                <w:rFonts w:hint="eastAsia" w:eastAsiaTheme="minorEastAsia"/>
                <w:kern w:val="0"/>
                <w:sz w:val="24"/>
                <w:lang w:val="zh-CN"/>
              </w:rPr>
              <w:t>昼间</w:t>
            </w:r>
            <w:r>
              <w:rPr>
                <w:rFonts w:eastAsiaTheme="minorEastAsia"/>
                <w:kern w:val="0"/>
                <w:sz w:val="24"/>
                <w:lang w:val="zh-CN"/>
              </w:rPr>
              <w:t>噪声监测值</w:t>
            </w:r>
            <w:r>
              <w:rPr>
                <w:rFonts w:hint="eastAsia" w:eastAsiaTheme="minorEastAsia"/>
                <w:kern w:val="0"/>
                <w:sz w:val="24"/>
                <w:lang w:val="zh-CN"/>
              </w:rPr>
              <w:t>55</w:t>
            </w:r>
            <w:r>
              <w:rPr>
                <w:rFonts w:eastAsiaTheme="minorEastAsia"/>
                <w:kern w:val="0"/>
                <w:sz w:val="24"/>
                <w:lang w:val="zh-CN"/>
              </w:rPr>
              <w:t>dB（A），夜间噪声监测值</w:t>
            </w:r>
            <w:r>
              <w:rPr>
                <w:rFonts w:hint="eastAsia" w:eastAsiaTheme="minorEastAsia"/>
                <w:kern w:val="0"/>
                <w:sz w:val="24"/>
                <w:lang w:val="zh-CN"/>
              </w:rPr>
              <w:t>45</w:t>
            </w:r>
            <w:r>
              <w:rPr>
                <w:rFonts w:eastAsiaTheme="minorEastAsia"/>
                <w:kern w:val="0"/>
                <w:sz w:val="24"/>
                <w:lang w:val="zh-CN"/>
              </w:rPr>
              <w:t>dB（A），满足</w:t>
            </w:r>
            <w:r>
              <w:rPr>
                <w:rFonts w:hint="eastAsia" w:eastAsiaTheme="minorEastAsia"/>
                <w:kern w:val="0"/>
                <w:sz w:val="24"/>
                <w:lang w:val="zh-CN"/>
              </w:rPr>
              <w:t>《</w:t>
            </w:r>
            <w:r>
              <w:rPr>
                <w:rFonts w:eastAsiaTheme="minorEastAsia"/>
                <w:kern w:val="0"/>
                <w:sz w:val="24"/>
                <w:lang w:val="zh-CN"/>
              </w:rPr>
              <w:t>工业企业厂界环境噪声排放标准》（GB12348-2008）中</w:t>
            </w:r>
            <w:r>
              <w:rPr>
                <w:rFonts w:hint="eastAsia" w:eastAsiaTheme="minorEastAsia"/>
                <w:kern w:val="0"/>
                <w:sz w:val="24"/>
                <w:lang w:val="zh-CN"/>
              </w:rPr>
              <w:t>4</w:t>
            </w:r>
            <w:r>
              <w:rPr>
                <w:rFonts w:eastAsiaTheme="minorEastAsia"/>
                <w:kern w:val="0"/>
                <w:sz w:val="24"/>
                <w:lang w:val="zh-CN"/>
              </w:rPr>
              <w:t>类标准</w:t>
            </w:r>
            <w:r>
              <w:rPr>
                <w:rFonts w:hint="eastAsia" w:eastAsiaTheme="minorEastAsia"/>
                <w:kern w:val="0"/>
                <w:sz w:val="24"/>
                <w:lang w:val="zh-CN"/>
              </w:rPr>
              <w:t>限值要求，</w:t>
            </w:r>
            <w:r>
              <w:rPr>
                <w:rFonts w:eastAsiaTheme="minorEastAsia"/>
                <w:kern w:val="0"/>
                <w:sz w:val="24"/>
                <w:lang w:val="zh-CN"/>
              </w:rPr>
              <w:t>厂界噪声达标排放。</w:t>
            </w:r>
          </w:p>
          <w:p>
            <w:pPr>
              <w:spacing w:line="360" w:lineRule="auto"/>
              <w:rPr>
                <w:b/>
                <w:sz w:val="24"/>
              </w:rPr>
            </w:pPr>
            <w:r>
              <w:rPr>
                <w:rFonts w:hint="eastAsia"/>
                <w:b/>
                <w:sz w:val="24"/>
              </w:rPr>
              <w:t>1.3.4固体废物</w:t>
            </w:r>
          </w:p>
          <w:p>
            <w:pPr>
              <w:spacing w:line="360" w:lineRule="auto"/>
              <w:ind w:firstLine="480" w:firstLineChars="200"/>
              <w:rPr>
                <w:bCs/>
                <w:sz w:val="24"/>
              </w:rPr>
            </w:pPr>
            <w:r>
              <w:rPr>
                <w:rFonts w:hint="eastAsia"/>
                <w:kern w:val="28"/>
                <w:sz w:val="24"/>
              </w:rPr>
              <w:t>现有工程</w:t>
            </w:r>
            <w:r>
              <w:rPr>
                <w:rFonts w:hint="eastAsia"/>
                <w:bCs/>
                <w:sz w:val="24"/>
              </w:rPr>
              <w:t>产生一般固废</w:t>
            </w:r>
            <w:r>
              <w:rPr>
                <w:rFonts w:hint="eastAsia"/>
                <w:sz w:val="24"/>
              </w:rPr>
              <w:t>主要为拉丝产生的废丝、边角料、原料包装袋，</w:t>
            </w:r>
            <w:r>
              <w:rPr>
                <w:rFonts w:hint="eastAsia"/>
                <w:bCs/>
                <w:sz w:val="24"/>
              </w:rPr>
              <w:t>在厂区内的一般固废暂存间暂存后，定期外售。危废废物主要有</w:t>
            </w:r>
            <w:r>
              <w:rPr>
                <w:rFonts w:hint="eastAsia"/>
                <w:sz w:val="24"/>
              </w:rPr>
              <w:t>设备维修过程产生的废润滑油、活性炭吸附装置定期更换的废活性炭，在厂区危废暂存间暂存，委托有资质单位处理处置。拉丝机冷却水箱上定期浮渣、</w:t>
            </w:r>
            <w:r>
              <w:rPr>
                <w:rFonts w:hint="eastAsia"/>
                <w:bCs/>
                <w:sz w:val="24"/>
              </w:rPr>
              <w:t>生活垃圾袋装分类收集后交由环卫部门处置。</w:t>
            </w:r>
          </w:p>
          <w:p>
            <w:pPr>
              <w:spacing w:line="360" w:lineRule="auto"/>
              <w:rPr>
                <w:rFonts w:hAnsi="宋体"/>
                <w:b/>
                <w:bCs/>
                <w:kern w:val="28"/>
                <w:sz w:val="24"/>
              </w:rPr>
            </w:pPr>
            <w:r>
              <w:rPr>
                <w:rFonts w:hint="eastAsia"/>
                <w:b/>
                <w:sz w:val="24"/>
              </w:rPr>
              <w:t>1.4</w:t>
            </w:r>
            <w:r>
              <w:rPr>
                <w:rFonts w:hint="eastAsia" w:hAnsi="宋体"/>
                <w:b/>
                <w:bCs/>
                <w:kern w:val="28"/>
                <w:sz w:val="24"/>
              </w:rPr>
              <w:t>污染物排放情况汇总</w:t>
            </w:r>
          </w:p>
          <w:p>
            <w:pPr>
              <w:widowControl/>
              <w:tabs>
                <w:tab w:val="left" w:pos="5255"/>
              </w:tabs>
              <w:spacing w:line="360" w:lineRule="auto"/>
              <w:ind w:firstLine="360" w:firstLineChars="150"/>
              <w:jc w:val="left"/>
              <w:rPr>
                <w:kern w:val="0"/>
                <w:sz w:val="24"/>
              </w:rPr>
            </w:pPr>
            <w:r>
              <w:rPr>
                <w:rFonts w:hint="eastAsia"/>
                <w:kern w:val="0"/>
                <w:sz w:val="24"/>
              </w:rPr>
              <w:t>现有工程污染物排放情况见下表。</w:t>
            </w:r>
          </w:p>
          <w:p>
            <w:pPr>
              <w:pStyle w:val="53"/>
              <w:numPr>
                <w:ilvl w:val="0"/>
                <w:numId w:val="2"/>
              </w:numPr>
              <w:ind w:left="0" w:firstLine="0"/>
            </w:pPr>
            <w:r>
              <w:rPr>
                <w:rFonts w:hint="eastAsia"/>
              </w:rPr>
              <w:t>现有工程主要污染物排放量统计表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260"/>
              <w:gridCol w:w="1276"/>
              <w:gridCol w:w="1418"/>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997" w:type="dxa"/>
                  <w:gridSpan w:val="2"/>
                  <w:vAlign w:val="center"/>
                </w:tcPr>
                <w:p>
                  <w:pPr>
                    <w:pStyle w:val="54"/>
                    <w:spacing w:line="320" w:lineRule="exact"/>
                  </w:pPr>
                  <w:r>
                    <w:rPr>
                      <w:rFonts w:hint="eastAsia"/>
                    </w:rPr>
                    <w:t>污染物名称</w:t>
                  </w:r>
                </w:p>
              </w:tc>
              <w:tc>
                <w:tcPr>
                  <w:tcW w:w="1276" w:type="dxa"/>
                  <w:vAlign w:val="center"/>
                </w:tcPr>
                <w:p>
                  <w:pPr>
                    <w:pStyle w:val="54"/>
                    <w:spacing w:line="320" w:lineRule="exact"/>
                  </w:pPr>
                  <w:r>
                    <w:rPr>
                      <w:rFonts w:hint="eastAsia"/>
                    </w:rPr>
                    <w:t>产生量</w:t>
                  </w:r>
                  <w:r>
                    <w:t>t/a</w:t>
                  </w:r>
                </w:p>
              </w:tc>
              <w:tc>
                <w:tcPr>
                  <w:tcW w:w="1418" w:type="dxa"/>
                  <w:vAlign w:val="center"/>
                </w:tcPr>
                <w:p>
                  <w:pPr>
                    <w:pStyle w:val="54"/>
                    <w:spacing w:line="320" w:lineRule="exact"/>
                  </w:pPr>
                  <w:r>
                    <w:rPr>
                      <w:rFonts w:hint="eastAsia"/>
                    </w:rPr>
                    <w:t>排放量</w:t>
                  </w:r>
                  <w:r>
                    <w:t>t/a</w:t>
                  </w:r>
                </w:p>
              </w:tc>
              <w:tc>
                <w:tcPr>
                  <w:tcW w:w="1571" w:type="dxa"/>
                  <w:vAlign w:val="center"/>
                </w:tcPr>
                <w:p>
                  <w:pPr>
                    <w:pStyle w:val="54"/>
                    <w:spacing w:line="320" w:lineRule="exact"/>
                  </w:pPr>
                  <w:r>
                    <w:rPr>
                      <w:rFonts w:hint="eastAsia"/>
                    </w:rPr>
                    <w:t>许可排放量</w:t>
                  </w:r>
                  <w: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restart"/>
                  <w:vAlign w:val="center"/>
                </w:tcPr>
                <w:p>
                  <w:pPr>
                    <w:spacing w:line="320" w:lineRule="exact"/>
                    <w:jc w:val="center"/>
                    <w:rPr>
                      <w:szCs w:val="21"/>
                    </w:rPr>
                  </w:pPr>
                  <w:r>
                    <w:rPr>
                      <w:rFonts w:hint="eastAsia"/>
                      <w:szCs w:val="21"/>
                    </w:rPr>
                    <w:t>废气</w:t>
                  </w:r>
                </w:p>
              </w:tc>
              <w:tc>
                <w:tcPr>
                  <w:tcW w:w="3260" w:type="dxa"/>
                  <w:vAlign w:val="center"/>
                </w:tcPr>
                <w:p>
                  <w:pPr>
                    <w:spacing w:line="320" w:lineRule="exact"/>
                    <w:jc w:val="center"/>
                    <w:rPr>
                      <w:szCs w:val="21"/>
                    </w:rPr>
                  </w:pPr>
                  <w:r>
                    <w:rPr>
                      <w:rFonts w:hint="eastAsia"/>
                      <w:szCs w:val="21"/>
                    </w:rPr>
                    <w:t>颗粒物（有组织+无组织）</w:t>
                  </w:r>
                </w:p>
              </w:tc>
              <w:tc>
                <w:tcPr>
                  <w:tcW w:w="1276" w:type="dxa"/>
                  <w:vAlign w:val="center"/>
                </w:tcPr>
                <w:p>
                  <w:pPr>
                    <w:spacing w:line="320" w:lineRule="exact"/>
                    <w:jc w:val="center"/>
                    <w:rPr>
                      <w:szCs w:val="21"/>
                    </w:rPr>
                  </w:pPr>
                  <w:r>
                    <w:rPr>
                      <w:rFonts w:hint="eastAsia"/>
                      <w:szCs w:val="21"/>
                    </w:rPr>
                    <w:t>/</w:t>
                  </w:r>
                </w:p>
              </w:tc>
              <w:tc>
                <w:tcPr>
                  <w:tcW w:w="1418" w:type="dxa"/>
                  <w:vAlign w:val="center"/>
                </w:tcPr>
                <w:p>
                  <w:pPr>
                    <w:spacing w:line="320" w:lineRule="exact"/>
                    <w:jc w:val="center"/>
                    <w:rPr>
                      <w:szCs w:val="21"/>
                    </w:rPr>
                  </w:pPr>
                  <w:r>
                    <w:rPr>
                      <w:rFonts w:hint="eastAsia"/>
                      <w:szCs w:val="21"/>
                    </w:rPr>
                    <w:t>0.4047</w:t>
                  </w:r>
                </w:p>
              </w:tc>
              <w:tc>
                <w:tcPr>
                  <w:tcW w:w="1571" w:type="dxa"/>
                  <w:vAlign w:val="center"/>
                </w:tcPr>
                <w:p>
                  <w:pPr>
                    <w:spacing w:line="320" w:lineRule="exact"/>
                    <w:jc w:val="center"/>
                    <w:rPr>
                      <w:rFonts w:ascii="宋体" w:hAnsi="宋体" w:cs="宋体"/>
                      <w:szCs w:val="21"/>
                    </w:rPr>
                  </w:pPr>
                  <w:r>
                    <w:rPr>
                      <w:rFonts w:hint="eastAsia"/>
                      <w:szCs w:val="21"/>
                    </w:rPr>
                    <w:t>0.6997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vAlign w:val="center"/>
                </w:tcPr>
                <w:p>
                  <w:pPr>
                    <w:spacing w:line="320" w:lineRule="exact"/>
                    <w:jc w:val="center"/>
                    <w:rPr>
                      <w:szCs w:val="21"/>
                    </w:rPr>
                  </w:pPr>
                </w:p>
              </w:tc>
              <w:tc>
                <w:tcPr>
                  <w:tcW w:w="3260" w:type="dxa"/>
                  <w:vAlign w:val="center"/>
                </w:tcPr>
                <w:p>
                  <w:pPr>
                    <w:spacing w:line="320" w:lineRule="exact"/>
                    <w:jc w:val="center"/>
                    <w:rPr>
                      <w:szCs w:val="21"/>
                    </w:rPr>
                  </w:pPr>
                  <w:r>
                    <w:rPr>
                      <w:rFonts w:hint="eastAsia"/>
                      <w:szCs w:val="21"/>
                    </w:rPr>
                    <w:t>非甲烷总烃（有组织+无组织）</w:t>
                  </w:r>
                </w:p>
              </w:tc>
              <w:tc>
                <w:tcPr>
                  <w:tcW w:w="1276" w:type="dxa"/>
                  <w:vAlign w:val="center"/>
                </w:tcPr>
                <w:p>
                  <w:pPr>
                    <w:spacing w:line="320" w:lineRule="exact"/>
                    <w:jc w:val="center"/>
                    <w:rPr>
                      <w:szCs w:val="21"/>
                    </w:rPr>
                  </w:pPr>
                  <w:r>
                    <w:rPr>
                      <w:rFonts w:hint="eastAsia"/>
                      <w:szCs w:val="21"/>
                    </w:rPr>
                    <w:t>/</w:t>
                  </w:r>
                </w:p>
              </w:tc>
              <w:tc>
                <w:tcPr>
                  <w:tcW w:w="1418" w:type="dxa"/>
                  <w:vAlign w:val="center"/>
                </w:tcPr>
                <w:p>
                  <w:pPr>
                    <w:spacing w:line="320" w:lineRule="exact"/>
                    <w:jc w:val="center"/>
                    <w:rPr>
                      <w:szCs w:val="21"/>
                    </w:rPr>
                  </w:pPr>
                  <w:r>
                    <w:rPr>
                      <w:rFonts w:hint="eastAsia"/>
                      <w:szCs w:val="21"/>
                    </w:rPr>
                    <w:t>0.5211</w:t>
                  </w:r>
                </w:p>
              </w:tc>
              <w:tc>
                <w:tcPr>
                  <w:tcW w:w="1571" w:type="dxa"/>
                  <w:vAlign w:val="center"/>
                </w:tcPr>
                <w:p>
                  <w:pPr>
                    <w:spacing w:line="320" w:lineRule="exact"/>
                    <w:jc w:val="center"/>
                    <w:rPr>
                      <w:rFonts w:ascii="宋体" w:hAnsi="宋体" w:cs="宋体"/>
                      <w:szCs w:val="21"/>
                    </w:rPr>
                  </w:pPr>
                  <w:r>
                    <w:rPr>
                      <w:rFonts w:hint="eastAsia"/>
                      <w:szCs w:val="21"/>
                    </w:rPr>
                    <w:t>0.8688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restart"/>
                  <w:vAlign w:val="center"/>
                </w:tcPr>
                <w:p>
                  <w:pPr>
                    <w:spacing w:line="320" w:lineRule="exact"/>
                    <w:jc w:val="center"/>
                    <w:rPr>
                      <w:szCs w:val="21"/>
                    </w:rPr>
                  </w:pPr>
                  <w:r>
                    <w:rPr>
                      <w:rFonts w:hint="eastAsia"/>
                      <w:szCs w:val="21"/>
                    </w:rPr>
                    <w:t>废水</w:t>
                  </w:r>
                </w:p>
              </w:tc>
              <w:tc>
                <w:tcPr>
                  <w:tcW w:w="3260" w:type="dxa"/>
                  <w:vAlign w:val="center"/>
                </w:tcPr>
                <w:p>
                  <w:pPr>
                    <w:spacing w:line="320" w:lineRule="exact"/>
                    <w:jc w:val="center"/>
                    <w:rPr>
                      <w:szCs w:val="21"/>
                    </w:rPr>
                  </w:pPr>
                  <w:r>
                    <w:rPr>
                      <w:bCs/>
                      <w:szCs w:val="21"/>
                    </w:rPr>
                    <w:t>COD</w:t>
                  </w:r>
                </w:p>
              </w:tc>
              <w:tc>
                <w:tcPr>
                  <w:tcW w:w="1276" w:type="dxa"/>
                  <w:vAlign w:val="center"/>
                </w:tcPr>
                <w:p>
                  <w:pPr>
                    <w:spacing w:line="320" w:lineRule="exact"/>
                    <w:jc w:val="center"/>
                    <w:rPr>
                      <w:szCs w:val="21"/>
                    </w:rPr>
                  </w:pPr>
                  <w:r>
                    <w:rPr>
                      <w:rFonts w:hint="eastAsia"/>
                      <w:szCs w:val="21"/>
                    </w:rPr>
                    <w:t>/</w:t>
                  </w:r>
                </w:p>
              </w:tc>
              <w:tc>
                <w:tcPr>
                  <w:tcW w:w="1418" w:type="dxa"/>
                  <w:vAlign w:val="center"/>
                </w:tcPr>
                <w:p>
                  <w:pPr>
                    <w:spacing w:line="320" w:lineRule="exact"/>
                    <w:jc w:val="center"/>
                    <w:rPr>
                      <w:szCs w:val="21"/>
                    </w:rPr>
                  </w:pPr>
                  <w:r>
                    <w:rPr>
                      <w:rFonts w:hint="eastAsia"/>
                      <w:szCs w:val="21"/>
                    </w:rPr>
                    <w:t>/</w:t>
                  </w:r>
                </w:p>
              </w:tc>
              <w:tc>
                <w:tcPr>
                  <w:tcW w:w="1571" w:type="dxa"/>
                  <w:vAlign w:val="center"/>
                </w:tcPr>
                <w:p>
                  <w:pPr>
                    <w:spacing w:line="320" w:lineRule="exact"/>
                    <w:jc w:val="center"/>
                    <w:rPr>
                      <w:szCs w:val="21"/>
                    </w:rPr>
                  </w:pPr>
                  <w:r>
                    <w:rPr>
                      <w:szCs w:val="21"/>
                    </w:rPr>
                    <w:t>0.1438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vAlign w:val="center"/>
                </w:tcPr>
                <w:p>
                  <w:pPr>
                    <w:spacing w:line="320" w:lineRule="exact"/>
                    <w:jc w:val="center"/>
                    <w:rPr>
                      <w:szCs w:val="21"/>
                    </w:rPr>
                  </w:pPr>
                </w:p>
              </w:tc>
              <w:tc>
                <w:tcPr>
                  <w:tcW w:w="3260" w:type="dxa"/>
                  <w:vAlign w:val="center"/>
                </w:tcPr>
                <w:p>
                  <w:pPr>
                    <w:spacing w:line="320" w:lineRule="exact"/>
                    <w:jc w:val="center"/>
                    <w:rPr>
                      <w:szCs w:val="21"/>
                    </w:rPr>
                  </w:pPr>
                  <w:r>
                    <w:rPr>
                      <w:bCs/>
                      <w:szCs w:val="21"/>
                    </w:rPr>
                    <w:t>氨氮</w:t>
                  </w:r>
                </w:p>
              </w:tc>
              <w:tc>
                <w:tcPr>
                  <w:tcW w:w="1276" w:type="dxa"/>
                  <w:vAlign w:val="center"/>
                </w:tcPr>
                <w:p>
                  <w:pPr>
                    <w:spacing w:line="320" w:lineRule="exact"/>
                    <w:jc w:val="center"/>
                    <w:rPr>
                      <w:szCs w:val="21"/>
                    </w:rPr>
                  </w:pPr>
                  <w:r>
                    <w:rPr>
                      <w:rFonts w:hint="eastAsia"/>
                      <w:szCs w:val="21"/>
                    </w:rPr>
                    <w:t>/</w:t>
                  </w:r>
                </w:p>
              </w:tc>
              <w:tc>
                <w:tcPr>
                  <w:tcW w:w="1418" w:type="dxa"/>
                  <w:vAlign w:val="center"/>
                </w:tcPr>
                <w:p>
                  <w:pPr>
                    <w:spacing w:line="320" w:lineRule="exact"/>
                    <w:jc w:val="center"/>
                    <w:rPr>
                      <w:szCs w:val="21"/>
                    </w:rPr>
                  </w:pPr>
                  <w:r>
                    <w:rPr>
                      <w:rFonts w:hint="eastAsia"/>
                      <w:szCs w:val="21"/>
                    </w:rPr>
                    <w:t>/</w:t>
                  </w:r>
                </w:p>
              </w:tc>
              <w:tc>
                <w:tcPr>
                  <w:tcW w:w="1571" w:type="dxa"/>
                  <w:vAlign w:val="center"/>
                </w:tcPr>
                <w:p>
                  <w:pPr>
                    <w:spacing w:line="320" w:lineRule="exact"/>
                    <w:jc w:val="center"/>
                    <w:rPr>
                      <w:szCs w:val="21"/>
                    </w:rPr>
                  </w:pPr>
                  <w:r>
                    <w:rPr>
                      <w:szCs w:val="21"/>
                    </w:rPr>
                    <w:t>0.0174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restart"/>
                  <w:vAlign w:val="center"/>
                </w:tcPr>
                <w:p>
                  <w:pPr>
                    <w:spacing w:line="320" w:lineRule="exact"/>
                    <w:jc w:val="center"/>
                    <w:rPr>
                      <w:szCs w:val="21"/>
                    </w:rPr>
                  </w:pPr>
                  <w:r>
                    <w:rPr>
                      <w:rFonts w:hint="eastAsia"/>
                      <w:szCs w:val="21"/>
                    </w:rPr>
                    <w:t>固体废物</w:t>
                  </w:r>
                </w:p>
              </w:tc>
              <w:tc>
                <w:tcPr>
                  <w:tcW w:w="3260" w:type="dxa"/>
                  <w:vAlign w:val="center"/>
                </w:tcPr>
                <w:p>
                  <w:pPr>
                    <w:widowControl/>
                    <w:spacing w:line="320" w:lineRule="exact"/>
                    <w:jc w:val="center"/>
                    <w:rPr>
                      <w:bCs/>
                      <w:szCs w:val="21"/>
                    </w:rPr>
                  </w:pPr>
                  <w:r>
                    <w:rPr>
                      <w:rFonts w:hint="eastAsia"/>
                      <w:bCs/>
                      <w:szCs w:val="21"/>
                    </w:rPr>
                    <w:t>废丝、边角料</w:t>
                  </w:r>
                </w:p>
              </w:tc>
              <w:tc>
                <w:tcPr>
                  <w:tcW w:w="1276" w:type="dxa"/>
                  <w:vAlign w:val="center"/>
                </w:tcPr>
                <w:p>
                  <w:pPr>
                    <w:spacing w:line="320" w:lineRule="exact"/>
                    <w:jc w:val="center"/>
                    <w:rPr>
                      <w:szCs w:val="21"/>
                    </w:rPr>
                  </w:pPr>
                  <w:r>
                    <w:rPr>
                      <w:rFonts w:hint="eastAsia"/>
                      <w:szCs w:val="21"/>
                    </w:rPr>
                    <w:t>7.6</w:t>
                  </w:r>
                </w:p>
              </w:tc>
              <w:tc>
                <w:tcPr>
                  <w:tcW w:w="1418" w:type="dxa"/>
                  <w:vAlign w:val="center"/>
                </w:tcPr>
                <w:p>
                  <w:pPr>
                    <w:spacing w:line="320" w:lineRule="exact"/>
                    <w:jc w:val="center"/>
                    <w:rPr>
                      <w:szCs w:val="21"/>
                    </w:rPr>
                  </w:pPr>
                  <w:r>
                    <w:rPr>
                      <w:rFonts w:hint="eastAsia"/>
                      <w:szCs w:val="21"/>
                    </w:rPr>
                    <w:t>0</w:t>
                  </w:r>
                </w:p>
              </w:tc>
              <w:tc>
                <w:tcPr>
                  <w:tcW w:w="1571" w:type="dxa"/>
                  <w:vAlign w:val="center"/>
                </w:tcPr>
                <w:p>
                  <w:pPr>
                    <w:spacing w:line="320" w:lineRule="exact"/>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vAlign w:val="center"/>
                </w:tcPr>
                <w:p>
                  <w:pPr>
                    <w:spacing w:line="320" w:lineRule="exact"/>
                    <w:jc w:val="center"/>
                    <w:rPr>
                      <w:szCs w:val="21"/>
                    </w:rPr>
                  </w:pPr>
                </w:p>
              </w:tc>
              <w:tc>
                <w:tcPr>
                  <w:tcW w:w="3260" w:type="dxa"/>
                  <w:vAlign w:val="center"/>
                </w:tcPr>
                <w:p>
                  <w:pPr>
                    <w:widowControl/>
                    <w:spacing w:line="320" w:lineRule="exact"/>
                    <w:jc w:val="center"/>
                    <w:rPr>
                      <w:bCs/>
                      <w:szCs w:val="21"/>
                    </w:rPr>
                  </w:pPr>
                  <w:r>
                    <w:rPr>
                      <w:rFonts w:hint="eastAsia"/>
                      <w:bCs/>
                      <w:szCs w:val="21"/>
                    </w:rPr>
                    <w:t>原材料包装袋</w:t>
                  </w:r>
                </w:p>
              </w:tc>
              <w:tc>
                <w:tcPr>
                  <w:tcW w:w="1276" w:type="dxa"/>
                  <w:vAlign w:val="center"/>
                </w:tcPr>
                <w:p>
                  <w:pPr>
                    <w:spacing w:line="320" w:lineRule="exact"/>
                    <w:jc w:val="center"/>
                    <w:rPr>
                      <w:szCs w:val="21"/>
                    </w:rPr>
                  </w:pPr>
                  <w:r>
                    <w:rPr>
                      <w:rFonts w:hint="eastAsia"/>
                      <w:szCs w:val="21"/>
                    </w:rPr>
                    <w:t>10</w:t>
                  </w:r>
                </w:p>
              </w:tc>
              <w:tc>
                <w:tcPr>
                  <w:tcW w:w="1418" w:type="dxa"/>
                  <w:vAlign w:val="center"/>
                </w:tcPr>
                <w:p>
                  <w:pPr>
                    <w:spacing w:line="320" w:lineRule="exact"/>
                    <w:jc w:val="center"/>
                    <w:rPr>
                      <w:szCs w:val="21"/>
                    </w:rPr>
                  </w:pPr>
                  <w:r>
                    <w:rPr>
                      <w:rFonts w:hint="eastAsia"/>
                      <w:szCs w:val="21"/>
                    </w:rPr>
                    <w:t>0</w:t>
                  </w:r>
                </w:p>
              </w:tc>
              <w:tc>
                <w:tcPr>
                  <w:tcW w:w="1571" w:type="dxa"/>
                  <w:vAlign w:val="center"/>
                </w:tcPr>
                <w:p>
                  <w:pPr>
                    <w:spacing w:line="320" w:lineRule="exact"/>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vAlign w:val="center"/>
                </w:tcPr>
                <w:p>
                  <w:pPr>
                    <w:spacing w:line="320" w:lineRule="exact"/>
                    <w:jc w:val="center"/>
                    <w:rPr>
                      <w:szCs w:val="21"/>
                    </w:rPr>
                  </w:pPr>
                </w:p>
              </w:tc>
              <w:tc>
                <w:tcPr>
                  <w:tcW w:w="3260" w:type="dxa"/>
                  <w:vAlign w:val="center"/>
                </w:tcPr>
                <w:p>
                  <w:pPr>
                    <w:widowControl/>
                    <w:spacing w:line="320" w:lineRule="exact"/>
                    <w:jc w:val="center"/>
                    <w:rPr>
                      <w:bCs/>
                      <w:szCs w:val="21"/>
                    </w:rPr>
                  </w:pPr>
                  <w:r>
                    <w:rPr>
                      <w:rFonts w:hint="eastAsia"/>
                      <w:bCs/>
                      <w:szCs w:val="21"/>
                    </w:rPr>
                    <w:t>浮渣</w:t>
                  </w:r>
                </w:p>
              </w:tc>
              <w:tc>
                <w:tcPr>
                  <w:tcW w:w="1276" w:type="dxa"/>
                  <w:vAlign w:val="center"/>
                </w:tcPr>
                <w:p>
                  <w:pPr>
                    <w:spacing w:line="320" w:lineRule="exact"/>
                    <w:jc w:val="center"/>
                    <w:rPr>
                      <w:szCs w:val="21"/>
                    </w:rPr>
                  </w:pPr>
                  <w:r>
                    <w:rPr>
                      <w:rFonts w:hint="eastAsia"/>
                      <w:szCs w:val="21"/>
                    </w:rPr>
                    <w:t>0.08</w:t>
                  </w:r>
                </w:p>
              </w:tc>
              <w:tc>
                <w:tcPr>
                  <w:tcW w:w="1418" w:type="dxa"/>
                  <w:vAlign w:val="center"/>
                </w:tcPr>
                <w:p>
                  <w:pPr>
                    <w:spacing w:line="320" w:lineRule="exact"/>
                    <w:jc w:val="center"/>
                    <w:rPr>
                      <w:szCs w:val="21"/>
                    </w:rPr>
                  </w:pPr>
                  <w:r>
                    <w:rPr>
                      <w:rFonts w:hint="eastAsia"/>
                      <w:szCs w:val="21"/>
                    </w:rPr>
                    <w:t>0</w:t>
                  </w:r>
                </w:p>
              </w:tc>
              <w:tc>
                <w:tcPr>
                  <w:tcW w:w="1571" w:type="dxa"/>
                  <w:vAlign w:val="center"/>
                </w:tcPr>
                <w:p>
                  <w:pPr>
                    <w:spacing w:line="320" w:lineRule="exact"/>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vAlign w:val="center"/>
                </w:tcPr>
                <w:p>
                  <w:pPr>
                    <w:spacing w:line="320" w:lineRule="exact"/>
                    <w:jc w:val="center"/>
                    <w:rPr>
                      <w:szCs w:val="21"/>
                    </w:rPr>
                  </w:pPr>
                </w:p>
              </w:tc>
              <w:tc>
                <w:tcPr>
                  <w:tcW w:w="3260" w:type="dxa"/>
                  <w:vAlign w:val="center"/>
                </w:tcPr>
                <w:p>
                  <w:pPr>
                    <w:widowControl/>
                    <w:spacing w:line="320" w:lineRule="exact"/>
                    <w:jc w:val="center"/>
                    <w:rPr>
                      <w:bCs/>
                      <w:szCs w:val="21"/>
                    </w:rPr>
                  </w:pPr>
                  <w:r>
                    <w:rPr>
                      <w:rFonts w:hint="eastAsia"/>
                      <w:bCs/>
                      <w:szCs w:val="21"/>
                    </w:rPr>
                    <w:t>除尘灰</w:t>
                  </w:r>
                </w:p>
              </w:tc>
              <w:tc>
                <w:tcPr>
                  <w:tcW w:w="1276" w:type="dxa"/>
                  <w:vAlign w:val="center"/>
                </w:tcPr>
                <w:p>
                  <w:pPr>
                    <w:spacing w:line="320" w:lineRule="exact"/>
                    <w:jc w:val="center"/>
                    <w:rPr>
                      <w:szCs w:val="21"/>
                    </w:rPr>
                  </w:pPr>
                  <w:r>
                    <w:rPr>
                      <w:rFonts w:hint="eastAsia"/>
                      <w:szCs w:val="21"/>
                    </w:rPr>
                    <w:t>5</w:t>
                  </w:r>
                </w:p>
              </w:tc>
              <w:tc>
                <w:tcPr>
                  <w:tcW w:w="1418" w:type="dxa"/>
                  <w:vAlign w:val="center"/>
                </w:tcPr>
                <w:p>
                  <w:pPr>
                    <w:spacing w:line="320" w:lineRule="exact"/>
                    <w:jc w:val="center"/>
                    <w:rPr>
                      <w:szCs w:val="21"/>
                    </w:rPr>
                  </w:pPr>
                  <w:r>
                    <w:rPr>
                      <w:rFonts w:hint="eastAsia"/>
                      <w:szCs w:val="21"/>
                    </w:rPr>
                    <w:t>0</w:t>
                  </w:r>
                </w:p>
              </w:tc>
              <w:tc>
                <w:tcPr>
                  <w:tcW w:w="1571" w:type="dxa"/>
                  <w:vAlign w:val="center"/>
                </w:tcPr>
                <w:p>
                  <w:pPr>
                    <w:spacing w:line="320" w:lineRule="exact"/>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vAlign w:val="center"/>
                </w:tcPr>
                <w:p>
                  <w:pPr>
                    <w:spacing w:line="320" w:lineRule="exact"/>
                    <w:jc w:val="center"/>
                    <w:rPr>
                      <w:szCs w:val="21"/>
                    </w:rPr>
                  </w:pPr>
                </w:p>
              </w:tc>
              <w:tc>
                <w:tcPr>
                  <w:tcW w:w="3260" w:type="dxa"/>
                  <w:vAlign w:val="center"/>
                </w:tcPr>
                <w:p>
                  <w:pPr>
                    <w:widowControl/>
                    <w:spacing w:line="320" w:lineRule="exact"/>
                    <w:jc w:val="center"/>
                    <w:rPr>
                      <w:bCs/>
                      <w:szCs w:val="21"/>
                    </w:rPr>
                  </w:pPr>
                  <w:r>
                    <w:rPr>
                      <w:rFonts w:hint="eastAsia"/>
                      <w:bCs/>
                      <w:szCs w:val="21"/>
                    </w:rPr>
                    <w:t>废润滑油</w:t>
                  </w:r>
                </w:p>
              </w:tc>
              <w:tc>
                <w:tcPr>
                  <w:tcW w:w="1276" w:type="dxa"/>
                  <w:vAlign w:val="center"/>
                </w:tcPr>
                <w:p>
                  <w:pPr>
                    <w:spacing w:line="320" w:lineRule="exact"/>
                    <w:jc w:val="center"/>
                    <w:rPr>
                      <w:szCs w:val="21"/>
                    </w:rPr>
                  </w:pPr>
                  <w:r>
                    <w:rPr>
                      <w:rFonts w:hint="eastAsia"/>
                      <w:szCs w:val="21"/>
                    </w:rPr>
                    <w:t>0.05</w:t>
                  </w:r>
                </w:p>
              </w:tc>
              <w:tc>
                <w:tcPr>
                  <w:tcW w:w="1418" w:type="dxa"/>
                  <w:vAlign w:val="center"/>
                </w:tcPr>
                <w:p>
                  <w:pPr>
                    <w:spacing w:line="320" w:lineRule="exact"/>
                    <w:jc w:val="center"/>
                    <w:rPr>
                      <w:szCs w:val="21"/>
                    </w:rPr>
                  </w:pPr>
                  <w:r>
                    <w:rPr>
                      <w:rFonts w:hint="eastAsia"/>
                      <w:szCs w:val="21"/>
                    </w:rPr>
                    <w:t>0</w:t>
                  </w:r>
                </w:p>
              </w:tc>
              <w:tc>
                <w:tcPr>
                  <w:tcW w:w="1571" w:type="dxa"/>
                  <w:vAlign w:val="center"/>
                </w:tcPr>
                <w:p>
                  <w:pPr>
                    <w:spacing w:line="320" w:lineRule="exact"/>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vAlign w:val="center"/>
                </w:tcPr>
                <w:p>
                  <w:pPr>
                    <w:spacing w:line="320" w:lineRule="exact"/>
                    <w:jc w:val="center"/>
                    <w:rPr>
                      <w:szCs w:val="21"/>
                    </w:rPr>
                  </w:pPr>
                </w:p>
              </w:tc>
              <w:tc>
                <w:tcPr>
                  <w:tcW w:w="3260" w:type="dxa"/>
                  <w:vAlign w:val="center"/>
                </w:tcPr>
                <w:p>
                  <w:pPr>
                    <w:widowControl/>
                    <w:spacing w:line="320" w:lineRule="exact"/>
                    <w:jc w:val="center"/>
                    <w:rPr>
                      <w:bCs/>
                      <w:szCs w:val="21"/>
                    </w:rPr>
                  </w:pPr>
                  <w:r>
                    <w:rPr>
                      <w:rFonts w:hint="eastAsia"/>
                      <w:bCs/>
                      <w:szCs w:val="21"/>
                    </w:rPr>
                    <w:t>废活性炭</w:t>
                  </w:r>
                </w:p>
              </w:tc>
              <w:tc>
                <w:tcPr>
                  <w:tcW w:w="1276" w:type="dxa"/>
                  <w:vAlign w:val="center"/>
                </w:tcPr>
                <w:p>
                  <w:pPr>
                    <w:spacing w:line="320" w:lineRule="exact"/>
                    <w:jc w:val="center"/>
                    <w:rPr>
                      <w:szCs w:val="21"/>
                    </w:rPr>
                  </w:pPr>
                  <w:r>
                    <w:rPr>
                      <w:rFonts w:hint="eastAsia"/>
                      <w:szCs w:val="21"/>
                    </w:rPr>
                    <w:t>0.3</w:t>
                  </w:r>
                </w:p>
              </w:tc>
              <w:tc>
                <w:tcPr>
                  <w:tcW w:w="1418" w:type="dxa"/>
                  <w:vAlign w:val="center"/>
                </w:tcPr>
                <w:p>
                  <w:pPr>
                    <w:spacing w:line="320" w:lineRule="exact"/>
                    <w:jc w:val="center"/>
                    <w:rPr>
                      <w:szCs w:val="21"/>
                      <w:highlight w:val="yellow"/>
                    </w:rPr>
                  </w:pPr>
                  <w:r>
                    <w:rPr>
                      <w:rFonts w:hint="eastAsia"/>
                      <w:szCs w:val="21"/>
                    </w:rPr>
                    <w:t>0</w:t>
                  </w:r>
                </w:p>
              </w:tc>
              <w:tc>
                <w:tcPr>
                  <w:tcW w:w="1571" w:type="dxa"/>
                  <w:vAlign w:val="center"/>
                </w:tcPr>
                <w:p>
                  <w:pPr>
                    <w:spacing w:line="320" w:lineRule="exact"/>
                    <w:jc w:val="center"/>
                    <w:rPr>
                      <w:szCs w:val="21"/>
                      <w:highlight w:val="yellow"/>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tcBorders>
                    <w:bottom w:val="single" w:color="auto" w:sz="4" w:space="0"/>
                  </w:tcBorders>
                  <w:vAlign w:val="center"/>
                </w:tcPr>
                <w:p>
                  <w:pPr>
                    <w:spacing w:line="320" w:lineRule="exact"/>
                    <w:jc w:val="center"/>
                    <w:rPr>
                      <w:szCs w:val="21"/>
                    </w:rPr>
                  </w:pPr>
                </w:p>
              </w:tc>
              <w:tc>
                <w:tcPr>
                  <w:tcW w:w="3260" w:type="dxa"/>
                  <w:tcBorders>
                    <w:bottom w:val="single" w:color="auto" w:sz="4" w:space="0"/>
                  </w:tcBorders>
                  <w:vAlign w:val="center"/>
                </w:tcPr>
                <w:p>
                  <w:pPr>
                    <w:widowControl/>
                    <w:spacing w:line="320" w:lineRule="exact"/>
                    <w:jc w:val="center"/>
                    <w:rPr>
                      <w:bCs/>
                      <w:szCs w:val="21"/>
                    </w:rPr>
                  </w:pPr>
                  <w:r>
                    <w:rPr>
                      <w:rFonts w:hint="eastAsia"/>
                      <w:bCs/>
                      <w:szCs w:val="21"/>
                    </w:rPr>
                    <w:t>生活垃圾</w:t>
                  </w:r>
                </w:p>
              </w:tc>
              <w:tc>
                <w:tcPr>
                  <w:tcW w:w="1276" w:type="dxa"/>
                  <w:tcBorders>
                    <w:bottom w:val="single" w:color="auto" w:sz="4" w:space="0"/>
                  </w:tcBorders>
                  <w:vAlign w:val="center"/>
                </w:tcPr>
                <w:p>
                  <w:pPr>
                    <w:spacing w:line="320" w:lineRule="exact"/>
                    <w:jc w:val="center"/>
                    <w:rPr>
                      <w:szCs w:val="21"/>
                    </w:rPr>
                  </w:pPr>
                  <w:r>
                    <w:rPr>
                      <w:rFonts w:hint="eastAsia"/>
                      <w:szCs w:val="21"/>
                    </w:rPr>
                    <w:t>9.36</w:t>
                  </w:r>
                </w:p>
              </w:tc>
              <w:tc>
                <w:tcPr>
                  <w:tcW w:w="1418" w:type="dxa"/>
                  <w:tcBorders>
                    <w:bottom w:val="single" w:color="auto" w:sz="4" w:space="0"/>
                  </w:tcBorders>
                  <w:vAlign w:val="center"/>
                </w:tcPr>
                <w:p>
                  <w:pPr>
                    <w:spacing w:line="320" w:lineRule="exact"/>
                    <w:jc w:val="center"/>
                    <w:rPr>
                      <w:szCs w:val="21"/>
                    </w:rPr>
                  </w:pPr>
                  <w:r>
                    <w:rPr>
                      <w:rFonts w:hint="eastAsia"/>
                      <w:szCs w:val="21"/>
                    </w:rPr>
                    <w:t>0</w:t>
                  </w:r>
                </w:p>
              </w:tc>
              <w:tc>
                <w:tcPr>
                  <w:tcW w:w="1571" w:type="dxa"/>
                  <w:tcBorders>
                    <w:bottom w:val="single" w:color="auto" w:sz="4" w:space="0"/>
                  </w:tcBorders>
                  <w:vAlign w:val="center"/>
                </w:tcPr>
                <w:p>
                  <w:pPr>
                    <w:spacing w:line="320" w:lineRule="exact"/>
                    <w:jc w:val="center"/>
                    <w:rPr>
                      <w:szCs w:val="21"/>
                    </w:rPr>
                  </w:pPr>
                  <w:r>
                    <w:rPr>
                      <w:rFonts w:hint="eastAsia"/>
                      <w:szCs w:val="21"/>
                    </w:rPr>
                    <w:t>0</w:t>
                  </w:r>
                </w:p>
              </w:tc>
            </w:tr>
          </w:tbl>
          <w:p>
            <w:pPr>
              <w:spacing w:line="360" w:lineRule="auto"/>
              <w:rPr>
                <w:b/>
                <w:sz w:val="24"/>
              </w:rPr>
            </w:pPr>
            <w:r>
              <w:rPr>
                <w:rFonts w:hint="eastAsia"/>
                <w:b/>
                <w:sz w:val="24"/>
              </w:rPr>
              <w:t>2与本项目有关的现有污染情况</w:t>
            </w:r>
          </w:p>
          <w:p>
            <w:pPr>
              <w:spacing w:line="360" w:lineRule="auto"/>
              <w:ind w:firstLine="480" w:firstLineChars="200"/>
              <w:rPr>
                <w:sz w:val="24"/>
              </w:rPr>
            </w:pPr>
            <w:r>
              <w:rPr>
                <w:rFonts w:hint="eastAsia"/>
                <w:sz w:val="24"/>
              </w:rPr>
              <w:t>本项目为异地扩建项目，</w:t>
            </w:r>
            <w:r>
              <w:rPr>
                <w:rFonts w:hint="eastAsia"/>
                <w:bCs/>
                <w:sz w:val="24"/>
              </w:rPr>
              <w:t>根据现场调查，本项目拟租赁2#车间已建成，3#车间正在进行土地平整。“</w:t>
            </w:r>
            <w:r>
              <w:rPr>
                <w:sz w:val="24"/>
              </w:rPr>
              <w:t>洛阳市凯胜实业有限公司</w:t>
            </w:r>
            <w:r>
              <w:rPr>
                <w:kern w:val="28"/>
                <w:sz w:val="24"/>
              </w:rPr>
              <w:t>年产6000吨编织袋</w:t>
            </w:r>
            <w:r>
              <w:rPr>
                <w:rFonts w:hint="eastAsia"/>
                <w:kern w:val="28"/>
                <w:sz w:val="24"/>
              </w:rPr>
              <w:t>及半成品</w:t>
            </w:r>
            <w:r>
              <w:rPr>
                <w:kern w:val="28"/>
                <w:sz w:val="24"/>
              </w:rPr>
              <w:t>项目</w:t>
            </w:r>
            <w:r>
              <w:rPr>
                <w:rFonts w:hint="eastAsia"/>
                <w:bCs/>
                <w:sz w:val="24"/>
              </w:rPr>
              <w:t>”环评包括生产车间、1#仓库、2#仓库等（厂区平面布置图编号为1#车间、2#车间、3#车间）。</w:t>
            </w:r>
            <w:r>
              <w:rPr>
                <w:rFonts w:hint="eastAsia"/>
                <w:sz w:val="24"/>
              </w:rPr>
              <w:t>凯胜公司未对2#车间本项目拟利用位置、3#车间规划生产设备设施，</w:t>
            </w:r>
            <w:r>
              <w:rPr>
                <w:rFonts w:hint="eastAsia"/>
                <w:bCs/>
                <w:sz w:val="24"/>
              </w:rPr>
              <w:t>3#车间建设完成后部分用于本项目的建设。因此</w:t>
            </w:r>
            <w:r>
              <w:rPr>
                <w:rFonts w:hint="eastAsia"/>
                <w:sz w:val="24"/>
              </w:rPr>
              <w:t>不存在影响本项目建设的环境制约因素。</w:t>
            </w:r>
          </w:p>
          <w:p>
            <w:pPr>
              <w:spacing w:line="360" w:lineRule="auto"/>
              <w:rPr>
                <w:sz w:val="24"/>
              </w:rPr>
            </w:pPr>
          </w:p>
          <w:p>
            <w:pPr>
              <w:spacing w:line="360" w:lineRule="auto"/>
              <w:ind w:firstLine="480" w:firstLineChars="200"/>
              <w:rPr>
                <w:bCs/>
                <w:sz w:val="24"/>
              </w:rPr>
            </w:pPr>
          </w:p>
          <w:p>
            <w:pPr>
              <w:spacing w:line="360" w:lineRule="auto"/>
              <w:rPr>
                <w:bCs/>
                <w:sz w:val="24"/>
              </w:rPr>
            </w:pPr>
          </w:p>
          <w:p>
            <w:pPr>
              <w:spacing w:line="360" w:lineRule="auto"/>
              <w:rPr>
                <w:bCs/>
                <w:sz w:val="24"/>
              </w:rPr>
            </w:pPr>
          </w:p>
          <w:p>
            <w:pPr>
              <w:spacing w:line="360" w:lineRule="auto"/>
              <w:rPr>
                <w:bCs/>
                <w:sz w:val="24"/>
              </w:rPr>
            </w:pPr>
          </w:p>
          <w:p>
            <w:pPr>
              <w:spacing w:line="360" w:lineRule="auto"/>
              <w:rPr>
                <w:bCs/>
                <w:sz w:val="24"/>
              </w:rPr>
            </w:pPr>
          </w:p>
          <w:p>
            <w:pPr>
              <w:spacing w:line="360" w:lineRule="auto"/>
              <w:rPr>
                <w:bCs/>
                <w:sz w:val="24"/>
              </w:rPr>
            </w:pPr>
          </w:p>
          <w:p>
            <w:pPr>
              <w:spacing w:line="360" w:lineRule="auto"/>
              <w:rPr>
                <w:bCs/>
                <w:sz w:val="24"/>
              </w:rPr>
            </w:pPr>
          </w:p>
          <w:p>
            <w:pPr>
              <w:spacing w:line="360" w:lineRule="auto"/>
              <w:rPr>
                <w:bCs/>
                <w:sz w:val="24"/>
              </w:rPr>
            </w:pPr>
          </w:p>
        </w:tc>
      </w:tr>
    </w:tbl>
    <w:p>
      <w:pPr>
        <w:pStyle w:val="23"/>
        <w:ind w:firstLine="720"/>
        <w:jc w:val="center"/>
        <w:rPr>
          <w:rFonts w:ascii="黑体" w:hAnsi="黑体" w:eastAsia="黑体"/>
          <w:snapToGrid w:val="0"/>
          <w:sz w:val="36"/>
          <w:szCs w:val="36"/>
        </w:rPr>
        <w:sectPr>
          <w:pgSz w:w="11906" w:h="16838"/>
          <w:pgMar w:top="1588" w:right="1531" w:bottom="1588" w:left="1531" w:header="851" w:footer="851" w:gutter="0"/>
          <w:cols w:space="720" w:num="1"/>
          <w:docGrid w:linePitch="312" w:charSpace="0"/>
        </w:sectPr>
      </w:pPr>
    </w:p>
    <w:p>
      <w:pPr>
        <w:pStyle w:val="23"/>
        <w:adjustRightInd w:val="0"/>
        <w:snapToGrid w:val="0"/>
        <w:spacing w:before="0" w:beforeAutospacing="0" w:after="0" w:afterAutospacing="0" w:line="14" w:lineRule="auto"/>
        <w:ind w:firstLine="600"/>
        <w:jc w:val="center"/>
        <w:outlineLvl w:val="0"/>
        <w:rPr>
          <w:rFonts w:ascii="黑体" w:hAnsi="黑体" w:eastAsia="黑体"/>
          <w:snapToGrid w:val="0"/>
          <w:sz w:val="30"/>
          <w:szCs w:val="30"/>
        </w:rPr>
      </w:pPr>
    </w:p>
    <w:p>
      <w:pPr>
        <w:pStyle w:val="24"/>
        <w:spacing w:before="120"/>
        <w:rPr>
          <w:snapToGrid w:val="0"/>
        </w:rPr>
      </w:pPr>
      <w:bookmarkStart w:id="5" w:name="_Toc114642630"/>
      <w:r>
        <w:rPr>
          <w:rFonts w:hint="eastAsia"/>
          <w:snapToGrid w:val="0"/>
        </w:rPr>
        <w:t>三、区域环境质量现状、环境保护目标及评价标准</w:t>
      </w:r>
      <w:bookmarkEnd w:id="5"/>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4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499" w:type="dxa"/>
            <w:vAlign w:val="center"/>
          </w:tcPr>
          <w:p>
            <w:pPr>
              <w:pStyle w:val="58"/>
              <w:rPr>
                <w:kern w:val="0"/>
                <w:sz w:val="24"/>
                <w:szCs w:val="24"/>
              </w:rPr>
            </w:pPr>
            <w:r>
              <w:rPr>
                <w:rFonts w:hint="eastAsia"/>
                <w:kern w:val="0"/>
                <w:sz w:val="24"/>
                <w:szCs w:val="24"/>
              </w:rPr>
              <w:t>区</w:t>
            </w:r>
          </w:p>
          <w:p>
            <w:pPr>
              <w:pStyle w:val="58"/>
              <w:rPr>
                <w:kern w:val="0"/>
                <w:sz w:val="24"/>
                <w:szCs w:val="24"/>
              </w:rPr>
            </w:pPr>
            <w:r>
              <w:rPr>
                <w:rFonts w:hint="eastAsia"/>
                <w:kern w:val="0"/>
                <w:sz w:val="24"/>
                <w:szCs w:val="24"/>
              </w:rPr>
              <w:t>域</w:t>
            </w:r>
          </w:p>
          <w:p>
            <w:pPr>
              <w:pStyle w:val="58"/>
              <w:rPr>
                <w:kern w:val="0"/>
                <w:sz w:val="24"/>
                <w:szCs w:val="24"/>
              </w:rPr>
            </w:pPr>
            <w:r>
              <w:rPr>
                <w:rFonts w:hint="eastAsia"/>
                <w:kern w:val="0"/>
                <w:sz w:val="24"/>
                <w:szCs w:val="24"/>
              </w:rPr>
              <w:t>环</w:t>
            </w:r>
          </w:p>
          <w:p>
            <w:pPr>
              <w:pStyle w:val="58"/>
              <w:rPr>
                <w:kern w:val="0"/>
                <w:sz w:val="24"/>
                <w:szCs w:val="24"/>
              </w:rPr>
            </w:pPr>
            <w:r>
              <w:rPr>
                <w:rFonts w:hint="eastAsia"/>
                <w:kern w:val="0"/>
                <w:sz w:val="24"/>
                <w:szCs w:val="24"/>
              </w:rPr>
              <w:t>境</w:t>
            </w:r>
          </w:p>
          <w:p>
            <w:pPr>
              <w:pStyle w:val="58"/>
              <w:rPr>
                <w:kern w:val="0"/>
                <w:sz w:val="24"/>
                <w:szCs w:val="24"/>
              </w:rPr>
            </w:pPr>
            <w:r>
              <w:rPr>
                <w:rFonts w:hint="eastAsia"/>
                <w:kern w:val="0"/>
                <w:sz w:val="24"/>
                <w:szCs w:val="24"/>
              </w:rPr>
              <w:t>质</w:t>
            </w:r>
          </w:p>
          <w:p>
            <w:pPr>
              <w:pStyle w:val="58"/>
              <w:rPr>
                <w:kern w:val="0"/>
                <w:sz w:val="24"/>
                <w:szCs w:val="24"/>
              </w:rPr>
            </w:pPr>
            <w:r>
              <w:rPr>
                <w:rFonts w:hint="eastAsia"/>
                <w:kern w:val="0"/>
                <w:sz w:val="24"/>
                <w:szCs w:val="24"/>
              </w:rPr>
              <w:t>量</w:t>
            </w:r>
          </w:p>
          <w:p>
            <w:pPr>
              <w:pStyle w:val="58"/>
              <w:rPr>
                <w:kern w:val="0"/>
                <w:sz w:val="24"/>
                <w:szCs w:val="24"/>
              </w:rPr>
            </w:pPr>
            <w:r>
              <w:rPr>
                <w:rFonts w:hint="eastAsia"/>
                <w:kern w:val="0"/>
                <w:sz w:val="24"/>
                <w:szCs w:val="24"/>
              </w:rPr>
              <w:t>现</w:t>
            </w:r>
          </w:p>
          <w:p>
            <w:pPr>
              <w:pStyle w:val="58"/>
              <w:rPr>
                <w:kern w:val="0"/>
              </w:rPr>
            </w:pPr>
            <w:r>
              <w:rPr>
                <w:rFonts w:hint="eastAsia"/>
                <w:kern w:val="0"/>
                <w:sz w:val="24"/>
                <w:szCs w:val="24"/>
              </w:rPr>
              <w:t>状</w:t>
            </w:r>
          </w:p>
        </w:tc>
        <w:tc>
          <w:tcPr>
            <w:tcW w:w="8491" w:type="dxa"/>
            <w:vAlign w:val="center"/>
          </w:tcPr>
          <w:p>
            <w:pPr>
              <w:spacing w:line="360" w:lineRule="auto"/>
              <w:rPr>
                <w:b/>
                <w:sz w:val="24"/>
              </w:rPr>
            </w:pPr>
            <w:r>
              <w:rPr>
                <w:b/>
                <w:sz w:val="24"/>
              </w:rPr>
              <w:t>1环境空气质量现状</w:t>
            </w:r>
          </w:p>
          <w:p>
            <w:pPr>
              <w:spacing w:line="360" w:lineRule="auto"/>
              <w:rPr>
                <w:b/>
                <w:sz w:val="24"/>
              </w:rPr>
            </w:pPr>
            <w:r>
              <w:rPr>
                <w:rFonts w:hint="eastAsia"/>
                <w:b/>
                <w:sz w:val="24"/>
              </w:rPr>
              <w:t>1.1达标区判定</w:t>
            </w:r>
          </w:p>
          <w:p>
            <w:pPr>
              <w:spacing w:line="360" w:lineRule="auto"/>
              <w:ind w:firstLine="480" w:firstLineChars="200"/>
              <w:rPr>
                <w:sz w:val="24"/>
              </w:rPr>
            </w:pPr>
            <w:r>
              <w:rPr>
                <w:sz w:val="24"/>
              </w:rPr>
              <w:t>本项目位于</w:t>
            </w:r>
            <w:r>
              <w:rPr>
                <w:rFonts w:hint="eastAsia"/>
                <w:sz w:val="24"/>
              </w:rPr>
              <w:t>洛阳市偃师区</w:t>
            </w:r>
            <w:r>
              <w:rPr>
                <w:sz w:val="24"/>
              </w:rPr>
              <w:t>，评价</w:t>
            </w:r>
            <w:r>
              <w:rPr>
                <w:rFonts w:hint="eastAsia"/>
                <w:sz w:val="24"/>
              </w:rPr>
              <w:t>选用</w:t>
            </w:r>
            <w:r>
              <w:rPr>
                <w:sz w:val="24"/>
              </w:rPr>
              <w:t>洛阳市</w:t>
            </w:r>
            <w:r>
              <w:rPr>
                <w:rFonts w:hint="eastAsia"/>
                <w:sz w:val="24"/>
              </w:rPr>
              <w:t>生态环境主管部门公开发布的</w:t>
            </w:r>
            <w:r>
              <w:rPr>
                <w:rFonts w:hint="eastAsia"/>
                <w:bCs/>
                <w:sz w:val="24"/>
              </w:rPr>
              <w:t>《</w:t>
            </w:r>
            <w:r>
              <w:rPr>
                <w:bCs/>
                <w:sz w:val="24"/>
              </w:rPr>
              <w:t>202</w:t>
            </w:r>
            <w:r>
              <w:rPr>
                <w:rFonts w:hint="eastAsia"/>
                <w:bCs/>
                <w:sz w:val="24"/>
              </w:rPr>
              <w:t>2年洛阳市生态环境状况公报》，</w:t>
            </w:r>
            <w:r>
              <w:rPr>
                <w:bCs/>
                <w:sz w:val="24"/>
              </w:rPr>
              <w:t>202</w:t>
            </w:r>
            <w:r>
              <w:rPr>
                <w:rFonts w:hint="eastAsia"/>
                <w:bCs/>
                <w:sz w:val="24"/>
              </w:rPr>
              <w:t>2年洛阳市城区环境空气质量优、良天数为230天，较</w:t>
            </w:r>
            <w:r>
              <w:rPr>
                <w:bCs/>
                <w:sz w:val="24"/>
              </w:rPr>
              <w:t>202</w:t>
            </w:r>
            <w:r>
              <w:rPr>
                <w:rFonts w:hint="eastAsia"/>
                <w:bCs/>
                <w:sz w:val="24"/>
              </w:rPr>
              <w:t>1年（</w:t>
            </w:r>
            <w:r>
              <w:rPr>
                <w:bCs/>
                <w:sz w:val="24"/>
              </w:rPr>
              <w:t>24</w:t>
            </w:r>
            <w:r>
              <w:rPr>
                <w:rFonts w:hint="eastAsia"/>
                <w:bCs/>
                <w:sz w:val="24"/>
              </w:rPr>
              <w:t>6天）减少16天，达标率为63.0</w:t>
            </w:r>
            <w:r>
              <w:rPr>
                <w:bCs/>
                <w:sz w:val="24"/>
              </w:rPr>
              <w:t>%</w:t>
            </w:r>
            <w:r>
              <w:rPr>
                <w:rFonts w:hint="eastAsia"/>
                <w:bCs/>
                <w:sz w:val="24"/>
              </w:rPr>
              <w:t>。区域空气质量现状评价表见下表。</w:t>
            </w:r>
          </w:p>
          <w:p>
            <w:pPr>
              <w:pStyle w:val="53"/>
              <w:numPr>
                <w:ilvl w:val="0"/>
                <w:numId w:val="2"/>
              </w:numPr>
              <w:ind w:left="0" w:firstLine="0"/>
            </w:pPr>
            <w:r>
              <w:rPr>
                <w:rFonts w:hint="eastAsia"/>
              </w:rPr>
              <w:t>洛阳市环境空气质量现状评价一览表</w:t>
            </w:r>
          </w:p>
          <w:tbl>
            <w:tblPr>
              <w:tblStyle w:val="28"/>
              <w:tblpPr w:leftFromText="180" w:rightFromText="180" w:vertAnchor="text" w:tblpXSpec="center" w:tblpY="1"/>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2514"/>
              <w:gridCol w:w="1418"/>
              <w:gridCol w:w="1438"/>
              <w:gridCol w:w="1113"/>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83" w:type="dxa"/>
                  <w:tcBorders>
                    <w:left w:val="single" w:color="auto" w:sz="4" w:space="0"/>
                    <w:bottom w:val="single" w:color="auto" w:sz="4" w:space="0"/>
                  </w:tcBorders>
                  <w:vAlign w:val="center"/>
                </w:tcPr>
                <w:p>
                  <w:pPr>
                    <w:pStyle w:val="80"/>
                  </w:pPr>
                  <w:r>
                    <w:t>污染物</w:t>
                  </w:r>
                </w:p>
              </w:tc>
              <w:tc>
                <w:tcPr>
                  <w:tcW w:w="2514" w:type="dxa"/>
                  <w:tcBorders>
                    <w:right w:val="single" w:color="auto" w:sz="4" w:space="0"/>
                  </w:tcBorders>
                  <w:vAlign w:val="center"/>
                </w:tcPr>
                <w:p>
                  <w:pPr>
                    <w:pStyle w:val="80"/>
                  </w:pPr>
                  <w:r>
                    <w:t>年评价指标</w:t>
                  </w:r>
                </w:p>
              </w:tc>
              <w:tc>
                <w:tcPr>
                  <w:tcW w:w="1418" w:type="dxa"/>
                  <w:tcBorders>
                    <w:left w:val="single" w:color="auto" w:sz="4" w:space="0"/>
                  </w:tcBorders>
                  <w:vAlign w:val="center"/>
                </w:tcPr>
                <w:p>
                  <w:pPr>
                    <w:pStyle w:val="80"/>
                  </w:pPr>
                  <w:r>
                    <w:t>现状浓度μg/m</w:t>
                  </w:r>
                  <w:r>
                    <w:rPr>
                      <w:vertAlign w:val="superscript"/>
                    </w:rPr>
                    <w:t>3</w:t>
                  </w:r>
                </w:p>
              </w:tc>
              <w:tc>
                <w:tcPr>
                  <w:tcW w:w="1438" w:type="dxa"/>
                  <w:tcBorders>
                    <w:right w:val="single" w:color="auto" w:sz="4" w:space="0"/>
                  </w:tcBorders>
                  <w:vAlign w:val="center"/>
                </w:tcPr>
                <w:p>
                  <w:pPr>
                    <w:pStyle w:val="80"/>
                  </w:pPr>
                  <w:r>
                    <w:t>标准值</w:t>
                  </w:r>
                </w:p>
                <w:p>
                  <w:pPr>
                    <w:pStyle w:val="80"/>
                  </w:pPr>
                  <w:r>
                    <w:t>μg/m</w:t>
                  </w:r>
                  <w:r>
                    <w:rPr>
                      <w:vertAlign w:val="superscript"/>
                    </w:rPr>
                    <w:t>3</w:t>
                  </w:r>
                </w:p>
              </w:tc>
              <w:tc>
                <w:tcPr>
                  <w:tcW w:w="1113" w:type="dxa"/>
                  <w:vAlign w:val="center"/>
                </w:tcPr>
                <w:p>
                  <w:pPr>
                    <w:pStyle w:val="80"/>
                  </w:pPr>
                  <w:r>
                    <w:t>占标率/%</w:t>
                  </w:r>
                </w:p>
              </w:tc>
              <w:tc>
                <w:tcPr>
                  <w:tcW w:w="899" w:type="dxa"/>
                  <w:tcBorders>
                    <w:top w:val="single" w:color="auto" w:sz="4" w:space="0"/>
                    <w:bottom w:val="single" w:color="auto" w:sz="4" w:space="0"/>
                  </w:tcBorders>
                  <w:vAlign w:val="center"/>
                </w:tcPr>
                <w:p>
                  <w:pPr>
                    <w:pStyle w:val="80"/>
                  </w:pPr>
                  <w:r>
                    <w:t>达标</w:t>
                  </w:r>
                </w:p>
                <w:p>
                  <w:pPr>
                    <w:pStyle w:val="80"/>
                  </w:pPr>
                  <w: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83" w:type="dxa"/>
                  <w:vAlign w:val="center"/>
                </w:tcPr>
                <w:p>
                  <w:pPr>
                    <w:pStyle w:val="75"/>
                  </w:pPr>
                  <w:r>
                    <w:t>PM</w:t>
                  </w:r>
                  <w:r>
                    <w:rPr>
                      <w:vertAlign w:val="subscript"/>
                    </w:rPr>
                    <w:t>2.5</w:t>
                  </w:r>
                </w:p>
              </w:tc>
              <w:tc>
                <w:tcPr>
                  <w:tcW w:w="2514" w:type="dxa"/>
                  <w:vAlign w:val="center"/>
                </w:tcPr>
                <w:p>
                  <w:pPr>
                    <w:pStyle w:val="75"/>
                  </w:pPr>
                  <w:r>
                    <w:t>年平均浓度</w:t>
                  </w:r>
                </w:p>
              </w:tc>
              <w:tc>
                <w:tcPr>
                  <w:tcW w:w="1418" w:type="dxa"/>
                  <w:vAlign w:val="center"/>
                </w:tcPr>
                <w:p>
                  <w:pPr>
                    <w:pStyle w:val="75"/>
                    <w:spacing w:line="320" w:lineRule="exact"/>
                    <w:rPr>
                      <w:szCs w:val="21"/>
                    </w:rPr>
                  </w:pPr>
                  <w:r>
                    <w:rPr>
                      <w:szCs w:val="21"/>
                    </w:rPr>
                    <w:t>47</w:t>
                  </w:r>
                </w:p>
              </w:tc>
              <w:tc>
                <w:tcPr>
                  <w:tcW w:w="1438" w:type="dxa"/>
                  <w:vAlign w:val="center"/>
                </w:tcPr>
                <w:p>
                  <w:pPr>
                    <w:pStyle w:val="75"/>
                    <w:spacing w:line="320" w:lineRule="exact"/>
                  </w:pPr>
                  <w:r>
                    <w:t>35</w:t>
                  </w:r>
                </w:p>
              </w:tc>
              <w:tc>
                <w:tcPr>
                  <w:tcW w:w="1113" w:type="dxa"/>
                  <w:vAlign w:val="center"/>
                </w:tcPr>
                <w:p>
                  <w:pPr>
                    <w:pStyle w:val="75"/>
                    <w:spacing w:line="320" w:lineRule="exact"/>
                  </w:pPr>
                  <w:r>
                    <w:t xml:space="preserve">134.3 </w:t>
                  </w:r>
                </w:p>
              </w:tc>
              <w:tc>
                <w:tcPr>
                  <w:tcW w:w="899" w:type="dxa"/>
                  <w:vAlign w:val="center"/>
                </w:tcPr>
                <w:p>
                  <w:pPr>
                    <w:pStyle w:val="75"/>
                  </w:pPr>
                  <w:r>
                    <w:t>不达标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83" w:type="dxa"/>
                  <w:vAlign w:val="center"/>
                </w:tcPr>
                <w:p>
                  <w:pPr>
                    <w:pStyle w:val="75"/>
                  </w:pPr>
                  <w:r>
                    <w:t>PM</w:t>
                  </w:r>
                  <w:r>
                    <w:rPr>
                      <w:vertAlign w:val="subscript"/>
                    </w:rPr>
                    <w:t>10</w:t>
                  </w:r>
                </w:p>
              </w:tc>
              <w:tc>
                <w:tcPr>
                  <w:tcW w:w="2514" w:type="dxa"/>
                  <w:vAlign w:val="center"/>
                </w:tcPr>
                <w:p>
                  <w:pPr>
                    <w:pStyle w:val="75"/>
                  </w:pPr>
                  <w:r>
                    <w:t>年平均浓度</w:t>
                  </w:r>
                </w:p>
              </w:tc>
              <w:tc>
                <w:tcPr>
                  <w:tcW w:w="1418" w:type="dxa"/>
                  <w:vAlign w:val="center"/>
                </w:tcPr>
                <w:p>
                  <w:pPr>
                    <w:pStyle w:val="75"/>
                    <w:spacing w:line="320" w:lineRule="exact"/>
                    <w:rPr>
                      <w:szCs w:val="21"/>
                    </w:rPr>
                  </w:pPr>
                  <w:r>
                    <w:rPr>
                      <w:szCs w:val="21"/>
                    </w:rPr>
                    <w:t>80</w:t>
                  </w:r>
                </w:p>
              </w:tc>
              <w:tc>
                <w:tcPr>
                  <w:tcW w:w="1438" w:type="dxa"/>
                  <w:vAlign w:val="center"/>
                </w:tcPr>
                <w:p>
                  <w:pPr>
                    <w:pStyle w:val="75"/>
                    <w:spacing w:line="320" w:lineRule="exact"/>
                    <w:rPr>
                      <w:spacing w:val="-10"/>
                    </w:rPr>
                  </w:pPr>
                  <w:r>
                    <w:rPr>
                      <w:spacing w:val="-10"/>
                    </w:rPr>
                    <w:t>70</w:t>
                  </w:r>
                </w:p>
              </w:tc>
              <w:tc>
                <w:tcPr>
                  <w:tcW w:w="1113" w:type="dxa"/>
                  <w:vAlign w:val="center"/>
                </w:tcPr>
                <w:p>
                  <w:pPr>
                    <w:pStyle w:val="75"/>
                    <w:spacing w:line="320" w:lineRule="exact"/>
                  </w:pPr>
                  <w:r>
                    <w:t xml:space="preserve">114.3 </w:t>
                  </w:r>
                </w:p>
              </w:tc>
              <w:tc>
                <w:tcPr>
                  <w:tcW w:w="899" w:type="dxa"/>
                  <w:vAlign w:val="center"/>
                </w:tcPr>
                <w:p>
                  <w:pPr>
                    <w:pStyle w:val="75"/>
                  </w:pPr>
                  <w:r>
                    <w:t>不达标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83" w:type="dxa"/>
                  <w:vAlign w:val="center"/>
                </w:tcPr>
                <w:p>
                  <w:pPr>
                    <w:pStyle w:val="75"/>
                  </w:pPr>
                  <w:r>
                    <w:rPr>
                      <w:bCs/>
                    </w:rPr>
                    <w:t>O</w:t>
                  </w:r>
                  <w:r>
                    <w:rPr>
                      <w:bCs/>
                      <w:vertAlign w:val="subscript"/>
                    </w:rPr>
                    <w:t>3</w:t>
                  </w:r>
                </w:p>
              </w:tc>
              <w:tc>
                <w:tcPr>
                  <w:tcW w:w="2514" w:type="dxa"/>
                  <w:vAlign w:val="center"/>
                </w:tcPr>
                <w:p>
                  <w:pPr>
                    <w:pStyle w:val="75"/>
                  </w:pPr>
                  <w:r>
                    <w:t>日最大8小时平均浓度第90百分位数</w:t>
                  </w:r>
                </w:p>
              </w:tc>
              <w:tc>
                <w:tcPr>
                  <w:tcW w:w="1418" w:type="dxa"/>
                  <w:vAlign w:val="center"/>
                </w:tcPr>
                <w:p>
                  <w:pPr>
                    <w:pStyle w:val="75"/>
                    <w:spacing w:line="320" w:lineRule="exact"/>
                    <w:rPr>
                      <w:szCs w:val="21"/>
                    </w:rPr>
                  </w:pPr>
                  <w:r>
                    <w:rPr>
                      <w:szCs w:val="21"/>
                    </w:rPr>
                    <w:t>171</w:t>
                  </w:r>
                </w:p>
              </w:tc>
              <w:tc>
                <w:tcPr>
                  <w:tcW w:w="1438" w:type="dxa"/>
                  <w:vAlign w:val="center"/>
                </w:tcPr>
                <w:p>
                  <w:pPr>
                    <w:pStyle w:val="75"/>
                    <w:spacing w:line="320" w:lineRule="exact"/>
                  </w:pPr>
                  <w:r>
                    <w:t>160</w:t>
                  </w:r>
                </w:p>
              </w:tc>
              <w:tc>
                <w:tcPr>
                  <w:tcW w:w="1113" w:type="dxa"/>
                  <w:vAlign w:val="center"/>
                </w:tcPr>
                <w:p>
                  <w:pPr>
                    <w:pStyle w:val="75"/>
                    <w:spacing w:line="320" w:lineRule="exact"/>
                  </w:pPr>
                  <w:r>
                    <w:t xml:space="preserve">106.9 </w:t>
                  </w:r>
                </w:p>
              </w:tc>
              <w:tc>
                <w:tcPr>
                  <w:tcW w:w="899" w:type="dxa"/>
                  <w:vAlign w:val="center"/>
                </w:tcPr>
                <w:p>
                  <w:pPr>
                    <w:pStyle w:val="75"/>
                  </w:pPr>
                  <w:r>
                    <w:t>不达标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83" w:type="dxa"/>
                  <w:vAlign w:val="center"/>
                </w:tcPr>
                <w:p>
                  <w:pPr>
                    <w:pStyle w:val="75"/>
                  </w:pPr>
                  <w:r>
                    <w:rPr>
                      <w:bCs/>
                    </w:rPr>
                    <w:t>NO</w:t>
                  </w:r>
                  <w:r>
                    <w:rPr>
                      <w:bCs/>
                      <w:vertAlign w:val="subscript"/>
                    </w:rPr>
                    <w:t>2</w:t>
                  </w:r>
                </w:p>
              </w:tc>
              <w:tc>
                <w:tcPr>
                  <w:tcW w:w="2514" w:type="dxa"/>
                  <w:vAlign w:val="center"/>
                </w:tcPr>
                <w:p>
                  <w:pPr>
                    <w:pStyle w:val="75"/>
                  </w:pPr>
                  <w:r>
                    <w:t>年平均浓度</w:t>
                  </w:r>
                </w:p>
              </w:tc>
              <w:tc>
                <w:tcPr>
                  <w:tcW w:w="1418" w:type="dxa"/>
                  <w:vAlign w:val="center"/>
                </w:tcPr>
                <w:p>
                  <w:pPr>
                    <w:pStyle w:val="75"/>
                    <w:spacing w:line="320" w:lineRule="exact"/>
                    <w:rPr>
                      <w:szCs w:val="21"/>
                    </w:rPr>
                  </w:pPr>
                  <w:r>
                    <w:rPr>
                      <w:szCs w:val="21"/>
                    </w:rPr>
                    <w:t>26</w:t>
                  </w:r>
                </w:p>
              </w:tc>
              <w:tc>
                <w:tcPr>
                  <w:tcW w:w="1438" w:type="dxa"/>
                  <w:vAlign w:val="center"/>
                </w:tcPr>
                <w:p>
                  <w:pPr>
                    <w:pStyle w:val="75"/>
                    <w:spacing w:line="320" w:lineRule="exact"/>
                  </w:pPr>
                  <w:r>
                    <w:t>40</w:t>
                  </w:r>
                </w:p>
              </w:tc>
              <w:tc>
                <w:tcPr>
                  <w:tcW w:w="1113" w:type="dxa"/>
                  <w:vAlign w:val="center"/>
                </w:tcPr>
                <w:p>
                  <w:pPr>
                    <w:pStyle w:val="75"/>
                    <w:spacing w:line="320" w:lineRule="exact"/>
                  </w:pPr>
                  <w:r>
                    <w:t xml:space="preserve">65.0 </w:t>
                  </w:r>
                </w:p>
              </w:tc>
              <w:tc>
                <w:tcPr>
                  <w:tcW w:w="899" w:type="dxa"/>
                  <w:vAlign w:val="center"/>
                </w:tcPr>
                <w:p>
                  <w:pPr>
                    <w:pStyle w:val="75"/>
                  </w:pPr>
                  <w: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83" w:type="dxa"/>
                  <w:vAlign w:val="center"/>
                </w:tcPr>
                <w:p>
                  <w:pPr>
                    <w:pStyle w:val="75"/>
                  </w:pPr>
                  <w:r>
                    <w:rPr>
                      <w:bCs/>
                    </w:rPr>
                    <w:t>CO</w:t>
                  </w:r>
                </w:p>
              </w:tc>
              <w:tc>
                <w:tcPr>
                  <w:tcW w:w="2514" w:type="dxa"/>
                  <w:vAlign w:val="center"/>
                </w:tcPr>
                <w:p>
                  <w:pPr>
                    <w:pStyle w:val="75"/>
                  </w:pPr>
                  <w:r>
                    <w:t>24小时平均浓度第95百分位数</w:t>
                  </w:r>
                </w:p>
              </w:tc>
              <w:tc>
                <w:tcPr>
                  <w:tcW w:w="1418" w:type="dxa"/>
                  <w:vAlign w:val="center"/>
                </w:tcPr>
                <w:p>
                  <w:pPr>
                    <w:pStyle w:val="75"/>
                    <w:spacing w:line="320" w:lineRule="exact"/>
                    <w:rPr>
                      <w:szCs w:val="21"/>
                    </w:rPr>
                  </w:pPr>
                  <w:r>
                    <w:rPr>
                      <w:szCs w:val="21"/>
                    </w:rPr>
                    <w:t>1.2</w:t>
                  </w:r>
                  <w:r>
                    <w:t>mg/m</w:t>
                  </w:r>
                  <w:r>
                    <w:rPr>
                      <w:vertAlign w:val="superscript"/>
                    </w:rPr>
                    <w:t>3</w:t>
                  </w:r>
                </w:p>
              </w:tc>
              <w:tc>
                <w:tcPr>
                  <w:tcW w:w="1438" w:type="dxa"/>
                  <w:vAlign w:val="center"/>
                </w:tcPr>
                <w:p>
                  <w:pPr>
                    <w:pStyle w:val="75"/>
                    <w:spacing w:line="320" w:lineRule="exact"/>
                  </w:pPr>
                  <w:r>
                    <w:t>4mg/m</w:t>
                  </w:r>
                  <w:r>
                    <w:rPr>
                      <w:vertAlign w:val="superscript"/>
                    </w:rPr>
                    <w:t>3</w:t>
                  </w:r>
                </w:p>
              </w:tc>
              <w:tc>
                <w:tcPr>
                  <w:tcW w:w="1113" w:type="dxa"/>
                  <w:vAlign w:val="center"/>
                </w:tcPr>
                <w:p>
                  <w:pPr>
                    <w:pStyle w:val="75"/>
                    <w:spacing w:line="320" w:lineRule="exact"/>
                  </w:pPr>
                  <w:r>
                    <w:t xml:space="preserve">30.0 </w:t>
                  </w:r>
                </w:p>
              </w:tc>
              <w:tc>
                <w:tcPr>
                  <w:tcW w:w="899" w:type="dxa"/>
                  <w:vAlign w:val="center"/>
                </w:tcPr>
                <w:p>
                  <w:pPr>
                    <w:pStyle w:val="75"/>
                  </w:pPr>
                  <w: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83" w:type="dxa"/>
                  <w:vAlign w:val="center"/>
                </w:tcPr>
                <w:p>
                  <w:pPr>
                    <w:pStyle w:val="75"/>
                  </w:pPr>
                  <w:r>
                    <w:rPr>
                      <w:bCs/>
                    </w:rPr>
                    <w:t>SO</w:t>
                  </w:r>
                  <w:r>
                    <w:rPr>
                      <w:bCs/>
                      <w:vertAlign w:val="subscript"/>
                    </w:rPr>
                    <w:t>2</w:t>
                  </w:r>
                </w:p>
              </w:tc>
              <w:tc>
                <w:tcPr>
                  <w:tcW w:w="2514" w:type="dxa"/>
                  <w:vAlign w:val="center"/>
                </w:tcPr>
                <w:p>
                  <w:pPr>
                    <w:pStyle w:val="75"/>
                  </w:pPr>
                  <w:r>
                    <w:t>年平均浓度</w:t>
                  </w:r>
                </w:p>
              </w:tc>
              <w:tc>
                <w:tcPr>
                  <w:tcW w:w="1418" w:type="dxa"/>
                  <w:vAlign w:val="center"/>
                </w:tcPr>
                <w:p>
                  <w:pPr>
                    <w:pStyle w:val="75"/>
                    <w:spacing w:line="320" w:lineRule="exact"/>
                    <w:rPr>
                      <w:szCs w:val="21"/>
                    </w:rPr>
                  </w:pPr>
                  <w:r>
                    <w:rPr>
                      <w:szCs w:val="21"/>
                    </w:rPr>
                    <w:t>7</w:t>
                  </w:r>
                </w:p>
              </w:tc>
              <w:tc>
                <w:tcPr>
                  <w:tcW w:w="1438" w:type="dxa"/>
                  <w:vAlign w:val="center"/>
                </w:tcPr>
                <w:p>
                  <w:pPr>
                    <w:pStyle w:val="75"/>
                    <w:spacing w:line="320" w:lineRule="exact"/>
                  </w:pPr>
                  <w:r>
                    <w:t>60</w:t>
                  </w:r>
                </w:p>
              </w:tc>
              <w:tc>
                <w:tcPr>
                  <w:tcW w:w="1113" w:type="dxa"/>
                  <w:vAlign w:val="center"/>
                </w:tcPr>
                <w:p>
                  <w:pPr>
                    <w:pStyle w:val="75"/>
                    <w:spacing w:line="320" w:lineRule="exact"/>
                  </w:pPr>
                  <w:r>
                    <w:t xml:space="preserve">11.7 </w:t>
                  </w:r>
                </w:p>
              </w:tc>
              <w:tc>
                <w:tcPr>
                  <w:tcW w:w="899" w:type="dxa"/>
                  <w:vAlign w:val="center"/>
                </w:tcPr>
                <w:p>
                  <w:pPr>
                    <w:pStyle w:val="75"/>
                  </w:pPr>
                  <w:r>
                    <w:t>达标</w:t>
                  </w:r>
                </w:p>
              </w:tc>
            </w:tr>
          </w:tbl>
          <w:p>
            <w:pPr>
              <w:spacing w:line="360" w:lineRule="auto"/>
              <w:ind w:firstLine="480" w:firstLineChars="200"/>
              <w:rPr>
                <w:sz w:val="24"/>
              </w:rPr>
            </w:pPr>
            <w:r>
              <w:rPr>
                <w:sz w:val="24"/>
              </w:rPr>
              <w:t>由上</w:t>
            </w:r>
            <w:r>
              <w:rPr>
                <w:rFonts w:hint="eastAsia"/>
                <w:sz w:val="24"/>
              </w:rPr>
              <w:t>表</w:t>
            </w:r>
            <w:r>
              <w:rPr>
                <w:sz w:val="24"/>
              </w:rPr>
              <w:t>可知，20</w:t>
            </w:r>
            <w:r>
              <w:rPr>
                <w:rFonts w:hint="eastAsia"/>
                <w:sz w:val="24"/>
              </w:rPr>
              <w:t>22</w:t>
            </w:r>
            <w:r>
              <w:rPr>
                <w:sz w:val="24"/>
              </w:rPr>
              <w:t>年度</w:t>
            </w:r>
            <w:r>
              <w:rPr>
                <w:rFonts w:hint="eastAsia"/>
                <w:sz w:val="24"/>
              </w:rPr>
              <w:t>洛阳市</w:t>
            </w:r>
            <w:r>
              <w:rPr>
                <w:bCs/>
                <w:sz w:val="24"/>
              </w:rPr>
              <w:t>PM</w:t>
            </w:r>
            <w:r>
              <w:rPr>
                <w:bCs/>
                <w:sz w:val="24"/>
                <w:vertAlign w:val="subscript"/>
              </w:rPr>
              <w:t>2.5</w:t>
            </w:r>
            <w:r>
              <w:rPr>
                <w:rFonts w:hint="eastAsia"/>
                <w:bCs/>
                <w:sz w:val="24"/>
              </w:rPr>
              <w:t>、</w:t>
            </w:r>
            <w:r>
              <w:rPr>
                <w:bCs/>
                <w:sz w:val="24"/>
              </w:rPr>
              <w:t>PM</w:t>
            </w:r>
            <w:r>
              <w:rPr>
                <w:bCs/>
                <w:sz w:val="24"/>
                <w:vertAlign w:val="subscript"/>
              </w:rPr>
              <w:t>10</w:t>
            </w:r>
            <w:r>
              <w:rPr>
                <w:bCs/>
                <w:sz w:val="24"/>
              </w:rPr>
              <w:t>年均浓度</w:t>
            </w:r>
            <w:r>
              <w:rPr>
                <w:rFonts w:hint="eastAsia"/>
                <w:bCs/>
                <w:sz w:val="24"/>
              </w:rPr>
              <w:t>、</w:t>
            </w:r>
            <w:r>
              <w:rPr>
                <w:sz w:val="24"/>
              </w:rPr>
              <w:t>O</w:t>
            </w:r>
            <w:r>
              <w:rPr>
                <w:sz w:val="24"/>
                <w:vertAlign w:val="subscript"/>
              </w:rPr>
              <w:t>3</w:t>
            </w:r>
            <w:r>
              <w:rPr>
                <w:rStyle w:val="59"/>
                <w:sz w:val="24"/>
              </w:rPr>
              <w:t>日最大8h平均质量浓度</w:t>
            </w:r>
            <w:r>
              <w:rPr>
                <w:bCs/>
                <w:sz w:val="24"/>
              </w:rPr>
              <w:t>不能满足</w:t>
            </w:r>
            <w:r>
              <w:rPr>
                <w:sz w:val="24"/>
              </w:rPr>
              <w:t>《环境空气质量标准》（GB3095-2012）二级标准浓度限值要求，因此判定</w:t>
            </w:r>
            <w:r>
              <w:rPr>
                <w:rFonts w:hint="eastAsia"/>
                <w:sz w:val="24"/>
              </w:rPr>
              <w:t>2022年洛阳市属于</w:t>
            </w:r>
            <w:r>
              <w:rPr>
                <w:sz w:val="24"/>
              </w:rPr>
              <w:t>不达标区。</w:t>
            </w:r>
          </w:p>
          <w:p>
            <w:pPr>
              <w:spacing w:line="360" w:lineRule="auto"/>
              <w:rPr>
                <w:b/>
                <w:sz w:val="24"/>
              </w:rPr>
            </w:pPr>
            <w:r>
              <w:rPr>
                <w:rFonts w:hint="eastAsia"/>
                <w:b/>
                <w:sz w:val="24"/>
              </w:rPr>
              <w:t>1.2</w:t>
            </w:r>
            <w:r>
              <w:rPr>
                <w:b/>
                <w:sz w:val="24"/>
              </w:rPr>
              <w:t>区域污染物达标消减计划</w:t>
            </w:r>
          </w:p>
          <w:p>
            <w:pPr>
              <w:adjustRightInd w:val="0"/>
              <w:snapToGrid w:val="0"/>
              <w:spacing w:line="360" w:lineRule="auto"/>
              <w:ind w:firstLine="480" w:firstLineChars="200"/>
              <w:rPr>
                <w:sz w:val="24"/>
              </w:rPr>
            </w:pPr>
            <w:r>
              <w:rPr>
                <w:bCs/>
                <w:kern w:val="0"/>
                <w:sz w:val="24"/>
              </w:rPr>
              <w:t>针对区域大气环境质量现状超标的情况，偃师区</w:t>
            </w:r>
            <w:r>
              <w:rPr>
                <w:rFonts w:hint="eastAsia"/>
                <w:bCs/>
                <w:kern w:val="0"/>
                <w:sz w:val="24"/>
              </w:rPr>
              <w:t>正在实施</w:t>
            </w:r>
            <w:r>
              <w:rPr>
                <w:rFonts w:hint="eastAsia"/>
                <w:sz w:val="24"/>
              </w:rPr>
              <w:t>《偃师区2023年蓝天、碧水、净土保卫战实施方案》（偃环委办2023〕3号）、</w:t>
            </w:r>
            <w:r>
              <w:rPr>
                <w:rFonts w:eastAsiaTheme="majorEastAsia"/>
                <w:sz w:val="24"/>
              </w:rPr>
              <w:t>《偃师区2023年夏季挥发性有机物污染防治实施方案》</w:t>
            </w:r>
            <w:r>
              <w:rPr>
                <w:rFonts w:hint="eastAsia" w:eastAsiaTheme="majorEastAsia"/>
                <w:sz w:val="24"/>
              </w:rPr>
              <w:t>（</w:t>
            </w:r>
            <w:r>
              <w:rPr>
                <w:rFonts w:eastAsiaTheme="majorEastAsia"/>
                <w:sz w:val="24"/>
              </w:rPr>
              <w:t>偃环委办</w:t>
            </w:r>
            <w:r>
              <w:rPr>
                <w:rFonts w:hint="eastAsia"/>
                <w:sz w:val="24"/>
              </w:rPr>
              <w:t>〔2023〕</w:t>
            </w:r>
            <w:r>
              <w:rPr>
                <w:rFonts w:eastAsiaTheme="majorEastAsia"/>
                <w:sz w:val="24"/>
              </w:rPr>
              <w:t>5号</w:t>
            </w:r>
            <w:r>
              <w:rPr>
                <w:rFonts w:hint="eastAsia" w:eastAsiaTheme="majorEastAsia"/>
                <w:sz w:val="24"/>
              </w:rPr>
              <w:t>）</w:t>
            </w:r>
            <w:r>
              <w:rPr>
                <w:bCs/>
                <w:kern w:val="0"/>
                <w:sz w:val="24"/>
              </w:rPr>
              <w:t>等</w:t>
            </w:r>
            <w:r>
              <w:rPr>
                <w:rFonts w:hint="eastAsia"/>
                <w:sz w:val="24"/>
              </w:rPr>
              <w:t>文件中要求的一系列措施，通过治理，区域环境质量状况正在逐步好转。</w:t>
            </w:r>
          </w:p>
          <w:p>
            <w:pPr>
              <w:spacing w:line="360" w:lineRule="auto"/>
              <w:ind w:firstLine="480"/>
              <w:rPr>
                <w:sz w:val="24"/>
              </w:rPr>
            </w:pPr>
            <w:r>
              <w:rPr>
                <w:rFonts w:hint="eastAsia"/>
                <w:sz w:val="24"/>
              </w:rPr>
              <w:t>本项目产生颗粒物经袋式除尘器处理，非甲烷总烃经“光氧催化+活性炭吸附装置”处理，</w:t>
            </w:r>
            <w:r>
              <w:rPr>
                <w:rFonts w:hAnsi="宋体"/>
                <w:sz w:val="24"/>
              </w:rPr>
              <w:t>本项目排放的</w:t>
            </w:r>
            <w:r>
              <w:rPr>
                <w:rFonts w:hint="eastAsia" w:hAnsi="宋体"/>
                <w:sz w:val="24"/>
              </w:rPr>
              <w:t>颗粒物、非甲烷总烃</w:t>
            </w:r>
            <w:r>
              <w:rPr>
                <w:rFonts w:hAnsi="宋体"/>
                <w:sz w:val="24"/>
              </w:rPr>
              <w:t>在</w:t>
            </w:r>
            <w:r>
              <w:rPr>
                <w:rFonts w:hint="eastAsia" w:hAnsi="宋体"/>
                <w:sz w:val="24"/>
              </w:rPr>
              <w:t>偃师</w:t>
            </w:r>
            <w:r>
              <w:rPr>
                <w:rFonts w:hAnsi="宋体"/>
                <w:sz w:val="24"/>
              </w:rPr>
              <w:t>区域内</w:t>
            </w:r>
            <w:r>
              <w:rPr>
                <w:rFonts w:hint="eastAsia" w:hAnsi="宋体"/>
                <w:sz w:val="24"/>
              </w:rPr>
              <w:t>倍量</w:t>
            </w:r>
            <w:r>
              <w:rPr>
                <w:rFonts w:hAnsi="宋体"/>
                <w:sz w:val="24"/>
              </w:rPr>
              <w:t>替代，</w:t>
            </w:r>
            <w:r>
              <w:rPr>
                <w:rFonts w:hint="eastAsia" w:hAnsi="宋体"/>
                <w:sz w:val="24"/>
              </w:rPr>
              <w:t>区域内</w:t>
            </w:r>
            <w:r>
              <w:rPr>
                <w:rFonts w:hAnsi="宋体"/>
                <w:sz w:val="24"/>
              </w:rPr>
              <w:t>不新增大气污染物排放量。</w:t>
            </w:r>
          </w:p>
          <w:p>
            <w:pPr>
              <w:spacing w:line="360" w:lineRule="auto"/>
              <w:rPr>
                <w:b/>
                <w:sz w:val="24"/>
              </w:rPr>
            </w:pPr>
            <w:r>
              <w:rPr>
                <w:rFonts w:hint="eastAsia"/>
                <w:b/>
                <w:sz w:val="24"/>
              </w:rPr>
              <w:t>2声环境质量现状</w:t>
            </w:r>
          </w:p>
          <w:p>
            <w:pPr>
              <w:spacing w:line="360" w:lineRule="auto"/>
              <w:ind w:firstLine="480"/>
              <w:rPr>
                <w:sz w:val="24"/>
              </w:rPr>
            </w:pPr>
            <w:r>
              <w:rPr>
                <w:rFonts w:hint="eastAsia"/>
                <w:sz w:val="24"/>
              </w:rPr>
              <w:t>根据现场调查，项目厂界外周边50m范围内不涉及声环境保护目标，因此本次评价不再开展声环境质量监测。</w:t>
            </w:r>
          </w:p>
          <w:p>
            <w:pPr>
              <w:spacing w:line="360" w:lineRule="auto"/>
              <w:rPr>
                <w:rFonts w:hAnsi="宋体"/>
                <w:b/>
                <w:sz w:val="24"/>
              </w:rPr>
            </w:pPr>
            <w:r>
              <w:rPr>
                <w:rFonts w:hint="eastAsia" w:hAnsi="宋体"/>
                <w:b/>
                <w:sz w:val="24"/>
              </w:rPr>
              <w:t>3地表水环境质量</w:t>
            </w:r>
          </w:p>
          <w:p>
            <w:pPr>
              <w:spacing w:line="360" w:lineRule="auto"/>
              <w:ind w:firstLine="480" w:firstLineChars="200"/>
              <w:rPr>
                <w:bCs/>
                <w:sz w:val="24"/>
              </w:rPr>
            </w:pPr>
            <w:r>
              <w:rPr>
                <w:rFonts w:hint="eastAsia" w:hAnsi="宋体"/>
                <w:sz w:val="24"/>
              </w:rPr>
              <w:t>本项目的最近地表水体为洛河，本项目位于洛河北侧2.8km。</w:t>
            </w:r>
            <w:r>
              <w:rPr>
                <w:rFonts w:hint="eastAsia"/>
                <w:bCs/>
                <w:sz w:val="24"/>
              </w:rPr>
              <w:t>为了解</w:t>
            </w:r>
            <w:r>
              <w:rPr>
                <w:bCs/>
                <w:sz w:val="24"/>
              </w:rPr>
              <w:t>项目区域地表水环境质量现状，</w:t>
            </w:r>
            <w:r>
              <w:rPr>
                <w:rFonts w:hint="eastAsia"/>
                <w:bCs/>
                <w:sz w:val="24"/>
              </w:rPr>
              <w:t>本次评价利用</w:t>
            </w:r>
            <w:r>
              <w:rPr>
                <w:sz w:val="24"/>
              </w:rPr>
              <w:t>洛阳市</w:t>
            </w:r>
            <w:r>
              <w:rPr>
                <w:rFonts w:hint="eastAsia"/>
                <w:sz w:val="24"/>
              </w:rPr>
              <w:t>生态环境主管部门公开发布的</w:t>
            </w:r>
            <w:r>
              <w:rPr>
                <w:rFonts w:hint="eastAsia"/>
                <w:bCs/>
                <w:sz w:val="24"/>
              </w:rPr>
              <w:t>《</w:t>
            </w:r>
            <w:r>
              <w:rPr>
                <w:bCs/>
                <w:sz w:val="24"/>
              </w:rPr>
              <w:t>202</w:t>
            </w:r>
            <w:r>
              <w:rPr>
                <w:rFonts w:hint="eastAsia"/>
                <w:bCs/>
                <w:sz w:val="24"/>
              </w:rPr>
              <w:t>2年洛阳市生态环境状况公报》，</w:t>
            </w:r>
            <w:r>
              <w:rPr>
                <w:rFonts w:hAnsi="宋体"/>
                <w:sz w:val="24"/>
              </w:rPr>
              <w:t>2022年全市8条主要河流中，伊河、洛河、北汝河均为Ⅱ类水质，水质状况为“优”；伊洛河、涧河、瀍河、白降河水质为Ⅲ类，水质状况为“良好”；二道河水质为Ⅳ类，水质状况“轻度污染”。</w:t>
            </w:r>
          </w:p>
          <w:p>
            <w:pPr>
              <w:widowControl/>
              <w:spacing w:line="360" w:lineRule="auto"/>
              <w:ind w:firstLine="480" w:firstLineChars="200"/>
              <w:rPr>
                <w:sz w:val="24"/>
              </w:rPr>
            </w:pPr>
            <w:r>
              <w:rPr>
                <w:rFonts w:hint="eastAsia"/>
                <w:sz w:val="24"/>
              </w:rPr>
              <w:t>本项目生活污水依托厂区化粪池+地埋式一体化污水处理设施，生活污水经处理后用于厂区绿化。远期废水经处理后进偃师区第二污水处理厂处理。设备冷却水循环使用，定期更换，用于厂区洒水绿化降尘，不外排。</w:t>
            </w:r>
          </w:p>
          <w:p>
            <w:pPr>
              <w:spacing w:line="360" w:lineRule="auto"/>
              <w:rPr>
                <w:rFonts w:hAnsi="宋体"/>
                <w:b/>
                <w:sz w:val="24"/>
              </w:rPr>
            </w:pPr>
            <w:r>
              <w:rPr>
                <w:rFonts w:hint="eastAsia" w:hAnsi="宋体"/>
                <w:b/>
                <w:sz w:val="24"/>
              </w:rPr>
              <w:t>4</w:t>
            </w:r>
            <w:r>
              <w:rPr>
                <w:rFonts w:hAnsi="宋体"/>
                <w:b/>
                <w:sz w:val="24"/>
              </w:rPr>
              <w:t>地下水、土壤环境</w:t>
            </w:r>
          </w:p>
          <w:p>
            <w:pPr>
              <w:spacing w:line="360" w:lineRule="auto"/>
              <w:ind w:firstLine="480" w:firstLineChars="200"/>
              <w:rPr>
                <w:sz w:val="24"/>
                <w:u w:val="single"/>
              </w:rPr>
            </w:pPr>
            <w:r>
              <w:rPr>
                <w:sz w:val="24"/>
              </w:rPr>
              <w:t>本项目为塑料制品</w:t>
            </w:r>
            <w:r>
              <w:rPr>
                <w:rFonts w:hint="eastAsia"/>
                <w:sz w:val="24"/>
              </w:rPr>
              <w:t>生产项目</w:t>
            </w:r>
            <w:r>
              <w:rPr>
                <w:sz w:val="24"/>
              </w:rPr>
              <w:t>，</w:t>
            </w:r>
            <w:r>
              <w:rPr>
                <w:rFonts w:hint="eastAsia"/>
                <w:sz w:val="24"/>
              </w:rPr>
              <w:t>生产过程中产生危险废物主要为废活性炭、废光氧灯管、废润滑油，存放在专用容器内密封保存，暂存于危废暂存间，并采取相应的防渗措施。本项目</w:t>
            </w:r>
            <w:r>
              <w:rPr>
                <w:sz w:val="24"/>
              </w:rPr>
              <w:t>不存在土壤、地下水环境污染途径，根据《建设项目环境影响报告表编制技术指南（污染影响类）》（试行）要求，不需要开展地下水、土壤环境环境质量现状调查。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99" w:type="dxa"/>
            <w:vAlign w:val="center"/>
          </w:tcPr>
          <w:p>
            <w:pPr>
              <w:pStyle w:val="58"/>
              <w:rPr>
                <w:kern w:val="0"/>
                <w:sz w:val="24"/>
                <w:szCs w:val="24"/>
              </w:rPr>
            </w:pPr>
            <w:r>
              <w:rPr>
                <w:rFonts w:hint="eastAsia"/>
                <w:kern w:val="0"/>
                <w:sz w:val="24"/>
                <w:szCs w:val="24"/>
              </w:rPr>
              <w:t>环</w:t>
            </w:r>
          </w:p>
          <w:p>
            <w:pPr>
              <w:pStyle w:val="58"/>
              <w:rPr>
                <w:kern w:val="0"/>
                <w:sz w:val="24"/>
                <w:szCs w:val="24"/>
              </w:rPr>
            </w:pPr>
            <w:r>
              <w:rPr>
                <w:rFonts w:hint="eastAsia"/>
                <w:kern w:val="0"/>
                <w:sz w:val="24"/>
                <w:szCs w:val="24"/>
              </w:rPr>
              <w:t>境</w:t>
            </w:r>
          </w:p>
          <w:p>
            <w:pPr>
              <w:pStyle w:val="58"/>
              <w:rPr>
                <w:kern w:val="0"/>
                <w:sz w:val="24"/>
                <w:szCs w:val="24"/>
              </w:rPr>
            </w:pPr>
            <w:r>
              <w:rPr>
                <w:rFonts w:hint="eastAsia"/>
                <w:kern w:val="0"/>
                <w:sz w:val="24"/>
                <w:szCs w:val="24"/>
              </w:rPr>
              <w:t>保</w:t>
            </w:r>
          </w:p>
          <w:p>
            <w:pPr>
              <w:pStyle w:val="58"/>
              <w:rPr>
                <w:kern w:val="0"/>
                <w:sz w:val="24"/>
                <w:szCs w:val="24"/>
              </w:rPr>
            </w:pPr>
            <w:r>
              <w:rPr>
                <w:rFonts w:hint="eastAsia"/>
                <w:kern w:val="0"/>
                <w:sz w:val="24"/>
                <w:szCs w:val="24"/>
              </w:rPr>
              <w:t>护</w:t>
            </w:r>
          </w:p>
          <w:p>
            <w:pPr>
              <w:pStyle w:val="58"/>
              <w:rPr>
                <w:kern w:val="0"/>
                <w:sz w:val="24"/>
                <w:szCs w:val="24"/>
              </w:rPr>
            </w:pPr>
            <w:r>
              <w:rPr>
                <w:rFonts w:hint="eastAsia"/>
                <w:kern w:val="0"/>
                <w:sz w:val="24"/>
                <w:szCs w:val="24"/>
              </w:rPr>
              <w:t>目</w:t>
            </w:r>
          </w:p>
          <w:p>
            <w:pPr>
              <w:pStyle w:val="58"/>
              <w:rPr>
                <w:kern w:val="0"/>
              </w:rPr>
            </w:pPr>
            <w:r>
              <w:rPr>
                <w:rFonts w:hint="eastAsia"/>
                <w:kern w:val="0"/>
                <w:sz w:val="24"/>
                <w:szCs w:val="24"/>
              </w:rPr>
              <w:t>标</w:t>
            </w:r>
          </w:p>
        </w:tc>
        <w:tc>
          <w:tcPr>
            <w:tcW w:w="8491" w:type="dxa"/>
            <w:vAlign w:val="center"/>
          </w:tcPr>
          <w:p>
            <w:pPr>
              <w:spacing w:line="360" w:lineRule="auto"/>
              <w:ind w:firstLine="480" w:firstLineChars="200"/>
              <w:rPr>
                <w:sz w:val="24"/>
              </w:rPr>
            </w:pPr>
            <w:r>
              <w:rPr>
                <w:sz w:val="24"/>
              </w:rPr>
              <w:t>本项目厂界外500米范围内</w:t>
            </w:r>
            <w:r>
              <w:rPr>
                <w:rFonts w:hint="eastAsia"/>
                <w:sz w:val="24"/>
              </w:rPr>
              <w:t>有居民点</w:t>
            </w:r>
            <w:r>
              <w:rPr>
                <w:sz w:val="24"/>
              </w:rPr>
              <w:t>，厂界外50米范围内</w:t>
            </w:r>
            <w:r>
              <w:rPr>
                <w:rFonts w:hint="eastAsia"/>
                <w:sz w:val="24"/>
              </w:rPr>
              <w:t>不涉及</w:t>
            </w:r>
            <w:r>
              <w:rPr>
                <w:sz w:val="24"/>
              </w:rPr>
              <w:t>声环境保护目标，厂界外500米范围内无地下水集中式饮用水水源和热水、矿泉水、温泉等特殊地下水资源</w:t>
            </w:r>
            <w:r>
              <w:rPr>
                <w:rFonts w:hint="eastAsia"/>
                <w:sz w:val="24"/>
              </w:rPr>
              <w:t>。</w:t>
            </w:r>
            <w:r>
              <w:rPr>
                <w:sz w:val="24"/>
              </w:rPr>
              <w:t>本项目</w:t>
            </w:r>
            <w:r>
              <w:rPr>
                <w:rFonts w:hint="eastAsia"/>
                <w:sz w:val="24"/>
              </w:rPr>
              <w:t>主要环境保护目标</w:t>
            </w:r>
            <w:r>
              <w:rPr>
                <w:sz w:val="24"/>
              </w:rPr>
              <w:t>见下表。</w:t>
            </w:r>
          </w:p>
          <w:tbl>
            <w:tblPr>
              <w:tblStyle w:val="2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0"/>
              <w:gridCol w:w="993"/>
              <w:gridCol w:w="1136"/>
              <w:gridCol w:w="992"/>
              <w:gridCol w:w="2129"/>
              <w:gridCol w:w="711"/>
              <w:gridCol w:w="1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302" w:type="pct"/>
                  <w:gridSpan w:val="2"/>
                  <w:vAlign w:val="center"/>
                </w:tcPr>
                <w:p>
                  <w:pPr>
                    <w:pStyle w:val="54"/>
                    <w:rPr>
                      <w:szCs w:val="21"/>
                    </w:rPr>
                  </w:pPr>
                  <w:r>
                    <w:rPr>
                      <w:szCs w:val="21"/>
                    </w:rPr>
                    <w:t>保护目标</w:t>
                  </w:r>
                </w:p>
              </w:tc>
              <w:tc>
                <w:tcPr>
                  <w:tcW w:w="1287" w:type="pct"/>
                  <w:gridSpan w:val="2"/>
                  <w:vAlign w:val="center"/>
                </w:tcPr>
                <w:p>
                  <w:pPr>
                    <w:pStyle w:val="54"/>
                    <w:rPr>
                      <w:szCs w:val="21"/>
                    </w:rPr>
                  </w:pPr>
                  <w:r>
                    <w:rPr>
                      <w:rFonts w:hint="eastAsia"/>
                      <w:szCs w:val="21"/>
                    </w:rPr>
                    <w:t>坐标</w:t>
                  </w:r>
                </w:p>
              </w:tc>
              <w:tc>
                <w:tcPr>
                  <w:tcW w:w="1288" w:type="pct"/>
                  <w:vAlign w:val="center"/>
                </w:tcPr>
                <w:p>
                  <w:pPr>
                    <w:pStyle w:val="54"/>
                    <w:rPr>
                      <w:szCs w:val="21"/>
                    </w:rPr>
                  </w:pPr>
                  <w:r>
                    <w:rPr>
                      <w:szCs w:val="21"/>
                    </w:rPr>
                    <w:t>环境功能区</w:t>
                  </w:r>
                </w:p>
              </w:tc>
              <w:tc>
                <w:tcPr>
                  <w:tcW w:w="430" w:type="pct"/>
                  <w:vAlign w:val="center"/>
                </w:tcPr>
                <w:p>
                  <w:pPr>
                    <w:pStyle w:val="54"/>
                    <w:rPr>
                      <w:szCs w:val="21"/>
                    </w:rPr>
                  </w:pPr>
                  <w:r>
                    <w:rPr>
                      <w:szCs w:val="21"/>
                    </w:rPr>
                    <w:t>相对方位</w:t>
                  </w:r>
                </w:p>
              </w:tc>
              <w:tc>
                <w:tcPr>
                  <w:tcW w:w="692" w:type="pct"/>
                  <w:vAlign w:val="center"/>
                </w:tcPr>
                <w:p>
                  <w:pPr>
                    <w:pStyle w:val="54"/>
                    <w:rPr>
                      <w:szCs w:val="21"/>
                    </w:rPr>
                  </w:pPr>
                  <w:r>
                    <w:rPr>
                      <w:szCs w:val="21"/>
                    </w:rPr>
                    <w:t>距厂址最近距离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02" w:type="pct"/>
                  <w:vAlign w:val="center"/>
                </w:tcPr>
                <w:p>
                  <w:pPr>
                    <w:pStyle w:val="58"/>
                    <w:rPr>
                      <w:szCs w:val="21"/>
                    </w:rPr>
                  </w:pPr>
                  <w:r>
                    <w:rPr>
                      <w:szCs w:val="21"/>
                    </w:rPr>
                    <w:t>大气环境</w:t>
                  </w:r>
                </w:p>
              </w:tc>
              <w:tc>
                <w:tcPr>
                  <w:tcW w:w="601" w:type="pct"/>
                  <w:vAlign w:val="center"/>
                </w:tcPr>
                <w:p>
                  <w:pPr>
                    <w:pStyle w:val="58"/>
                    <w:rPr>
                      <w:szCs w:val="21"/>
                    </w:rPr>
                  </w:pPr>
                  <w:r>
                    <w:rPr>
                      <w:rFonts w:hint="eastAsia"/>
                      <w:szCs w:val="21"/>
                    </w:rPr>
                    <w:t>香峪村北沟</w:t>
                  </w:r>
                </w:p>
              </w:tc>
              <w:tc>
                <w:tcPr>
                  <w:tcW w:w="687" w:type="pct"/>
                  <w:vAlign w:val="center"/>
                </w:tcPr>
                <w:p>
                  <w:pPr>
                    <w:pStyle w:val="58"/>
                    <w:rPr>
                      <w:sz w:val="18"/>
                      <w:szCs w:val="18"/>
                    </w:rPr>
                  </w:pPr>
                  <w:r>
                    <w:rPr>
                      <w:sz w:val="18"/>
                      <w:szCs w:val="18"/>
                    </w:rPr>
                    <w:t>112.7276</w:t>
                  </w:r>
                  <w:r>
                    <w:rPr>
                      <w:rFonts w:hint="eastAsia"/>
                      <w:sz w:val="18"/>
                      <w:szCs w:val="18"/>
                    </w:rPr>
                    <w:t>°</w:t>
                  </w:r>
                </w:p>
              </w:tc>
              <w:tc>
                <w:tcPr>
                  <w:tcW w:w="600" w:type="pct"/>
                  <w:vAlign w:val="center"/>
                </w:tcPr>
                <w:p>
                  <w:pPr>
                    <w:pStyle w:val="58"/>
                    <w:rPr>
                      <w:sz w:val="18"/>
                      <w:szCs w:val="18"/>
                    </w:rPr>
                  </w:pPr>
                  <w:r>
                    <w:rPr>
                      <w:sz w:val="18"/>
                      <w:szCs w:val="18"/>
                    </w:rPr>
                    <w:t>34.745</w:t>
                  </w:r>
                  <w:r>
                    <w:rPr>
                      <w:rFonts w:hint="eastAsia"/>
                      <w:sz w:val="18"/>
                      <w:szCs w:val="18"/>
                    </w:rPr>
                    <w:t>6°</w:t>
                  </w:r>
                </w:p>
              </w:tc>
              <w:tc>
                <w:tcPr>
                  <w:tcW w:w="1288" w:type="pct"/>
                  <w:vAlign w:val="center"/>
                </w:tcPr>
                <w:p>
                  <w:pPr>
                    <w:pStyle w:val="58"/>
                    <w:rPr>
                      <w:szCs w:val="21"/>
                    </w:rPr>
                  </w:pPr>
                  <w:r>
                    <w:rPr>
                      <w:rFonts w:hint="eastAsia"/>
                      <w:szCs w:val="21"/>
                    </w:rPr>
                    <w:t>《环境空气质量标准》（GB3095-2012）二级</w:t>
                  </w:r>
                </w:p>
              </w:tc>
              <w:tc>
                <w:tcPr>
                  <w:tcW w:w="430" w:type="pct"/>
                  <w:vAlign w:val="center"/>
                </w:tcPr>
                <w:p>
                  <w:pPr>
                    <w:pStyle w:val="58"/>
                    <w:rPr>
                      <w:szCs w:val="21"/>
                    </w:rPr>
                  </w:pPr>
                  <w:r>
                    <w:rPr>
                      <w:rFonts w:hint="eastAsia"/>
                      <w:szCs w:val="21"/>
                    </w:rPr>
                    <w:t>N</w:t>
                  </w:r>
                </w:p>
              </w:tc>
              <w:tc>
                <w:tcPr>
                  <w:tcW w:w="692" w:type="pct"/>
                  <w:vAlign w:val="center"/>
                </w:tcPr>
                <w:p>
                  <w:pPr>
                    <w:pStyle w:val="58"/>
                    <w:rPr>
                      <w:szCs w:val="21"/>
                    </w:rPr>
                  </w:pPr>
                  <w:r>
                    <w:rPr>
                      <w:rFonts w:hint="eastAsia"/>
                      <w:szCs w:val="21"/>
                    </w:rPr>
                    <w:t>440m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02" w:type="pct"/>
                  <w:vAlign w:val="center"/>
                </w:tcPr>
                <w:p>
                  <w:pPr>
                    <w:pStyle w:val="58"/>
                    <w:rPr>
                      <w:szCs w:val="21"/>
                    </w:rPr>
                  </w:pPr>
                  <w:r>
                    <w:rPr>
                      <w:rFonts w:hint="eastAsia"/>
                      <w:szCs w:val="21"/>
                    </w:rPr>
                    <w:t>声环境</w:t>
                  </w:r>
                </w:p>
              </w:tc>
              <w:tc>
                <w:tcPr>
                  <w:tcW w:w="4298" w:type="pct"/>
                  <w:gridSpan w:val="6"/>
                  <w:vAlign w:val="center"/>
                </w:tcPr>
                <w:p>
                  <w:pPr>
                    <w:pStyle w:val="58"/>
                    <w:rPr>
                      <w:szCs w:val="21"/>
                    </w:rPr>
                  </w:pPr>
                  <w:r>
                    <w:rPr>
                      <w:rFonts w:hint="eastAsia"/>
                      <w:szCs w:val="21"/>
                    </w:rPr>
                    <w:t>厂界外</w:t>
                  </w:r>
                  <w:r>
                    <w:rPr>
                      <w:szCs w:val="21"/>
                    </w:rPr>
                    <w:t>50m</w:t>
                  </w:r>
                  <w:r>
                    <w:rPr>
                      <w:rFonts w:hint="eastAsia"/>
                      <w:szCs w:val="21"/>
                    </w:rPr>
                    <w:t>范围内无声环境保护目标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02" w:type="pct"/>
                  <w:vAlign w:val="center"/>
                </w:tcPr>
                <w:p>
                  <w:pPr>
                    <w:pStyle w:val="58"/>
                    <w:rPr>
                      <w:szCs w:val="21"/>
                    </w:rPr>
                  </w:pPr>
                  <w:r>
                    <w:rPr>
                      <w:rFonts w:hint="eastAsia"/>
                      <w:szCs w:val="21"/>
                    </w:rPr>
                    <w:t>生态环境</w:t>
                  </w:r>
                </w:p>
              </w:tc>
              <w:tc>
                <w:tcPr>
                  <w:tcW w:w="4298" w:type="pct"/>
                  <w:gridSpan w:val="6"/>
                  <w:vAlign w:val="center"/>
                </w:tcPr>
                <w:p>
                  <w:pPr>
                    <w:pStyle w:val="58"/>
                    <w:rPr>
                      <w:szCs w:val="21"/>
                    </w:rPr>
                  </w:pPr>
                  <w:r>
                    <w:rPr>
                      <w:rFonts w:hint="eastAsia"/>
                      <w:szCs w:val="21"/>
                    </w:rPr>
                    <w:t>本项目评价范围无生态保护目标</w:t>
                  </w:r>
                </w:p>
              </w:tc>
            </w:tr>
          </w:tbl>
          <w:p>
            <w:pPr>
              <w:spacing w:line="360" w:lineRule="auto"/>
              <w:ind w:firstLine="480" w:firstLineChars="200"/>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499" w:type="dxa"/>
            <w:tcMar>
              <w:left w:w="28" w:type="dxa"/>
              <w:right w:w="28" w:type="dxa"/>
            </w:tcMar>
            <w:vAlign w:val="center"/>
          </w:tcPr>
          <w:p>
            <w:pPr>
              <w:pStyle w:val="58"/>
              <w:rPr>
                <w:kern w:val="0"/>
                <w:sz w:val="24"/>
                <w:szCs w:val="24"/>
              </w:rPr>
            </w:pPr>
            <w:r>
              <w:rPr>
                <w:rFonts w:hint="eastAsia"/>
                <w:kern w:val="0"/>
                <w:sz w:val="24"/>
                <w:szCs w:val="24"/>
              </w:rPr>
              <w:t>污</w:t>
            </w:r>
          </w:p>
          <w:p>
            <w:pPr>
              <w:pStyle w:val="58"/>
              <w:rPr>
                <w:kern w:val="0"/>
                <w:sz w:val="24"/>
                <w:szCs w:val="24"/>
              </w:rPr>
            </w:pPr>
            <w:r>
              <w:rPr>
                <w:rFonts w:hint="eastAsia"/>
                <w:kern w:val="0"/>
                <w:sz w:val="24"/>
                <w:szCs w:val="24"/>
              </w:rPr>
              <w:t>染</w:t>
            </w:r>
          </w:p>
          <w:p>
            <w:pPr>
              <w:pStyle w:val="58"/>
              <w:rPr>
                <w:kern w:val="0"/>
                <w:sz w:val="24"/>
                <w:szCs w:val="24"/>
              </w:rPr>
            </w:pPr>
            <w:r>
              <w:rPr>
                <w:rFonts w:hint="eastAsia"/>
                <w:kern w:val="0"/>
                <w:sz w:val="24"/>
                <w:szCs w:val="24"/>
              </w:rPr>
              <w:t>物</w:t>
            </w:r>
          </w:p>
          <w:p>
            <w:pPr>
              <w:pStyle w:val="58"/>
              <w:rPr>
                <w:kern w:val="0"/>
                <w:sz w:val="24"/>
                <w:szCs w:val="24"/>
              </w:rPr>
            </w:pPr>
            <w:r>
              <w:rPr>
                <w:rFonts w:hint="eastAsia"/>
                <w:kern w:val="0"/>
                <w:sz w:val="24"/>
                <w:szCs w:val="24"/>
              </w:rPr>
              <w:t>排</w:t>
            </w:r>
          </w:p>
          <w:p>
            <w:pPr>
              <w:pStyle w:val="58"/>
              <w:rPr>
                <w:kern w:val="0"/>
                <w:sz w:val="24"/>
                <w:szCs w:val="24"/>
              </w:rPr>
            </w:pPr>
            <w:r>
              <w:rPr>
                <w:rFonts w:hint="eastAsia"/>
                <w:kern w:val="0"/>
                <w:sz w:val="24"/>
                <w:szCs w:val="24"/>
              </w:rPr>
              <w:t>放</w:t>
            </w:r>
          </w:p>
          <w:p>
            <w:pPr>
              <w:pStyle w:val="58"/>
              <w:rPr>
                <w:kern w:val="0"/>
                <w:sz w:val="24"/>
                <w:szCs w:val="24"/>
              </w:rPr>
            </w:pPr>
            <w:r>
              <w:rPr>
                <w:rFonts w:hint="eastAsia"/>
                <w:kern w:val="0"/>
                <w:sz w:val="24"/>
                <w:szCs w:val="24"/>
              </w:rPr>
              <w:t>控</w:t>
            </w:r>
          </w:p>
          <w:p>
            <w:pPr>
              <w:pStyle w:val="58"/>
              <w:rPr>
                <w:kern w:val="0"/>
                <w:sz w:val="24"/>
                <w:szCs w:val="24"/>
              </w:rPr>
            </w:pPr>
            <w:r>
              <w:rPr>
                <w:rFonts w:hint="eastAsia"/>
                <w:kern w:val="0"/>
                <w:sz w:val="24"/>
                <w:szCs w:val="24"/>
              </w:rPr>
              <w:t>制</w:t>
            </w:r>
          </w:p>
          <w:p>
            <w:pPr>
              <w:pStyle w:val="58"/>
              <w:rPr>
                <w:kern w:val="0"/>
                <w:sz w:val="24"/>
                <w:szCs w:val="24"/>
              </w:rPr>
            </w:pPr>
            <w:r>
              <w:rPr>
                <w:rFonts w:hint="eastAsia"/>
                <w:kern w:val="0"/>
                <w:sz w:val="24"/>
                <w:szCs w:val="24"/>
              </w:rPr>
              <w:t>标</w:t>
            </w:r>
          </w:p>
          <w:p>
            <w:pPr>
              <w:pStyle w:val="58"/>
              <w:rPr>
                <w:kern w:val="0"/>
                <w:sz w:val="24"/>
                <w:szCs w:val="24"/>
              </w:rPr>
            </w:pPr>
            <w:r>
              <w:rPr>
                <w:rFonts w:hint="eastAsia"/>
                <w:kern w:val="0"/>
                <w:sz w:val="24"/>
                <w:szCs w:val="24"/>
              </w:rPr>
              <w:t>准</w:t>
            </w:r>
          </w:p>
        </w:tc>
        <w:tc>
          <w:tcPr>
            <w:tcW w:w="8491" w:type="dxa"/>
            <w:vAlign w:val="center"/>
          </w:tcPr>
          <w:tbl>
            <w:tblPr>
              <w:tblStyle w:val="28"/>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744"/>
              <w:gridCol w:w="1674"/>
              <w:gridCol w:w="1554"/>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8" w:type="dxa"/>
                  <w:vAlign w:val="center"/>
                </w:tcPr>
                <w:p>
                  <w:pPr>
                    <w:pStyle w:val="54"/>
                    <w:rPr>
                      <w:szCs w:val="21"/>
                    </w:rPr>
                  </w:pPr>
                  <w:r>
                    <w:rPr>
                      <w:szCs w:val="21"/>
                    </w:rPr>
                    <w:t>类别</w:t>
                  </w:r>
                </w:p>
              </w:tc>
              <w:tc>
                <w:tcPr>
                  <w:tcW w:w="2744" w:type="dxa"/>
                  <w:vAlign w:val="center"/>
                </w:tcPr>
                <w:p>
                  <w:pPr>
                    <w:pStyle w:val="54"/>
                    <w:rPr>
                      <w:szCs w:val="21"/>
                    </w:rPr>
                  </w:pPr>
                  <w:r>
                    <w:rPr>
                      <w:szCs w:val="21"/>
                    </w:rPr>
                    <w:t>标准及等级</w:t>
                  </w:r>
                </w:p>
              </w:tc>
              <w:tc>
                <w:tcPr>
                  <w:tcW w:w="1674" w:type="dxa"/>
                  <w:vAlign w:val="center"/>
                </w:tcPr>
                <w:p>
                  <w:pPr>
                    <w:pStyle w:val="54"/>
                    <w:rPr>
                      <w:szCs w:val="21"/>
                    </w:rPr>
                  </w:pPr>
                  <w:r>
                    <w:rPr>
                      <w:szCs w:val="21"/>
                    </w:rPr>
                    <w:t>污染物</w:t>
                  </w:r>
                  <w:r>
                    <w:rPr>
                      <w:rFonts w:hint="eastAsia"/>
                      <w:szCs w:val="21"/>
                    </w:rPr>
                    <w:t>/指标</w:t>
                  </w:r>
                </w:p>
              </w:tc>
              <w:tc>
                <w:tcPr>
                  <w:tcW w:w="3109" w:type="dxa"/>
                  <w:gridSpan w:val="2"/>
                  <w:vAlign w:val="center"/>
                </w:tcPr>
                <w:p>
                  <w:pPr>
                    <w:pStyle w:val="54"/>
                    <w:rPr>
                      <w:szCs w:val="21"/>
                    </w:rPr>
                  </w:pPr>
                  <w:r>
                    <w:rPr>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8" w:type="dxa"/>
                  <w:vMerge w:val="restart"/>
                  <w:vAlign w:val="center"/>
                </w:tcPr>
                <w:p>
                  <w:pPr>
                    <w:pStyle w:val="58"/>
                    <w:rPr>
                      <w:szCs w:val="21"/>
                    </w:rPr>
                  </w:pPr>
                  <w:r>
                    <w:rPr>
                      <w:rFonts w:hint="eastAsia"/>
                      <w:szCs w:val="21"/>
                    </w:rPr>
                    <w:t>废气</w:t>
                  </w:r>
                </w:p>
              </w:tc>
              <w:tc>
                <w:tcPr>
                  <w:tcW w:w="2744" w:type="dxa"/>
                  <w:vMerge w:val="restart"/>
                  <w:vAlign w:val="center"/>
                </w:tcPr>
                <w:p>
                  <w:pPr>
                    <w:pStyle w:val="58"/>
                    <w:rPr>
                      <w:szCs w:val="21"/>
                    </w:rPr>
                  </w:pPr>
                  <w:r>
                    <w:rPr>
                      <w:rFonts w:hint="eastAsia"/>
                      <w:szCs w:val="21"/>
                    </w:rPr>
                    <w:t>《合成树脂工业污染物排放标准》（GB31572-2015）表5 大气污染物特别排放限值、表9 企业边界大气污染物浓度限值</w:t>
                  </w:r>
                </w:p>
              </w:tc>
              <w:tc>
                <w:tcPr>
                  <w:tcW w:w="1674" w:type="dxa"/>
                  <w:vAlign w:val="center"/>
                </w:tcPr>
                <w:p>
                  <w:pPr>
                    <w:adjustRightInd w:val="0"/>
                    <w:snapToGrid w:val="0"/>
                    <w:jc w:val="center"/>
                    <w:rPr>
                      <w:szCs w:val="21"/>
                    </w:rPr>
                  </w:pPr>
                  <w:r>
                    <w:rPr>
                      <w:rFonts w:hint="eastAsia"/>
                      <w:szCs w:val="21"/>
                    </w:rPr>
                    <w:t>非甲烷总烃</w:t>
                  </w:r>
                </w:p>
              </w:tc>
              <w:tc>
                <w:tcPr>
                  <w:tcW w:w="1554" w:type="dxa"/>
                  <w:vAlign w:val="center"/>
                </w:tcPr>
                <w:p>
                  <w:pPr>
                    <w:adjustRightInd w:val="0"/>
                    <w:snapToGrid w:val="0"/>
                    <w:jc w:val="center"/>
                    <w:rPr>
                      <w:szCs w:val="21"/>
                    </w:rPr>
                  </w:pPr>
                  <w:r>
                    <w:rPr>
                      <w:rFonts w:hint="eastAsia"/>
                      <w:szCs w:val="21"/>
                    </w:rPr>
                    <w:t>60</w:t>
                  </w:r>
                  <w:r>
                    <w:rPr>
                      <w:szCs w:val="21"/>
                    </w:rPr>
                    <w:t>mg/m</w:t>
                  </w:r>
                  <w:r>
                    <w:rPr>
                      <w:szCs w:val="21"/>
                      <w:vertAlign w:val="superscript"/>
                    </w:rPr>
                    <w:t>3</w:t>
                  </w:r>
                </w:p>
              </w:tc>
              <w:tc>
                <w:tcPr>
                  <w:tcW w:w="1555" w:type="dxa"/>
                  <w:vMerge w:val="restart"/>
                  <w:vAlign w:val="center"/>
                </w:tcPr>
                <w:p>
                  <w:pPr>
                    <w:adjustRightInd w:val="0"/>
                    <w:snapToGrid w:val="0"/>
                    <w:jc w:val="center"/>
                    <w:rPr>
                      <w:szCs w:val="21"/>
                    </w:rPr>
                  </w:pPr>
                  <w:r>
                    <w:rPr>
                      <w:rFonts w:hint="eastAsia"/>
                      <w:szCs w:val="21"/>
                    </w:rPr>
                    <w:t>车间或生产设施排气筒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8" w:type="dxa"/>
                  <w:vMerge w:val="continue"/>
                  <w:vAlign w:val="center"/>
                </w:tcPr>
                <w:p>
                  <w:pPr>
                    <w:pStyle w:val="58"/>
                    <w:rPr>
                      <w:szCs w:val="21"/>
                    </w:rPr>
                  </w:pPr>
                </w:p>
              </w:tc>
              <w:tc>
                <w:tcPr>
                  <w:tcW w:w="2744" w:type="dxa"/>
                  <w:vMerge w:val="continue"/>
                  <w:vAlign w:val="center"/>
                </w:tcPr>
                <w:p>
                  <w:pPr>
                    <w:pStyle w:val="58"/>
                    <w:rPr>
                      <w:szCs w:val="21"/>
                    </w:rPr>
                  </w:pPr>
                </w:p>
              </w:tc>
              <w:tc>
                <w:tcPr>
                  <w:tcW w:w="1674" w:type="dxa"/>
                  <w:vAlign w:val="center"/>
                </w:tcPr>
                <w:p>
                  <w:pPr>
                    <w:adjustRightInd w:val="0"/>
                    <w:snapToGrid w:val="0"/>
                    <w:jc w:val="center"/>
                    <w:rPr>
                      <w:szCs w:val="21"/>
                    </w:rPr>
                  </w:pPr>
                  <w:r>
                    <w:rPr>
                      <w:rFonts w:hint="eastAsia"/>
                      <w:szCs w:val="21"/>
                    </w:rPr>
                    <w:t>颗粒物</w:t>
                  </w:r>
                </w:p>
              </w:tc>
              <w:tc>
                <w:tcPr>
                  <w:tcW w:w="1554" w:type="dxa"/>
                  <w:vAlign w:val="center"/>
                </w:tcPr>
                <w:p>
                  <w:pPr>
                    <w:adjustRightInd w:val="0"/>
                    <w:snapToGrid w:val="0"/>
                    <w:jc w:val="center"/>
                    <w:rPr>
                      <w:szCs w:val="21"/>
                    </w:rPr>
                  </w:pPr>
                  <w:r>
                    <w:rPr>
                      <w:rFonts w:hint="eastAsia"/>
                      <w:szCs w:val="21"/>
                    </w:rPr>
                    <w:t>20</w:t>
                  </w:r>
                  <w:r>
                    <w:rPr>
                      <w:szCs w:val="21"/>
                    </w:rPr>
                    <w:t>mg/m</w:t>
                  </w:r>
                  <w:r>
                    <w:rPr>
                      <w:szCs w:val="21"/>
                      <w:vertAlign w:val="superscript"/>
                    </w:rPr>
                    <w:t>3</w:t>
                  </w:r>
                </w:p>
              </w:tc>
              <w:tc>
                <w:tcPr>
                  <w:tcW w:w="1555" w:type="dxa"/>
                  <w:vMerge w:val="continue"/>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8" w:type="dxa"/>
                  <w:vMerge w:val="continue"/>
                  <w:vAlign w:val="center"/>
                </w:tcPr>
                <w:p>
                  <w:pPr>
                    <w:pStyle w:val="58"/>
                    <w:rPr>
                      <w:szCs w:val="21"/>
                    </w:rPr>
                  </w:pPr>
                </w:p>
              </w:tc>
              <w:tc>
                <w:tcPr>
                  <w:tcW w:w="2744" w:type="dxa"/>
                  <w:vMerge w:val="continue"/>
                  <w:vAlign w:val="center"/>
                </w:tcPr>
                <w:p>
                  <w:pPr>
                    <w:pStyle w:val="58"/>
                    <w:rPr>
                      <w:szCs w:val="21"/>
                    </w:rPr>
                  </w:pPr>
                </w:p>
              </w:tc>
              <w:tc>
                <w:tcPr>
                  <w:tcW w:w="1674" w:type="dxa"/>
                  <w:vAlign w:val="center"/>
                </w:tcPr>
                <w:p>
                  <w:pPr>
                    <w:adjustRightInd w:val="0"/>
                    <w:snapToGrid w:val="0"/>
                    <w:jc w:val="center"/>
                    <w:rPr>
                      <w:szCs w:val="21"/>
                    </w:rPr>
                  </w:pPr>
                  <w:r>
                    <w:rPr>
                      <w:rFonts w:hint="eastAsia"/>
                      <w:szCs w:val="21"/>
                    </w:rPr>
                    <w:t>非甲烷总烃</w:t>
                  </w:r>
                </w:p>
              </w:tc>
              <w:tc>
                <w:tcPr>
                  <w:tcW w:w="1554" w:type="dxa"/>
                  <w:vAlign w:val="center"/>
                </w:tcPr>
                <w:p>
                  <w:pPr>
                    <w:adjustRightInd w:val="0"/>
                    <w:snapToGrid w:val="0"/>
                    <w:jc w:val="center"/>
                    <w:rPr>
                      <w:szCs w:val="21"/>
                    </w:rPr>
                  </w:pPr>
                  <w:r>
                    <w:rPr>
                      <w:rFonts w:hint="eastAsia"/>
                      <w:szCs w:val="21"/>
                    </w:rPr>
                    <w:t>4.0</w:t>
                  </w:r>
                  <w:r>
                    <w:rPr>
                      <w:szCs w:val="21"/>
                    </w:rPr>
                    <w:t>mg/m</w:t>
                  </w:r>
                  <w:r>
                    <w:rPr>
                      <w:szCs w:val="21"/>
                      <w:vertAlign w:val="superscript"/>
                    </w:rPr>
                    <w:t>3</w:t>
                  </w:r>
                </w:p>
              </w:tc>
              <w:tc>
                <w:tcPr>
                  <w:tcW w:w="1555" w:type="dxa"/>
                  <w:vAlign w:val="center"/>
                </w:tcPr>
                <w:p>
                  <w:pPr>
                    <w:adjustRightInd w:val="0"/>
                    <w:snapToGrid w:val="0"/>
                    <w:jc w:val="center"/>
                    <w:rPr>
                      <w:szCs w:val="21"/>
                    </w:rPr>
                  </w:pPr>
                  <w:r>
                    <w:rPr>
                      <w:rFonts w:hint="eastAsia"/>
                      <w:szCs w:val="21"/>
                    </w:rPr>
                    <w:t>企业边界任何1小时大气污染物浓度限值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8" w:type="dxa"/>
                  <w:vMerge w:val="restart"/>
                  <w:vAlign w:val="center"/>
                </w:tcPr>
                <w:p>
                  <w:pPr>
                    <w:pStyle w:val="58"/>
                    <w:rPr>
                      <w:szCs w:val="21"/>
                    </w:rPr>
                  </w:pPr>
                  <w:r>
                    <w:rPr>
                      <w:rFonts w:hint="eastAsia"/>
                      <w:szCs w:val="21"/>
                    </w:rPr>
                    <w:t>废水</w:t>
                  </w:r>
                </w:p>
              </w:tc>
              <w:tc>
                <w:tcPr>
                  <w:tcW w:w="2744" w:type="dxa"/>
                  <w:vMerge w:val="restart"/>
                  <w:vAlign w:val="center"/>
                </w:tcPr>
                <w:p>
                  <w:pPr>
                    <w:pStyle w:val="58"/>
                    <w:rPr>
                      <w:szCs w:val="21"/>
                    </w:rPr>
                  </w:pPr>
                  <w:r>
                    <w:rPr>
                      <w:rFonts w:hint="eastAsia"/>
                      <w:szCs w:val="21"/>
                    </w:rPr>
                    <w:t>《污水综合排放标准》（GB8978-1996）表4三级标准</w:t>
                  </w:r>
                </w:p>
              </w:tc>
              <w:tc>
                <w:tcPr>
                  <w:tcW w:w="1674" w:type="dxa"/>
                  <w:vAlign w:val="center"/>
                </w:tcPr>
                <w:p>
                  <w:pPr>
                    <w:pStyle w:val="58"/>
                    <w:spacing w:line="320" w:lineRule="exact"/>
                    <w:rPr>
                      <w:szCs w:val="21"/>
                    </w:rPr>
                  </w:pPr>
                  <w:r>
                    <w:rPr>
                      <w:rFonts w:hint="eastAsia"/>
                      <w:szCs w:val="21"/>
                    </w:rPr>
                    <w:t>COD</w:t>
                  </w:r>
                </w:p>
              </w:tc>
              <w:tc>
                <w:tcPr>
                  <w:tcW w:w="3109" w:type="dxa"/>
                  <w:gridSpan w:val="2"/>
                  <w:vAlign w:val="center"/>
                </w:tcPr>
                <w:p>
                  <w:pPr>
                    <w:pStyle w:val="58"/>
                    <w:spacing w:line="320" w:lineRule="exact"/>
                    <w:rPr>
                      <w:szCs w:val="21"/>
                    </w:rPr>
                  </w:pPr>
                  <w:r>
                    <w:rPr>
                      <w:rFonts w:hint="eastAsia"/>
                      <w:szCs w:val="21"/>
                    </w:rPr>
                    <w:t>500mg/L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8" w:type="dxa"/>
                  <w:vMerge w:val="continue"/>
                  <w:vAlign w:val="center"/>
                </w:tcPr>
                <w:p>
                  <w:pPr>
                    <w:pStyle w:val="58"/>
                    <w:rPr>
                      <w:szCs w:val="21"/>
                    </w:rPr>
                  </w:pPr>
                </w:p>
              </w:tc>
              <w:tc>
                <w:tcPr>
                  <w:tcW w:w="2744" w:type="dxa"/>
                  <w:vMerge w:val="continue"/>
                  <w:vAlign w:val="center"/>
                </w:tcPr>
                <w:p>
                  <w:pPr>
                    <w:pStyle w:val="58"/>
                    <w:rPr>
                      <w:szCs w:val="21"/>
                    </w:rPr>
                  </w:pPr>
                </w:p>
              </w:tc>
              <w:tc>
                <w:tcPr>
                  <w:tcW w:w="1674" w:type="dxa"/>
                  <w:vAlign w:val="center"/>
                </w:tcPr>
                <w:p>
                  <w:pPr>
                    <w:pStyle w:val="58"/>
                    <w:spacing w:line="320" w:lineRule="exact"/>
                    <w:rPr>
                      <w:szCs w:val="21"/>
                    </w:rPr>
                  </w:pPr>
                  <w:r>
                    <w:rPr>
                      <w:rFonts w:hint="eastAsia"/>
                      <w:szCs w:val="21"/>
                    </w:rPr>
                    <w:t>氨氮</w:t>
                  </w:r>
                </w:p>
              </w:tc>
              <w:tc>
                <w:tcPr>
                  <w:tcW w:w="3109" w:type="dxa"/>
                  <w:gridSpan w:val="2"/>
                  <w:vAlign w:val="center"/>
                </w:tcPr>
                <w:p>
                  <w:pPr>
                    <w:pStyle w:val="58"/>
                    <w:spacing w:line="320" w:lineRule="exact"/>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8" w:type="dxa"/>
                  <w:vMerge w:val="restart"/>
                  <w:vAlign w:val="center"/>
                </w:tcPr>
                <w:p>
                  <w:pPr>
                    <w:pStyle w:val="58"/>
                    <w:rPr>
                      <w:szCs w:val="21"/>
                    </w:rPr>
                  </w:pPr>
                  <w:r>
                    <w:rPr>
                      <w:szCs w:val="21"/>
                    </w:rPr>
                    <w:t>噪声</w:t>
                  </w:r>
                </w:p>
              </w:tc>
              <w:tc>
                <w:tcPr>
                  <w:tcW w:w="2744" w:type="dxa"/>
                  <w:vMerge w:val="restart"/>
                  <w:vAlign w:val="center"/>
                </w:tcPr>
                <w:p>
                  <w:pPr>
                    <w:pStyle w:val="58"/>
                    <w:rPr>
                      <w:szCs w:val="21"/>
                    </w:rPr>
                  </w:pPr>
                  <w:r>
                    <w:rPr>
                      <w:szCs w:val="21"/>
                    </w:rPr>
                    <w:t>《</w:t>
                  </w:r>
                  <w:r>
                    <w:rPr>
                      <w:bCs/>
                      <w:szCs w:val="21"/>
                    </w:rPr>
                    <w:t>工业企业厂界环境噪声排放标准</w:t>
                  </w:r>
                  <w:r>
                    <w:rPr>
                      <w:szCs w:val="21"/>
                    </w:rPr>
                    <w:t>》（GB12348-2008）</w:t>
                  </w:r>
                </w:p>
                <w:p>
                  <w:pPr>
                    <w:pStyle w:val="58"/>
                    <w:rPr>
                      <w:szCs w:val="21"/>
                    </w:rPr>
                  </w:pPr>
                  <w:r>
                    <w:rPr>
                      <w:rFonts w:hint="eastAsia"/>
                      <w:szCs w:val="21"/>
                    </w:rPr>
                    <w:t>3类标准</w:t>
                  </w:r>
                </w:p>
              </w:tc>
              <w:tc>
                <w:tcPr>
                  <w:tcW w:w="1674" w:type="dxa"/>
                  <w:vAlign w:val="center"/>
                </w:tcPr>
                <w:p>
                  <w:pPr>
                    <w:pStyle w:val="58"/>
                    <w:rPr>
                      <w:szCs w:val="21"/>
                    </w:rPr>
                  </w:pPr>
                  <w:r>
                    <w:rPr>
                      <w:rFonts w:hint="eastAsia"/>
                      <w:szCs w:val="21"/>
                    </w:rPr>
                    <w:t>东、西、南厂界</w:t>
                  </w:r>
                </w:p>
              </w:tc>
              <w:tc>
                <w:tcPr>
                  <w:tcW w:w="3109" w:type="dxa"/>
                  <w:gridSpan w:val="2"/>
                  <w:shd w:val="clear" w:color="auto" w:fill="auto"/>
                  <w:vAlign w:val="center"/>
                </w:tcPr>
                <w:p>
                  <w:pPr>
                    <w:pStyle w:val="58"/>
                    <w:rPr>
                      <w:szCs w:val="21"/>
                    </w:rPr>
                  </w:pPr>
                  <w:r>
                    <w:rPr>
                      <w:rFonts w:hint="eastAsia"/>
                      <w:szCs w:val="21"/>
                    </w:rPr>
                    <w:t>昼间65</w:t>
                  </w:r>
                  <w:r>
                    <w:rPr>
                      <w:szCs w:val="21"/>
                    </w:rPr>
                    <w:t>dB（A）</w:t>
                  </w:r>
                  <w:r>
                    <w:rPr>
                      <w:rFonts w:hint="eastAsia"/>
                      <w:szCs w:val="21"/>
                    </w:rPr>
                    <w:t>，夜间5</w:t>
                  </w:r>
                  <w:r>
                    <w:rPr>
                      <w:szCs w:val="21"/>
                    </w:rPr>
                    <w:t>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8" w:type="dxa"/>
                  <w:vMerge w:val="continue"/>
                  <w:vAlign w:val="center"/>
                </w:tcPr>
                <w:p>
                  <w:pPr>
                    <w:pStyle w:val="58"/>
                    <w:rPr>
                      <w:szCs w:val="21"/>
                    </w:rPr>
                  </w:pPr>
                </w:p>
              </w:tc>
              <w:tc>
                <w:tcPr>
                  <w:tcW w:w="2744" w:type="dxa"/>
                  <w:vMerge w:val="continue"/>
                  <w:vAlign w:val="center"/>
                </w:tcPr>
                <w:p>
                  <w:pPr>
                    <w:pStyle w:val="58"/>
                    <w:rPr>
                      <w:szCs w:val="21"/>
                    </w:rPr>
                  </w:pPr>
                </w:p>
              </w:tc>
              <w:tc>
                <w:tcPr>
                  <w:tcW w:w="1674" w:type="dxa"/>
                  <w:vAlign w:val="center"/>
                </w:tcPr>
                <w:p>
                  <w:pPr>
                    <w:pStyle w:val="58"/>
                    <w:rPr>
                      <w:szCs w:val="21"/>
                    </w:rPr>
                  </w:pPr>
                  <w:r>
                    <w:rPr>
                      <w:rFonts w:hint="eastAsia"/>
                      <w:szCs w:val="21"/>
                    </w:rPr>
                    <w:t>北厂界</w:t>
                  </w:r>
                </w:p>
              </w:tc>
              <w:tc>
                <w:tcPr>
                  <w:tcW w:w="3109" w:type="dxa"/>
                  <w:gridSpan w:val="2"/>
                  <w:shd w:val="clear" w:color="auto" w:fill="auto"/>
                  <w:vAlign w:val="center"/>
                </w:tcPr>
                <w:p>
                  <w:pPr>
                    <w:pStyle w:val="58"/>
                    <w:rPr>
                      <w:szCs w:val="21"/>
                    </w:rPr>
                  </w:pPr>
                  <w:r>
                    <w:rPr>
                      <w:rFonts w:hint="eastAsia"/>
                      <w:szCs w:val="21"/>
                    </w:rPr>
                    <w:t>昼间70</w:t>
                  </w:r>
                  <w:r>
                    <w:rPr>
                      <w:szCs w:val="21"/>
                    </w:rPr>
                    <w:t>dB（A）</w:t>
                  </w:r>
                  <w:r>
                    <w:rPr>
                      <w:rFonts w:hint="eastAsia"/>
                      <w:szCs w:val="21"/>
                    </w:rPr>
                    <w:t>，夜间5</w:t>
                  </w:r>
                  <w:r>
                    <w:rPr>
                      <w:szCs w:val="21"/>
                    </w:rPr>
                    <w:t>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8" w:type="dxa"/>
                  <w:vAlign w:val="center"/>
                </w:tcPr>
                <w:p>
                  <w:pPr>
                    <w:pStyle w:val="58"/>
                    <w:rPr>
                      <w:szCs w:val="21"/>
                    </w:rPr>
                  </w:pPr>
                  <w:r>
                    <w:rPr>
                      <w:rFonts w:hint="eastAsia"/>
                      <w:szCs w:val="21"/>
                    </w:rPr>
                    <w:t>固废</w:t>
                  </w:r>
                </w:p>
              </w:tc>
              <w:tc>
                <w:tcPr>
                  <w:tcW w:w="7527" w:type="dxa"/>
                  <w:gridSpan w:val="4"/>
                  <w:vAlign w:val="center"/>
                </w:tcPr>
                <w:p>
                  <w:pPr>
                    <w:pStyle w:val="58"/>
                    <w:rPr>
                      <w:szCs w:val="21"/>
                    </w:rPr>
                  </w:pPr>
                  <w:r>
                    <w:rPr>
                      <w:rFonts w:hint="eastAsia"/>
                      <w:szCs w:val="21"/>
                    </w:rPr>
                    <w:t>《危险废物贮存污染控制标准》（GB18597-2023）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75" w:type="dxa"/>
                  <w:gridSpan w:val="5"/>
                  <w:tcBorders>
                    <w:left w:val="nil"/>
                    <w:bottom w:val="nil"/>
                    <w:right w:val="nil"/>
                  </w:tcBorders>
                  <w:vAlign w:val="center"/>
                </w:tcPr>
                <w:p>
                  <w:pPr>
                    <w:pStyle w:val="58"/>
                    <w:jc w:val="both"/>
                    <w:rPr>
                      <w:szCs w:val="21"/>
                    </w:rPr>
                  </w:pPr>
                  <w:r>
                    <w:rPr>
                      <w:rFonts w:hint="eastAsia"/>
                      <w:szCs w:val="21"/>
                    </w:rPr>
                    <w:t>注：（1）非甲烷总烃无组织排放同时满足《全省开展工业企业挥发性有机物专项治理工作中排放建议值》（豫环攻坚办〔</w:t>
                  </w:r>
                  <w:r>
                    <w:rPr>
                      <w:szCs w:val="21"/>
                    </w:rPr>
                    <w:t>2017</w:t>
                  </w:r>
                  <w:r>
                    <w:rPr>
                      <w:rFonts w:hint="eastAsia"/>
                      <w:szCs w:val="21"/>
                    </w:rPr>
                    <w:t>〕</w:t>
                  </w:r>
                  <w:r>
                    <w:rPr>
                      <w:szCs w:val="21"/>
                    </w:rPr>
                    <w:t>162</w:t>
                  </w:r>
                  <w:r>
                    <w:rPr>
                      <w:rFonts w:hint="eastAsia"/>
                      <w:szCs w:val="21"/>
                    </w:rPr>
                    <w:t>号）要求（工业企业边界挥发性有机物建议排放值2</w:t>
                  </w:r>
                  <w:r>
                    <w:rPr>
                      <w:szCs w:val="21"/>
                    </w:rPr>
                    <w:t>.0mg/m</w:t>
                  </w:r>
                  <w:r>
                    <w:rPr>
                      <w:szCs w:val="21"/>
                      <w:vertAlign w:val="superscript"/>
                    </w:rPr>
                    <w:t>3</w:t>
                  </w:r>
                  <w:r>
                    <w:rPr>
                      <w:rFonts w:hint="eastAsia"/>
                      <w:szCs w:val="21"/>
                    </w:rPr>
                    <w:t>限值）。</w:t>
                  </w:r>
                </w:p>
                <w:p>
                  <w:pPr>
                    <w:rPr>
                      <w:szCs w:val="21"/>
                    </w:rPr>
                  </w:pPr>
                  <w:r>
                    <w:rPr>
                      <w:rFonts w:hint="eastAsia"/>
                    </w:rPr>
                    <w:t>（2）远期废水同时满足偃师区第二污水处理厂</w:t>
                  </w:r>
                  <w:r>
                    <w:rPr>
                      <w:rFonts w:hint="eastAsia"/>
                      <w:szCs w:val="21"/>
                    </w:rPr>
                    <w:t>接管水质要求（COD320mg/L、氨氮55mg/L）。</w:t>
                  </w:r>
                </w:p>
                <w:p>
                  <w:r>
                    <w:rPr>
                      <w:rFonts w:hint="eastAsia"/>
                    </w:rPr>
                    <w:t>（3）北厂界北侧为北环路，本项目厂区北厂界距离北环路约30m，根据《声环境功能区划分技术规范》（GB/T15190-2014），北厂界执行4类标准。</w:t>
                  </w:r>
                </w:p>
              </w:tc>
            </w:tr>
          </w:tbl>
          <w:p>
            <w:pPr>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499" w:type="dxa"/>
            <w:tcMar>
              <w:left w:w="28" w:type="dxa"/>
              <w:right w:w="28" w:type="dxa"/>
            </w:tcMar>
            <w:vAlign w:val="center"/>
          </w:tcPr>
          <w:p>
            <w:pPr>
              <w:pStyle w:val="58"/>
              <w:rPr>
                <w:kern w:val="0"/>
                <w:sz w:val="24"/>
                <w:szCs w:val="24"/>
              </w:rPr>
            </w:pPr>
            <w:r>
              <w:rPr>
                <w:rFonts w:hint="eastAsia"/>
                <w:kern w:val="0"/>
                <w:sz w:val="24"/>
                <w:szCs w:val="24"/>
              </w:rPr>
              <w:t>总量</w:t>
            </w:r>
          </w:p>
          <w:p>
            <w:pPr>
              <w:pStyle w:val="58"/>
              <w:rPr>
                <w:kern w:val="0"/>
                <w:sz w:val="24"/>
                <w:szCs w:val="24"/>
              </w:rPr>
            </w:pPr>
            <w:r>
              <w:rPr>
                <w:rFonts w:hint="eastAsia"/>
                <w:kern w:val="0"/>
                <w:sz w:val="24"/>
                <w:szCs w:val="24"/>
              </w:rPr>
              <w:t>控制</w:t>
            </w:r>
          </w:p>
          <w:p>
            <w:pPr>
              <w:pStyle w:val="58"/>
              <w:rPr>
                <w:kern w:val="0"/>
              </w:rPr>
            </w:pPr>
            <w:r>
              <w:rPr>
                <w:rFonts w:hint="eastAsia"/>
                <w:kern w:val="0"/>
                <w:sz w:val="24"/>
                <w:szCs w:val="24"/>
              </w:rPr>
              <w:t>指标</w:t>
            </w:r>
          </w:p>
        </w:tc>
        <w:tc>
          <w:tcPr>
            <w:tcW w:w="8491" w:type="dxa"/>
            <w:vAlign w:val="center"/>
          </w:tcPr>
          <w:p>
            <w:pPr>
              <w:spacing w:line="360" w:lineRule="auto"/>
              <w:rPr>
                <w:b/>
                <w:sz w:val="24"/>
              </w:rPr>
            </w:pPr>
            <w:r>
              <w:rPr>
                <w:b/>
                <w:sz w:val="24"/>
              </w:rPr>
              <w:t>1</w:t>
            </w:r>
            <w:r>
              <w:rPr>
                <w:rFonts w:hint="eastAsia"/>
                <w:b/>
                <w:sz w:val="24"/>
              </w:rPr>
              <w:t>废气</w:t>
            </w:r>
          </w:p>
          <w:p>
            <w:pPr>
              <w:autoSpaceDE w:val="0"/>
              <w:autoSpaceDN w:val="0"/>
              <w:spacing w:line="360" w:lineRule="auto"/>
              <w:ind w:firstLine="480" w:firstLineChars="200"/>
              <w:rPr>
                <w:rFonts w:hint="eastAsia"/>
                <w:sz w:val="24"/>
                <w:u w:val="single"/>
              </w:rPr>
            </w:pPr>
            <w:r>
              <w:rPr>
                <w:rFonts w:hint="eastAsia"/>
                <w:sz w:val="24"/>
                <w:u w:val="single"/>
              </w:rPr>
              <w:t>本项目为异地扩建项目，现有工程颗粒物排放量0.6997t/a，非甲烷总烃0.8688t/a。本项目新增颗粒物排放量0.0928</w:t>
            </w:r>
            <w:r>
              <w:rPr>
                <w:sz w:val="24"/>
                <w:u w:val="single"/>
              </w:rPr>
              <w:t>t/a</w:t>
            </w:r>
            <w:r>
              <w:rPr>
                <w:rFonts w:hint="eastAsia"/>
                <w:sz w:val="24"/>
                <w:u w:val="single"/>
              </w:rPr>
              <w:t>、非甲烷总烃0.6673</w:t>
            </w:r>
            <w:r>
              <w:rPr>
                <w:sz w:val="24"/>
                <w:u w:val="single"/>
              </w:rPr>
              <w:t>t/a</w:t>
            </w:r>
            <w:r>
              <w:rPr>
                <w:rFonts w:hint="eastAsia"/>
                <w:sz w:val="24"/>
                <w:u w:val="single"/>
              </w:rPr>
              <w:t>。</w:t>
            </w:r>
          </w:p>
          <w:p>
            <w:pPr>
              <w:pStyle w:val="53"/>
              <w:numPr>
                <w:ilvl w:val="0"/>
                <w:numId w:val="2"/>
              </w:numPr>
              <w:ind w:left="0" w:firstLine="0"/>
            </w:pPr>
            <w:r>
              <w:rPr>
                <w:rFonts w:hint="eastAsia"/>
              </w:rPr>
              <w:t>本项目新增废气总量指标计算结果一览表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2126"/>
              <w:gridCol w:w="2126"/>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13" w:type="dxa"/>
                  <w:tcBorders>
                    <w:top w:val="single" w:color="auto" w:sz="4" w:space="0"/>
                    <w:left w:val="single" w:color="auto" w:sz="4" w:space="0"/>
                    <w:bottom w:val="single" w:color="auto" w:sz="4" w:space="0"/>
                    <w:right w:val="single" w:color="auto" w:sz="4" w:space="0"/>
                  </w:tcBorders>
                  <w:vAlign w:val="center"/>
                </w:tcPr>
                <w:p>
                  <w:pPr>
                    <w:pStyle w:val="80"/>
                    <w:spacing w:line="240" w:lineRule="auto"/>
                  </w:pPr>
                  <w:r>
                    <w:rPr>
                      <w:rFonts w:hint="eastAsia"/>
                    </w:rPr>
                    <w:t>污染因子</w:t>
                  </w:r>
                </w:p>
              </w:tc>
              <w:tc>
                <w:tcPr>
                  <w:tcW w:w="2126" w:type="dxa"/>
                  <w:tcBorders>
                    <w:top w:val="single" w:color="auto" w:sz="4" w:space="0"/>
                    <w:left w:val="single" w:color="auto" w:sz="4" w:space="0"/>
                    <w:bottom w:val="single" w:color="auto" w:sz="4" w:space="0"/>
                    <w:right w:val="single" w:color="auto" w:sz="4" w:space="0"/>
                  </w:tcBorders>
                  <w:vAlign w:val="center"/>
                </w:tcPr>
                <w:p>
                  <w:pPr>
                    <w:pStyle w:val="80"/>
                    <w:spacing w:line="240" w:lineRule="auto"/>
                  </w:pPr>
                  <w:r>
                    <w:rPr>
                      <w:rFonts w:hint="eastAsia"/>
                    </w:rPr>
                    <w:t>有组织排放t/a</w:t>
                  </w:r>
                </w:p>
              </w:tc>
              <w:tc>
                <w:tcPr>
                  <w:tcW w:w="2126" w:type="dxa"/>
                  <w:tcBorders>
                    <w:top w:val="single" w:color="auto" w:sz="4" w:space="0"/>
                    <w:left w:val="single" w:color="auto" w:sz="4" w:space="0"/>
                    <w:bottom w:val="single" w:color="auto" w:sz="4" w:space="0"/>
                    <w:right w:val="single" w:color="auto" w:sz="4" w:space="0"/>
                  </w:tcBorders>
                  <w:vAlign w:val="center"/>
                </w:tcPr>
                <w:p>
                  <w:pPr>
                    <w:pStyle w:val="80"/>
                    <w:spacing w:line="240" w:lineRule="auto"/>
                  </w:pPr>
                  <w:r>
                    <w:rPr>
                      <w:rFonts w:hint="eastAsia"/>
                    </w:rPr>
                    <w:t>无组织排放t/a</w:t>
                  </w:r>
                </w:p>
              </w:tc>
              <w:tc>
                <w:tcPr>
                  <w:tcW w:w="2000" w:type="dxa"/>
                  <w:tcBorders>
                    <w:top w:val="single" w:color="auto" w:sz="4" w:space="0"/>
                    <w:left w:val="single" w:color="auto" w:sz="4" w:space="0"/>
                    <w:bottom w:val="single" w:color="auto" w:sz="4" w:space="0"/>
                    <w:right w:val="single" w:color="auto" w:sz="4" w:space="0"/>
                  </w:tcBorders>
                  <w:vAlign w:val="center"/>
                </w:tcPr>
                <w:p>
                  <w:pPr>
                    <w:pStyle w:val="80"/>
                    <w:spacing w:line="240" w:lineRule="auto"/>
                  </w:pPr>
                  <w:r>
                    <w:rPr>
                      <w:rFonts w:hint="eastAsia"/>
                    </w:rPr>
                    <w:t>合计t/a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13" w:type="dxa"/>
                  <w:tcBorders>
                    <w:top w:val="single" w:color="auto" w:sz="4" w:space="0"/>
                    <w:left w:val="single" w:color="auto" w:sz="4" w:space="0"/>
                    <w:bottom w:val="single" w:color="auto" w:sz="4" w:space="0"/>
                    <w:right w:val="single" w:color="auto" w:sz="4" w:space="0"/>
                  </w:tcBorders>
                  <w:vAlign w:val="center"/>
                </w:tcPr>
                <w:p>
                  <w:pPr>
                    <w:pStyle w:val="75"/>
                    <w:spacing w:line="240" w:lineRule="auto"/>
                  </w:pPr>
                  <w:r>
                    <w:rPr>
                      <w:rFonts w:hint="eastAsia"/>
                    </w:rPr>
                    <w:t>颗粒物</w:t>
                  </w:r>
                </w:p>
              </w:tc>
              <w:tc>
                <w:tcPr>
                  <w:tcW w:w="2126"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szCs w:val="21"/>
                      <w:u w:val="single"/>
                    </w:rPr>
                  </w:pPr>
                  <w:r>
                    <w:rPr>
                      <w:rFonts w:hint="eastAsia"/>
                      <w:szCs w:val="21"/>
                      <w:u w:val="single"/>
                    </w:rPr>
                    <w:t>0.0928</w:t>
                  </w:r>
                </w:p>
              </w:tc>
              <w:tc>
                <w:tcPr>
                  <w:tcW w:w="2126"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szCs w:val="21"/>
                      <w:u w:val="single"/>
                    </w:rPr>
                  </w:pPr>
                  <w:r>
                    <w:rPr>
                      <w:rFonts w:hint="eastAsia"/>
                      <w:szCs w:val="21"/>
                      <w:u w:val="single"/>
                    </w:rPr>
                    <w:t>/</w:t>
                  </w:r>
                </w:p>
              </w:tc>
              <w:tc>
                <w:tcPr>
                  <w:tcW w:w="2000"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szCs w:val="21"/>
                      <w:u w:val="single"/>
                    </w:rPr>
                  </w:pPr>
                  <w:r>
                    <w:rPr>
                      <w:rFonts w:hint="eastAsia"/>
                      <w:szCs w:val="21"/>
                      <w:u w:val="single"/>
                    </w:rPr>
                    <w:t>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13" w:type="dxa"/>
                  <w:tcBorders>
                    <w:top w:val="single" w:color="auto" w:sz="4" w:space="0"/>
                    <w:left w:val="single" w:color="auto" w:sz="4" w:space="0"/>
                    <w:bottom w:val="single" w:color="auto" w:sz="4" w:space="0"/>
                    <w:right w:val="single" w:color="auto" w:sz="4" w:space="0"/>
                  </w:tcBorders>
                  <w:vAlign w:val="center"/>
                </w:tcPr>
                <w:p>
                  <w:pPr>
                    <w:pStyle w:val="75"/>
                    <w:spacing w:line="240" w:lineRule="auto"/>
                  </w:pPr>
                  <w:r>
                    <w:rPr>
                      <w:rFonts w:hint="eastAsia"/>
                    </w:rPr>
                    <w:t>非甲烷总烃</w:t>
                  </w:r>
                </w:p>
              </w:tc>
              <w:tc>
                <w:tcPr>
                  <w:tcW w:w="2126"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szCs w:val="21"/>
                    </w:rPr>
                  </w:pPr>
                  <w:r>
                    <w:rPr>
                      <w:rFonts w:hint="eastAsia"/>
                      <w:szCs w:val="21"/>
                    </w:rPr>
                    <w:t>0.429</w:t>
                  </w:r>
                </w:p>
              </w:tc>
              <w:tc>
                <w:tcPr>
                  <w:tcW w:w="2126"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szCs w:val="21"/>
                    </w:rPr>
                  </w:pPr>
                  <w:r>
                    <w:rPr>
                      <w:rFonts w:hint="eastAsia"/>
                      <w:szCs w:val="21"/>
                    </w:rPr>
                    <w:t>0.2383</w:t>
                  </w:r>
                </w:p>
              </w:tc>
              <w:tc>
                <w:tcPr>
                  <w:tcW w:w="2000"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szCs w:val="21"/>
                    </w:rPr>
                  </w:pPr>
                  <w:r>
                    <w:rPr>
                      <w:rFonts w:hint="eastAsia"/>
                      <w:szCs w:val="21"/>
                    </w:rPr>
                    <w:t>0.6673</w:t>
                  </w:r>
                </w:p>
              </w:tc>
            </w:tr>
          </w:tbl>
          <w:p>
            <w:pPr>
              <w:autoSpaceDE w:val="0"/>
              <w:autoSpaceDN w:val="0"/>
              <w:spacing w:line="360" w:lineRule="auto"/>
              <w:rPr>
                <w:b/>
                <w:sz w:val="24"/>
              </w:rPr>
            </w:pPr>
            <w:r>
              <w:rPr>
                <w:b/>
                <w:sz w:val="24"/>
              </w:rPr>
              <w:t>2</w:t>
            </w:r>
            <w:r>
              <w:rPr>
                <w:rFonts w:hint="eastAsia"/>
                <w:b/>
                <w:sz w:val="24"/>
              </w:rPr>
              <w:t>废水</w:t>
            </w:r>
          </w:p>
          <w:p>
            <w:pPr>
              <w:widowControl/>
              <w:spacing w:line="360" w:lineRule="auto"/>
              <w:ind w:firstLine="480" w:firstLineChars="200"/>
              <w:rPr>
                <w:rFonts w:hint="eastAsia"/>
                <w:sz w:val="24"/>
              </w:rPr>
            </w:pPr>
            <w:r>
              <w:rPr>
                <w:rFonts w:hint="eastAsia"/>
                <w:sz w:val="24"/>
              </w:rPr>
              <w:t>现有工程生活污水经化粪池处理后，定期清掏，用于周围农户肥田。</w:t>
            </w:r>
          </w:p>
          <w:p>
            <w:pPr>
              <w:widowControl/>
              <w:spacing w:line="360" w:lineRule="auto"/>
              <w:ind w:firstLine="480" w:firstLineChars="200"/>
              <w:rPr>
                <w:sz w:val="24"/>
              </w:rPr>
            </w:pPr>
            <w:r>
              <w:rPr>
                <w:rFonts w:hint="eastAsia"/>
                <w:sz w:val="24"/>
              </w:rPr>
              <w:t>本项目生活污水依托厂区化粪池+地埋式一体化污水处理设施，生活污水经处理后用于厂区绿化。远期废水经处理后进偃师区第二污水处理厂处理。设备冷却水循环使用，定期更换，用于厂区洒水绿化降尘。本项目生活污水总量指标见下表：</w:t>
            </w:r>
          </w:p>
          <w:p>
            <w:pPr>
              <w:pStyle w:val="53"/>
              <w:numPr>
                <w:ilvl w:val="0"/>
                <w:numId w:val="2"/>
              </w:numPr>
              <w:ind w:left="0" w:firstLine="0"/>
            </w:pPr>
            <w:r>
              <w:rPr>
                <w:rFonts w:hint="eastAsia"/>
              </w:rPr>
              <w:t>本项目新增废水总量指标计算结果一览表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624"/>
              <w:gridCol w:w="2430"/>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8" w:type="dxa"/>
                  <w:vMerge w:val="restart"/>
                  <w:tcBorders>
                    <w:top w:val="single" w:color="auto" w:sz="4" w:space="0"/>
                    <w:left w:val="single" w:color="auto" w:sz="4" w:space="0"/>
                    <w:bottom w:val="single" w:color="auto" w:sz="4" w:space="0"/>
                    <w:right w:val="single" w:color="auto" w:sz="4" w:space="0"/>
                  </w:tcBorders>
                  <w:vAlign w:val="center"/>
                </w:tcPr>
                <w:p>
                  <w:pPr>
                    <w:pStyle w:val="80"/>
                    <w:spacing w:line="240" w:lineRule="auto"/>
                  </w:pPr>
                  <w:r>
                    <w:rPr>
                      <w:rFonts w:hint="eastAsia"/>
                    </w:rPr>
                    <w:t>类别</w:t>
                  </w:r>
                </w:p>
              </w:tc>
              <w:tc>
                <w:tcPr>
                  <w:tcW w:w="1624" w:type="dxa"/>
                  <w:vMerge w:val="restart"/>
                  <w:tcBorders>
                    <w:top w:val="single" w:color="auto" w:sz="4" w:space="0"/>
                    <w:left w:val="single" w:color="auto" w:sz="4" w:space="0"/>
                    <w:bottom w:val="single" w:color="auto" w:sz="4" w:space="0"/>
                    <w:right w:val="single" w:color="auto" w:sz="4" w:space="0"/>
                  </w:tcBorders>
                  <w:vAlign w:val="center"/>
                </w:tcPr>
                <w:p>
                  <w:pPr>
                    <w:pStyle w:val="80"/>
                    <w:spacing w:line="240" w:lineRule="auto"/>
                  </w:pPr>
                  <w:r>
                    <w:rPr>
                      <w:rFonts w:hint="eastAsia"/>
                    </w:rPr>
                    <w:t>污染因子</w:t>
                  </w:r>
                </w:p>
              </w:tc>
              <w:tc>
                <w:tcPr>
                  <w:tcW w:w="5203" w:type="dxa"/>
                  <w:gridSpan w:val="2"/>
                  <w:tcBorders>
                    <w:top w:val="single" w:color="auto" w:sz="4" w:space="0"/>
                    <w:left w:val="single" w:color="auto" w:sz="4" w:space="0"/>
                    <w:bottom w:val="single" w:color="auto" w:sz="4" w:space="0"/>
                    <w:right w:val="single" w:color="auto" w:sz="4" w:space="0"/>
                  </w:tcBorders>
                  <w:vAlign w:val="center"/>
                </w:tcPr>
                <w:p>
                  <w:pPr>
                    <w:pStyle w:val="80"/>
                    <w:spacing w:line="240" w:lineRule="auto"/>
                  </w:pPr>
                  <w:r>
                    <w:rPr>
                      <w:rFonts w:hint="eastAsia"/>
                    </w:rPr>
                    <w:t>总量指标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Cs w:val="21"/>
                    </w:rPr>
                  </w:pPr>
                </w:p>
              </w:tc>
              <w:tc>
                <w:tcPr>
                  <w:tcW w:w="2430" w:type="dxa"/>
                  <w:tcBorders>
                    <w:top w:val="single" w:color="auto" w:sz="4" w:space="0"/>
                    <w:left w:val="single" w:color="auto" w:sz="4" w:space="0"/>
                    <w:bottom w:val="single" w:color="auto" w:sz="4" w:space="0"/>
                    <w:right w:val="single" w:color="auto" w:sz="4" w:space="0"/>
                  </w:tcBorders>
                  <w:vAlign w:val="center"/>
                </w:tcPr>
                <w:p>
                  <w:pPr>
                    <w:pStyle w:val="80"/>
                    <w:spacing w:line="240" w:lineRule="auto"/>
                  </w:pPr>
                  <w:r>
                    <w:rPr>
                      <w:rFonts w:hint="eastAsia"/>
                    </w:rPr>
                    <w:t>本项目</w:t>
                  </w:r>
                </w:p>
              </w:tc>
              <w:tc>
                <w:tcPr>
                  <w:tcW w:w="2773" w:type="dxa"/>
                  <w:tcBorders>
                    <w:top w:val="single" w:color="auto" w:sz="4" w:space="0"/>
                    <w:left w:val="single" w:color="auto" w:sz="4" w:space="0"/>
                    <w:bottom w:val="single" w:color="auto" w:sz="4" w:space="0"/>
                    <w:right w:val="single" w:color="auto" w:sz="4" w:space="0"/>
                  </w:tcBorders>
                  <w:vAlign w:val="center"/>
                </w:tcPr>
                <w:p>
                  <w:pPr>
                    <w:pStyle w:val="80"/>
                    <w:spacing w:line="240" w:lineRule="auto"/>
                  </w:pPr>
                  <w:r>
                    <w:rPr>
                      <w:rFonts w:hint="eastAsia"/>
                    </w:rPr>
                    <w:t>偃师区第二污水处理厂排口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8" w:type="dxa"/>
                  <w:vMerge w:val="restart"/>
                  <w:tcBorders>
                    <w:top w:val="single" w:color="auto" w:sz="4" w:space="0"/>
                    <w:left w:val="single" w:color="auto" w:sz="4" w:space="0"/>
                    <w:bottom w:val="single" w:color="auto" w:sz="4" w:space="0"/>
                    <w:right w:val="single" w:color="auto" w:sz="4" w:space="0"/>
                  </w:tcBorders>
                  <w:vAlign w:val="center"/>
                </w:tcPr>
                <w:p>
                  <w:pPr>
                    <w:pStyle w:val="75"/>
                    <w:spacing w:line="240" w:lineRule="auto"/>
                  </w:pPr>
                  <w:r>
                    <w:rPr>
                      <w:rFonts w:hint="eastAsia"/>
                    </w:rPr>
                    <w:t>生活污水299.52</w:t>
                  </w:r>
                  <w:r>
                    <w:t>m</w:t>
                  </w:r>
                  <w:r>
                    <w:rPr>
                      <w:vertAlign w:val="superscript"/>
                    </w:rPr>
                    <w:t>3</w:t>
                  </w:r>
                  <w:r>
                    <w:t>/a</w:t>
                  </w:r>
                </w:p>
              </w:tc>
              <w:tc>
                <w:tcPr>
                  <w:tcW w:w="1624" w:type="dxa"/>
                  <w:tcBorders>
                    <w:top w:val="single" w:color="auto" w:sz="4" w:space="0"/>
                    <w:left w:val="single" w:color="auto" w:sz="4" w:space="0"/>
                    <w:bottom w:val="single" w:color="auto" w:sz="4" w:space="0"/>
                    <w:right w:val="single" w:color="auto" w:sz="4" w:space="0"/>
                  </w:tcBorders>
                  <w:vAlign w:val="center"/>
                </w:tcPr>
                <w:p>
                  <w:pPr>
                    <w:pStyle w:val="75"/>
                    <w:spacing w:line="240" w:lineRule="auto"/>
                  </w:pPr>
                  <w:r>
                    <w:t>COD</w:t>
                  </w:r>
                  <w:r>
                    <w:rPr>
                      <w:rFonts w:hint="eastAsia"/>
                    </w:rPr>
                    <w:t>（</w:t>
                  </w:r>
                  <w:r>
                    <w:t>t/a</w:t>
                  </w:r>
                  <w:r>
                    <w:rPr>
                      <w:rFonts w:hint="eastAsia"/>
                    </w:rPr>
                    <w:t>）</w:t>
                  </w:r>
                </w:p>
              </w:tc>
              <w:tc>
                <w:tcPr>
                  <w:tcW w:w="2430"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szCs w:val="21"/>
                    </w:rPr>
                  </w:pPr>
                  <w:r>
                    <w:rPr>
                      <w:rFonts w:hint="eastAsia"/>
                      <w:szCs w:val="21"/>
                    </w:rPr>
                    <w:t>0.0144</w:t>
                  </w:r>
                </w:p>
              </w:tc>
              <w:tc>
                <w:tcPr>
                  <w:tcW w:w="2773"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szCs w:val="21"/>
                    </w:rPr>
                  </w:pPr>
                  <w:r>
                    <w:rPr>
                      <w:rFonts w:hint="eastAsia"/>
                      <w:szCs w:val="21"/>
                    </w:rPr>
                    <w:t>0.0120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624" w:type="dxa"/>
                  <w:tcBorders>
                    <w:top w:val="single" w:color="auto" w:sz="4" w:space="0"/>
                    <w:left w:val="single" w:color="auto" w:sz="4" w:space="0"/>
                    <w:bottom w:val="single" w:color="auto" w:sz="4" w:space="0"/>
                    <w:right w:val="single" w:color="auto" w:sz="4" w:space="0"/>
                  </w:tcBorders>
                  <w:vAlign w:val="center"/>
                </w:tcPr>
                <w:p>
                  <w:pPr>
                    <w:pStyle w:val="75"/>
                    <w:spacing w:line="240" w:lineRule="auto"/>
                  </w:pPr>
                  <w:r>
                    <w:rPr>
                      <w:rFonts w:hint="eastAsia"/>
                    </w:rPr>
                    <w:t>氨氮（</w:t>
                  </w:r>
                  <w:r>
                    <w:t>t/a</w:t>
                  </w:r>
                  <w:r>
                    <w:rPr>
                      <w:rFonts w:hint="eastAsia"/>
                    </w:rPr>
                    <w:t>）</w:t>
                  </w:r>
                </w:p>
              </w:tc>
              <w:tc>
                <w:tcPr>
                  <w:tcW w:w="2430"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szCs w:val="21"/>
                    </w:rPr>
                  </w:pPr>
                  <w:r>
                    <w:rPr>
                      <w:rFonts w:hint="eastAsia"/>
                      <w:szCs w:val="21"/>
                    </w:rPr>
                    <w:t>0.0015</w:t>
                  </w:r>
                </w:p>
              </w:tc>
              <w:tc>
                <w:tcPr>
                  <w:tcW w:w="2773" w:type="dxa"/>
                  <w:tcBorders>
                    <w:top w:val="single" w:color="auto" w:sz="4" w:space="0"/>
                    <w:left w:val="single" w:color="auto" w:sz="4" w:space="0"/>
                    <w:bottom w:val="single" w:color="auto" w:sz="4" w:space="0"/>
                    <w:right w:val="single" w:color="auto" w:sz="4" w:space="0"/>
                  </w:tcBorders>
                  <w:vAlign w:val="center"/>
                </w:tcPr>
                <w:p>
                  <w:pPr>
                    <w:pStyle w:val="58"/>
                    <w:spacing w:line="320" w:lineRule="exact"/>
                    <w:rPr>
                      <w:szCs w:val="21"/>
                    </w:rPr>
                  </w:pPr>
                  <w:r>
                    <w:rPr>
                      <w:rFonts w:hint="eastAsia"/>
                      <w:szCs w:val="21"/>
                    </w:rPr>
                    <w:t>0.0009</w:t>
                  </w:r>
                </w:p>
              </w:tc>
            </w:tr>
          </w:tbl>
          <w:p>
            <w:pPr>
              <w:autoSpaceDE w:val="0"/>
              <w:autoSpaceDN w:val="0"/>
              <w:spacing w:line="360" w:lineRule="auto"/>
              <w:ind w:firstLine="480" w:firstLineChars="200"/>
              <w:rPr>
                <w:rFonts w:hint="eastAsia"/>
                <w:sz w:val="24"/>
                <w:u w:val="single"/>
              </w:rPr>
            </w:pPr>
            <w:r>
              <w:rPr>
                <w:rFonts w:hint="eastAsia"/>
                <w:sz w:val="24"/>
                <w:u w:val="single"/>
              </w:rPr>
              <w:t>本项目位于大气不达标区，新增VOCs替代来源为洛阳珠峰华鹰三轮摩托车有限公司的减排量。新增废水总量纳入污水处理厂核算。</w:t>
            </w:r>
          </w:p>
          <w:p>
            <w:pPr>
              <w:widowControl/>
              <w:spacing w:line="360" w:lineRule="auto"/>
              <w:ind w:firstLine="480" w:firstLineChars="200"/>
              <w:rPr>
                <w:sz w:val="24"/>
              </w:rPr>
            </w:pPr>
          </w:p>
          <w:p>
            <w:pPr>
              <w:spacing w:line="360" w:lineRule="auto"/>
              <w:rPr>
                <w:rFonts w:hint="eastAsia"/>
                <w:sz w:val="24"/>
              </w:rPr>
            </w:pPr>
          </w:p>
          <w:p>
            <w:pPr>
              <w:spacing w:line="360" w:lineRule="auto"/>
              <w:rPr>
                <w:sz w:val="24"/>
              </w:rPr>
            </w:pPr>
          </w:p>
        </w:tc>
      </w:tr>
    </w:tbl>
    <w:p>
      <w:pPr>
        <w:pStyle w:val="24"/>
        <w:spacing w:before="120"/>
        <w:rPr>
          <w:snapToGrid w:val="0"/>
        </w:rPr>
      </w:pPr>
      <w:r>
        <w:rPr>
          <w:snapToGrid w:val="0"/>
          <w:sz w:val="36"/>
          <w:szCs w:val="36"/>
        </w:rPr>
        <w:br w:type="page"/>
      </w:r>
      <w:bookmarkStart w:id="6" w:name="_Toc114642631"/>
      <w:r>
        <w:rPr>
          <w:rFonts w:hint="eastAsia"/>
          <w:snapToGrid w:val="0"/>
        </w:rPr>
        <w:t>四、主要环境影响和保护措施</w:t>
      </w:r>
      <w:bookmarkEnd w:id="6"/>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746" w:type="dxa"/>
            <w:tcMar>
              <w:left w:w="28" w:type="dxa"/>
              <w:right w:w="28" w:type="dxa"/>
            </w:tcMar>
            <w:vAlign w:val="center"/>
          </w:tcPr>
          <w:p>
            <w:pPr>
              <w:pStyle w:val="58"/>
              <w:rPr>
                <w:sz w:val="24"/>
                <w:szCs w:val="24"/>
              </w:rPr>
            </w:pPr>
            <w:r>
              <w:rPr>
                <w:rFonts w:hint="eastAsia"/>
                <w:sz w:val="24"/>
                <w:szCs w:val="24"/>
              </w:rPr>
              <w:t>施</w:t>
            </w:r>
          </w:p>
          <w:p>
            <w:pPr>
              <w:pStyle w:val="58"/>
              <w:rPr>
                <w:sz w:val="24"/>
                <w:szCs w:val="24"/>
              </w:rPr>
            </w:pPr>
            <w:r>
              <w:rPr>
                <w:rFonts w:hint="eastAsia"/>
                <w:sz w:val="24"/>
                <w:szCs w:val="24"/>
              </w:rPr>
              <w:t>工</w:t>
            </w:r>
          </w:p>
          <w:p>
            <w:pPr>
              <w:pStyle w:val="58"/>
              <w:rPr>
                <w:sz w:val="24"/>
                <w:szCs w:val="24"/>
              </w:rPr>
            </w:pPr>
            <w:r>
              <w:rPr>
                <w:rFonts w:hint="eastAsia"/>
                <w:sz w:val="24"/>
                <w:szCs w:val="24"/>
              </w:rPr>
              <w:t>期</w:t>
            </w:r>
          </w:p>
          <w:p>
            <w:pPr>
              <w:pStyle w:val="58"/>
              <w:rPr>
                <w:sz w:val="24"/>
                <w:szCs w:val="24"/>
              </w:rPr>
            </w:pPr>
            <w:r>
              <w:rPr>
                <w:rFonts w:hint="eastAsia"/>
                <w:sz w:val="24"/>
                <w:szCs w:val="24"/>
              </w:rPr>
              <w:t>环</w:t>
            </w:r>
          </w:p>
          <w:p>
            <w:pPr>
              <w:pStyle w:val="58"/>
              <w:rPr>
                <w:sz w:val="24"/>
                <w:szCs w:val="24"/>
              </w:rPr>
            </w:pPr>
            <w:r>
              <w:rPr>
                <w:rFonts w:hint="eastAsia"/>
                <w:sz w:val="24"/>
                <w:szCs w:val="24"/>
              </w:rPr>
              <w:t>境</w:t>
            </w:r>
          </w:p>
          <w:p>
            <w:pPr>
              <w:pStyle w:val="58"/>
              <w:rPr>
                <w:sz w:val="24"/>
                <w:szCs w:val="24"/>
              </w:rPr>
            </w:pPr>
            <w:r>
              <w:rPr>
                <w:rFonts w:hint="eastAsia"/>
                <w:sz w:val="24"/>
                <w:szCs w:val="24"/>
              </w:rPr>
              <w:t>保</w:t>
            </w:r>
          </w:p>
          <w:p>
            <w:pPr>
              <w:pStyle w:val="58"/>
              <w:rPr>
                <w:sz w:val="24"/>
                <w:szCs w:val="24"/>
              </w:rPr>
            </w:pPr>
            <w:r>
              <w:rPr>
                <w:rFonts w:hint="eastAsia"/>
                <w:sz w:val="24"/>
                <w:szCs w:val="24"/>
              </w:rPr>
              <w:t>护</w:t>
            </w:r>
          </w:p>
          <w:p>
            <w:pPr>
              <w:pStyle w:val="58"/>
              <w:rPr>
                <w:sz w:val="24"/>
                <w:szCs w:val="24"/>
              </w:rPr>
            </w:pPr>
            <w:r>
              <w:rPr>
                <w:rFonts w:hint="eastAsia"/>
                <w:sz w:val="24"/>
                <w:szCs w:val="24"/>
              </w:rPr>
              <w:t>措</w:t>
            </w:r>
          </w:p>
          <w:p>
            <w:pPr>
              <w:pStyle w:val="58"/>
              <w:rPr>
                <w:bCs/>
              </w:rPr>
            </w:pPr>
            <w:r>
              <w:rPr>
                <w:rFonts w:hint="eastAsia"/>
                <w:sz w:val="24"/>
                <w:szCs w:val="24"/>
              </w:rPr>
              <w:t>施</w:t>
            </w:r>
          </w:p>
        </w:tc>
        <w:tc>
          <w:tcPr>
            <w:tcW w:w="8162" w:type="dxa"/>
          </w:tcPr>
          <w:p>
            <w:pPr>
              <w:spacing w:line="360" w:lineRule="auto"/>
              <w:ind w:firstLine="480" w:firstLineChars="200"/>
              <w:rPr>
                <w:rFonts w:hAnsi="宋体"/>
                <w:sz w:val="24"/>
              </w:rPr>
            </w:pPr>
            <w:r>
              <w:rPr>
                <w:rFonts w:hint="eastAsia" w:hAnsi="宋体"/>
                <w:sz w:val="24"/>
              </w:rPr>
              <w:t>本项目租赁车间进行建设，施工期主要建设内容为生产设备、设施安装，不涉及土建工程；企业购置设备后安装，施工时间约3个月。施工期主要影响是生产设备安装过程中产生的垃圾、施工人员生活垃圾和生活污水、设备安装噪声等。</w:t>
            </w:r>
          </w:p>
          <w:p>
            <w:pPr>
              <w:spacing w:line="360" w:lineRule="auto"/>
              <w:ind w:firstLine="480" w:firstLineChars="200"/>
              <w:rPr>
                <w:rFonts w:hAnsi="宋体"/>
                <w:sz w:val="24"/>
              </w:rPr>
            </w:pPr>
            <w:r>
              <w:rPr>
                <w:rFonts w:hint="eastAsia" w:hAnsi="宋体"/>
                <w:sz w:val="24"/>
              </w:rPr>
              <w:t>施工期废水主要为施工人员生活污水，施工人员为附近村民，利用厂区内现有生活设施。</w:t>
            </w:r>
          </w:p>
          <w:p>
            <w:pPr>
              <w:spacing w:line="360" w:lineRule="auto"/>
              <w:ind w:firstLine="480" w:firstLineChars="200"/>
              <w:rPr>
                <w:rFonts w:hAnsi="宋体"/>
                <w:sz w:val="24"/>
              </w:rPr>
            </w:pPr>
            <w:r>
              <w:rPr>
                <w:rFonts w:hint="eastAsia" w:hAnsi="宋体"/>
                <w:sz w:val="24"/>
              </w:rPr>
              <w:t>施工期噪声主要来源于设备安装、调试工程，本项目厂区50m范围内无居民点，因此设备安装、调试过程中产生的噪声经距离衰减后，对周围声环境影响较小。</w:t>
            </w:r>
          </w:p>
          <w:p>
            <w:pPr>
              <w:spacing w:line="360" w:lineRule="auto"/>
              <w:ind w:firstLine="480" w:firstLineChars="200"/>
              <w:rPr>
                <w:rFonts w:hAnsi="宋体"/>
                <w:sz w:val="24"/>
              </w:rPr>
            </w:pPr>
            <w:r>
              <w:rPr>
                <w:sz w:val="24"/>
              </w:rPr>
              <w:t>施工期固体废物主要为外购设备包装材料，施工人员生活垃圾。废包装材料量较少，集中收集后外卖给废品回收站；施工人员均为附近村民，不在厂区内住宿</w:t>
            </w:r>
            <w:r>
              <w:rPr>
                <w:rFonts w:hint="eastAsia" w:hAnsi="宋体"/>
                <w:sz w:val="24"/>
              </w:rPr>
              <w:t>，生活垃圾产生量较少，交当地环卫部门处理处置。本项目施工过程中产生的固体废物均得到合理处置，对周围环境影响较小。</w:t>
            </w:r>
          </w:p>
          <w:p>
            <w:pPr>
              <w:adjustRightInd w:val="0"/>
              <w:snapToGrid w:val="0"/>
              <w:spacing w:line="360" w:lineRule="auto"/>
              <w:ind w:firstLine="480" w:firstLineChars="200"/>
              <w:rPr>
                <w:rFonts w:hAnsi="宋体"/>
                <w:sz w:val="24"/>
              </w:rPr>
            </w:pPr>
            <w:r>
              <w:rPr>
                <w:rFonts w:hint="eastAsia" w:hAnsi="宋体"/>
                <w:sz w:val="24"/>
              </w:rPr>
              <w:t>本项目施工期结束后上述影响也随之消失，只要加强施工期的管理，做好施工期生活污水、噪声、固体废物的处置，施工期对周围环境影响较小。</w:t>
            </w:r>
          </w:p>
          <w:p>
            <w:pPr>
              <w:adjustRightInd w:val="0"/>
              <w:snapToGrid w:val="0"/>
              <w:ind w:firstLine="440"/>
              <w:rPr>
                <w:rFonts w:ascii="宋体" w:hAnsi="宋体" w:cs="宋体"/>
                <w:bCs/>
                <w:spacing w:val="-10"/>
                <w:szCs w:val="21"/>
              </w:rPr>
            </w:pPr>
          </w:p>
          <w:p>
            <w:pPr>
              <w:adjustRightInd w:val="0"/>
              <w:snapToGrid w:val="0"/>
              <w:ind w:firstLine="440"/>
              <w:rPr>
                <w:rFonts w:ascii="宋体" w:hAnsi="宋体" w:cs="宋体"/>
                <w:bCs/>
                <w:spacing w:val="-10"/>
                <w:szCs w:val="21"/>
              </w:rPr>
            </w:pPr>
          </w:p>
          <w:p>
            <w:pPr>
              <w:adjustRightInd w:val="0"/>
              <w:snapToGrid w:val="0"/>
              <w:ind w:firstLine="440"/>
              <w:rPr>
                <w:rFonts w:ascii="宋体" w:hAnsi="宋体" w:cs="宋体"/>
                <w:bCs/>
                <w:spacing w:val="-10"/>
                <w:szCs w:val="21"/>
              </w:rPr>
            </w:pPr>
          </w:p>
          <w:p>
            <w:pPr>
              <w:adjustRightInd w:val="0"/>
              <w:snapToGrid w:val="0"/>
              <w:ind w:firstLine="440"/>
              <w:rPr>
                <w:rFonts w:ascii="宋体" w:hAnsi="宋体" w:cs="宋体"/>
                <w:bCs/>
                <w:spacing w:val="-10"/>
                <w:szCs w:val="21"/>
              </w:rPr>
            </w:pPr>
          </w:p>
          <w:p>
            <w:pPr>
              <w:adjustRightInd w:val="0"/>
              <w:snapToGrid w:val="0"/>
              <w:ind w:firstLine="440"/>
              <w:rPr>
                <w:rFonts w:ascii="宋体" w:hAnsi="宋体" w:cs="宋体"/>
                <w:bCs/>
                <w:spacing w:val="-10"/>
                <w:szCs w:val="21"/>
              </w:rPr>
            </w:pPr>
          </w:p>
          <w:p>
            <w:pPr>
              <w:adjustRightInd w:val="0"/>
              <w:snapToGrid w:val="0"/>
              <w:ind w:firstLine="440"/>
              <w:rPr>
                <w:rFonts w:ascii="宋体" w:hAnsi="宋体" w:cs="宋体"/>
                <w:bCs/>
                <w:spacing w:val="-10"/>
                <w:szCs w:val="21"/>
              </w:rPr>
            </w:pPr>
          </w:p>
          <w:p>
            <w:pPr>
              <w:adjustRightInd w:val="0"/>
              <w:snapToGrid w:val="0"/>
              <w:ind w:firstLine="440"/>
              <w:rPr>
                <w:rFonts w:ascii="宋体" w:hAnsi="宋体" w:cs="宋体"/>
                <w:bCs/>
                <w:spacing w:val="-10"/>
                <w:szCs w:val="21"/>
              </w:rPr>
            </w:pPr>
          </w:p>
          <w:p>
            <w:pPr>
              <w:adjustRightInd w:val="0"/>
              <w:snapToGrid w:val="0"/>
              <w:ind w:firstLine="440"/>
              <w:rPr>
                <w:rFonts w:ascii="宋体" w:hAnsi="宋体" w:cs="宋体"/>
                <w:bCs/>
                <w:spacing w:val="-10"/>
                <w:szCs w:val="21"/>
              </w:rPr>
            </w:pPr>
          </w:p>
          <w:p>
            <w:pPr>
              <w:adjustRightInd w:val="0"/>
              <w:snapToGrid w:val="0"/>
              <w:ind w:firstLine="440"/>
              <w:rPr>
                <w:rFonts w:ascii="宋体" w:hAnsi="宋体" w:cs="宋体"/>
                <w:bCs/>
                <w:spacing w:val="-10"/>
                <w:szCs w:val="21"/>
              </w:rPr>
            </w:pPr>
          </w:p>
          <w:p>
            <w:pPr>
              <w:adjustRightInd w:val="0"/>
              <w:snapToGrid w:val="0"/>
              <w:ind w:firstLine="440"/>
              <w:rPr>
                <w:rFonts w:ascii="宋体" w:hAnsi="宋体" w:cs="宋体"/>
                <w:bCs/>
                <w:spacing w:val="-10"/>
                <w:szCs w:val="21"/>
              </w:rPr>
            </w:pPr>
          </w:p>
          <w:p>
            <w:pPr>
              <w:adjustRightInd w:val="0"/>
              <w:snapToGrid w:val="0"/>
              <w:ind w:firstLine="440"/>
              <w:rPr>
                <w:rFonts w:ascii="宋体" w:hAnsi="宋体" w:cs="宋体"/>
                <w:bCs/>
                <w:spacing w:val="-10"/>
                <w:szCs w:val="21"/>
              </w:rPr>
            </w:pPr>
          </w:p>
          <w:p>
            <w:pPr>
              <w:adjustRightInd w:val="0"/>
              <w:snapToGrid w:val="0"/>
              <w:ind w:firstLine="440"/>
              <w:rPr>
                <w:rFonts w:ascii="宋体" w:hAnsi="宋体" w:cs="宋体"/>
                <w:bCs/>
                <w:spacing w:val="-10"/>
                <w:szCs w:val="21"/>
              </w:rPr>
            </w:pPr>
          </w:p>
          <w:p>
            <w:pPr>
              <w:adjustRightInd w:val="0"/>
              <w:snapToGrid w:val="0"/>
              <w:ind w:firstLine="440"/>
              <w:rPr>
                <w:rFonts w:ascii="宋体" w:hAnsi="宋体" w:cs="宋体"/>
                <w:bCs/>
                <w:spacing w:val="-10"/>
                <w:szCs w:val="21"/>
              </w:rPr>
            </w:pPr>
          </w:p>
          <w:p>
            <w:pPr>
              <w:adjustRightInd w:val="0"/>
              <w:snapToGrid w:val="0"/>
              <w:ind w:firstLine="440"/>
              <w:rPr>
                <w:rFonts w:ascii="宋体" w:hAnsi="宋体" w:cs="宋体"/>
                <w:bCs/>
                <w:spacing w:val="-10"/>
                <w:szCs w:val="21"/>
              </w:rPr>
            </w:pPr>
          </w:p>
          <w:p>
            <w:pPr>
              <w:adjustRightInd w:val="0"/>
              <w:snapToGrid w:val="0"/>
              <w:ind w:firstLine="440"/>
              <w:rPr>
                <w:rFonts w:ascii="宋体" w:hAnsi="宋体" w:cs="宋体"/>
                <w:bCs/>
                <w:spacing w:val="-10"/>
                <w:szCs w:val="21"/>
              </w:rPr>
            </w:pPr>
          </w:p>
          <w:p>
            <w:pPr>
              <w:adjustRightInd w:val="0"/>
              <w:snapToGrid w:val="0"/>
              <w:ind w:firstLine="440"/>
              <w:rPr>
                <w:rFonts w:ascii="宋体" w:hAnsi="宋体" w:cs="宋体"/>
                <w:bCs/>
                <w:spacing w:val="-10"/>
                <w:szCs w:val="21"/>
              </w:rPr>
            </w:pPr>
          </w:p>
          <w:p>
            <w:pPr>
              <w:adjustRightInd w:val="0"/>
              <w:snapToGrid w:val="0"/>
              <w:ind w:firstLine="440"/>
              <w:rPr>
                <w:rFonts w:ascii="宋体" w:hAnsi="宋体" w:cs="宋体"/>
                <w:bCs/>
                <w:spacing w:val="-10"/>
                <w:szCs w:val="21"/>
              </w:rPr>
            </w:pPr>
          </w:p>
          <w:p>
            <w:pPr>
              <w:adjustRightInd w:val="0"/>
              <w:snapToGrid w:val="0"/>
              <w:ind w:firstLine="440"/>
              <w:rPr>
                <w:rFonts w:ascii="宋体" w:hAnsi="宋体" w:cs="宋体"/>
                <w:bCs/>
                <w:spacing w:val="-10"/>
                <w:szCs w:val="21"/>
              </w:rPr>
            </w:pPr>
          </w:p>
          <w:p>
            <w:pPr>
              <w:adjustRightInd w:val="0"/>
              <w:snapToGrid w:val="0"/>
              <w:ind w:firstLine="440"/>
              <w:rPr>
                <w:rFonts w:ascii="宋体" w:hAnsi="宋体" w:cs="宋体"/>
                <w:bCs/>
                <w:spacing w:val="-10"/>
                <w:szCs w:val="21"/>
              </w:rPr>
            </w:pPr>
          </w:p>
          <w:p>
            <w:pPr>
              <w:adjustRightInd w:val="0"/>
              <w:snapToGrid w:val="0"/>
              <w:ind w:firstLine="440"/>
              <w:rPr>
                <w:rFonts w:ascii="宋体" w:hAnsi="宋体" w:cs="宋体"/>
                <w:bCs/>
                <w:spacing w:val="-10"/>
                <w:szCs w:val="21"/>
              </w:rPr>
            </w:pPr>
          </w:p>
        </w:tc>
      </w:tr>
    </w:tbl>
    <w:p>
      <w:pPr>
        <w:adjustRightInd w:val="0"/>
        <w:snapToGrid w:val="0"/>
        <w:spacing w:line="360" w:lineRule="auto"/>
        <w:ind w:firstLine="562"/>
        <w:rPr>
          <w:rFonts w:ascii="宋体" w:cs="宋体"/>
          <w:b/>
          <w:kern w:val="0"/>
          <w:sz w:val="28"/>
          <w:szCs w:val="28"/>
        </w:rPr>
        <w:sectPr>
          <w:pgSz w:w="11907" w:h="16840"/>
          <w:pgMar w:top="1588" w:right="1531" w:bottom="1588" w:left="1531" w:header="851" w:footer="851" w:gutter="0"/>
          <w:cols w:space="720" w:num="1"/>
          <w:docGrid w:linePitch="312" w:charSpace="0"/>
        </w:sectPr>
      </w:pP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73"/>
        <w:gridCol w:w="135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352" w:type="dxa"/>
            <w:tcMar>
              <w:left w:w="28" w:type="dxa"/>
              <w:right w:w="28" w:type="dxa"/>
            </w:tcMar>
            <w:vAlign w:val="center"/>
          </w:tcPr>
          <w:p>
            <w:pPr>
              <w:adjustRightInd w:val="0"/>
              <w:snapToGrid w:val="0"/>
              <w:ind w:firstLine="480"/>
              <w:jc w:val="center"/>
              <w:rPr>
                <w:rFonts w:ascii="宋体" w:hAnsi="宋体" w:cs="宋体"/>
                <w:bCs/>
                <w:szCs w:val="21"/>
              </w:rPr>
            </w:pPr>
            <w:r>
              <w:rPr>
                <w:rFonts w:hint="eastAsia" w:ascii="宋体" w:hAnsi="宋体" w:cs="宋体"/>
                <w:bCs/>
                <w:szCs w:val="21"/>
              </w:rPr>
              <w:t>运营期环境影响和保护措施</w:t>
            </w:r>
          </w:p>
        </w:tc>
        <w:tc>
          <w:tcPr>
            <w:tcW w:w="12796" w:type="dxa"/>
          </w:tcPr>
          <w:p>
            <w:pPr>
              <w:spacing w:line="360" w:lineRule="auto"/>
              <w:rPr>
                <w:b/>
                <w:bCs/>
                <w:sz w:val="24"/>
              </w:rPr>
            </w:pPr>
            <w:r>
              <w:rPr>
                <w:b/>
                <w:bCs/>
                <w:sz w:val="24"/>
              </w:rPr>
              <w:t>1</w:t>
            </w:r>
            <w:r>
              <w:rPr>
                <w:rFonts w:hAnsi="宋体"/>
                <w:b/>
                <w:bCs/>
                <w:sz w:val="24"/>
              </w:rPr>
              <w:t>废气</w:t>
            </w:r>
          </w:p>
          <w:p>
            <w:pPr>
              <w:pStyle w:val="11"/>
              <w:spacing w:after="0" w:line="360" w:lineRule="auto"/>
              <w:ind w:left="0" w:leftChars="0"/>
              <w:rPr>
                <w:b/>
              </w:rPr>
            </w:pPr>
            <w:r>
              <w:rPr>
                <w:b/>
              </w:rPr>
              <w:t>1.1</w:t>
            </w:r>
            <w:r>
              <w:rPr>
                <w:rFonts w:hAnsi="宋体"/>
                <w:b/>
              </w:rPr>
              <w:t>废气产排污节点、污染物及污染治理设施信息</w:t>
            </w:r>
          </w:p>
          <w:p>
            <w:pPr>
              <w:pStyle w:val="60"/>
              <w:adjustRightInd/>
              <w:snapToGrid/>
              <w:rPr>
                <w:rFonts w:ascii="Times New Roman" w:hAnsi="Times New Roman"/>
              </w:rPr>
            </w:pPr>
            <w:r>
              <w:rPr>
                <w:rFonts w:hint="eastAsia" w:ascii="Times New Roman" w:hAnsi="Times New Roman"/>
              </w:rPr>
              <w:t>本项目</w:t>
            </w:r>
            <w:r>
              <w:rPr>
                <w:rFonts w:ascii="Times New Roman" w:hAnsi="Times New Roman"/>
              </w:rPr>
              <w:t>实施后，</w:t>
            </w:r>
            <w:r>
              <w:rPr>
                <w:rFonts w:hint="eastAsia" w:ascii="Times New Roman" w:hAnsi="Times New Roman"/>
                <w:bCs/>
              </w:rPr>
              <w:t>废气产排污节点、污染物及污染治理设施信息</w:t>
            </w:r>
            <w:r>
              <w:rPr>
                <w:rFonts w:ascii="Times New Roman" w:hAnsi="Times New Roman"/>
              </w:rPr>
              <w:t>见下表。</w:t>
            </w:r>
          </w:p>
          <w:p>
            <w:pPr>
              <w:pStyle w:val="53"/>
              <w:numPr>
                <w:ilvl w:val="0"/>
                <w:numId w:val="2"/>
              </w:numPr>
              <w:ind w:left="0" w:firstLine="0"/>
            </w:pPr>
            <w:r>
              <w:rPr>
                <w:rFonts w:hint="eastAsia"/>
              </w:rPr>
              <w:t>本</w:t>
            </w:r>
            <w:r>
              <w:t>项目</w:t>
            </w:r>
            <w:r>
              <w:rPr>
                <w:rFonts w:hint="eastAsia"/>
              </w:rPr>
              <w:t>废气产排污节点、污染物及污染治理设施信息表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567"/>
              <w:gridCol w:w="708"/>
              <w:gridCol w:w="708"/>
              <w:gridCol w:w="711"/>
              <w:gridCol w:w="1132"/>
              <w:gridCol w:w="849"/>
              <w:gridCol w:w="2413"/>
              <w:gridCol w:w="849"/>
              <w:gridCol w:w="991"/>
              <w:gridCol w:w="852"/>
              <w:gridCol w:w="711"/>
              <w:gridCol w:w="847"/>
              <w:gridCol w:w="714"/>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216" w:type="pct"/>
                  <w:vMerge w:val="restart"/>
                  <w:shd w:val="clear" w:color="auto" w:fill="auto"/>
                  <w:vAlign w:val="center"/>
                </w:tcPr>
                <w:p>
                  <w:pPr>
                    <w:pStyle w:val="54"/>
                    <w:rPr>
                      <w:sz w:val="18"/>
                      <w:szCs w:val="18"/>
                    </w:rPr>
                  </w:pPr>
                  <w:r>
                    <w:rPr>
                      <w:rFonts w:hint="eastAsia"/>
                      <w:sz w:val="18"/>
                      <w:szCs w:val="18"/>
                    </w:rPr>
                    <w:t>产污设施名称</w:t>
                  </w:r>
                </w:p>
              </w:tc>
              <w:tc>
                <w:tcPr>
                  <w:tcW w:w="213" w:type="pct"/>
                  <w:vMerge w:val="restart"/>
                  <w:shd w:val="clear" w:color="auto" w:fill="auto"/>
                  <w:vAlign w:val="center"/>
                </w:tcPr>
                <w:p>
                  <w:pPr>
                    <w:pStyle w:val="54"/>
                    <w:rPr>
                      <w:sz w:val="18"/>
                      <w:szCs w:val="18"/>
                    </w:rPr>
                  </w:pPr>
                  <w:r>
                    <w:rPr>
                      <w:rFonts w:hint="eastAsia"/>
                      <w:sz w:val="18"/>
                      <w:szCs w:val="18"/>
                    </w:rPr>
                    <w:t>污染物种类</w:t>
                  </w:r>
                </w:p>
              </w:tc>
              <w:tc>
                <w:tcPr>
                  <w:tcW w:w="266" w:type="pct"/>
                  <w:vMerge w:val="restart"/>
                  <w:vAlign w:val="center"/>
                </w:tcPr>
                <w:p>
                  <w:pPr>
                    <w:pStyle w:val="54"/>
                    <w:rPr>
                      <w:sz w:val="18"/>
                      <w:szCs w:val="18"/>
                    </w:rPr>
                  </w:pPr>
                  <w:r>
                    <w:rPr>
                      <w:rFonts w:hint="eastAsia"/>
                      <w:sz w:val="18"/>
                      <w:szCs w:val="18"/>
                    </w:rPr>
                    <w:t>排放形式</w:t>
                  </w:r>
                </w:p>
              </w:tc>
              <w:tc>
                <w:tcPr>
                  <w:tcW w:w="1277" w:type="pct"/>
                  <w:gridSpan w:val="4"/>
                  <w:shd w:val="clear" w:color="auto" w:fill="auto"/>
                  <w:vAlign w:val="center"/>
                </w:tcPr>
                <w:p>
                  <w:pPr>
                    <w:pStyle w:val="54"/>
                    <w:rPr>
                      <w:sz w:val="18"/>
                      <w:szCs w:val="18"/>
                    </w:rPr>
                  </w:pPr>
                  <w:r>
                    <w:rPr>
                      <w:sz w:val="18"/>
                      <w:szCs w:val="18"/>
                    </w:rPr>
                    <w:t>污染物产生</w:t>
                  </w:r>
                </w:p>
              </w:tc>
              <w:tc>
                <w:tcPr>
                  <w:tcW w:w="1225" w:type="pct"/>
                  <w:gridSpan w:val="2"/>
                  <w:vAlign w:val="center"/>
                </w:tcPr>
                <w:p>
                  <w:pPr>
                    <w:pStyle w:val="54"/>
                    <w:rPr>
                      <w:sz w:val="18"/>
                      <w:szCs w:val="18"/>
                    </w:rPr>
                  </w:pPr>
                  <w:r>
                    <w:rPr>
                      <w:rFonts w:hint="eastAsia"/>
                      <w:sz w:val="18"/>
                      <w:szCs w:val="18"/>
                    </w:rPr>
                    <w:t>污染</w:t>
                  </w:r>
                  <w:r>
                    <w:rPr>
                      <w:sz w:val="18"/>
                      <w:szCs w:val="18"/>
                    </w:rPr>
                    <w:t>治理措施</w:t>
                  </w:r>
                </w:p>
              </w:tc>
              <w:tc>
                <w:tcPr>
                  <w:tcW w:w="959" w:type="pct"/>
                  <w:gridSpan w:val="3"/>
                  <w:shd w:val="clear" w:color="auto" w:fill="auto"/>
                  <w:vAlign w:val="center"/>
                </w:tcPr>
                <w:p>
                  <w:pPr>
                    <w:pStyle w:val="54"/>
                    <w:rPr>
                      <w:sz w:val="18"/>
                      <w:szCs w:val="18"/>
                    </w:rPr>
                  </w:pPr>
                  <w:r>
                    <w:rPr>
                      <w:sz w:val="18"/>
                      <w:szCs w:val="18"/>
                    </w:rPr>
                    <w:t>污染物排放</w:t>
                  </w:r>
                </w:p>
              </w:tc>
              <w:tc>
                <w:tcPr>
                  <w:tcW w:w="318" w:type="pct"/>
                  <w:vMerge w:val="restart"/>
                  <w:shd w:val="clear" w:color="auto" w:fill="auto"/>
                  <w:vAlign w:val="center"/>
                </w:tcPr>
                <w:p>
                  <w:pPr>
                    <w:pStyle w:val="54"/>
                    <w:rPr>
                      <w:sz w:val="18"/>
                      <w:szCs w:val="18"/>
                    </w:rPr>
                  </w:pPr>
                  <w:r>
                    <w:rPr>
                      <w:sz w:val="18"/>
                      <w:szCs w:val="18"/>
                    </w:rPr>
                    <w:t>核算排放时间（h）</w:t>
                  </w:r>
                </w:p>
              </w:tc>
              <w:tc>
                <w:tcPr>
                  <w:tcW w:w="526" w:type="pct"/>
                  <w:gridSpan w:val="2"/>
                  <w:shd w:val="clear" w:color="auto" w:fill="auto"/>
                  <w:vAlign w:val="center"/>
                </w:tcPr>
                <w:p>
                  <w:pPr>
                    <w:pStyle w:val="54"/>
                    <w:rPr>
                      <w:sz w:val="18"/>
                      <w:szCs w:val="18"/>
                    </w:rPr>
                  </w:pPr>
                  <w:r>
                    <w:rPr>
                      <w:rFonts w:hint="eastAsia"/>
                      <w:sz w:val="18"/>
                      <w:szCs w:val="18"/>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blHeader/>
              </w:trPr>
              <w:tc>
                <w:tcPr>
                  <w:tcW w:w="216" w:type="pct"/>
                  <w:vMerge w:val="continue"/>
                  <w:shd w:val="clear" w:color="auto" w:fill="auto"/>
                  <w:vAlign w:val="center"/>
                </w:tcPr>
                <w:p>
                  <w:pPr>
                    <w:pStyle w:val="54"/>
                    <w:rPr>
                      <w:sz w:val="18"/>
                      <w:szCs w:val="18"/>
                    </w:rPr>
                  </w:pPr>
                </w:p>
              </w:tc>
              <w:tc>
                <w:tcPr>
                  <w:tcW w:w="213" w:type="pct"/>
                  <w:vMerge w:val="continue"/>
                  <w:shd w:val="clear" w:color="auto" w:fill="auto"/>
                  <w:vAlign w:val="center"/>
                </w:tcPr>
                <w:p>
                  <w:pPr>
                    <w:pStyle w:val="54"/>
                    <w:rPr>
                      <w:sz w:val="18"/>
                      <w:szCs w:val="18"/>
                    </w:rPr>
                  </w:pPr>
                </w:p>
              </w:tc>
              <w:tc>
                <w:tcPr>
                  <w:tcW w:w="266" w:type="pct"/>
                  <w:vMerge w:val="continue"/>
                </w:tcPr>
                <w:p>
                  <w:pPr>
                    <w:pStyle w:val="54"/>
                    <w:rPr>
                      <w:sz w:val="18"/>
                      <w:szCs w:val="18"/>
                    </w:rPr>
                  </w:pPr>
                </w:p>
              </w:tc>
              <w:tc>
                <w:tcPr>
                  <w:tcW w:w="266" w:type="pct"/>
                  <w:shd w:val="clear" w:color="auto" w:fill="auto"/>
                  <w:vAlign w:val="center"/>
                </w:tcPr>
                <w:p>
                  <w:pPr>
                    <w:pStyle w:val="54"/>
                    <w:rPr>
                      <w:sz w:val="18"/>
                      <w:szCs w:val="18"/>
                    </w:rPr>
                  </w:pPr>
                  <w:r>
                    <w:rPr>
                      <w:sz w:val="18"/>
                      <w:szCs w:val="18"/>
                    </w:rPr>
                    <w:t>核算方法</w:t>
                  </w:r>
                </w:p>
              </w:tc>
              <w:tc>
                <w:tcPr>
                  <w:tcW w:w="267" w:type="pct"/>
                  <w:shd w:val="clear" w:color="auto" w:fill="auto"/>
                  <w:vAlign w:val="center"/>
                </w:tcPr>
                <w:p>
                  <w:pPr>
                    <w:pStyle w:val="54"/>
                    <w:rPr>
                      <w:sz w:val="18"/>
                      <w:szCs w:val="18"/>
                    </w:rPr>
                  </w:pPr>
                  <w:r>
                    <w:rPr>
                      <w:rFonts w:hint="eastAsia"/>
                      <w:sz w:val="18"/>
                      <w:szCs w:val="18"/>
                    </w:rPr>
                    <w:t>风</w:t>
                  </w:r>
                  <w:r>
                    <w:rPr>
                      <w:sz w:val="18"/>
                      <w:szCs w:val="18"/>
                    </w:rPr>
                    <w:t>量(m</w:t>
                  </w:r>
                  <w:r>
                    <w:rPr>
                      <w:sz w:val="18"/>
                      <w:szCs w:val="18"/>
                      <w:vertAlign w:val="superscript"/>
                    </w:rPr>
                    <w:t>3</w:t>
                  </w:r>
                  <w:r>
                    <w:rPr>
                      <w:sz w:val="18"/>
                      <w:szCs w:val="18"/>
                    </w:rPr>
                    <w:t>/h)</w:t>
                  </w:r>
                </w:p>
              </w:tc>
              <w:tc>
                <w:tcPr>
                  <w:tcW w:w="425" w:type="pct"/>
                  <w:shd w:val="clear" w:color="auto" w:fill="auto"/>
                  <w:vAlign w:val="center"/>
                </w:tcPr>
                <w:p>
                  <w:pPr>
                    <w:pStyle w:val="54"/>
                    <w:rPr>
                      <w:sz w:val="18"/>
                      <w:szCs w:val="18"/>
                    </w:rPr>
                  </w:pPr>
                  <w:r>
                    <w:rPr>
                      <w:sz w:val="18"/>
                      <w:szCs w:val="18"/>
                    </w:rPr>
                    <w:t>产生质量浓度（mg/m</w:t>
                  </w:r>
                  <w:r>
                    <w:rPr>
                      <w:sz w:val="18"/>
                      <w:szCs w:val="18"/>
                      <w:vertAlign w:val="superscript"/>
                    </w:rPr>
                    <w:t>3</w:t>
                  </w:r>
                  <w:r>
                    <w:rPr>
                      <w:sz w:val="18"/>
                      <w:szCs w:val="18"/>
                    </w:rPr>
                    <w:t>）</w:t>
                  </w:r>
                </w:p>
              </w:tc>
              <w:tc>
                <w:tcPr>
                  <w:tcW w:w="319" w:type="pct"/>
                  <w:shd w:val="clear" w:color="auto" w:fill="auto"/>
                  <w:vAlign w:val="center"/>
                </w:tcPr>
                <w:p>
                  <w:pPr>
                    <w:pStyle w:val="54"/>
                    <w:rPr>
                      <w:sz w:val="18"/>
                      <w:szCs w:val="18"/>
                    </w:rPr>
                  </w:pPr>
                  <w:r>
                    <w:rPr>
                      <w:sz w:val="18"/>
                      <w:szCs w:val="18"/>
                    </w:rPr>
                    <w:t>产生量（</w:t>
                  </w:r>
                  <w:r>
                    <w:rPr>
                      <w:rFonts w:hint="eastAsia"/>
                      <w:sz w:val="18"/>
                      <w:szCs w:val="18"/>
                    </w:rPr>
                    <w:t>t</w:t>
                  </w:r>
                  <w:r>
                    <w:rPr>
                      <w:sz w:val="18"/>
                      <w:szCs w:val="18"/>
                    </w:rPr>
                    <w:t>/</w:t>
                  </w:r>
                  <w:r>
                    <w:rPr>
                      <w:rFonts w:hint="eastAsia"/>
                      <w:sz w:val="18"/>
                      <w:szCs w:val="18"/>
                    </w:rPr>
                    <w:t>a</w:t>
                  </w:r>
                  <w:r>
                    <w:rPr>
                      <w:sz w:val="18"/>
                      <w:szCs w:val="18"/>
                    </w:rPr>
                    <w:t>）</w:t>
                  </w:r>
                </w:p>
              </w:tc>
              <w:tc>
                <w:tcPr>
                  <w:tcW w:w="906" w:type="pct"/>
                  <w:shd w:val="clear" w:color="auto" w:fill="auto"/>
                  <w:vAlign w:val="center"/>
                </w:tcPr>
                <w:p>
                  <w:pPr>
                    <w:pStyle w:val="54"/>
                    <w:rPr>
                      <w:sz w:val="18"/>
                      <w:szCs w:val="18"/>
                    </w:rPr>
                  </w:pPr>
                  <w:r>
                    <w:rPr>
                      <w:sz w:val="18"/>
                      <w:szCs w:val="18"/>
                    </w:rPr>
                    <w:t>名称、处理能力、收集效率、去除率</w:t>
                  </w:r>
                </w:p>
              </w:tc>
              <w:tc>
                <w:tcPr>
                  <w:tcW w:w="319" w:type="pct"/>
                  <w:vAlign w:val="center"/>
                </w:tcPr>
                <w:p>
                  <w:pPr>
                    <w:pStyle w:val="54"/>
                    <w:rPr>
                      <w:sz w:val="18"/>
                      <w:szCs w:val="18"/>
                    </w:rPr>
                  </w:pPr>
                  <w:r>
                    <w:rPr>
                      <w:rFonts w:hint="eastAsia"/>
                      <w:sz w:val="18"/>
                      <w:szCs w:val="18"/>
                    </w:rPr>
                    <w:t>是否为可行技术</w:t>
                  </w:r>
                </w:p>
              </w:tc>
              <w:tc>
                <w:tcPr>
                  <w:tcW w:w="372" w:type="pct"/>
                  <w:shd w:val="clear" w:color="auto" w:fill="auto"/>
                  <w:vAlign w:val="center"/>
                </w:tcPr>
                <w:p>
                  <w:pPr>
                    <w:pStyle w:val="54"/>
                    <w:rPr>
                      <w:sz w:val="18"/>
                      <w:szCs w:val="18"/>
                    </w:rPr>
                  </w:pPr>
                  <w:r>
                    <w:rPr>
                      <w:rFonts w:hint="eastAsia"/>
                      <w:sz w:val="18"/>
                      <w:szCs w:val="18"/>
                    </w:rPr>
                    <w:t>排放</w:t>
                  </w:r>
                  <w:r>
                    <w:rPr>
                      <w:sz w:val="18"/>
                      <w:szCs w:val="18"/>
                    </w:rPr>
                    <w:t>浓度（mg/m</w:t>
                  </w:r>
                  <w:r>
                    <w:rPr>
                      <w:sz w:val="18"/>
                      <w:szCs w:val="18"/>
                      <w:vertAlign w:val="superscript"/>
                    </w:rPr>
                    <w:t>3</w:t>
                  </w:r>
                  <w:r>
                    <w:rPr>
                      <w:sz w:val="18"/>
                      <w:szCs w:val="18"/>
                    </w:rPr>
                    <w:t>）</w:t>
                  </w:r>
                </w:p>
              </w:tc>
              <w:tc>
                <w:tcPr>
                  <w:tcW w:w="320" w:type="pct"/>
                  <w:shd w:val="clear" w:color="auto" w:fill="auto"/>
                  <w:vAlign w:val="center"/>
                </w:tcPr>
                <w:p>
                  <w:pPr>
                    <w:pStyle w:val="54"/>
                    <w:rPr>
                      <w:sz w:val="18"/>
                      <w:szCs w:val="18"/>
                    </w:rPr>
                  </w:pPr>
                  <w:r>
                    <w:rPr>
                      <w:rFonts w:hint="eastAsia"/>
                      <w:sz w:val="18"/>
                      <w:szCs w:val="18"/>
                    </w:rPr>
                    <w:t>排放</w:t>
                  </w:r>
                  <w:r>
                    <w:rPr>
                      <w:sz w:val="18"/>
                      <w:szCs w:val="18"/>
                    </w:rPr>
                    <w:t>量（kg/h）</w:t>
                  </w:r>
                </w:p>
              </w:tc>
              <w:tc>
                <w:tcPr>
                  <w:tcW w:w="267" w:type="pct"/>
                  <w:vAlign w:val="center"/>
                </w:tcPr>
                <w:p>
                  <w:pPr>
                    <w:pStyle w:val="54"/>
                    <w:rPr>
                      <w:sz w:val="18"/>
                      <w:szCs w:val="18"/>
                    </w:rPr>
                  </w:pPr>
                  <w:r>
                    <w:rPr>
                      <w:rFonts w:hint="eastAsia"/>
                      <w:sz w:val="18"/>
                      <w:szCs w:val="18"/>
                    </w:rPr>
                    <w:t>排放</w:t>
                  </w:r>
                  <w:r>
                    <w:rPr>
                      <w:sz w:val="18"/>
                      <w:szCs w:val="18"/>
                    </w:rPr>
                    <w:t>量（t/a）</w:t>
                  </w:r>
                </w:p>
              </w:tc>
              <w:tc>
                <w:tcPr>
                  <w:tcW w:w="318" w:type="pct"/>
                  <w:vMerge w:val="continue"/>
                  <w:shd w:val="clear" w:color="auto" w:fill="auto"/>
                  <w:vAlign w:val="center"/>
                </w:tcPr>
                <w:p>
                  <w:pPr>
                    <w:pStyle w:val="54"/>
                    <w:rPr>
                      <w:sz w:val="18"/>
                      <w:szCs w:val="18"/>
                    </w:rPr>
                  </w:pPr>
                </w:p>
              </w:tc>
              <w:tc>
                <w:tcPr>
                  <w:tcW w:w="268" w:type="pct"/>
                  <w:shd w:val="clear" w:color="auto" w:fill="auto"/>
                  <w:vAlign w:val="center"/>
                </w:tcPr>
                <w:p>
                  <w:pPr>
                    <w:pStyle w:val="54"/>
                    <w:rPr>
                      <w:sz w:val="18"/>
                      <w:szCs w:val="18"/>
                    </w:rPr>
                  </w:pPr>
                  <w:r>
                    <w:rPr>
                      <w:sz w:val="18"/>
                      <w:szCs w:val="18"/>
                    </w:rPr>
                    <w:t>mg/m</w:t>
                  </w:r>
                  <w:r>
                    <w:rPr>
                      <w:sz w:val="18"/>
                      <w:szCs w:val="18"/>
                      <w:vertAlign w:val="superscript"/>
                    </w:rPr>
                    <w:t>3</w:t>
                  </w:r>
                </w:p>
              </w:tc>
              <w:tc>
                <w:tcPr>
                  <w:tcW w:w="258" w:type="pct"/>
                  <w:vAlign w:val="center"/>
                </w:tcPr>
                <w:p>
                  <w:pPr>
                    <w:pStyle w:val="54"/>
                    <w:rPr>
                      <w:sz w:val="18"/>
                      <w:szCs w:val="18"/>
                    </w:rPr>
                  </w:pPr>
                  <w:r>
                    <w:rPr>
                      <w:sz w:val="18"/>
                      <w:szCs w:val="18"/>
                    </w:rPr>
                    <w:t>达标</w:t>
                  </w:r>
                </w:p>
                <w:p>
                  <w:pPr>
                    <w:pStyle w:val="54"/>
                    <w:rPr>
                      <w:sz w:val="18"/>
                      <w:szCs w:val="18"/>
                    </w:rPr>
                  </w:pPr>
                  <w:r>
                    <w:rPr>
                      <w:sz w:val="18"/>
                      <w:szCs w:val="18"/>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6" w:type="pct"/>
                  <w:vMerge w:val="restart"/>
                  <w:shd w:val="clear" w:color="auto" w:fill="auto"/>
                  <w:vAlign w:val="center"/>
                </w:tcPr>
                <w:p>
                  <w:pPr>
                    <w:pStyle w:val="58"/>
                    <w:rPr>
                      <w:sz w:val="18"/>
                      <w:szCs w:val="18"/>
                    </w:rPr>
                  </w:pPr>
                  <w:r>
                    <w:rPr>
                      <w:rFonts w:hint="eastAsia"/>
                      <w:sz w:val="18"/>
                      <w:szCs w:val="18"/>
                    </w:rPr>
                    <w:t>2#车间</w:t>
                  </w:r>
                </w:p>
              </w:tc>
              <w:tc>
                <w:tcPr>
                  <w:tcW w:w="213" w:type="pct"/>
                  <w:shd w:val="clear" w:color="auto" w:fill="auto"/>
                  <w:vAlign w:val="center"/>
                </w:tcPr>
                <w:p>
                  <w:pPr>
                    <w:pStyle w:val="58"/>
                    <w:rPr>
                      <w:sz w:val="18"/>
                      <w:szCs w:val="18"/>
                    </w:rPr>
                  </w:pPr>
                  <w:r>
                    <w:rPr>
                      <w:rFonts w:hint="eastAsia"/>
                      <w:sz w:val="18"/>
                      <w:szCs w:val="18"/>
                    </w:rPr>
                    <w:t>颗粒物</w:t>
                  </w:r>
                </w:p>
              </w:tc>
              <w:tc>
                <w:tcPr>
                  <w:tcW w:w="266" w:type="pct"/>
                  <w:tcBorders>
                    <w:bottom w:val="single" w:color="auto" w:sz="4" w:space="0"/>
                  </w:tcBorders>
                  <w:vAlign w:val="center"/>
                </w:tcPr>
                <w:p>
                  <w:pPr>
                    <w:pStyle w:val="58"/>
                    <w:rPr>
                      <w:sz w:val="18"/>
                      <w:szCs w:val="18"/>
                    </w:rPr>
                  </w:pPr>
                  <w:r>
                    <w:rPr>
                      <w:rFonts w:hint="eastAsia"/>
                      <w:sz w:val="18"/>
                      <w:szCs w:val="18"/>
                    </w:rPr>
                    <w:t>有组织</w:t>
                  </w:r>
                </w:p>
              </w:tc>
              <w:tc>
                <w:tcPr>
                  <w:tcW w:w="266" w:type="pct"/>
                  <w:shd w:val="clear" w:color="auto" w:fill="auto"/>
                  <w:vAlign w:val="center"/>
                </w:tcPr>
                <w:p>
                  <w:pPr>
                    <w:pStyle w:val="58"/>
                    <w:rPr>
                      <w:sz w:val="18"/>
                      <w:szCs w:val="18"/>
                    </w:rPr>
                  </w:pPr>
                  <w:r>
                    <w:rPr>
                      <w:rFonts w:hint="eastAsia"/>
                      <w:sz w:val="18"/>
                      <w:szCs w:val="18"/>
                    </w:rPr>
                    <w:t>类比法</w:t>
                  </w:r>
                </w:p>
              </w:tc>
              <w:tc>
                <w:tcPr>
                  <w:tcW w:w="267" w:type="pct"/>
                  <w:tcBorders>
                    <w:bottom w:val="single" w:color="auto" w:sz="4" w:space="0"/>
                  </w:tcBorders>
                  <w:shd w:val="clear" w:color="auto" w:fill="auto"/>
                  <w:vAlign w:val="center"/>
                </w:tcPr>
                <w:p>
                  <w:pPr>
                    <w:pStyle w:val="58"/>
                    <w:rPr>
                      <w:sz w:val="18"/>
                      <w:szCs w:val="18"/>
                      <w:u w:val="single"/>
                    </w:rPr>
                  </w:pPr>
                  <w:r>
                    <w:rPr>
                      <w:rFonts w:hint="eastAsia"/>
                      <w:sz w:val="18"/>
                      <w:szCs w:val="18"/>
                      <w:u w:val="single"/>
                    </w:rPr>
                    <w:t>2800</w:t>
                  </w:r>
                </w:p>
              </w:tc>
              <w:tc>
                <w:tcPr>
                  <w:tcW w:w="425" w:type="pct"/>
                  <w:tcBorders>
                    <w:bottom w:val="single" w:color="auto" w:sz="4" w:space="0"/>
                  </w:tcBorders>
                  <w:shd w:val="clear" w:color="auto" w:fill="auto"/>
                  <w:vAlign w:val="center"/>
                </w:tcPr>
                <w:p>
                  <w:pPr>
                    <w:pStyle w:val="58"/>
                    <w:rPr>
                      <w:sz w:val="18"/>
                      <w:szCs w:val="18"/>
                      <w:u w:val="single"/>
                    </w:rPr>
                  </w:pPr>
                  <w:r>
                    <w:rPr>
                      <w:rFonts w:hint="eastAsia"/>
                      <w:sz w:val="18"/>
                      <w:szCs w:val="18"/>
                      <w:u w:val="single"/>
                    </w:rPr>
                    <w:t>333</w:t>
                  </w:r>
                </w:p>
              </w:tc>
              <w:tc>
                <w:tcPr>
                  <w:tcW w:w="319" w:type="pct"/>
                  <w:tcBorders>
                    <w:bottom w:val="single" w:color="auto" w:sz="4" w:space="0"/>
                  </w:tcBorders>
                  <w:shd w:val="clear" w:color="auto" w:fill="auto"/>
                  <w:vAlign w:val="center"/>
                </w:tcPr>
                <w:p>
                  <w:pPr>
                    <w:pStyle w:val="58"/>
                    <w:rPr>
                      <w:sz w:val="18"/>
                      <w:szCs w:val="18"/>
                      <w:u w:val="single"/>
                    </w:rPr>
                  </w:pPr>
                  <w:r>
                    <w:rPr>
                      <w:rFonts w:hint="eastAsia"/>
                      <w:sz w:val="18"/>
                      <w:szCs w:val="18"/>
                      <w:u w:val="single"/>
                    </w:rPr>
                    <w:t>1.4166</w:t>
                  </w:r>
                </w:p>
              </w:tc>
              <w:tc>
                <w:tcPr>
                  <w:tcW w:w="906" w:type="pct"/>
                  <w:tcBorders>
                    <w:bottom w:val="single" w:color="auto" w:sz="4" w:space="0"/>
                  </w:tcBorders>
                  <w:shd w:val="clear" w:color="auto" w:fill="auto"/>
                  <w:vAlign w:val="center"/>
                </w:tcPr>
                <w:p>
                  <w:pPr>
                    <w:pStyle w:val="58"/>
                    <w:rPr>
                      <w:sz w:val="18"/>
                      <w:szCs w:val="18"/>
                      <w:u w:val="single"/>
                    </w:rPr>
                  </w:pPr>
                  <w:r>
                    <w:rPr>
                      <w:rFonts w:hint="eastAsia"/>
                      <w:sz w:val="18"/>
                      <w:szCs w:val="18"/>
                      <w:u w:val="single"/>
                    </w:rPr>
                    <w:t>密闭集气罩+袋式除尘器</w:t>
                  </w:r>
                  <w:r>
                    <w:rPr>
                      <w:sz w:val="18"/>
                      <w:szCs w:val="18"/>
                      <w:u w:val="single"/>
                    </w:rPr>
                    <w:t>（处理效率</w:t>
                  </w:r>
                  <w:r>
                    <w:rPr>
                      <w:rFonts w:hint="eastAsia"/>
                      <w:sz w:val="18"/>
                      <w:szCs w:val="18"/>
                      <w:u w:val="single"/>
                    </w:rPr>
                    <w:t>98</w:t>
                  </w:r>
                  <w:r>
                    <w:rPr>
                      <w:sz w:val="18"/>
                      <w:szCs w:val="18"/>
                      <w:u w:val="single"/>
                    </w:rPr>
                    <w:t>%）</w:t>
                  </w:r>
                </w:p>
              </w:tc>
              <w:tc>
                <w:tcPr>
                  <w:tcW w:w="319" w:type="pct"/>
                  <w:tcBorders>
                    <w:bottom w:val="single" w:color="auto" w:sz="4" w:space="0"/>
                  </w:tcBorders>
                  <w:vAlign w:val="center"/>
                </w:tcPr>
                <w:p>
                  <w:pPr>
                    <w:pStyle w:val="58"/>
                    <w:rPr>
                      <w:sz w:val="18"/>
                      <w:szCs w:val="18"/>
                      <w:u w:val="single"/>
                    </w:rPr>
                  </w:pPr>
                  <w:r>
                    <w:rPr>
                      <w:rFonts w:hint="eastAsia"/>
                      <w:sz w:val="18"/>
                      <w:szCs w:val="18"/>
                      <w:u w:val="single"/>
                    </w:rPr>
                    <w:t>是</w:t>
                  </w:r>
                </w:p>
              </w:tc>
              <w:tc>
                <w:tcPr>
                  <w:tcW w:w="372" w:type="pct"/>
                  <w:tcBorders>
                    <w:bottom w:val="single" w:color="auto" w:sz="4" w:space="0"/>
                  </w:tcBorders>
                  <w:shd w:val="clear" w:color="auto" w:fill="auto"/>
                  <w:vAlign w:val="center"/>
                </w:tcPr>
                <w:p>
                  <w:pPr>
                    <w:pStyle w:val="58"/>
                    <w:rPr>
                      <w:sz w:val="18"/>
                      <w:szCs w:val="18"/>
                      <w:u w:val="single"/>
                    </w:rPr>
                  </w:pPr>
                  <w:r>
                    <w:rPr>
                      <w:rFonts w:hint="eastAsia"/>
                      <w:sz w:val="18"/>
                      <w:szCs w:val="18"/>
                      <w:u w:val="single"/>
                    </w:rPr>
                    <w:t>6.7</w:t>
                  </w:r>
                </w:p>
              </w:tc>
              <w:tc>
                <w:tcPr>
                  <w:tcW w:w="320" w:type="pct"/>
                  <w:tcBorders>
                    <w:bottom w:val="single" w:color="auto" w:sz="4" w:space="0"/>
                  </w:tcBorders>
                  <w:shd w:val="clear" w:color="auto" w:fill="auto"/>
                  <w:vAlign w:val="center"/>
                </w:tcPr>
                <w:p>
                  <w:pPr>
                    <w:pStyle w:val="58"/>
                    <w:rPr>
                      <w:sz w:val="18"/>
                      <w:szCs w:val="18"/>
                      <w:u w:val="single"/>
                    </w:rPr>
                  </w:pPr>
                  <w:r>
                    <w:rPr>
                      <w:rFonts w:hint="eastAsia"/>
                      <w:sz w:val="18"/>
                      <w:szCs w:val="18"/>
                      <w:u w:val="single"/>
                    </w:rPr>
                    <w:t>0.0186</w:t>
                  </w:r>
                </w:p>
              </w:tc>
              <w:tc>
                <w:tcPr>
                  <w:tcW w:w="267" w:type="pct"/>
                  <w:tcBorders>
                    <w:bottom w:val="single" w:color="auto" w:sz="4" w:space="0"/>
                  </w:tcBorders>
                  <w:vAlign w:val="center"/>
                </w:tcPr>
                <w:p>
                  <w:pPr>
                    <w:pStyle w:val="58"/>
                    <w:rPr>
                      <w:sz w:val="18"/>
                      <w:szCs w:val="18"/>
                      <w:u w:val="single"/>
                    </w:rPr>
                  </w:pPr>
                  <w:r>
                    <w:rPr>
                      <w:rFonts w:hint="eastAsia"/>
                      <w:sz w:val="18"/>
                      <w:szCs w:val="18"/>
                      <w:u w:val="single"/>
                    </w:rPr>
                    <w:t>0.0283</w:t>
                  </w:r>
                </w:p>
              </w:tc>
              <w:tc>
                <w:tcPr>
                  <w:tcW w:w="318" w:type="pct"/>
                  <w:shd w:val="clear" w:color="auto" w:fill="auto"/>
                  <w:vAlign w:val="center"/>
                </w:tcPr>
                <w:p>
                  <w:pPr>
                    <w:pStyle w:val="58"/>
                    <w:rPr>
                      <w:sz w:val="18"/>
                      <w:szCs w:val="18"/>
                      <w:u w:val="single"/>
                    </w:rPr>
                  </w:pPr>
                  <w:r>
                    <w:rPr>
                      <w:rFonts w:hint="eastAsia"/>
                      <w:sz w:val="18"/>
                      <w:szCs w:val="18"/>
                      <w:u w:val="single"/>
                    </w:rPr>
                    <w:t>1520</w:t>
                  </w:r>
                </w:p>
              </w:tc>
              <w:tc>
                <w:tcPr>
                  <w:tcW w:w="268" w:type="pct"/>
                  <w:tcBorders>
                    <w:bottom w:val="single" w:color="auto" w:sz="4" w:space="0"/>
                  </w:tcBorders>
                  <w:shd w:val="clear" w:color="auto" w:fill="auto"/>
                  <w:vAlign w:val="center"/>
                </w:tcPr>
                <w:p>
                  <w:pPr>
                    <w:pStyle w:val="58"/>
                    <w:rPr>
                      <w:sz w:val="18"/>
                      <w:szCs w:val="18"/>
                    </w:rPr>
                  </w:pPr>
                  <w:r>
                    <w:rPr>
                      <w:rFonts w:hint="eastAsia"/>
                      <w:sz w:val="18"/>
                      <w:szCs w:val="18"/>
                    </w:rPr>
                    <w:t>20</w:t>
                  </w:r>
                </w:p>
              </w:tc>
              <w:tc>
                <w:tcPr>
                  <w:tcW w:w="258" w:type="pct"/>
                  <w:tcBorders>
                    <w:bottom w:val="single" w:color="auto" w:sz="4" w:space="0"/>
                  </w:tcBorders>
                  <w:vAlign w:val="center"/>
                </w:tcPr>
                <w:p>
                  <w:pPr>
                    <w:pStyle w:val="58"/>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216" w:type="pct"/>
                  <w:vMerge w:val="continue"/>
                  <w:shd w:val="clear" w:color="auto" w:fill="auto"/>
                  <w:vAlign w:val="center"/>
                </w:tcPr>
                <w:p>
                  <w:pPr>
                    <w:pStyle w:val="58"/>
                    <w:rPr>
                      <w:sz w:val="18"/>
                      <w:szCs w:val="18"/>
                    </w:rPr>
                  </w:pPr>
                </w:p>
              </w:tc>
              <w:tc>
                <w:tcPr>
                  <w:tcW w:w="213" w:type="pct"/>
                  <w:vMerge w:val="restart"/>
                  <w:shd w:val="clear" w:color="auto" w:fill="auto"/>
                  <w:vAlign w:val="center"/>
                </w:tcPr>
                <w:p>
                  <w:pPr>
                    <w:pStyle w:val="58"/>
                    <w:rPr>
                      <w:sz w:val="18"/>
                      <w:szCs w:val="18"/>
                    </w:rPr>
                  </w:pPr>
                  <w:r>
                    <w:rPr>
                      <w:rFonts w:hint="eastAsia"/>
                      <w:sz w:val="18"/>
                      <w:szCs w:val="18"/>
                    </w:rPr>
                    <w:t>非甲烷总烃</w:t>
                  </w:r>
                </w:p>
              </w:tc>
              <w:tc>
                <w:tcPr>
                  <w:tcW w:w="266" w:type="pct"/>
                  <w:tcBorders>
                    <w:bottom w:val="single" w:color="auto" w:sz="4" w:space="0"/>
                  </w:tcBorders>
                  <w:vAlign w:val="center"/>
                </w:tcPr>
                <w:p>
                  <w:pPr>
                    <w:pStyle w:val="58"/>
                    <w:rPr>
                      <w:sz w:val="18"/>
                      <w:szCs w:val="18"/>
                    </w:rPr>
                  </w:pPr>
                  <w:r>
                    <w:rPr>
                      <w:rFonts w:hint="eastAsia"/>
                      <w:sz w:val="18"/>
                      <w:szCs w:val="18"/>
                    </w:rPr>
                    <w:t>有组织</w:t>
                  </w:r>
                </w:p>
              </w:tc>
              <w:tc>
                <w:tcPr>
                  <w:tcW w:w="266" w:type="pct"/>
                  <w:vMerge w:val="restart"/>
                  <w:shd w:val="clear" w:color="auto" w:fill="auto"/>
                  <w:vAlign w:val="center"/>
                </w:tcPr>
                <w:p>
                  <w:pPr>
                    <w:pStyle w:val="58"/>
                    <w:rPr>
                      <w:sz w:val="18"/>
                      <w:szCs w:val="18"/>
                    </w:rPr>
                  </w:pPr>
                  <w:r>
                    <w:rPr>
                      <w:rFonts w:hint="eastAsia"/>
                      <w:sz w:val="18"/>
                      <w:szCs w:val="18"/>
                    </w:rPr>
                    <w:t>类比法</w:t>
                  </w:r>
                </w:p>
              </w:tc>
              <w:tc>
                <w:tcPr>
                  <w:tcW w:w="267" w:type="pct"/>
                  <w:tcBorders>
                    <w:bottom w:val="single" w:color="auto" w:sz="4" w:space="0"/>
                  </w:tcBorders>
                  <w:shd w:val="clear" w:color="auto" w:fill="auto"/>
                  <w:vAlign w:val="center"/>
                </w:tcPr>
                <w:p>
                  <w:pPr>
                    <w:pStyle w:val="58"/>
                    <w:rPr>
                      <w:sz w:val="18"/>
                      <w:szCs w:val="18"/>
                      <w:u w:val="single"/>
                    </w:rPr>
                  </w:pPr>
                  <w:r>
                    <w:rPr>
                      <w:rFonts w:hint="eastAsia"/>
                      <w:sz w:val="18"/>
                      <w:szCs w:val="18"/>
                      <w:u w:val="single"/>
                    </w:rPr>
                    <w:t>6800</w:t>
                  </w:r>
                </w:p>
              </w:tc>
              <w:tc>
                <w:tcPr>
                  <w:tcW w:w="425" w:type="pct"/>
                  <w:tcBorders>
                    <w:bottom w:val="single" w:color="auto" w:sz="4" w:space="0"/>
                  </w:tcBorders>
                  <w:shd w:val="clear" w:color="auto" w:fill="auto"/>
                  <w:vAlign w:val="center"/>
                </w:tcPr>
                <w:p>
                  <w:pPr>
                    <w:pStyle w:val="58"/>
                    <w:rPr>
                      <w:sz w:val="18"/>
                      <w:szCs w:val="18"/>
                      <w:u w:val="single"/>
                    </w:rPr>
                  </w:pPr>
                  <w:r>
                    <w:rPr>
                      <w:rFonts w:hint="eastAsia"/>
                      <w:sz w:val="18"/>
                      <w:szCs w:val="18"/>
                      <w:u w:val="single"/>
                    </w:rPr>
                    <w:t>31.7</w:t>
                  </w:r>
                </w:p>
              </w:tc>
              <w:tc>
                <w:tcPr>
                  <w:tcW w:w="319" w:type="pct"/>
                  <w:tcBorders>
                    <w:bottom w:val="single" w:color="auto" w:sz="4" w:space="0"/>
                  </w:tcBorders>
                  <w:shd w:val="clear" w:color="auto" w:fill="auto"/>
                  <w:vAlign w:val="center"/>
                </w:tcPr>
                <w:p>
                  <w:pPr>
                    <w:pStyle w:val="58"/>
                    <w:rPr>
                      <w:sz w:val="18"/>
                      <w:szCs w:val="18"/>
                    </w:rPr>
                  </w:pPr>
                  <w:r>
                    <w:rPr>
                      <w:rFonts w:hint="eastAsia"/>
                      <w:sz w:val="18"/>
                      <w:szCs w:val="18"/>
                    </w:rPr>
                    <w:t>0.6548</w:t>
                  </w:r>
                </w:p>
              </w:tc>
              <w:tc>
                <w:tcPr>
                  <w:tcW w:w="906" w:type="pct"/>
                  <w:tcBorders>
                    <w:bottom w:val="single" w:color="auto" w:sz="4" w:space="0"/>
                  </w:tcBorders>
                  <w:shd w:val="clear" w:color="auto" w:fill="auto"/>
                  <w:vAlign w:val="center"/>
                </w:tcPr>
                <w:p>
                  <w:pPr>
                    <w:pStyle w:val="58"/>
                    <w:rPr>
                      <w:sz w:val="18"/>
                      <w:szCs w:val="18"/>
                    </w:rPr>
                  </w:pPr>
                  <w:r>
                    <w:rPr>
                      <w:rFonts w:hint="eastAsia"/>
                      <w:sz w:val="18"/>
                      <w:szCs w:val="18"/>
                    </w:rPr>
                    <w:t>集气罩+光氧催化+活性炭吸附装置</w:t>
                  </w:r>
                  <w:r>
                    <w:rPr>
                      <w:sz w:val="18"/>
                      <w:szCs w:val="18"/>
                    </w:rPr>
                    <w:t>（收集效率</w:t>
                  </w:r>
                  <w:r>
                    <w:rPr>
                      <w:rFonts w:hint="eastAsia"/>
                      <w:sz w:val="18"/>
                      <w:szCs w:val="18"/>
                    </w:rPr>
                    <w:t>90</w:t>
                  </w:r>
                  <w:r>
                    <w:rPr>
                      <w:sz w:val="18"/>
                      <w:szCs w:val="18"/>
                    </w:rPr>
                    <w:t>%，处理效率</w:t>
                  </w:r>
                  <w:r>
                    <w:rPr>
                      <w:rFonts w:hint="eastAsia"/>
                      <w:sz w:val="18"/>
                      <w:szCs w:val="18"/>
                    </w:rPr>
                    <w:t>80</w:t>
                  </w:r>
                  <w:r>
                    <w:rPr>
                      <w:sz w:val="18"/>
                      <w:szCs w:val="18"/>
                    </w:rPr>
                    <w:t>%）</w:t>
                  </w:r>
                </w:p>
              </w:tc>
              <w:tc>
                <w:tcPr>
                  <w:tcW w:w="319" w:type="pct"/>
                  <w:tcBorders>
                    <w:bottom w:val="single" w:color="auto" w:sz="4" w:space="0"/>
                  </w:tcBorders>
                  <w:vAlign w:val="center"/>
                </w:tcPr>
                <w:p>
                  <w:pPr>
                    <w:pStyle w:val="58"/>
                    <w:rPr>
                      <w:sz w:val="18"/>
                      <w:szCs w:val="18"/>
                    </w:rPr>
                  </w:pPr>
                  <w:r>
                    <w:rPr>
                      <w:rFonts w:hint="eastAsia"/>
                      <w:sz w:val="18"/>
                      <w:szCs w:val="18"/>
                    </w:rPr>
                    <w:t>是</w:t>
                  </w:r>
                </w:p>
              </w:tc>
              <w:tc>
                <w:tcPr>
                  <w:tcW w:w="372" w:type="pct"/>
                  <w:tcBorders>
                    <w:bottom w:val="single" w:color="auto" w:sz="4" w:space="0"/>
                  </w:tcBorders>
                  <w:shd w:val="clear" w:color="auto" w:fill="auto"/>
                  <w:vAlign w:val="center"/>
                </w:tcPr>
                <w:p>
                  <w:pPr>
                    <w:pStyle w:val="58"/>
                    <w:rPr>
                      <w:sz w:val="18"/>
                      <w:szCs w:val="18"/>
                      <w:u w:val="single"/>
                    </w:rPr>
                  </w:pPr>
                  <w:r>
                    <w:rPr>
                      <w:rFonts w:hint="eastAsia"/>
                      <w:sz w:val="18"/>
                      <w:szCs w:val="18"/>
                      <w:u w:val="single"/>
                    </w:rPr>
                    <w:t>6.3</w:t>
                  </w:r>
                </w:p>
              </w:tc>
              <w:tc>
                <w:tcPr>
                  <w:tcW w:w="320" w:type="pct"/>
                  <w:tcBorders>
                    <w:bottom w:val="single" w:color="auto" w:sz="4" w:space="0"/>
                  </w:tcBorders>
                  <w:shd w:val="clear" w:color="auto" w:fill="auto"/>
                  <w:vAlign w:val="center"/>
                </w:tcPr>
                <w:p>
                  <w:pPr>
                    <w:pStyle w:val="58"/>
                    <w:rPr>
                      <w:sz w:val="18"/>
                      <w:szCs w:val="18"/>
                    </w:rPr>
                  </w:pPr>
                  <w:r>
                    <w:rPr>
                      <w:rFonts w:hint="eastAsia"/>
                      <w:sz w:val="18"/>
                      <w:szCs w:val="18"/>
                    </w:rPr>
                    <w:t>0.0431</w:t>
                  </w:r>
                </w:p>
              </w:tc>
              <w:tc>
                <w:tcPr>
                  <w:tcW w:w="267" w:type="pct"/>
                  <w:tcBorders>
                    <w:bottom w:val="single" w:color="auto" w:sz="4" w:space="0"/>
                  </w:tcBorders>
                  <w:vAlign w:val="center"/>
                </w:tcPr>
                <w:p>
                  <w:pPr>
                    <w:pStyle w:val="58"/>
                    <w:rPr>
                      <w:sz w:val="18"/>
                      <w:szCs w:val="18"/>
                    </w:rPr>
                  </w:pPr>
                  <w:r>
                    <w:rPr>
                      <w:rFonts w:hint="eastAsia"/>
                      <w:sz w:val="18"/>
                      <w:szCs w:val="18"/>
                    </w:rPr>
                    <w:t>0.1310</w:t>
                  </w:r>
                </w:p>
              </w:tc>
              <w:tc>
                <w:tcPr>
                  <w:tcW w:w="318" w:type="pct"/>
                  <w:vMerge w:val="restart"/>
                  <w:shd w:val="clear" w:color="auto" w:fill="auto"/>
                  <w:vAlign w:val="center"/>
                </w:tcPr>
                <w:p>
                  <w:pPr>
                    <w:pStyle w:val="58"/>
                    <w:rPr>
                      <w:sz w:val="18"/>
                      <w:szCs w:val="18"/>
                    </w:rPr>
                  </w:pPr>
                  <w:r>
                    <w:rPr>
                      <w:rFonts w:hint="eastAsia"/>
                      <w:sz w:val="18"/>
                      <w:szCs w:val="18"/>
                    </w:rPr>
                    <w:t>3040</w:t>
                  </w:r>
                </w:p>
              </w:tc>
              <w:tc>
                <w:tcPr>
                  <w:tcW w:w="268" w:type="pct"/>
                  <w:tcBorders>
                    <w:bottom w:val="single" w:color="auto" w:sz="4" w:space="0"/>
                  </w:tcBorders>
                  <w:shd w:val="clear" w:color="auto" w:fill="auto"/>
                  <w:vAlign w:val="center"/>
                </w:tcPr>
                <w:p>
                  <w:pPr>
                    <w:pStyle w:val="58"/>
                    <w:rPr>
                      <w:sz w:val="18"/>
                      <w:szCs w:val="18"/>
                    </w:rPr>
                  </w:pPr>
                  <w:r>
                    <w:rPr>
                      <w:rFonts w:hint="eastAsia"/>
                      <w:sz w:val="18"/>
                      <w:szCs w:val="18"/>
                    </w:rPr>
                    <w:t>60</w:t>
                  </w:r>
                </w:p>
              </w:tc>
              <w:tc>
                <w:tcPr>
                  <w:tcW w:w="258" w:type="pct"/>
                  <w:tcBorders>
                    <w:bottom w:val="single" w:color="auto" w:sz="4" w:space="0"/>
                  </w:tcBorders>
                  <w:vAlign w:val="center"/>
                </w:tcPr>
                <w:p>
                  <w:pPr>
                    <w:pStyle w:val="58"/>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6" w:type="pct"/>
                  <w:vMerge w:val="continue"/>
                  <w:tcBorders>
                    <w:bottom w:val="single" w:color="auto" w:sz="4" w:space="0"/>
                  </w:tcBorders>
                  <w:shd w:val="clear" w:color="auto" w:fill="auto"/>
                  <w:vAlign w:val="center"/>
                </w:tcPr>
                <w:p>
                  <w:pPr>
                    <w:pStyle w:val="58"/>
                    <w:rPr>
                      <w:sz w:val="18"/>
                      <w:szCs w:val="18"/>
                    </w:rPr>
                  </w:pPr>
                </w:p>
              </w:tc>
              <w:tc>
                <w:tcPr>
                  <w:tcW w:w="213" w:type="pct"/>
                  <w:vMerge w:val="continue"/>
                  <w:tcBorders>
                    <w:bottom w:val="single" w:color="auto" w:sz="4" w:space="0"/>
                  </w:tcBorders>
                  <w:shd w:val="clear" w:color="auto" w:fill="auto"/>
                  <w:vAlign w:val="center"/>
                </w:tcPr>
                <w:p>
                  <w:pPr>
                    <w:pStyle w:val="58"/>
                    <w:rPr>
                      <w:sz w:val="18"/>
                      <w:szCs w:val="18"/>
                    </w:rPr>
                  </w:pPr>
                </w:p>
              </w:tc>
              <w:tc>
                <w:tcPr>
                  <w:tcW w:w="266" w:type="pct"/>
                  <w:tcBorders>
                    <w:bottom w:val="single" w:color="auto" w:sz="4" w:space="0"/>
                  </w:tcBorders>
                  <w:vAlign w:val="center"/>
                </w:tcPr>
                <w:p>
                  <w:pPr>
                    <w:pStyle w:val="58"/>
                    <w:rPr>
                      <w:sz w:val="18"/>
                      <w:szCs w:val="18"/>
                    </w:rPr>
                  </w:pPr>
                  <w:r>
                    <w:rPr>
                      <w:rFonts w:hint="eastAsia"/>
                      <w:sz w:val="18"/>
                      <w:szCs w:val="18"/>
                    </w:rPr>
                    <w:t>无组织</w:t>
                  </w:r>
                </w:p>
              </w:tc>
              <w:tc>
                <w:tcPr>
                  <w:tcW w:w="266" w:type="pct"/>
                  <w:vMerge w:val="continue"/>
                  <w:tcBorders>
                    <w:bottom w:val="single" w:color="auto" w:sz="4" w:space="0"/>
                  </w:tcBorders>
                  <w:shd w:val="clear" w:color="auto" w:fill="auto"/>
                  <w:vAlign w:val="center"/>
                </w:tcPr>
                <w:p>
                  <w:pPr>
                    <w:pStyle w:val="58"/>
                    <w:rPr>
                      <w:sz w:val="18"/>
                      <w:szCs w:val="18"/>
                    </w:rPr>
                  </w:pPr>
                </w:p>
              </w:tc>
              <w:tc>
                <w:tcPr>
                  <w:tcW w:w="267" w:type="pct"/>
                  <w:tcBorders>
                    <w:bottom w:val="single" w:color="auto" w:sz="4" w:space="0"/>
                  </w:tcBorders>
                  <w:shd w:val="clear" w:color="auto" w:fill="auto"/>
                  <w:vAlign w:val="center"/>
                </w:tcPr>
                <w:p>
                  <w:pPr>
                    <w:pStyle w:val="58"/>
                    <w:rPr>
                      <w:sz w:val="18"/>
                      <w:szCs w:val="18"/>
                    </w:rPr>
                  </w:pPr>
                  <w:r>
                    <w:rPr>
                      <w:rFonts w:hint="eastAsia"/>
                      <w:sz w:val="18"/>
                      <w:szCs w:val="18"/>
                    </w:rPr>
                    <w:t>/</w:t>
                  </w:r>
                </w:p>
              </w:tc>
              <w:tc>
                <w:tcPr>
                  <w:tcW w:w="425" w:type="pct"/>
                  <w:tcBorders>
                    <w:bottom w:val="single" w:color="auto" w:sz="4" w:space="0"/>
                  </w:tcBorders>
                  <w:shd w:val="clear" w:color="auto" w:fill="auto"/>
                  <w:vAlign w:val="center"/>
                </w:tcPr>
                <w:p>
                  <w:pPr>
                    <w:pStyle w:val="58"/>
                    <w:rPr>
                      <w:sz w:val="18"/>
                      <w:szCs w:val="18"/>
                    </w:rPr>
                  </w:pPr>
                  <w:r>
                    <w:rPr>
                      <w:rFonts w:hint="eastAsia"/>
                      <w:sz w:val="18"/>
                      <w:szCs w:val="18"/>
                    </w:rPr>
                    <w:t>/</w:t>
                  </w:r>
                </w:p>
              </w:tc>
              <w:tc>
                <w:tcPr>
                  <w:tcW w:w="319" w:type="pct"/>
                  <w:tcBorders>
                    <w:bottom w:val="single" w:color="auto" w:sz="4" w:space="0"/>
                  </w:tcBorders>
                  <w:shd w:val="clear" w:color="auto" w:fill="auto"/>
                  <w:vAlign w:val="center"/>
                </w:tcPr>
                <w:p>
                  <w:pPr>
                    <w:pStyle w:val="58"/>
                    <w:rPr>
                      <w:sz w:val="18"/>
                      <w:szCs w:val="18"/>
                    </w:rPr>
                  </w:pPr>
                  <w:r>
                    <w:rPr>
                      <w:rFonts w:hint="eastAsia"/>
                      <w:sz w:val="18"/>
                      <w:szCs w:val="18"/>
                    </w:rPr>
                    <w:t>0.0727</w:t>
                  </w:r>
                </w:p>
              </w:tc>
              <w:tc>
                <w:tcPr>
                  <w:tcW w:w="906" w:type="pct"/>
                  <w:tcBorders>
                    <w:bottom w:val="single" w:color="auto" w:sz="4" w:space="0"/>
                  </w:tcBorders>
                  <w:shd w:val="clear" w:color="auto" w:fill="auto"/>
                  <w:vAlign w:val="center"/>
                </w:tcPr>
                <w:p>
                  <w:pPr>
                    <w:pStyle w:val="58"/>
                    <w:rPr>
                      <w:sz w:val="18"/>
                      <w:szCs w:val="18"/>
                      <w:u w:val="single"/>
                    </w:rPr>
                  </w:pPr>
                  <w:r>
                    <w:rPr>
                      <w:sz w:val="18"/>
                      <w:szCs w:val="18"/>
                      <w:u w:val="single"/>
                    </w:rPr>
                    <w:t>车间密闭</w:t>
                  </w:r>
                  <w:r>
                    <w:rPr>
                      <w:rFonts w:hint="eastAsia"/>
                      <w:sz w:val="18"/>
                      <w:szCs w:val="18"/>
                      <w:u w:val="single"/>
                    </w:rPr>
                    <w:t>，产污节点废气有组织收集，减少无组织排放</w:t>
                  </w:r>
                </w:p>
              </w:tc>
              <w:tc>
                <w:tcPr>
                  <w:tcW w:w="319" w:type="pct"/>
                  <w:tcBorders>
                    <w:bottom w:val="single" w:color="auto" w:sz="4" w:space="0"/>
                  </w:tcBorders>
                  <w:vAlign w:val="center"/>
                </w:tcPr>
                <w:p>
                  <w:pPr>
                    <w:pStyle w:val="58"/>
                    <w:rPr>
                      <w:sz w:val="18"/>
                      <w:szCs w:val="18"/>
                    </w:rPr>
                  </w:pPr>
                  <w:r>
                    <w:rPr>
                      <w:rFonts w:hint="eastAsia"/>
                      <w:sz w:val="18"/>
                      <w:szCs w:val="18"/>
                    </w:rPr>
                    <w:t>是</w:t>
                  </w:r>
                </w:p>
              </w:tc>
              <w:tc>
                <w:tcPr>
                  <w:tcW w:w="372" w:type="pct"/>
                  <w:tcBorders>
                    <w:bottom w:val="single" w:color="auto" w:sz="4" w:space="0"/>
                  </w:tcBorders>
                  <w:shd w:val="clear" w:color="auto" w:fill="auto"/>
                  <w:vAlign w:val="center"/>
                </w:tcPr>
                <w:p>
                  <w:pPr>
                    <w:pStyle w:val="58"/>
                    <w:rPr>
                      <w:sz w:val="18"/>
                      <w:szCs w:val="18"/>
                    </w:rPr>
                  </w:pPr>
                  <w:r>
                    <w:rPr>
                      <w:rFonts w:hint="eastAsia"/>
                      <w:sz w:val="18"/>
                      <w:szCs w:val="18"/>
                    </w:rPr>
                    <w:t>/</w:t>
                  </w:r>
                </w:p>
              </w:tc>
              <w:tc>
                <w:tcPr>
                  <w:tcW w:w="320" w:type="pct"/>
                  <w:tcBorders>
                    <w:bottom w:val="single" w:color="auto" w:sz="4" w:space="0"/>
                  </w:tcBorders>
                  <w:shd w:val="clear" w:color="auto" w:fill="auto"/>
                  <w:vAlign w:val="center"/>
                </w:tcPr>
                <w:p>
                  <w:pPr>
                    <w:pStyle w:val="58"/>
                    <w:rPr>
                      <w:sz w:val="18"/>
                      <w:szCs w:val="18"/>
                    </w:rPr>
                  </w:pPr>
                  <w:r>
                    <w:rPr>
                      <w:rFonts w:hint="eastAsia"/>
                      <w:sz w:val="18"/>
                      <w:szCs w:val="18"/>
                    </w:rPr>
                    <w:t>0.0239</w:t>
                  </w:r>
                </w:p>
              </w:tc>
              <w:tc>
                <w:tcPr>
                  <w:tcW w:w="267" w:type="pct"/>
                  <w:tcBorders>
                    <w:bottom w:val="single" w:color="auto" w:sz="4" w:space="0"/>
                  </w:tcBorders>
                  <w:vAlign w:val="center"/>
                </w:tcPr>
                <w:p>
                  <w:pPr>
                    <w:pStyle w:val="58"/>
                    <w:rPr>
                      <w:sz w:val="18"/>
                      <w:szCs w:val="18"/>
                    </w:rPr>
                  </w:pPr>
                  <w:r>
                    <w:rPr>
                      <w:rFonts w:hint="eastAsia"/>
                      <w:sz w:val="18"/>
                      <w:szCs w:val="18"/>
                    </w:rPr>
                    <w:t>0.0727</w:t>
                  </w:r>
                </w:p>
              </w:tc>
              <w:tc>
                <w:tcPr>
                  <w:tcW w:w="318" w:type="pct"/>
                  <w:vMerge w:val="continue"/>
                  <w:tcBorders>
                    <w:bottom w:val="single" w:color="auto" w:sz="4" w:space="0"/>
                  </w:tcBorders>
                  <w:shd w:val="clear" w:color="auto" w:fill="auto"/>
                  <w:vAlign w:val="center"/>
                </w:tcPr>
                <w:p>
                  <w:pPr>
                    <w:pStyle w:val="58"/>
                    <w:rPr>
                      <w:sz w:val="18"/>
                      <w:szCs w:val="18"/>
                    </w:rPr>
                  </w:pPr>
                </w:p>
              </w:tc>
              <w:tc>
                <w:tcPr>
                  <w:tcW w:w="268" w:type="pct"/>
                  <w:tcBorders>
                    <w:bottom w:val="single" w:color="auto" w:sz="4" w:space="0"/>
                  </w:tcBorders>
                  <w:shd w:val="clear" w:color="auto" w:fill="auto"/>
                  <w:vAlign w:val="center"/>
                </w:tcPr>
                <w:p>
                  <w:pPr>
                    <w:pStyle w:val="58"/>
                    <w:rPr>
                      <w:sz w:val="18"/>
                      <w:szCs w:val="18"/>
                    </w:rPr>
                  </w:pPr>
                  <w:r>
                    <w:rPr>
                      <w:rFonts w:hint="eastAsia"/>
                      <w:sz w:val="18"/>
                      <w:szCs w:val="18"/>
                    </w:rPr>
                    <w:t>2.0</w:t>
                  </w:r>
                </w:p>
              </w:tc>
              <w:tc>
                <w:tcPr>
                  <w:tcW w:w="258" w:type="pct"/>
                  <w:tcBorders>
                    <w:bottom w:val="single" w:color="auto" w:sz="4" w:space="0"/>
                  </w:tcBorders>
                  <w:vAlign w:val="center"/>
                </w:tcPr>
                <w:p>
                  <w:pPr>
                    <w:pStyle w:val="58"/>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216" w:type="pct"/>
                  <w:vMerge w:val="restart"/>
                  <w:shd w:val="clear" w:color="auto" w:fill="auto"/>
                  <w:vAlign w:val="center"/>
                </w:tcPr>
                <w:p>
                  <w:pPr>
                    <w:pStyle w:val="58"/>
                    <w:rPr>
                      <w:sz w:val="18"/>
                      <w:szCs w:val="18"/>
                    </w:rPr>
                  </w:pPr>
                  <w:r>
                    <w:rPr>
                      <w:rFonts w:hint="eastAsia"/>
                      <w:sz w:val="18"/>
                      <w:szCs w:val="18"/>
                    </w:rPr>
                    <w:t>3#车间</w:t>
                  </w:r>
                </w:p>
              </w:tc>
              <w:tc>
                <w:tcPr>
                  <w:tcW w:w="213" w:type="pct"/>
                  <w:shd w:val="clear" w:color="auto" w:fill="auto"/>
                  <w:vAlign w:val="center"/>
                </w:tcPr>
                <w:p>
                  <w:pPr>
                    <w:pStyle w:val="58"/>
                    <w:rPr>
                      <w:sz w:val="18"/>
                      <w:szCs w:val="18"/>
                    </w:rPr>
                  </w:pPr>
                  <w:r>
                    <w:rPr>
                      <w:rFonts w:hint="eastAsia"/>
                      <w:sz w:val="18"/>
                      <w:szCs w:val="18"/>
                    </w:rPr>
                    <w:t>颗粒物</w:t>
                  </w:r>
                </w:p>
              </w:tc>
              <w:tc>
                <w:tcPr>
                  <w:tcW w:w="266" w:type="pct"/>
                  <w:tcBorders>
                    <w:bottom w:val="single" w:color="auto" w:sz="4" w:space="0"/>
                  </w:tcBorders>
                  <w:vAlign w:val="center"/>
                </w:tcPr>
                <w:p>
                  <w:pPr>
                    <w:pStyle w:val="58"/>
                    <w:rPr>
                      <w:sz w:val="18"/>
                      <w:szCs w:val="18"/>
                    </w:rPr>
                  </w:pPr>
                  <w:r>
                    <w:rPr>
                      <w:rFonts w:hint="eastAsia"/>
                      <w:sz w:val="18"/>
                      <w:szCs w:val="18"/>
                    </w:rPr>
                    <w:t>有组织</w:t>
                  </w:r>
                </w:p>
              </w:tc>
              <w:tc>
                <w:tcPr>
                  <w:tcW w:w="266" w:type="pct"/>
                  <w:shd w:val="clear" w:color="auto" w:fill="auto"/>
                  <w:vAlign w:val="center"/>
                </w:tcPr>
                <w:p>
                  <w:pPr>
                    <w:pStyle w:val="58"/>
                    <w:rPr>
                      <w:sz w:val="18"/>
                      <w:szCs w:val="18"/>
                    </w:rPr>
                  </w:pPr>
                  <w:r>
                    <w:rPr>
                      <w:rFonts w:hint="eastAsia"/>
                      <w:sz w:val="18"/>
                      <w:szCs w:val="18"/>
                    </w:rPr>
                    <w:t>类比法</w:t>
                  </w:r>
                </w:p>
              </w:tc>
              <w:tc>
                <w:tcPr>
                  <w:tcW w:w="267" w:type="pct"/>
                  <w:tcBorders>
                    <w:bottom w:val="single" w:color="auto" w:sz="4" w:space="0"/>
                  </w:tcBorders>
                  <w:shd w:val="clear" w:color="auto" w:fill="auto"/>
                  <w:vAlign w:val="center"/>
                </w:tcPr>
                <w:p>
                  <w:pPr>
                    <w:pStyle w:val="58"/>
                    <w:rPr>
                      <w:sz w:val="18"/>
                      <w:szCs w:val="18"/>
                      <w:u w:val="single"/>
                    </w:rPr>
                  </w:pPr>
                  <w:r>
                    <w:rPr>
                      <w:rFonts w:hint="eastAsia"/>
                      <w:sz w:val="18"/>
                      <w:szCs w:val="18"/>
                      <w:u w:val="single"/>
                    </w:rPr>
                    <w:t>8500</w:t>
                  </w:r>
                </w:p>
              </w:tc>
              <w:tc>
                <w:tcPr>
                  <w:tcW w:w="425" w:type="pct"/>
                  <w:tcBorders>
                    <w:bottom w:val="single" w:color="auto" w:sz="4" w:space="0"/>
                  </w:tcBorders>
                  <w:shd w:val="clear" w:color="auto" w:fill="auto"/>
                  <w:vAlign w:val="center"/>
                </w:tcPr>
                <w:p>
                  <w:pPr>
                    <w:pStyle w:val="58"/>
                    <w:rPr>
                      <w:sz w:val="18"/>
                      <w:szCs w:val="18"/>
                      <w:u w:val="single"/>
                    </w:rPr>
                  </w:pPr>
                  <w:r>
                    <w:rPr>
                      <w:rFonts w:hint="eastAsia"/>
                      <w:sz w:val="18"/>
                      <w:szCs w:val="18"/>
                      <w:u w:val="single"/>
                    </w:rPr>
                    <w:t>250</w:t>
                  </w:r>
                </w:p>
              </w:tc>
              <w:tc>
                <w:tcPr>
                  <w:tcW w:w="319" w:type="pct"/>
                  <w:tcBorders>
                    <w:bottom w:val="single" w:color="auto" w:sz="4" w:space="0"/>
                  </w:tcBorders>
                  <w:shd w:val="clear" w:color="auto" w:fill="auto"/>
                  <w:vAlign w:val="center"/>
                </w:tcPr>
                <w:p>
                  <w:pPr>
                    <w:pStyle w:val="58"/>
                    <w:rPr>
                      <w:sz w:val="18"/>
                      <w:szCs w:val="18"/>
                      <w:u w:val="single"/>
                    </w:rPr>
                  </w:pPr>
                  <w:r>
                    <w:rPr>
                      <w:rFonts w:hint="eastAsia"/>
                      <w:sz w:val="18"/>
                      <w:szCs w:val="18"/>
                      <w:u w:val="single"/>
                    </w:rPr>
                    <w:t>3.2241</w:t>
                  </w:r>
                </w:p>
              </w:tc>
              <w:tc>
                <w:tcPr>
                  <w:tcW w:w="906" w:type="pct"/>
                  <w:tcBorders>
                    <w:bottom w:val="single" w:color="auto" w:sz="4" w:space="0"/>
                  </w:tcBorders>
                  <w:shd w:val="clear" w:color="auto" w:fill="auto"/>
                  <w:vAlign w:val="center"/>
                </w:tcPr>
                <w:p>
                  <w:pPr>
                    <w:pStyle w:val="58"/>
                    <w:rPr>
                      <w:sz w:val="18"/>
                      <w:szCs w:val="18"/>
                      <w:u w:val="single"/>
                    </w:rPr>
                  </w:pPr>
                  <w:r>
                    <w:rPr>
                      <w:rFonts w:hint="eastAsia"/>
                      <w:sz w:val="18"/>
                      <w:szCs w:val="18"/>
                      <w:u w:val="single"/>
                    </w:rPr>
                    <w:t>密闭集气罩+袋式除尘器</w:t>
                  </w:r>
                  <w:r>
                    <w:rPr>
                      <w:sz w:val="18"/>
                      <w:szCs w:val="18"/>
                      <w:u w:val="single"/>
                    </w:rPr>
                    <w:t>（处理效率</w:t>
                  </w:r>
                  <w:r>
                    <w:rPr>
                      <w:rFonts w:hint="eastAsia"/>
                      <w:sz w:val="18"/>
                      <w:szCs w:val="18"/>
                      <w:u w:val="single"/>
                    </w:rPr>
                    <w:t>98</w:t>
                  </w:r>
                  <w:r>
                    <w:rPr>
                      <w:sz w:val="18"/>
                      <w:szCs w:val="18"/>
                      <w:u w:val="single"/>
                    </w:rPr>
                    <w:t>%）</w:t>
                  </w:r>
                </w:p>
              </w:tc>
              <w:tc>
                <w:tcPr>
                  <w:tcW w:w="319" w:type="pct"/>
                  <w:tcBorders>
                    <w:bottom w:val="single" w:color="auto" w:sz="4" w:space="0"/>
                  </w:tcBorders>
                  <w:vAlign w:val="center"/>
                </w:tcPr>
                <w:p>
                  <w:pPr>
                    <w:pStyle w:val="58"/>
                    <w:rPr>
                      <w:sz w:val="18"/>
                      <w:szCs w:val="18"/>
                      <w:u w:val="single"/>
                    </w:rPr>
                  </w:pPr>
                  <w:r>
                    <w:rPr>
                      <w:rFonts w:hint="eastAsia"/>
                      <w:sz w:val="18"/>
                      <w:szCs w:val="18"/>
                      <w:u w:val="single"/>
                    </w:rPr>
                    <w:t>是</w:t>
                  </w:r>
                </w:p>
              </w:tc>
              <w:tc>
                <w:tcPr>
                  <w:tcW w:w="372" w:type="pct"/>
                  <w:tcBorders>
                    <w:bottom w:val="single" w:color="auto" w:sz="4" w:space="0"/>
                  </w:tcBorders>
                  <w:shd w:val="clear" w:color="auto" w:fill="auto"/>
                  <w:vAlign w:val="center"/>
                </w:tcPr>
                <w:p>
                  <w:pPr>
                    <w:pStyle w:val="58"/>
                    <w:rPr>
                      <w:sz w:val="18"/>
                      <w:szCs w:val="18"/>
                      <w:u w:val="single"/>
                    </w:rPr>
                  </w:pPr>
                  <w:r>
                    <w:rPr>
                      <w:rFonts w:hint="eastAsia"/>
                      <w:sz w:val="18"/>
                      <w:szCs w:val="18"/>
                      <w:u w:val="single"/>
                    </w:rPr>
                    <w:t>5</w:t>
                  </w:r>
                </w:p>
              </w:tc>
              <w:tc>
                <w:tcPr>
                  <w:tcW w:w="320" w:type="pct"/>
                  <w:tcBorders>
                    <w:bottom w:val="single" w:color="auto" w:sz="4" w:space="0"/>
                  </w:tcBorders>
                  <w:shd w:val="clear" w:color="auto" w:fill="auto"/>
                  <w:vAlign w:val="center"/>
                </w:tcPr>
                <w:p>
                  <w:pPr>
                    <w:pStyle w:val="58"/>
                    <w:rPr>
                      <w:sz w:val="18"/>
                      <w:szCs w:val="18"/>
                      <w:u w:val="single"/>
                    </w:rPr>
                  </w:pPr>
                  <w:r>
                    <w:rPr>
                      <w:rFonts w:hint="eastAsia"/>
                      <w:sz w:val="18"/>
                      <w:szCs w:val="18"/>
                      <w:u w:val="single"/>
                    </w:rPr>
                    <w:t>0.0424</w:t>
                  </w:r>
                </w:p>
              </w:tc>
              <w:tc>
                <w:tcPr>
                  <w:tcW w:w="267" w:type="pct"/>
                  <w:tcBorders>
                    <w:bottom w:val="single" w:color="auto" w:sz="4" w:space="0"/>
                  </w:tcBorders>
                  <w:vAlign w:val="center"/>
                </w:tcPr>
                <w:p>
                  <w:pPr>
                    <w:pStyle w:val="58"/>
                    <w:rPr>
                      <w:sz w:val="18"/>
                      <w:szCs w:val="18"/>
                      <w:u w:val="single"/>
                    </w:rPr>
                  </w:pPr>
                  <w:r>
                    <w:rPr>
                      <w:rFonts w:hint="eastAsia"/>
                      <w:sz w:val="18"/>
                      <w:szCs w:val="18"/>
                      <w:u w:val="single"/>
                    </w:rPr>
                    <w:t>0.0645</w:t>
                  </w:r>
                </w:p>
              </w:tc>
              <w:tc>
                <w:tcPr>
                  <w:tcW w:w="318" w:type="pct"/>
                  <w:shd w:val="clear" w:color="auto" w:fill="auto"/>
                  <w:vAlign w:val="center"/>
                </w:tcPr>
                <w:p>
                  <w:pPr>
                    <w:pStyle w:val="58"/>
                    <w:rPr>
                      <w:sz w:val="18"/>
                      <w:szCs w:val="18"/>
                      <w:u w:val="single"/>
                    </w:rPr>
                  </w:pPr>
                  <w:r>
                    <w:rPr>
                      <w:rFonts w:hint="eastAsia"/>
                      <w:sz w:val="18"/>
                      <w:szCs w:val="18"/>
                      <w:u w:val="single"/>
                    </w:rPr>
                    <w:t>1520</w:t>
                  </w:r>
                </w:p>
              </w:tc>
              <w:tc>
                <w:tcPr>
                  <w:tcW w:w="268" w:type="pct"/>
                  <w:tcBorders>
                    <w:bottom w:val="single" w:color="auto" w:sz="4" w:space="0"/>
                  </w:tcBorders>
                  <w:shd w:val="clear" w:color="auto" w:fill="auto"/>
                  <w:vAlign w:val="center"/>
                </w:tcPr>
                <w:p>
                  <w:pPr>
                    <w:pStyle w:val="58"/>
                    <w:rPr>
                      <w:sz w:val="18"/>
                      <w:szCs w:val="18"/>
                    </w:rPr>
                  </w:pPr>
                  <w:r>
                    <w:rPr>
                      <w:rFonts w:hint="eastAsia"/>
                      <w:sz w:val="18"/>
                      <w:szCs w:val="18"/>
                    </w:rPr>
                    <w:t>20</w:t>
                  </w:r>
                </w:p>
              </w:tc>
              <w:tc>
                <w:tcPr>
                  <w:tcW w:w="258" w:type="pct"/>
                  <w:tcBorders>
                    <w:bottom w:val="single" w:color="auto" w:sz="4" w:space="0"/>
                  </w:tcBorders>
                  <w:vAlign w:val="center"/>
                </w:tcPr>
                <w:p>
                  <w:pPr>
                    <w:pStyle w:val="58"/>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6" w:type="pct"/>
                  <w:vMerge w:val="continue"/>
                  <w:shd w:val="clear" w:color="auto" w:fill="auto"/>
                  <w:vAlign w:val="center"/>
                </w:tcPr>
                <w:p>
                  <w:pPr>
                    <w:pStyle w:val="58"/>
                    <w:rPr>
                      <w:sz w:val="18"/>
                      <w:szCs w:val="18"/>
                    </w:rPr>
                  </w:pPr>
                </w:p>
              </w:tc>
              <w:tc>
                <w:tcPr>
                  <w:tcW w:w="213" w:type="pct"/>
                  <w:vMerge w:val="restart"/>
                  <w:shd w:val="clear" w:color="auto" w:fill="auto"/>
                  <w:vAlign w:val="center"/>
                </w:tcPr>
                <w:p>
                  <w:pPr>
                    <w:pStyle w:val="58"/>
                    <w:rPr>
                      <w:sz w:val="18"/>
                      <w:szCs w:val="18"/>
                    </w:rPr>
                  </w:pPr>
                  <w:r>
                    <w:rPr>
                      <w:rFonts w:hint="eastAsia"/>
                      <w:sz w:val="18"/>
                      <w:szCs w:val="18"/>
                    </w:rPr>
                    <w:t>非甲烷总烃</w:t>
                  </w:r>
                </w:p>
              </w:tc>
              <w:tc>
                <w:tcPr>
                  <w:tcW w:w="266" w:type="pct"/>
                  <w:tcBorders>
                    <w:bottom w:val="single" w:color="auto" w:sz="4" w:space="0"/>
                  </w:tcBorders>
                  <w:vAlign w:val="center"/>
                </w:tcPr>
                <w:p>
                  <w:pPr>
                    <w:pStyle w:val="58"/>
                    <w:rPr>
                      <w:sz w:val="18"/>
                      <w:szCs w:val="18"/>
                    </w:rPr>
                  </w:pPr>
                  <w:r>
                    <w:rPr>
                      <w:rFonts w:hint="eastAsia"/>
                      <w:sz w:val="18"/>
                      <w:szCs w:val="18"/>
                    </w:rPr>
                    <w:t>有组织</w:t>
                  </w:r>
                </w:p>
              </w:tc>
              <w:tc>
                <w:tcPr>
                  <w:tcW w:w="266" w:type="pct"/>
                  <w:vMerge w:val="restart"/>
                  <w:shd w:val="clear" w:color="auto" w:fill="auto"/>
                  <w:vAlign w:val="center"/>
                </w:tcPr>
                <w:p>
                  <w:pPr>
                    <w:pStyle w:val="58"/>
                    <w:rPr>
                      <w:sz w:val="18"/>
                      <w:szCs w:val="18"/>
                    </w:rPr>
                  </w:pPr>
                  <w:r>
                    <w:rPr>
                      <w:rFonts w:hint="eastAsia"/>
                      <w:sz w:val="18"/>
                      <w:szCs w:val="18"/>
                    </w:rPr>
                    <w:t>类比法</w:t>
                  </w:r>
                </w:p>
              </w:tc>
              <w:tc>
                <w:tcPr>
                  <w:tcW w:w="267" w:type="pct"/>
                  <w:tcBorders>
                    <w:bottom w:val="single" w:color="auto" w:sz="4" w:space="0"/>
                  </w:tcBorders>
                  <w:shd w:val="clear" w:color="auto" w:fill="auto"/>
                  <w:vAlign w:val="center"/>
                </w:tcPr>
                <w:p>
                  <w:pPr>
                    <w:pStyle w:val="58"/>
                    <w:rPr>
                      <w:sz w:val="18"/>
                      <w:szCs w:val="18"/>
                      <w:u w:val="single"/>
                    </w:rPr>
                  </w:pPr>
                  <w:r>
                    <w:rPr>
                      <w:rFonts w:hint="eastAsia"/>
                      <w:sz w:val="18"/>
                      <w:szCs w:val="18"/>
                      <w:u w:val="single"/>
                    </w:rPr>
                    <w:t>18000</w:t>
                  </w:r>
                </w:p>
              </w:tc>
              <w:tc>
                <w:tcPr>
                  <w:tcW w:w="425" w:type="pct"/>
                  <w:tcBorders>
                    <w:bottom w:val="single" w:color="auto" w:sz="4" w:space="0"/>
                  </w:tcBorders>
                  <w:shd w:val="clear" w:color="auto" w:fill="auto"/>
                  <w:vAlign w:val="center"/>
                </w:tcPr>
                <w:p>
                  <w:pPr>
                    <w:pStyle w:val="58"/>
                    <w:rPr>
                      <w:sz w:val="18"/>
                      <w:szCs w:val="18"/>
                      <w:u w:val="single"/>
                    </w:rPr>
                  </w:pPr>
                  <w:r>
                    <w:rPr>
                      <w:rFonts w:hint="eastAsia"/>
                      <w:sz w:val="18"/>
                      <w:szCs w:val="18"/>
                      <w:u w:val="single"/>
                    </w:rPr>
                    <w:t>27.2</w:t>
                  </w:r>
                </w:p>
              </w:tc>
              <w:tc>
                <w:tcPr>
                  <w:tcW w:w="319" w:type="pct"/>
                  <w:tcBorders>
                    <w:bottom w:val="single" w:color="auto" w:sz="4" w:space="0"/>
                  </w:tcBorders>
                  <w:shd w:val="clear" w:color="auto" w:fill="auto"/>
                  <w:vAlign w:val="center"/>
                </w:tcPr>
                <w:p>
                  <w:pPr>
                    <w:pStyle w:val="58"/>
                    <w:rPr>
                      <w:sz w:val="18"/>
                      <w:szCs w:val="18"/>
                    </w:rPr>
                  </w:pPr>
                  <w:r>
                    <w:rPr>
                      <w:rFonts w:hint="eastAsia"/>
                      <w:sz w:val="18"/>
                      <w:szCs w:val="18"/>
                    </w:rPr>
                    <w:t>1.4902</w:t>
                  </w:r>
                </w:p>
              </w:tc>
              <w:tc>
                <w:tcPr>
                  <w:tcW w:w="906" w:type="pct"/>
                  <w:tcBorders>
                    <w:bottom w:val="single" w:color="auto" w:sz="4" w:space="0"/>
                  </w:tcBorders>
                  <w:shd w:val="clear" w:color="auto" w:fill="auto"/>
                  <w:vAlign w:val="center"/>
                </w:tcPr>
                <w:p>
                  <w:pPr>
                    <w:pStyle w:val="58"/>
                    <w:rPr>
                      <w:sz w:val="18"/>
                      <w:szCs w:val="18"/>
                    </w:rPr>
                  </w:pPr>
                  <w:r>
                    <w:rPr>
                      <w:rFonts w:hint="eastAsia"/>
                      <w:sz w:val="18"/>
                      <w:szCs w:val="18"/>
                    </w:rPr>
                    <w:t>集气罩、集气管+光氧催化+活性炭吸附装置</w:t>
                  </w:r>
                  <w:r>
                    <w:rPr>
                      <w:sz w:val="18"/>
                      <w:szCs w:val="18"/>
                    </w:rPr>
                    <w:t>（收集效率</w:t>
                  </w:r>
                  <w:r>
                    <w:rPr>
                      <w:rFonts w:hint="eastAsia"/>
                      <w:sz w:val="18"/>
                      <w:szCs w:val="18"/>
                    </w:rPr>
                    <w:t>90</w:t>
                  </w:r>
                  <w:r>
                    <w:rPr>
                      <w:sz w:val="18"/>
                      <w:szCs w:val="18"/>
                    </w:rPr>
                    <w:t>%，处理效率</w:t>
                  </w:r>
                  <w:r>
                    <w:rPr>
                      <w:rFonts w:hint="eastAsia"/>
                      <w:sz w:val="18"/>
                      <w:szCs w:val="18"/>
                    </w:rPr>
                    <w:t>80</w:t>
                  </w:r>
                  <w:r>
                    <w:rPr>
                      <w:sz w:val="18"/>
                      <w:szCs w:val="18"/>
                    </w:rPr>
                    <w:t>%）</w:t>
                  </w:r>
                </w:p>
              </w:tc>
              <w:tc>
                <w:tcPr>
                  <w:tcW w:w="319" w:type="pct"/>
                  <w:tcBorders>
                    <w:bottom w:val="single" w:color="auto" w:sz="4" w:space="0"/>
                  </w:tcBorders>
                  <w:vAlign w:val="center"/>
                </w:tcPr>
                <w:p>
                  <w:pPr>
                    <w:pStyle w:val="58"/>
                    <w:rPr>
                      <w:sz w:val="18"/>
                      <w:szCs w:val="18"/>
                    </w:rPr>
                  </w:pPr>
                  <w:r>
                    <w:rPr>
                      <w:rFonts w:hint="eastAsia"/>
                      <w:sz w:val="18"/>
                      <w:szCs w:val="18"/>
                    </w:rPr>
                    <w:t>是</w:t>
                  </w:r>
                </w:p>
              </w:tc>
              <w:tc>
                <w:tcPr>
                  <w:tcW w:w="372" w:type="pct"/>
                  <w:tcBorders>
                    <w:bottom w:val="single" w:color="auto" w:sz="4" w:space="0"/>
                  </w:tcBorders>
                  <w:shd w:val="clear" w:color="auto" w:fill="auto"/>
                  <w:vAlign w:val="center"/>
                </w:tcPr>
                <w:p>
                  <w:pPr>
                    <w:pStyle w:val="58"/>
                    <w:rPr>
                      <w:sz w:val="18"/>
                      <w:szCs w:val="18"/>
                      <w:u w:val="single"/>
                    </w:rPr>
                  </w:pPr>
                  <w:r>
                    <w:rPr>
                      <w:rFonts w:hint="eastAsia"/>
                      <w:sz w:val="18"/>
                      <w:szCs w:val="18"/>
                      <w:u w:val="single"/>
                    </w:rPr>
                    <w:t>5.4</w:t>
                  </w:r>
                </w:p>
              </w:tc>
              <w:tc>
                <w:tcPr>
                  <w:tcW w:w="320" w:type="pct"/>
                  <w:tcBorders>
                    <w:bottom w:val="single" w:color="auto" w:sz="4" w:space="0"/>
                  </w:tcBorders>
                  <w:shd w:val="clear" w:color="auto" w:fill="auto"/>
                  <w:vAlign w:val="center"/>
                </w:tcPr>
                <w:p>
                  <w:pPr>
                    <w:pStyle w:val="58"/>
                    <w:rPr>
                      <w:sz w:val="18"/>
                      <w:szCs w:val="18"/>
                    </w:rPr>
                  </w:pPr>
                  <w:r>
                    <w:rPr>
                      <w:rFonts w:hint="eastAsia"/>
                      <w:sz w:val="18"/>
                      <w:szCs w:val="18"/>
                    </w:rPr>
                    <w:t>0.0980</w:t>
                  </w:r>
                </w:p>
              </w:tc>
              <w:tc>
                <w:tcPr>
                  <w:tcW w:w="267" w:type="pct"/>
                  <w:tcBorders>
                    <w:bottom w:val="single" w:color="auto" w:sz="4" w:space="0"/>
                  </w:tcBorders>
                  <w:vAlign w:val="center"/>
                </w:tcPr>
                <w:p>
                  <w:pPr>
                    <w:pStyle w:val="58"/>
                    <w:rPr>
                      <w:sz w:val="18"/>
                      <w:szCs w:val="18"/>
                    </w:rPr>
                  </w:pPr>
                  <w:r>
                    <w:rPr>
                      <w:rFonts w:hint="eastAsia"/>
                      <w:sz w:val="18"/>
                      <w:szCs w:val="18"/>
                    </w:rPr>
                    <w:t>0.2980</w:t>
                  </w:r>
                </w:p>
              </w:tc>
              <w:tc>
                <w:tcPr>
                  <w:tcW w:w="318" w:type="pct"/>
                  <w:vMerge w:val="restart"/>
                  <w:shd w:val="clear" w:color="auto" w:fill="auto"/>
                  <w:vAlign w:val="center"/>
                </w:tcPr>
                <w:p>
                  <w:pPr>
                    <w:pStyle w:val="58"/>
                    <w:rPr>
                      <w:sz w:val="18"/>
                      <w:szCs w:val="18"/>
                    </w:rPr>
                  </w:pPr>
                  <w:r>
                    <w:rPr>
                      <w:rFonts w:hint="eastAsia"/>
                      <w:sz w:val="18"/>
                      <w:szCs w:val="18"/>
                    </w:rPr>
                    <w:t>3040</w:t>
                  </w:r>
                </w:p>
              </w:tc>
              <w:tc>
                <w:tcPr>
                  <w:tcW w:w="268" w:type="pct"/>
                  <w:tcBorders>
                    <w:bottom w:val="single" w:color="auto" w:sz="4" w:space="0"/>
                  </w:tcBorders>
                  <w:shd w:val="clear" w:color="auto" w:fill="auto"/>
                  <w:vAlign w:val="center"/>
                </w:tcPr>
                <w:p>
                  <w:pPr>
                    <w:pStyle w:val="58"/>
                    <w:rPr>
                      <w:sz w:val="18"/>
                      <w:szCs w:val="18"/>
                    </w:rPr>
                  </w:pPr>
                  <w:r>
                    <w:rPr>
                      <w:rFonts w:hint="eastAsia"/>
                      <w:sz w:val="18"/>
                      <w:szCs w:val="18"/>
                    </w:rPr>
                    <w:t>60</w:t>
                  </w:r>
                </w:p>
              </w:tc>
              <w:tc>
                <w:tcPr>
                  <w:tcW w:w="258" w:type="pct"/>
                  <w:tcBorders>
                    <w:bottom w:val="single" w:color="auto" w:sz="4" w:space="0"/>
                  </w:tcBorders>
                  <w:vAlign w:val="center"/>
                </w:tcPr>
                <w:p>
                  <w:pPr>
                    <w:pStyle w:val="58"/>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216" w:type="pct"/>
                  <w:vMerge w:val="continue"/>
                  <w:tcBorders>
                    <w:bottom w:val="single" w:color="auto" w:sz="4" w:space="0"/>
                  </w:tcBorders>
                  <w:shd w:val="clear" w:color="auto" w:fill="auto"/>
                  <w:vAlign w:val="center"/>
                </w:tcPr>
                <w:p>
                  <w:pPr>
                    <w:pStyle w:val="58"/>
                    <w:rPr>
                      <w:sz w:val="18"/>
                      <w:szCs w:val="18"/>
                    </w:rPr>
                  </w:pPr>
                </w:p>
              </w:tc>
              <w:tc>
                <w:tcPr>
                  <w:tcW w:w="213" w:type="pct"/>
                  <w:vMerge w:val="continue"/>
                  <w:tcBorders>
                    <w:bottom w:val="single" w:color="auto" w:sz="4" w:space="0"/>
                  </w:tcBorders>
                  <w:shd w:val="clear" w:color="auto" w:fill="auto"/>
                  <w:vAlign w:val="center"/>
                </w:tcPr>
                <w:p>
                  <w:pPr>
                    <w:pStyle w:val="58"/>
                    <w:rPr>
                      <w:sz w:val="18"/>
                      <w:szCs w:val="18"/>
                    </w:rPr>
                  </w:pPr>
                </w:p>
              </w:tc>
              <w:tc>
                <w:tcPr>
                  <w:tcW w:w="266" w:type="pct"/>
                  <w:tcBorders>
                    <w:bottom w:val="single" w:color="auto" w:sz="4" w:space="0"/>
                  </w:tcBorders>
                  <w:vAlign w:val="center"/>
                </w:tcPr>
                <w:p>
                  <w:pPr>
                    <w:pStyle w:val="58"/>
                    <w:rPr>
                      <w:sz w:val="18"/>
                      <w:szCs w:val="18"/>
                    </w:rPr>
                  </w:pPr>
                  <w:r>
                    <w:rPr>
                      <w:rFonts w:hint="eastAsia"/>
                      <w:sz w:val="18"/>
                      <w:szCs w:val="18"/>
                    </w:rPr>
                    <w:t>无组织</w:t>
                  </w:r>
                </w:p>
              </w:tc>
              <w:tc>
                <w:tcPr>
                  <w:tcW w:w="266" w:type="pct"/>
                  <w:vMerge w:val="continue"/>
                  <w:tcBorders>
                    <w:bottom w:val="single" w:color="auto" w:sz="4" w:space="0"/>
                  </w:tcBorders>
                  <w:shd w:val="clear" w:color="auto" w:fill="auto"/>
                  <w:vAlign w:val="center"/>
                </w:tcPr>
                <w:p>
                  <w:pPr>
                    <w:pStyle w:val="58"/>
                    <w:rPr>
                      <w:sz w:val="18"/>
                      <w:szCs w:val="18"/>
                    </w:rPr>
                  </w:pPr>
                </w:p>
              </w:tc>
              <w:tc>
                <w:tcPr>
                  <w:tcW w:w="267" w:type="pct"/>
                  <w:tcBorders>
                    <w:bottom w:val="single" w:color="auto" w:sz="4" w:space="0"/>
                  </w:tcBorders>
                  <w:shd w:val="clear" w:color="auto" w:fill="auto"/>
                  <w:vAlign w:val="center"/>
                </w:tcPr>
                <w:p>
                  <w:pPr>
                    <w:pStyle w:val="58"/>
                    <w:rPr>
                      <w:sz w:val="18"/>
                      <w:szCs w:val="18"/>
                    </w:rPr>
                  </w:pPr>
                  <w:r>
                    <w:rPr>
                      <w:rFonts w:hint="eastAsia"/>
                      <w:sz w:val="18"/>
                      <w:szCs w:val="18"/>
                    </w:rPr>
                    <w:t>/</w:t>
                  </w:r>
                </w:p>
              </w:tc>
              <w:tc>
                <w:tcPr>
                  <w:tcW w:w="425" w:type="pct"/>
                  <w:tcBorders>
                    <w:bottom w:val="single" w:color="auto" w:sz="4" w:space="0"/>
                  </w:tcBorders>
                  <w:shd w:val="clear" w:color="auto" w:fill="auto"/>
                  <w:vAlign w:val="center"/>
                </w:tcPr>
                <w:p>
                  <w:pPr>
                    <w:pStyle w:val="58"/>
                    <w:rPr>
                      <w:sz w:val="18"/>
                      <w:szCs w:val="18"/>
                    </w:rPr>
                  </w:pPr>
                  <w:r>
                    <w:rPr>
                      <w:rFonts w:hint="eastAsia"/>
                      <w:sz w:val="18"/>
                      <w:szCs w:val="18"/>
                    </w:rPr>
                    <w:t>/</w:t>
                  </w:r>
                </w:p>
              </w:tc>
              <w:tc>
                <w:tcPr>
                  <w:tcW w:w="319" w:type="pct"/>
                  <w:tcBorders>
                    <w:bottom w:val="single" w:color="auto" w:sz="4" w:space="0"/>
                  </w:tcBorders>
                  <w:shd w:val="clear" w:color="auto" w:fill="auto"/>
                  <w:vAlign w:val="center"/>
                </w:tcPr>
                <w:p>
                  <w:pPr>
                    <w:pStyle w:val="58"/>
                    <w:rPr>
                      <w:sz w:val="18"/>
                      <w:szCs w:val="18"/>
                    </w:rPr>
                  </w:pPr>
                  <w:r>
                    <w:rPr>
                      <w:rFonts w:hint="eastAsia"/>
                      <w:sz w:val="18"/>
                      <w:szCs w:val="18"/>
                    </w:rPr>
                    <w:t>0.1656</w:t>
                  </w:r>
                </w:p>
              </w:tc>
              <w:tc>
                <w:tcPr>
                  <w:tcW w:w="906" w:type="pct"/>
                  <w:tcBorders>
                    <w:bottom w:val="single" w:color="auto" w:sz="4" w:space="0"/>
                  </w:tcBorders>
                  <w:shd w:val="clear" w:color="auto" w:fill="auto"/>
                  <w:vAlign w:val="center"/>
                </w:tcPr>
                <w:p>
                  <w:pPr>
                    <w:pStyle w:val="58"/>
                    <w:rPr>
                      <w:sz w:val="18"/>
                      <w:szCs w:val="18"/>
                    </w:rPr>
                  </w:pPr>
                  <w:r>
                    <w:rPr>
                      <w:sz w:val="18"/>
                      <w:szCs w:val="18"/>
                      <w:u w:val="single"/>
                    </w:rPr>
                    <w:t>车间密闭</w:t>
                  </w:r>
                  <w:r>
                    <w:rPr>
                      <w:rFonts w:hint="eastAsia"/>
                      <w:sz w:val="18"/>
                      <w:szCs w:val="18"/>
                      <w:u w:val="single"/>
                    </w:rPr>
                    <w:t>，产污节点废气有组织收集，减少无组织排放</w:t>
                  </w:r>
                </w:p>
              </w:tc>
              <w:tc>
                <w:tcPr>
                  <w:tcW w:w="319" w:type="pct"/>
                  <w:tcBorders>
                    <w:bottom w:val="single" w:color="auto" w:sz="4" w:space="0"/>
                  </w:tcBorders>
                  <w:vAlign w:val="center"/>
                </w:tcPr>
                <w:p>
                  <w:pPr>
                    <w:pStyle w:val="58"/>
                    <w:rPr>
                      <w:sz w:val="18"/>
                      <w:szCs w:val="18"/>
                    </w:rPr>
                  </w:pPr>
                  <w:r>
                    <w:rPr>
                      <w:rFonts w:hint="eastAsia"/>
                      <w:sz w:val="18"/>
                      <w:szCs w:val="18"/>
                    </w:rPr>
                    <w:t>是</w:t>
                  </w:r>
                </w:p>
              </w:tc>
              <w:tc>
                <w:tcPr>
                  <w:tcW w:w="372" w:type="pct"/>
                  <w:tcBorders>
                    <w:bottom w:val="single" w:color="auto" w:sz="4" w:space="0"/>
                  </w:tcBorders>
                  <w:shd w:val="clear" w:color="auto" w:fill="auto"/>
                  <w:vAlign w:val="center"/>
                </w:tcPr>
                <w:p>
                  <w:pPr>
                    <w:pStyle w:val="58"/>
                    <w:rPr>
                      <w:sz w:val="18"/>
                      <w:szCs w:val="18"/>
                    </w:rPr>
                  </w:pPr>
                  <w:r>
                    <w:rPr>
                      <w:rFonts w:hint="eastAsia"/>
                      <w:sz w:val="18"/>
                      <w:szCs w:val="18"/>
                    </w:rPr>
                    <w:t>/</w:t>
                  </w:r>
                </w:p>
              </w:tc>
              <w:tc>
                <w:tcPr>
                  <w:tcW w:w="320" w:type="pct"/>
                  <w:tcBorders>
                    <w:bottom w:val="single" w:color="auto" w:sz="4" w:space="0"/>
                  </w:tcBorders>
                  <w:shd w:val="clear" w:color="auto" w:fill="auto"/>
                  <w:vAlign w:val="center"/>
                </w:tcPr>
                <w:p>
                  <w:pPr>
                    <w:pStyle w:val="58"/>
                    <w:rPr>
                      <w:sz w:val="18"/>
                      <w:szCs w:val="18"/>
                    </w:rPr>
                  </w:pPr>
                  <w:r>
                    <w:rPr>
                      <w:rFonts w:hint="eastAsia"/>
                      <w:sz w:val="18"/>
                      <w:szCs w:val="18"/>
                    </w:rPr>
                    <w:t>0.0545</w:t>
                  </w:r>
                </w:p>
              </w:tc>
              <w:tc>
                <w:tcPr>
                  <w:tcW w:w="267" w:type="pct"/>
                  <w:tcBorders>
                    <w:bottom w:val="single" w:color="auto" w:sz="4" w:space="0"/>
                  </w:tcBorders>
                  <w:vAlign w:val="center"/>
                </w:tcPr>
                <w:p>
                  <w:pPr>
                    <w:pStyle w:val="58"/>
                    <w:rPr>
                      <w:sz w:val="18"/>
                      <w:szCs w:val="18"/>
                    </w:rPr>
                  </w:pPr>
                  <w:r>
                    <w:rPr>
                      <w:rFonts w:hint="eastAsia"/>
                      <w:sz w:val="18"/>
                      <w:szCs w:val="18"/>
                    </w:rPr>
                    <w:t>0.1656</w:t>
                  </w:r>
                </w:p>
              </w:tc>
              <w:tc>
                <w:tcPr>
                  <w:tcW w:w="318" w:type="pct"/>
                  <w:vMerge w:val="continue"/>
                  <w:tcBorders>
                    <w:bottom w:val="single" w:color="auto" w:sz="4" w:space="0"/>
                  </w:tcBorders>
                  <w:shd w:val="clear" w:color="auto" w:fill="auto"/>
                  <w:vAlign w:val="center"/>
                </w:tcPr>
                <w:p>
                  <w:pPr>
                    <w:pStyle w:val="58"/>
                    <w:rPr>
                      <w:sz w:val="18"/>
                      <w:szCs w:val="18"/>
                    </w:rPr>
                  </w:pPr>
                </w:p>
              </w:tc>
              <w:tc>
                <w:tcPr>
                  <w:tcW w:w="268" w:type="pct"/>
                  <w:tcBorders>
                    <w:bottom w:val="single" w:color="auto" w:sz="4" w:space="0"/>
                  </w:tcBorders>
                  <w:shd w:val="clear" w:color="auto" w:fill="auto"/>
                  <w:vAlign w:val="center"/>
                </w:tcPr>
                <w:p>
                  <w:pPr>
                    <w:pStyle w:val="58"/>
                    <w:rPr>
                      <w:sz w:val="18"/>
                      <w:szCs w:val="18"/>
                    </w:rPr>
                  </w:pPr>
                  <w:r>
                    <w:rPr>
                      <w:rFonts w:hint="eastAsia"/>
                      <w:sz w:val="18"/>
                      <w:szCs w:val="18"/>
                    </w:rPr>
                    <w:t>2.0</w:t>
                  </w:r>
                </w:p>
              </w:tc>
              <w:tc>
                <w:tcPr>
                  <w:tcW w:w="258" w:type="pct"/>
                  <w:tcBorders>
                    <w:bottom w:val="single" w:color="auto" w:sz="4" w:space="0"/>
                  </w:tcBorders>
                  <w:vAlign w:val="center"/>
                </w:tcPr>
                <w:p>
                  <w:pPr>
                    <w:pStyle w:val="58"/>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00" w:type="pct"/>
                  <w:gridSpan w:val="15"/>
                  <w:tcBorders>
                    <w:left w:val="nil"/>
                    <w:bottom w:val="nil"/>
                    <w:right w:val="nil"/>
                  </w:tcBorders>
                  <w:shd w:val="clear" w:color="auto" w:fill="auto"/>
                  <w:vAlign w:val="center"/>
                </w:tcPr>
                <w:p>
                  <w:pPr>
                    <w:pStyle w:val="58"/>
                    <w:jc w:val="both"/>
                    <w:rPr>
                      <w:sz w:val="18"/>
                      <w:szCs w:val="18"/>
                    </w:rPr>
                  </w:pPr>
                  <w:r>
                    <w:rPr>
                      <w:rFonts w:hint="eastAsia"/>
                      <w:sz w:val="18"/>
                      <w:szCs w:val="18"/>
                    </w:rPr>
                    <w:t>注：非甲烷总烃无组织排放同时满足《全省开展工业企业挥发性有机物专项治理工作中排放建议值》（豫环攻坚办〔</w:t>
                  </w:r>
                  <w:r>
                    <w:rPr>
                      <w:sz w:val="18"/>
                      <w:szCs w:val="18"/>
                    </w:rPr>
                    <w:t>2017</w:t>
                  </w:r>
                  <w:r>
                    <w:rPr>
                      <w:rFonts w:hint="eastAsia"/>
                      <w:sz w:val="18"/>
                      <w:szCs w:val="18"/>
                    </w:rPr>
                    <w:t>〕</w:t>
                  </w:r>
                  <w:r>
                    <w:rPr>
                      <w:sz w:val="18"/>
                      <w:szCs w:val="18"/>
                    </w:rPr>
                    <w:t>162</w:t>
                  </w:r>
                  <w:r>
                    <w:rPr>
                      <w:rFonts w:hint="eastAsia"/>
                      <w:sz w:val="18"/>
                      <w:szCs w:val="18"/>
                    </w:rPr>
                    <w:t>号）要求（工业企业边界挥发性有机物建议排放值2</w:t>
                  </w:r>
                  <w:r>
                    <w:rPr>
                      <w:sz w:val="18"/>
                      <w:szCs w:val="18"/>
                    </w:rPr>
                    <w:t>.0mg/m</w:t>
                  </w:r>
                  <w:r>
                    <w:rPr>
                      <w:sz w:val="18"/>
                      <w:szCs w:val="18"/>
                      <w:vertAlign w:val="superscript"/>
                    </w:rPr>
                    <w:t>3</w:t>
                  </w:r>
                  <w:r>
                    <w:rPr>
                      <w:rFonts w:hint="eastAsia"/>
                      <w:sz w:val="18"/>
                      <w:szCs w:val="18"/>
                    </w:rPr>
                    <w:t>限值要求）。</w:t>
                  </w:r>
                </w:p>
              </w:tc>
            </w:tr>
          </w:tbl>
          <w:p>
            <w:pPr>
              <w:spacing w:line="360" w:lineRule="auto"/>
              <w:ind w:firstLine="480" w:firstLineChars="200"/>
              <w:rPr>
                <w:sz w:val="24"/>
              </w:rPr>
            </w:pPr>
          </w:p>
        </w:tc>
      </w:tr>
    </w:tbl>
    <w:p>
      <w:pPr>
        <w:adjustRightInd w:val="0"/>
        <w:snapToGrid w:val="0"/>
        <w:spacing w:line="360" w:lineRule="auto"/>
        <w:ind w:firstLine="562"/>
        <w:rPr>
          <w:rFonts w:ascii="宋体" w:cs="宋体"/>
          <w:b/>
          <w:kern w:val="0"/>
          <w:sz w:val="28"/>
          <w:szCs w:val="28"/>
        </w:rPr>
        <w:sectPr>
          <w:pgSz w:w="16840" w:h="11907" w:orient="landscape"/>
          <w:pgMar w:top="1588" w:right="1531" w:bottom="1588" w:left="1531" w:header="851" w:footer="851" w:gutter="0"/>
          <w:cols w:space="720" w:num="1"/>
          <w:docGrid w:linePitch="312"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tabs>
                <w:tab w:val="left" w:pos="12609"/>
              </w:tabs>
              <w:ind w:firstLine="480"/>
              <w:jc w:val="center"/>
              <w:rPr>
                <w:rFonts w:ascii="宋体" w:cs="宋体"/>
                <w:sz w:val="28"/>
                <w:szCs w:val="28"/>
              </w:rPr>
            </w:pPr>
            <w:r>
              <w:rPr>
                <w:rFonts w:hint="eastAsia" w:ascii="宋体" w:hAnsi="宋体" w:cs="宋体"/>
                <w:bCs/>
                <w:szCs w:val="21"/>
              </w:rPr>
              <w:t>运营期环境影响和保护措施</w:t>
            </w:r>
          </w:p>
        </w:tc>
        <w:tc>
          <w:tcPr>
            <w:tcW w:w="8669" w:type="dxa"/>
          </w:tcPr>
          <w:p>
            <w:pPr>
              <w:spacing w:line="360" w:lineRule="auto"/>
              <w:ind w:firstLine="480" w:firstLineChars="200"/>
              <w:rPr>
                <w:sz w:val="24"/>
              </w:rPr>
            </w:pPr>
            <w:r>
              <w:rPr>
                <w:rFonts w:hint="eastAsia"/>
                <w:sz w:val="24"/>
              </w:rPr>
              <w:t>本项目原料搅拌下料工序产生颗粒物废气经袋式除尘器处理，拉丝、覆膜工序产生有机废气采用的“光氧催化+活性炭吸附装置”</w:t>
            </w:r>
            <w:r>
              <w:rPr>
                <w:rFonts w:hint="eastAsia" w:cs="宋体"/>
                <w:sz w:val="24"/>
              </w:rPr>
              <w:t>处理，</w:t>
            </w:r>
            <w:r>
              <w:rPr>
                <w:rFonts w:hint="eastAsia"/>
                <w:sz w:val="24"/>
              </w:rPr>
              <w:t>根据《排污许可证申请与核发技术规范橡胶和塑料制品工业》（HJ1122-2020），本项目有机废气治理措施为技术规范推荐措施，治理措施可行。</w:t>
            </w:r>
            <w:r>
              <w:rPr>
                <w:rFonts w:hint="eastAsia" w:cs="宋体"/>
                <w:sz w:val="24"/>
              </w:rPr>
              <w:t>颗粒物、非甲烷总烃排放浓度满足</w:t>
            </w:r>
            <w:r>
              <w:rPr>
                <w:rFonts w:hint="eastAsia"/>
                <w:sz w:val="24"/>
              </w:rPr>
              <w:t>《合成树脂工业污染物排放标准》（GB31572-2015）表5大气污染物特别排放限值要求。颗粒物、非甲烷总烃排放浓度同时满足</w:t>
            </w:r>
            <w:r>
              <w:rPr>
                <w:sz w:val="24"/>
              </w:rPr>
              <w:t>《河南省重污染天气重点行业应急减排措施制定技术指南（2021年修订版）》中</w:t>
            </w:r>
            <w:r>
              <w:rPr>
                <w:rFonts w:hint="eastAsia"/>
                <w:sz w:val="24"/>
              </w:rPr>
              <w:t>“</w:t>
            </w:r>
            <w:r>
              <w:rPr>
                <w:sz w:val="24"/>
              </w:rPr>
              <w:t>六、塑料制品</w:t>
            </w:r>
            <w:r>
              <w:rPr>
                <w:rFonts w:hint="eastAsia"/>
                <w:sz w:val="24"/>
              </w:rPr>
              <w:t>业”绩效分级A级企业指标限值：颗粒物</w:t>
            </w:r>
            <w:r>
              <w:rPr>
                <w:rStyle w:val="70"/>
                <w:rFonts w:hint="default" w:ascii="Times New Roman" w:hAnsi="Times New Roman" w:eastAsia="宋体"/>
                <w:color w:val="auto"/>
                <w:sz w:val="24"/>
                <w:szCs w:val="24"/>
              </w:rPr>
              <w:t>10mg/m</w:t>
            </w:r>
            <w:r>
              <w:rPr>
                <w:rStyle w:val="70"/>
                <w:rFonts w:hint="default" w:ascii="Times New Roman" w:hAnsi="Times New Roman" w:eastAsia="宋体"/>
                <w:color w:val="auto"/>
                <w:sz w:val="24"/>
                <w:szCs w:val="24"/>
                <w:vertAlign w:val="superscript"/>
              </w:rPr>
              <w:t>3</w:t>
            </w:r>
            <w:r>
              <w:rPr>
                <w:rStyle w:val="70"/>
                <w:rFonts w:hint="default" w:ascii="Times New Roman" w:hAnsi="Times New Roman" w:eastAsia="宋体"/>
                <w:color w:val="auto"/>
                <w:sz w:val="24"/>
                <w:szCs w:val="24"/>
              </w:rPr>
              <w:t>、非甲烷总烃10mg/m</w:t>
            </w:r>
            <w:r>
              <w:rPr>
                <w:rStyle w:val="70"/>
                <w:rFonts w:hint="default" w:ascii="Times New Roman" w:hAnsi="Times New Roman" w:eastAsia="宋体"/>
                <w:color w:val="auto"/>
                <w:sz w:val="24"/>
                <w:szCs w:val="24"/>
                <w:vertAlign w:val="superscript"/>
              </w:rPr>
              <w:t>3</w:t>
            </w:r>
            <w:r>
              <w:rPr>
                <w:rStyle w:val="70"/>
                <w:rFonts w:hint="default" w:ascii="Times New Roman" w:hAnsi="Times New Roman" w:eastAsia="宋体"/>
                <w:color w:val="auto"/>
                <w:sz w:val="24"/>
                <w:szCs w:val="24"/>
              </w:rPr>
              <w:t>。</w:t>
            </w:r>
          </w:p>
          <w:p>
            <w:pPr>
              <w:tabs>
                <w:tab w:val="left" w:pos="12609"/>
              </w:tabs>
              <w:spacing w:line="360" w:lineRule="auto"/>
              <w:rPr>
                <w:rFonts w:hAnsi="宋体"/>
                <w:b/>
                <w:sz w:val="24"/>
              </w:rPr>
            </w:pPr>
            <w:r>
              <w:rPr>
                <w:b/>
                <w:sz w:val="24"/>
              </w:rPr>
              <w:t>1.2</w:t>
            </w:r>
            <w:r>
              <w:rPr>
                <w:rFonts w:hAnsi="宋体"/>
                <w:b/>
                <w:sz w:val="24"/>
              </w:rPr>
              <w:t>废气污染源强核算</w:t>
            </w:r>
          </w:p>
          <w:p>
            <w:pPr>
              <w:spacing w:line="360" w:lineRule="auto"/>
              <w:ind w:firstLine="480"/>
              <w:rPr>
                <w:bCs/>
                <w:sz w:val="24"/>
              </w:rPr>
            </w:pPr>
            <w:r>
              <w:rPr>
                <w:rFonts w:hint="eastAsia"/>
                <w:bCs/>
                <w:sz w:val="24"/>
              </w:rPr>
              <w:t>本项目拉丝机、覆膜机生产工艺（挤出工艺、加热温度）与现有工程相同，生产设备型号和原料相同，具有可类比性。拉丝机、覆膜机搅拌机产生颗粒物、挤出拉丝覆膜工序产生非甲烷总烃废气类比现有工程验收监测数据。根据现有工程验收监测数据进行核算，生产过程中颗粒物产生量为0.7446kg/t-原料，非甲烷总烃产生量为0.3824kg/t-原料。</w:t>
            </w:r>
            <w:r>
              <w:rPr>
                <w:rFonts w:hint="eastAsia"/>
                <w:kern w:val="0"/>
                <w:sz w:val="24"/>
              </w:rPr>
              <w:t>2#车间内2组拉丝机组原料用量为1902.5t/a，3#车间内4组拉丝机组原料用量为3805t/a，3#车间内2组覆膜机组原料用量为525t/a。</w:t>
            </w:r>
          </w:p>
          <w:p>
            <w:pPr>
              <w:spacing w:line="360" w:lineRule="auto"/>
              <w:ind w:firstLine="480"/>
              <w:rPr>
                <w:bCs/>
                <w:sz w:val="24"/>
              </w:rPr>
            </w:pPr>
            <w:r>
              <w:rPr>
                <w:rFonts w:hint="eastAsia"/>
                <w:kern w:val="0"/>
                <w:sz w:val="24"/>
              </w:rPr>
              <w:t>则2#车间内2组拉丝机组</w:t>
            </w:r>
            <w:r>
              <w:rPr>
                <w:rFonts w:hint="eastAsia"/>
                <w:bCs/>
                <w:sz w:val="24"/>
              </w:rPr>
              <w:t>进料过程颗粒物产生量为1.4166t/a，非甲烷总烃产生量为0.7275t/a。</w:t>
            </w:r>
            <w:r>
              <w:rPr>
                <w:rFonts w:hint="eastAsia"/>
                <w:kern w:val="0"/>
                <w:sz w:val="24"/>
              </w:rPr>
              <w:t>3#车间内4组拉丝机组、2组覆膜机组</w:t>
            </w:r>
            <w:r>
              <w:rPr>
                <w:rFonts w:hint="eastAsia"/>
                <w:bCs/>
                <w:sz w:val="24"/>
              </w:rPr>
              <w:t>进料过程颗粒物产生量为3.2241t/a，非甲烷总烃产生量为1.6558t/a。</w:t>
            </w:r>
          </w:p>
          <w:p>
            <w:pPr>
              <w:spacing w:line="360" w:lineRule="auto"/>
              <w:rPr>
                <w:b/>
                <w:sz w:val="24"/>
              </w:rPr>
            </w:pPr>
            <w:r>
              <w:rPr>
                <w:rFonts w:hint="eastAsia" w:hAnsi="宋体"/>
                <w:b/>
                <w:sz w:val="24"/>
              </w:rPr>
              <w:t>1.2.1</w:t>
            </w:r>
            <w:r>
              <w:rPr>
                <w:rFonts w:hint="eastAsia"/>
                <w:b/>
                <w:sz w:val="24"/>
              </w:rPr>
              <w:t>搅拌机进料、搅拌过程产生颗粒物</w:t>
            </w:r>
          </w:p>
          <w:p>
            <w:pPr>
              <w:spacing w:line="360" w:lineRule="auto"/>
              <w:ind w:firstLine="480"/>
              <w:rPr>
                <w:sz w:val="24"/>
              </w:rPr>
            </w:pPr>
            <w:r>
              <w:rPr>
                <w:rFonts w:hint="eastAsia"/>
                <w:sz w:val="24"/>
                <w:u w:val="single"/>
              </w:rPr>
              <w:t>本项目原料经搅拌机混合均匀后输送至拉丝机、覆膜机入料口料斗内，拉丝机、覆膜机料斗密闭设置，螺旋输送机密闭输送。塑料原料投料、搅拌过程中会产生少量颗粒物。</w:t>
            </w:r>
            <w:r>
              <w:rPr>
                <w:rFonts w:hint="eastAsia"/>
                <w:sz w:val="24"/>
              </w:rPr>
              <w:t>拉丝机组、覆膜机组原料投料搅拌工作时间为1520h/a（190天，</w:t>
            </w:r>
            <w:r>
              <w:rPr>
                <w:sz w:val="24"/>
              </w:rPr>
              <w:t>日工作</w:t>
            </w:r>
            <w:r>
              <w:rPr>
                <w:rFonts w:hint="eastAsia"/>
                <w:sz w:val="24"/>
              </w:rPr>
              <w:t>8</w:t>
            </w:r>
            <w:r>
              <w:rPr>
                <w:sz w:val="24"/>
              </w:rPr>
              <w:t>h计</w:t>
            </w:r>
            <w:r>
              <w:rPr>
                <w:rFonts w:hint="eastAsia"/>
                <w:sz w:val="24"/>
              </w:rPr>
              <w:t>）。</w:t>
            </w:r>
          </w:p>
          <w:p>
            <w:pPr>
              <w:spacing w:line="360" w:lineRule="auto"/>
              <w:ind w:firstLine="480"/>
              <w:rPr>
                <w:sz w:val="24"/>
                <w:u w:val="single"/>
              </w:rPr>
            </w:pPr>
            <w:r>
              <w:rPr>
                <w:rFonts w:hint="eastAsia"/>
                <w:sz w:val="24"/>
              </w:rPr>
              <w:t>本项目设置6组拉丝机组、2组覆膜机组，其中2组拉丝机组布置在2#车间内，4组拉丝机组、2组覆膜机组布置在3#车间内一层。每组挤出机和覆膜机分别配套一台搅拌机，</w:t>
            </w:r>
            <w:r>
              <w:rPr>
                <w:rFonts w:hint="eastAsia"/>
                <w:sz w:val="24"/>
                <w:u w:val="single"/>
              </w:rPr>
              <w:t>针对搅拌机投料和搅拌过程产生颗粒物，建设单位拟配套建设：（1）搅拌机设密闭集气罩（整个搅拌机处设密闭空间），收集投料和搅拌过程产生的颗粒物，集气罩上设引风管，</w:t>
            </w:r>
            <w:r>
              <w:rPr>
                <w:sz w:val="24"/>
                <w:u w:val="single"/>
              </w:rPr>
              <w:t>每根引风管设置阀门，废气通过引风管连接到主风管</w:t>
            </w:r>
            <w:r>
              <w:rPr>
                <w:rFonts w:hint="eastAsia"/>
                <w:sz w:val="24"/>
                <w:u w:val="single"/>
              </w:rPr>
              <w:t>；（2）2#车间内2组拉丝机组搅拌机产生颗粒物经收集后合并，经一台袋式除尘器处理，废气经处理后通过15m排气筒排放。（3）3#车间内4组拉丝机组、2组覆膜机组搅拌机产生颗粒物经收集后合并，经一台袋式除尘器处理，废气经处理后通过15m排气筒排放。</w:t>
            </w:r>
          </w:p>
          <w:p>
            <w:pPr>
              <w:spacing w:line="360" w:lineRule="auto"/>
              <w:ind w:firstLine="480" w:firstLineChars="200"/>
              <w:rPr>
                <w:sz w:val="24"/>
                <w:u w:val="single"/>
              </w:rPr>
            </w:pPr>
            <w:r>
              <w:rPr>
                <w:rFonts w:hint="eastAsia"/>
                <w:sz w:val="24"/>
                <w:u w:val="single"/>
              </w:rPr>
              <w:t>参考现有工程搅拌密闭集气罩规格，搅拌机设</w:t>
            </w:r>
            <w:r>
              <w:rPr>
                <w:rFonts w:hint="eastAsia"/>
                <w:kern w:val="0"/>
                <w:sz w:val="24"/>
                <w:u w:val="single"/>
              </w:rPr>
              <w:t>1.5m</w:t>
            </w:r>
            <w:r>
              <w:rPr>
                <w:rFonts w:hint="eastAsia" w:ascii="宋体" w:hAnsi="宋体"/>
                <w:kern w:val="0"/>
                <w:sz w:val="24"/>
                <w:u w:val="single"/>
              </w:rPr>
              <w:t>×</w:t>
            </w:r>
            <w:r>
              <w:rPr>
                <w:rFonts w:hint="eastAsia"/>
                <w:kern w:val="0"/>
                <w:sz w:val="24"/>
                <w:u w:val="single"/>
              </w:rPr>
              <w:t>1.5m</w:t>
            </w:r>
            <w:r>
              <w:rPr>
                <w:rFonts w:hint="eastAsia" w:ascii="宋体" w:hAnsi="宋体"/>
                <w:kern w:val="0"/>
                <w:sz w:val="24"/>
                <w:u w:val="single"/>
              </w:rPr>
              <w:t>×</w:t>
            </w:r>
            <w:r>
              <w:rPr>
                <w:rFonts w:hint="eastAsia"/>
                <w:kern w:val="0"/>
                <w:sz w:val="24"/>
                <w:u w:val="single"/>
              </w:rPr>
              <w:t>1.5m</w:t>
            </w:r>
            <w:r>
              <w:rPr>
                <w:rFonts w:hint="eastAsia"/>
                <w:sz w:val="24"/>
                <w:u w:val="single"/>
              </w:rPr>
              <w:t>密闭集气罩</w:t>
            </w:r>
            <w:r>
              <w:rPr>
                <w:rFonts w:hint="eastAsia"/>
                <w:kern w:val="0"/>
                <w:sz w:val="24"/>
                <w:u w:val="single"/>
              </w:rPr>
              <w:t>，</w:t>
            </w:r>
            <w:r>
              <w:rPr>
                <w:rFonts w:hint="eastAsia"/>
                <w:sz w:val="24"/>
                <w:u w:val="single"/>
              </w:rPr>
              <w:t>根据《环境工程技术手册 废气处理工程技术手册》第十七章净化系统的设计：排气罩排风量的计算，整体密闭罩排气量计算公式：Q=Fv。</w:t>
            </w:r>
          </w:p>
          <w:p>
            <w:pPr>
              <w:pStyle w:val="60"/>
              <w:adjustRightInd/>
              <w:snapToGrid/>
              <w:rPr>
                <w:rFonts w:ascii="Times New Roman" w:hAnsi="宋体"/>
                <w:bCs/>
                <w:kern w:val="0"/>
                <w:u w:val="single"/>
              </w:rPr>
            </w:pPr>
            <w:r>
              <w:rPr>
                <w:rFonts w:ascii="Times New Roman" w:hAnsi="宋体"/>
                <w:bCs/>
                <w:kern w:val="0"/>
                <w:u w:val="single"/>
              </w:rPr>
              <w:t>式中，</w:t>
            </w:r>
            <w:r>
              <w:rPr>
                <w:rFonts w:hint="eastAsia"/>
                <w:u w:val="single"/>
              </w:rPr>
              <w:t>Q</w:t>
            </w:r>
            <w:r>
              <w:rPr>
                <w:rFonts w:ascii="Times New Roman" w:hAnsi="Times New Roman"/>
                <w:bCs/>
                <w:kern w:val="0"/>
                <w:u w:val="single"/>
              </w:rPr>
              <w:t>—</w:t>
            </w:r>
            <w:r>
              <w:rPr>
                <w:rFonts w:ascii="Times New Roman" w:hAnsi="宋体"/>
                <w:bCs/>
                <w:kern w:val="0"/>
                <w:u w:val="single"/>
              </w:rPr>
              <w:t>风量（</w:t>
            </w:r>
            <w:r>
              <w:rPr>
                <w:rFonts w:ascii="Times New Roman" w:hAnsi="Times New Roman"/>
                <w:bCs/>
                <w:kern w:val="0"/>
                <w:u w:val="single"/>
              </w:rPr>
              <w:t>m</w:t>
            </w:r>
            <w:r>
              <w:rPr>
                <w:rFonts w:ascii="Times New Roman" w:hAnsi="Times New Roman"/>
                <w:bCs/>
                <w:kern w:val="0"/>
                <w:u w:val="single"/>
                <w:vertAlign w:val="superscript"/>
              </w:rPr>
              <w:t>3</w:t>
            </w:r>
            <w:r>
              <w:rPr>
                <w:rFonts w:ascii="Times New Roman" w:hAnsi="Times New Roman"/>
                <w:bCs/>
                <w:kern w:val="0"/>
                <w:u w:val="single"/>
              </w:rPr>
              <w:t>/</w:t>
            </w:r>
            <w:r>
              <w:rPr>
                <w:rFonts w:hint="eastAsia" w:ascii="Times New Roman" w:hAnsi="Times New Roman"/>
                <w:bCs/>
                <w:kern w:val="0"/>
                <w:u w:val="single"/>
              </w:rPr>
              <w:t>s</w:t>
            </w:r>
            <w:r>
              <w:rPr>
                <w:rFonts w:ascii="Times New Roman" w:hAnsi="宋体"/>
                <w:bCs/>
                <w:kern w:val="0"/>
                <w:u w:val="single"/>
              </w:rPr>
              <w:t>）</w:t>
            </w:r>
            <w:r>
              <w:rPr>
                <w:rFonts w:hint="eastAsia"/>
                <w:u w:val="single"/>
              </w:rPr>
              <w:t>；</w:t>
            </w:r>
          </w:p>
          <w:p>
            <w:pPr>
              <w:spacing w:line="360" w:lineRule="auto"/>
              <w:ind w:firstLine="480" w:firstLineChars="200"/>
              <w:rPr>
                <w:bCs/>
                <w:kern w:val="0"/>
                <w:sz w:val="24"/>
                <w:u w:val="single"/>
              </w:rPr>
            </w:pPr>
            <w:r>
              <w:rPr>
                <w:rFonts w:hint="eastAsia"/>
                <w:sz w:val="24"/>
                <w:u w:val="single"/>
              </w:rPr>
              <w:t>F</w:t>
            </w:r>
            <w:r>
              <w:rPr>
                <w:bCs/>
                <w:kern w:val="0"/>
                <w:u w:val="single"/>
              </w:rPr>
              <w:t>—</w:t>
            </w:r>
            <w:r>
              <w:rPr>
                <w:rFonts w:hint="eastAsia"/>
                <w:sz w:val="24"/>
                <w:u w:val="single"/>
              </w:rPr>
              <w:t>为缝隙面积（</w:t>
            </w:r>
            <w:r>
              <w:rPr>
                <w:bCs/>
                <w:kern w:val="0"/>
                <w:sz w:val="24"/>
                <w:u w:val="single"/>
              </w:rPr>
              <w:t>密闭罩开启孔口及缝隙总面积</w:t>
            </w:r>
            <w:r>
              <w:rPr>
                <w:rFonts w:hint="eastAsia"/>
                <w:sz w:val="24"/>
                <w:u w:val="single"/>
              </w:rPr>
              <w:t>），m</w:t>
            </w:r>
            <w:r>
              <w:rPr>
                <w:rFonts w:hint="eastAsia"/>
                <w:sz w:val="24"/>
                <w:u w:val="single"/>
                <w:vertAlign w:val="superscript"/>
              </w:rPr>
              <w:t>2</w:t>
            </w:r>
            <w:r>
              <w:rPr>
                <w:rFonts w:hint="eastAsia"/>
                <w:sz w:val="24"/>
                <w:u w:val="single"/>
              </w:rPr>
              <w:t>，</w:t>
            </w:r>
            <w:r>
              <w:rPr>
                <w:bCs/>
                <w:kern w:val="0"/>
                <w:sz w:val="24"/>
                <w:u w:val="single"/>
              </w:rPr>
              <w:t>本项目</w:t>
            </w:r>
            <w:r>
              <w:rPr>
                <w:rFonts w:hint="eastAsia"/>
                <w:bCs/>
                <w:kern w:val="0"/>
                <w:sz w:val="24"/>
                <w:u w:val="single"/>
              </w:rPr>
              <w:t>搅拌机单个密闭集气罩</w:t>
            </w:r>
            <w:r>
              <w:rPr>
                <w:bCs/>
                <w:kern w:val="0"/>
                <w:sz w:val="24"/>
                <w:u w:val="single"/>
              </w:rPr>
              <w:t>顶部集气管道内径为0.</w:t>
            </w:r>
            <w:r>
              <w:rPr>
                <w:rFonts w:hint="eastAsia"/>
                <w:bCs/>
                <w:kern w:val="0"/>
                <w:sz w:val="24"/>
                <w:u w:val="single"/>
              </w:rPr>
              <w:t>3</w:t>
            </w:r>
            <w:r>
              <w:rPr>
                <w:bCs/>
                <w:kern w:val="0"/>
                <w:sz w:val="24"/>
                <w:u w:val="single"/>
              </w:rPr>
              <w:t>m</w:t>
            </w:r>
            <w:r>
              <w:rPr>
                <w:rFonts w:hint="eastAsia"/>
                <w:sz w:val="24"/>
                <w:u w:val="single"/>
              </w:rPr>
              <w:t>；</w:t>
            </w:r>
          </w:p>
          <w:p>
            <w:pPr>
              <w:spacing w:line="360" w:lineRule="auto"/>
              <w:ind w:firstLine="480" w:firstLineChars="200"/>
              <w:rPr>
                <w:sz w:val="24"/>
                <w:u w:val="single"/>
              </w:rPr>
            </w:pPr>
            <w:r>
              <w:rPr>
                <w:rFonts w:hint="eastAsia"/>
                <w:sz w:val="24"/>
                <w:u w:val="single"/>
              </w:rPr>
              <w:t>v</w:t>
            </w:r>
            <w:r>
              <w:rPr>
                <w:bCs/>
                <w:kern w:val="0"/>
                <w:u w:val="single"/>
              </w:rPr>
              <w:t>—</w:t>
            </w:r>
            <w:r>
              <w:rPr>
                <w:rFonts w:hint="eastAsia"/>
                <w:sz w:val="24"/>
                <w:u w:val="single"/>
              </w:rPr>
              <w:t>为缝隙风速（</w:t>
            </w:r>
            <w:r>
              <w:rPr>
                <w:rFonts w:hAnsi="宋体"/>
                <w:bCs/>
                <w:kern w:val="0"/>
                <w:sz w:val="24"/>
                <w:u w:val="single"/>
              </w:rPr>
              <w:t>通过缝隙或孔口的风速</w:t>
            </w:r>
            <w:r>
              <w:rPr>
                <w:rFonts w:hint="eastAsia"/>
                <w:sz w:val="24"/>
                <w:u w:val="single"/>
              </w:rPr>
              <w:t>），</w:t>
            </w:r>
            <w:r>
              <w:rPr>
                <w:rFonts w:hAnsi="宋体"/>
                <w:bCs/>
                <w:kern w:val="0"/>
                <w:sz w:val="24"/>
                <w:u w:val="single"/>
              </w:rPr>
              <w:t>本项目取</w:t>
            </w:r>
            <w:r>
              <w:rPr>
                <w:rFonts w:hint="eastAsia"/>
                <w:sz w:val="24"/>
                <w:u w:val="single"/>
              </w:rPr>
              <w:t>5m/s。</w:t>
            </w:r>
          </w:p>
          <w:p>
            <w:pPr>
              <w:spacing w:line="360" w:lineRule="auto"/>
              <w:ind w:firstLine="480" w:firstLineChars="200"/>
              <w:rPr>
                <w:sz w:val="24"/>
                <w:u w:val="single"/>
              </w:rPr>
            </w:pPr>
            <w:r>
              <w:rPr>
                <w:rFonts w:hint="eastAsia"/>
                <w:sz w:val="24"/>
                <w:u w:val="single"/>
              </w:rPr>
              <w:t>由此计算出单个搅拌机密闭集气罩</w:t>
            </w:r>
            <w:r>
              <w:rPr>
                <w:sz w:val="24"/>
                <w:u w:val="single"/>
              </w:rPr>
              <w:t>风量</w:t>
            </w:r>
            <w:r>
              <w:rPr>
                <w:rFonts w:hint="eastAsia"/>
                <w:sz w:val="24"/>
                <w:u w:val="single"/>
              </w:rPr>
              <w:t>为0.3533m</w:t>
            </w:r>
            <w:r>
              <w:rPr>
                <w:rFonts w:hint="eastAsia"/>
                <w:sz w:val="24"/>
                <w:u w:val="single"/>
                <w:vertAlign w:val="superscript"/>
              </w:rPr>
              <w:t>3</w:t>
            </w:r>
            <w:r>
              <w:rPr>
                <w:rFonts w:hint="eastAsia"/>
                <w:sz w:val="24"/>
                <w:u w:val="single"/>
              </w:rPr>
              <w:t>/s，即1271.9m</w:t>
            </w:r>
            <w:r>
              <w:rPr>
                <w:rFonts w:hint="eastAsia"/>
                <w:sz w:val="24"/>
                <w:u w:val="single"/>
                <w:vertAlign w:val="superscript"/>
              </w:rPr>
              <w:t>3</w:t>
            </w:r>
            <w:r>
              <w:rPr>
                <w:rFonts w:hint="eastAsia"/>
                <w:sz w:val="24"/>
                <w:u w:val="single"/>
              </w:rPr>
              <w:t>/h；</w:t>
            </w:r>
            <w:r>
              <w:rPr>
                <w:rFonts w:hint="eastAsia"/>
                <w:kern w:val="0"/>
                <w:sz w:val="24"/>
                <w:u w:val="single"/>
              </w:rPr>
              <w:t>（1）2#车间内2组拉丝机组搅拌机共设密闭集气罩2个，总风量为2543.8m</w:t>
            </w:r>
            <w:r>
              <w:rPr>
                <w:rFonts w:hint="eastAsia"/>
                <w:kern w:val="0"/>
                <w:sz w:val="24"/>
                <w:u w:val="single"/>
                <w:vertAlign w:val="superscript"/>
              </w:rPr>
              <w:t>3</w:t>
            </w:r>
            <w:r>
              <w:rPr>
                <w:rFonts w:hint="eastAsia"/>
                <w:kern w:val="0"/>
                <w:sz w:val="24"/>
                <w:u w:val="single"/>
              </w:rPr>
              <w:t>/h。（2）3#车间内4组拉丝机、2组覆膜机组共设搅拌机密闭集气罩6个，总风量为7631.4m</w:t>
            </w:r>
            <w:r>
              <w:rPr>
                <w:rFonts w:hint="eastAsia"/>
                <w:kern w:val="0"/>
                <w:sz w:val="24"/>
                <w:u w:val="single"/>
                <w:vertAlign w:val="superscript"/>
              </w:rPr>
              <w:t>3</w:t>
            </w:r>
            <w:r>
              <w:rPr>
                <w:rFonts w:hint="eastAsia"/>
                <w:kern w:val="0"/>
                <w:sz w:val="24"/>
                <w:u w:val="single"/>
              </w:rPr>
              <w:t>/h。</w:t>
            </w:r>
            <w:r>
              <w:rPr>
                <w:kern w:val="0"/>
                <w:sz w:val="24"/>
                <w:u w:val="single"/>
              </w:rPr>
              <w:t>考虑风管及环保设施风阻，风量以计算风量的1.</w:t>
            </w:r>
            <w:r>
              <w:rPr>
                <w:rFonts w:hint="eastAsia"/>
                <w:kern w:val="0"/>
                <w:sz w:val="24"/>
                <w:u w:val="single"/>
              </w:rPr>
              <w:t>1</w:t>
            </w:r>
            <w:r>
              <w:rPr>
                <w:kern w:val="0"/>
                <w:sz w:val="24"/>
                <w:u w:val="single"/>
              </w:rPr>
              <w:t>倍进行计算，</w:t>
            </w:r>
            <w:r>
              <w:rPr>
                <w:sz w:val="24"/>
                <w:u w:val="single"/>
              </w:rPr>
              <w:t>因此</w:t>
            </w:r>
            <w:r>
              <w:rPr>
                <w:rFonts w:hint="eastAsia"/>
                <w:kern w:val="0"/>
                <w:sz w:val="24"/>
                <w:u w:val="single"/>
              </w:rPr>
              <w:t>2#车间内2组拉丝机组搅拌机2个密闭集气罩风量以2800m</w:t>
            </w:r>
            <w:r>
              <w:rPr>
                <w:rFonts w:hint="eastAsia"/>
                <w:kern w:val="0"/>
                <w:sz w:val="24"/>
                <w:u w:val="single"/>
                <w:vertAlign w:val="superscript"/>
              </w:rPr>
              <w:t>3</w:t>
            </w:r>
            <w:r>
              <w:rPr>
                <w:rFonts w:hint="eastAsia"/>
                <w:kern w:val="0"/>
                <w:sz w:val="24"/>
                <w:u w:val="single"/>
              </w:rPr>
              <w:t>/h计，3#车间内4组拉丝机、2组覆膜机组搅拌机6个密闭集气罩风量以8500m</w:t>
            </w:r>
            <w:r>
              <w:rPr>
                <w:rFonts w:hint="eastAsia"/>
                <w:kern w:val="0"/>
                <w:sz w:val="24"/>
                <w:u w:val="single"/>
                <w:vertAlign w:val="superscript"/>
              </w:rPr>
              <w:t>3</w:t>
            </w:r>
            <w:r>
              <w:rPr>
                <w:rFonts w:hint="eastAsia"/>
                <w:kern w:val="0"/>
                <w:sz w:val="24"/>
                <w:u w:val="single"/>
              </w:rPr>
              <w:t>/h计。</w:t>
            </w:r>
          </w:p>
          <w:p>
            <w:pPr>
              <w:spacing w:line="360" w:lineRule="auto"/>
              <w:rPr>
                <w:b/>
                <w:sz w:val="24"/>
              </w:rPr>
            </w:pPr>
            <w:r>
              <w:rPr>
                <w:rFonts w:hint="eastAsia"/>
                <w:b/>
                <w:sz w:val="24"/>
              </w:rPr>
              <w:t>1.2拉丝、覆膜生产过程产生的有机废气</w:t>
            </w:r>
          </w:p>
          <w:p>
            <w:pPr>
              <w:spacing w:line="360" w:lineRule="auto"/>
              <w:ind w:firstLine="480" w:firstLineChars="200"/>
              <w:rPr>
                <w:bCs/>
                <w:sz w:val="24"/>
              </w:rPr>
            </w:pPr>
            <w:r>
              <w:rPr>
                <w:rFonts w:hint="eastAsia"/>
                <w:sz w:val="24"/>
              </w:rPr>
              <w:t>针对拉丝机组、覆膜机运行过程中产生的有机废气，建设单位拟配套建设：（1）在</w:t>
            </w:r>
            <w:r>
              <w:rPr>
                <w:rFonts w:hint="eastAsia"/>
                <w:bCs/>
                <w:sz w:val="24"/>
              </w:rPr>
              <w:t>拉丝机的挤出工序上方设置集气罩，拉丝机组烘干工序进出口上方设置集气罩</w:t>
            </w:r>
            <w:r>
              <w:rPr>
                <w:rFonts w:hint="eastAsia"/>
                <w:sz w:val="24"/>
              </w:rPr>
              <w:t>；（2）覆膜机</w:t>
            </w:r>
            <w:r>
              <w:rPr>
                <w:rFonts w:hint="eastAsia"/>
                <w:bCs/>
                <w:sz w:val="24"/>
              </w:rPr>
              <w:t>挤出工序上方设置集气罩，</w:t>
            </w:r>
            <w:r>
              <w:rPr>
                <w:rFonts w:hint="eastAsia"/>
                <w:sz w:val="24"/>
              </w:rPr>
              <w:t>逸散的废气经集气罩收集，废气通过引风管</w:t>
            </w:r>
            <w:r>
              <w:rPr>
                <w:rFonts w:hint="eastAsia"/>
                <w:bCs/>
                <w:sz w:val="24"/>
              </w:rPr>
              <w:t>连接到主风管，每根引风管设置阀门；</w:t>
            </w:r>
            <w:r>
              <w:rPr>
                <w:sz w:val="24"/>
              </w:rPr>
              <w:t>废气通过引风管连接到主风管</w:t>
            </w:r>
            <w:r>
              <w:rPr>
                <w:rFonts w:hint="eastAsia"/>
                <w:sz w:val="24"/>
              </w:rPr>
              <w:t>；（3）2#车间内2组拉丝机组运行过程中产生的有机废气</w:t>
            </w:r>
            <w:r>
              <w:rPr>
                <w:rFonts w:hint="eastAsia"/>
                <w:bCs/>
                <w:sz w:val="24"/>
              </w:rPr>
              <w:t>汇集后</w:t>
            </w:r>
            <w:r>
              <w:rPr>
                <w:rFonts w:hint="eastAsia"/>
                <w:sz w:val="24"/>
              </w:rPr>
              <w:t>通过</w:t>
            </w:r>
            <w:r>
              <w:rPr>
                <w:rFonts w:hint="eastAsia"/>
                <w:bCs/>
                <w:sz w:val="24"/>
              </w:rPr>
              <w:t>“光氧催化+活性炭吸附装置”</w:t>
            </w:r>
            <w:r>
              <w:rPr>
                <w:rFonts w:hint="eastAsia"/>
                <w:sz w:val="24"/>
              </w:rPr>
              <w:t>处理</w:t>
            </w:r>
            <w:r>
              <w:rPr>
                <w:rFonts w:hint="eastAsia"/>
                <w:bCs/>
                <w:sz w:val="24"/>
              </w:rPr>
              <w:t>，处理后废气通过1根15m高排气筒排放。（4）3#车间内4组</w:t>
            </w:r>
            <w:r>
              <w:rPr>
                <w:rFonts w:hint="eastAsia"/>
                <w:sz w:val="24"/>
              </w:rPr>
              <w:t>拉丝机组、2组覆膜机运行过程中产生的有机废气</w:t>
            </w:r>
            <w:r>
              <w:rPr>
                <w:rFonts w:hint="eastAsia"/>
                <w:bCs/>
                <w:sz w:val="24"/>
              </w:rPr>
              <w:t>汇集后</w:t>
            </w:r>
            <w:r>
              <w:rPr>
                <w:rFonts w:hint="eastAsia"/>
                <w:sz w:val="24"/>
              </w:rPr>
              <w:t>通过</w:t>
            </w:r>
            <w:r>
              <w:rPr>
                <w:rFonts w:hint="eastAsia"/>
                <w:bCs/>
                <w:sz w:val="24"/>
              </w:rPr>
              <w:t>“光氧催化+活性炭吸附装置”</w:t>
            </w:r>
            <w:r>
              <w:rPr>
                <w:rFonts w:hint="eastAsia"/>
                <w:sz w:val="24"/>
              </w:rPr>
              <w:t>处理</w:t>
            </w:r>
            <w:r>
              <w:rPr>
                <w:rFonts w:hint="eastAsia"/>
                <w:bCs/>
                <w:sz w:val="24"/>
              </w:rPr>
              <w:t>，处理后废气通过1根15m高排气筒排放。</w:t>
            </w:r>
          </w:p>
          <w:p>
            <w:pPr>
              <w:spacing w:line="360" w:lineRule="auto"/>
              <w:ind w:firstLine="480" w:firstLineChars="200"/>
              <w:rPr>
                <w:sz w:val="24"/>
                <w:u w:val="single"/>
              </w:rPr>
            </w:pPr>
            <w:r>
              <w:rPr>
                <w:rFonts w:hint="eastAsia"/>
                <w:sz w:val="24"/>
                <w:u w:val="single"/>
              </w:rPr>
              <w:t>参考现有工程拉丝机挤出工段、烘干工段集气罩规格，拉丝机挤出工段设</w:t>
            </w:r>
            <w:r>
              <w:rPr>
                <w:rFonts w:hint="eastAsia"/>
                <w:kern w:val="0"/>
                <w:sz w:val="24"/>
                <w:u w:val="single"/>
              </w:rPr>
              <w:t>3m</w:t>
            </w:r>
            <w:r>
              <w:rPr>
                <w:rFonts w:hint="eastAsia" w:ascii="宋体" w:hAnsi="宋体"/>
                <w:kern w:val="0"/>
                <w:sz w:val="24"/>
                <w:u w:val="single"/>
              </w:rPr>
              <w:t>×</w:t>
            </w:r>
            <w:r>
              <w:rPr>
                <w:rFonts w:hint="eastAsia"/>
                <w:kern w:val="0"/>
                <w:sz w:val="24"/>
                <w:u w:val="single"/>
              </w:rPr>
              <w:t>1m集气罩，</w:t>
            </w:r>
            <w:r>
              <w:rPr>
                <w:rFonts w:hint="eastAsia"/>
                <w:sz w:val="24"/>
                <w:u w:val="single"/>
              </w:rPr>
              <w:t>烘干工段进出口设</w:t>
            </w:r>
            <w:r>
              <w:rPr>
                <w:rFonts w:hint="eastAsia"/>
                <w:kern w:val="0"/>
                <w:sz w:val="24"/>
                <w:u w:val="single"/>
              </w:rPr>
              <w:t>3m</w:t>
            </w:r>
            <w:r>
              <w:rPr>
                <w:rFonts w:hint="eastAsia" w:ascii="宋体" w:hAnsi="宋体"/>
                <w:kern w:val="0"/>
                <w:sz w:val="24"/>
                <w:u w:val="single"/>
              </w:rPr>
              <w:t>×</w:t>
            </w:r>
            <w:r>
              <w:rPr>
                <w:rFonts w:hint="eastAsia"/>
                <w:kern w:val="0"/>
                <w:sz w:val="24"/>
                <w:u w:val="single"/>
              </w:rPr>
              <w:t>0.3m集气罩；覆膜机</w:t>
            </w:r>
            <w:r>
              <w:rPr>
                <w:rFonts w:hint="eastAsia"/>
                <w:sz w:val="24"/>
                <w:u w:val="single"/>
              </w:rPr>
              <w:t>挤出工段</w:t>
            </w:r>
            <w:r>
              <w:rPr>
                <w:rFonts w:hint="eastAsia"/>
                <w:kern w:val="0"/>
                <w:sz w:val="24"/>
                <w:u w:val="single"/>
              </w:rPr>
              <w:t>3m</w:t>
            </w:r>
            <w:r>
              <w:rPr>
                <w:rFonts w:hint="eastAsia" w:ascii="宋体" w:hAnsi="宋体"/>
                <w:kern w:val="0"/>
                <w:sz w:val="24"/>
                <w:u w:val="single"/>
              </w:rPr>
              <w:t>×</w:t>
            </w:r>
            <w:r>
              <w:rPr>
                <w:rFonts w:hint="eastAsia"/>
                <w:kern w:val="0"/>
                <w:sz w:val="24"/>
                <w:u w:val="single"/>
              </w:rPr>
              <w:t>1m集气罩，</w:t>
            </w:r>
            <w:r>
              <w:rPr>
                <w:rFonts w:hint="eastAsia"/>
                <w:sz w:val="24"/>
                <w:u w:val="single"/>
              </w:rPr>
              <w:t>根据《环境工程技术手册 废气处理工程技术手册》第十七章净化系统的设计：排气罩排风量的计算，上部扇形罩、冷态排气量计算公式：Q=1.4pHv，</w:t>
            </w:r>
            <w:r>
              <w:rPr>
                <w:rFonts w:hint="eastAsia"/>
                <w:kern w:val="0"/>
                <w:sz w:val="24"/>
                <w:u w:val="single"/>
              </w:rPr>
              <w:t>三侧有围挡时，</w:t>
            </w:r>
            <w:r>
              <w:rPr>
                <w:rFonts w:hint="eastAsia"/>
                <w:sz w:val="24"/>
                <w:u w:val="single"/>
              </w:rPr>
              <w:t>排气量计算公式：Q=WHv或Q=BHv</w:t>
            </w:r>
          </w:p>
          <w:p>
            <w:pPr>
              <w:spacing w:line="360" w:lineRule="auto"/>
              <w:ind w:firstLine="480" w:firstLineChars="200"/>
              <w:rPr>
                <w:kern w:val="0"/>
                <w:sz w:val="24"/>
                <w:u w:val="single"/>
              </w:rPr>
            </w:pPr>
            <w:r>
              <w:rPr>
                <w:kern w:val="0"/>
                <w:sz w:val="24"/>
                <w:u w:val="single"/>
              </w:rPr>
              <w:t>P</w:t>
            </w:r>
            <w:r>
              <w:rPr>
                <w:bCs/>
                <w:kern w:val="0"/>
                <w:sz w:val="24"/>
                <w:u w:val="single"/>
              </w:rPr>
              <w:t>—</w:t>
            </w:r>
            <w:r>
              <w:rPr>
                <w:rFonts w:hint="eastAsia"/>
                <w:kern w:val="0"/>
                <w:sz w:val="24"/>
                <w:u w:val="single"/>
              </w:rPr>
              <w:t>为罩口周长，W为罩口长度，B为罩口宽度，m；</w:t>
            </w:r>
          </w:p>
          <w:p>
            <w:pPr>
              <w:spacing w:line="360" w:lineRule="auto"/>
              <w:ind w:firstLine="480" w:firstLineChars="200"/>
              <w:rPr>
                <w:sz w:val="24"/>
                <w:u w:val="single"/>
              </w:rPr>
            </w:pPr>
            <w:r>
              <w:rPr>
                <w:rFonts w:hint="eastAsia"/>
                <w:kern w:val="0"/>
                <w:sz w:val="24"/>
                <w:u w:val="single"/>
              </w:rPr>
              <w:t>H</w:t>
            </w:r>
            <w:r>
              <w:rPr>
                <w:bCs/>
                <w:kern w:val="0"/>
                <w:sz w:val="24"/>
                <w:u w:val="single"/>
              </w:rPr>
              <w:t>—</w:t>
            </w:r>
            <w:r>
              <w:rPr>
                <w:rFonts w:hint="eastAsia"/>
                <w:kern w:val="0"/>
                <w:sz w:val="24"/>
                <w:u w:val="single"/>
              </w:rPr>
              <w:t>污染源至罩口的距离，m；拉丝机挤出工段、</w:t>
            </w:r>
            <w:r>
              <w:rPr>
                <w:rFonts w:hint="eastAsia"/>
                <w:sz w:val="24"/>
                <w:u w:val="single"/>
              </w:rPr>
              <w:t>烘干工段进出口、覆膜机挤出工段</w:t>
            </w:r>
            <w:r>
              <w:rPr>
                <w:rFonts w:hint="eastAsia"/>
                <w:kern w:val="0"/>
                <w:sz w:val="24"/>
                <w:u w:val="single"/>
              </w:rPr>
              <w:t>集气罩四边设置软帘，</w:t>
            </w:r>
            <w:r>
              <w:rPr>
                <w:rFonts w:hint="eastAsia"/>
                <w:sz w:val="24"/>
                <w:u w:val="single"/>
              </w:rPr>
              <w:t>烘干工段三侧设围挡，生产线运行方向一侧设软帘，</w:t>
            </w:r>
            <w:r>
              <w:rPr>
                <w:rFonts w:hint="eastAsia"/>
                <w:kern w:val="0"/>
                <w:sz w:val="24"/>
                <w:u w:val="single"/>
              </w:rPr>
              <w:t>H=0.1m；</w:t>
            </w:r>
          </w:p>
          <w:p>
            <w:pPr>
              <w:spacing w:line="360" w:lineRule="auto"/>
              <w:ind w:firstLine="480" w:firstLineChars="200"/>
              <w:rPr>
                <w:kern w:val="0"/>
                <w:sz w:val="24"/>
                <w:u w:val="single"/>
              </w:rPr>
            </w:pPr>
            <w:r>
              <w:rPr>
                <w:rFonts w:hint="eastAsia"/>
                <w:kern w:val="0"/>
                <w:sz w:val="24"/>
                <w:u w:val="single"/>
              </w:rPr>
              <w:t>v</w:t>
            </w:r>
            <w:r>
              <w:rPr>
                <w:bCs/>
                <w:kern w:val="0"/>
                <w:sz w:val="24"/>
                <w:u w:val="single"/>
              </w:rPr>
              <w:t>—</w:t>
            </w:r>
            <w:r>
              <w:rPr>
                <w:rFonts w:hint="eastAsia"/>
                <w:bCs/>
                <w:kern w:val="0"/>
                <w:sz w:val="24"/>
                <w:u w:val="single"/>
              </w:rPr>
              <w:t>罩口风速0.25~0.5m/s</w:t>
            </w:r>
            <w:r>
              <w:rPr>
                <w:rFonts w:hint="eastAsia"/>
                <w:kern w:val="0"/>
                <w:sz w:val="24"/>
                <w:u w:val="single"/>
              </w:rPr>
              <w:t>，本项目取0.5m/s。</w:t>
            </w:r>
          </w:p>
          <w:p>
            <w:pPr>
              <w:spacing w:line="360" w:lineRule="auto"/>
              <w:ind w:firstLine="480"/>
              <w:rPr>
                <w:kern w:val="0"/>
                <w:sz w:val="24"/>
                <w:u w:val="single"/>
              </w:rPr>
            </w:pPr>
            <w:r>
              <w:rPr>
                <w:rFonts w:hint="eastAsia"/>
                <w:kern w:val="0"/>
                <w:sz w:val="24"/>
                <w:u w:val="single"/>
              </w:rPr>
              <w:t>由此计算出挤出工段单个集气罩的风量为0.56m</w:t>
            </w:r>
            <w:r>
              <w:rPr>
                <w:rFonts w:hint="eastAsia"/>
                <w:kern w:val="0"/>
                <w:sz w:val="24"/>
                <w:u w:val="single"/>
                <w:vertAlign w:val="superscript"/>
              </w:rPr>
              <w:t>3</w:t>
            </w:r>
            <w:r>
              <w:rPr>
                <w:rFonts w:hint="eastAsia"/>
                <w:kern w:val="0"/>
                <w:sz w:val="24"/>
                <w:u w:val="single"/>
              </w:rPr>
              <w:t>/s，即2016m</w:t>
            </w:r>
            <w:r>
              <w:rPr>
                <w:rFonts w:hint="eastAsia"/>
                <w:kern w:val="0"/>
                <w:sz w:val="24"/>
                <w:u w:val="single"/>
                <w:vertAlign w:val="superscript"/>
              </w:rPr>
              <w:t>3</w:t>
            </w:r>
            <w:r>
              <w:rPr>
                <w:rFonts w:hint="eastAsia"/>
                <w:kern w:val="0"/>
                <w:sz w:val="24"/>
                <w:u w:val="single"/>
              </w:rPr>
              <w:t>/h。烘干工段单个集气罩风量为0.15m</w:t>
            </w:r>
            <w:r>
              <w:rPr>
                <w:rFonts w:hint="eastAsia"/>
                <w:kern w:val="0"/>
                <w:sz w:val="24"/>
                <w:u w:val="single"/>
                <w:vertAlign w:val="superscript"/>
              </w:rPr>
              <w:t>3</w:t>
            </w:r>
            <w:r>
              <w:rPr>
                <w:rFonts w:hint="eastAsia"/>
                <w:kern w:val="0"/>
                <w:sz w:val="24"/>
                <w:u w:val="single"/>
              </w:rPr>
              <w:t>/s，即540m</w:t>
            </w:r>
            <w:r>
              <w:rPr>
                <w:rFonts w:hint="eastAsia"/>
                <w:kern w:val="0"/>
                <w:sz w:val="24"/>
                <w:u w:val="single"/>
                <w:vertAlign w:val="superscript"/>
              </w:rPr>
              <w:t>3</w:t>
            </w:r>
            <w:r>
              <w:rPr>
                <w:rFonts w:hint="eastAsia"/>
                <w:kern w:val="0"/>
                <w:sz w:val="24"/>
                <w:u w:val="single"/>
              </w:rPr>
              <w:t>/h。</w:t>
            </w:r>
            <w:r>
              <w:rPr>
                <w:rFonts w:hint="eastAsia"/>
                <w:kern w:val="0"/>
                <w:sz w:val="24"/>
              </w:rPr>
              <w:t>（1）2#车间内2组拉丝机挤出工段、烘干工段进出口共设集气罩6个，有机废气集气罩总风量以6192m</w:t>
            </w:r>
            <w:r>
              <w:rPr>
                <w:rFonts w:hint="eastAsia"/>
                <w:kern w:val="0"/>
                <w:sz w:val="24"/>
                <w:vertAlign w:val="superscript"/>
              </w:rPr>
              <w:t>3</w:t>
            </w:r>
            <w:r>
              <w:rPr>
                <w:rFonts w:hint="eastAsia"/>
                <w:kern w:val="0"/>
                <w:sz w:val="24"/>
              </w:rPr>
              <w:t>/h计</w:t>
            </w:r>
            <w:r>
              <w:rPr>
                <w:rFonts w:hint="eastAsia"/>
                <w:sz w:val="24"/>
              </w:rPr>
              <w:t>。（2）3#车间内</w:t>
            </w:r>
            <w:r>
              <w:rPr>
                <w:rFonts w:hint="eastAsia"/>
                <w:kern w:val="0"/>
                <w:sz w:val="24"/>
              </w:rPr>
              <w:t>4组拉丝机挤出工段、烘干工段进出口共设集气罩12个，2组覆膜机挤出工段共设集气罩2个。则4组拉丝机组+2组覆膜机有机废气集气罩总风量以16416m</w:t>
            </w:r>
            <w:r>
              <w:rPr>
                <w:rFonts w:hint="eastAsia"/>
                <w:kern w:val="0"/>
                <w:sz w:val="24"/>
                <w:vertAlign w:val="superscript"/>
              </w:rPr>
              <w:t>3</w:t>
            </w:r>
            <w:r>
              <w:rPr>
                <w:rFonts w:hint="eastAsia"/>
                <w:kern w:val="0"/>
                <w:sz w:val="24"/>
              </w:rPr>
              <w:t>/h计</w:t>
            </w:r>
            <w:r>
              <w:rPr>
                <w:rFonts w:hint="eastAsia"/>
                <w:sz w:val="24"/>
              </w:rPr>
              <w:t>。</w:t>
            </w:r>
            <w:r>
              <w:rPr>
                <w:kern w:val="0"/>
                <w:sz w:val="24"/>
                <w:u w:val="single"/>
              </w:rPr>
              <w:t>考虑风管及环保设施风阻，风量以计算风量的1.</w:t>
            </w:r>
            <w:r>
              <w:rPr>
                <w:rFonts w:hint="eastAsia"/>
                <w:kern w:val="0"/>
                <w:sz w:val="24"/>
                <w:u w:val="single"/>
              </w:rPr>
              <w:t>1</w:t>
            </w:r>
            <w:r>
              <w:rPr>
                <w:kern w:val="0"/>
                <w:sz w:val="24"/>
                <w:u w:val="single"/>
              </w:rPr>
              <w:t>倍进行计算，</w:t>
            </w:r>
            <w:r>
              <w:rPr>
                <w:sz w:val="24"/>
                <w:u w:val="single"/>
              </w:rPr>
              <w:t>因此</w:t>
            </w:r>
            <w:r>
              <w:rPr>
                <w:rFonts w:hint="eastAsia"/>
                <w:kern w:val="0"/>
                <w:sz w:val="24"/>
                <w:u w:val="single"/>
              </w:rPr>
              <w:t>2#车间内2组拉丝机组挤出、烘干工段集气罩风量以6800m</w:t>
            </w:r>
            <w:r>
              <w:rPr>
                <w:rFonts w:hint="eastAsia"/>
                <w:kern w:val="0"/>
                <w:sz w:val="24"/>
                <w:u w:val="single"/>
                <w:vertAlign w:val="superscript"/>
              </w:rPr>
              <w:t>3</w:t>
            </w:r>
            <w:r>
              <w:rPr>
                <w:rFonts w:hint="eastAsia"/>
                <w:kern w:val="0"/>
                <w:sz w:val="24"/>
                <w:u w:val="single"/>
              </w:rPr>
              <w:t>/h计，3#车间内4组拉丝机、2组覆膜机组挤出、烘干集气罩风量以18000m</w:t>
            </w:r>
            <w:r>
              <w:rPr>
                <w:rFonts w:hint="eastAsia"/>
                <w:kern w:val="0"/>
                <w:sz w:val="24"/>
                <w:u w:val="single"/>
                <w:vertAlign w:val="superscript"/>
              </w:rPr>
              <w:t>3</w:t>
            </w:r>
            <w:r>
              <w:rPr>
                <w:rFonts w:hint="eastAsia"/>
                <w:kern w:val="0"/>
                <w:sz w:val="24"/>
                <w:u w:val="single"/>
              </w:rPr>
              <w:t>/h计。</w:t>
            </w:r>
          </w:p>
          <w:p>
            <w:pPr>
              <w:spacing w:line="360" w:lineRule="auto"/>
              <w:ind w:firstLine="480" w:firstLineChars="200"/>
              <w:rPr>
                <w:sz w:val="24"/>
              </w:rPr>
            </w:pPr>
            <w:r>
              <w:rPr>
                <w:rFonts w:hint="eastAsia"/>
                <w:bCs/>
                <w:sz w:val="24"/>
              </w:rPr>
              <w:t>本项目</w:t>
            </w:r>
            <w:r>
              <w:rPr>
                <w:rFonts w:hint="eastAsia"/>
                <w:kern w:val="0"/>
                <w:sz w:val="24"/>
              </w:rPr>
              <w:t>拉丝机挤出工段、烘干工段、覆膜机挤出工段集气罩</w:t>
            </w:r>
            <w:r>
              <w:rPr>
                <w:rFonts w:hint="eastAsia"/>
                <w:sz w:val="24"/>
              </w:rPr>
              <w:t>对废气的收集效率以90%计，</w:t>
            </w:r>
            <w:r>
              <w:rPr>
                <w:rFonts w:hint="eastAsia"/>
                <w:bCs/>
                <w:sz w:val="24"/>
              </w:rPr>
              <w:t>“光氧催化+活性炭吸附装置”</w:t>
            </w:r>
            <w:r>
              <w:rPr>
                <w:rFonts w:hint="eastAsia"/>
                <w:sz w:val="24"/>
              </w:rPr>
              <w:t>处理效率为80</w:t>
            </w:r>
            <w:r>
              <w:rPr>
                <w:sz w:val="24"/>
              </w:rPr>
              <w:t>%</w:t>
            </w:r>
            <w:r>
              <w:rPr>
                <w:rFonts w:hint="eastAsia"/>
                <w:sz w:val="24"/>
              </w:rPr>
              <w:t>计。</w:t>
            </w:r>
            <w:r>
              <w:rPr>
                <w:rFonts w:hint="eastAsia"/>
                <w:kern w:val="0"/>
                <w:sz w:val="24"/>
              </w:rPr>
              <w:t>拉丝机、覆膜机</w:t>
            </w:r>
            <w:r>
              <w:rPr>
                <w:bCs/>
                <w:sz w:val="24"/>
              </w:rPr>
              <w:t>年工作</w:t>
            </w:r>
            <w:r>
              <w:rPr>
                <w:rFonts w:hint="eastAsia"/>
                <w:bCs/>
                <w:sz w:val="24"/>
              </w:rPr>
              <w:t>3040h/a。</w:t>
            </w:r>
            <w:r>
              <w:rPr>
                <w:rFonts w:hint="eastAsia"/>
                <w:sz w:val="24"/>
              </w:rPr>
              <w:t>则2#车间内2组拉丝机</w:t>
            </w:r>
            <w:r>
              <w:rPr>
                <w:bCs/>
                <w:sz w:val="24"/>
              </w:rPr>
              <w:t>经集气罩收集到的</w:t>
            </w:r>
            <w:r>
              <w:rPr>
                <w:rFonts w:hint="eastAsia"/>
                <w:bCs/>
                <w:sz w:val="24"/>
              </w:rPr>
              <w:t>有机废气</w:t>
            </w:r>
            <w:r>
              <w:rPr>
                <w:bCs/>
                <w:sz w:val="24"/>
              </w:rPr>
              <w:t>量为</w:t>
            </w:r>
            <w:r>
              <w:rPr>
                <w:rFonts w:hint="eastAsia"/>
                <w:bCs/>
                <w:sz w:val="24"/>
              </w:rPr>
              <w:t>0.6548</w:t>
            </w:r>
            <w:r>
              <w:rPr>
                <w:bCs/>
                <w:sz w:val="24"/>
              </w:rPr>
              <w:t>t/a，未被集气罩收集到的</w:t>
            </w:r>
            <w:r>
              <w:rPr>
                <w:rFonts w:hint="eastAsia"/>
                <w:bCs/>
                <w:sz w:val="24"/>
              </w:rPr>
              <w:t>有机废气</w:t>
            </w:r>
            <w:r>
              <w:rPr>
                <w:bCs/>
                <w:sz w:val="24"/>
              </w:rPr>
              <w:t>量为</w:t>
            </w:r>
            <w:r>
              <w:rPr>
                <w:rFonts w:hint="eastAsia"/>
                <w:bCs/>
                <w:sz w:val="24"/>
              </w:rPr>
              <w:t>0.0727</w:t>
            </w:r>
            <w:r>
              <w:rPr>
                <w:bCs/>
                <w:sz w:val="24"/>
              </w:rPr>
              <w:t>t/a</w:t>
            </w:r>
            <w:r>
              <w:rPr>
                <w:rFonts w:hint="eastAsia"/>
                <w:sz w:val="24"/>
              </w:rPr>
              <w:t>。3#车间内4组拉丝机、2组覆膜机</w:t>
            </w:r>
            <w:r>
              <w:rPr>
                <w:bCs/>
                <w:sz w:val="24"/>
              </w:rPr>
              <w:t>经集气罩收集到的</w:t>
            </w:r>
            <w:r>
              <w:rPr>
                <w:rFonts w:hint="eastAsia"/>
                <w:bCs/>
                <w:sz w:val="24"/>
              </w:rPr>
              <w:t>有机废气</w:t>
            </w:r>
            <w:r>
              <w:rPr>
                <w:bCs/>
                <w:sz w:val="24"/>
              </w:rPr>
              <w:t>量为</w:t>
            </w:r>
            <w:r>
              <w:rPr>
                <w:rFonts w:hint="eastAsia"/>
                <w:bCs/>
                <w:sz w:val="24"/>
              </w:rPr>
              <w:t>1.4902</w:t>
            </w:r>
            <w:r>
              <w:rPr>
                <w:bCs/>
                <w:sz w:val="24"/>
              </w:rPr>
              <w:t>t/a，未被集气罩收集到的</w:t>
            </w:r>
            <w:r>
              <w:rPr>
                <w:rFonts w:hint="eastAsia"/>
                <w:bCs/>
                <w:sz w:val="24"/>
              </w:rPr>
              <w:t>有机废气</w:t>
            </w:r>
            <w:r>
              <w:rPr>
                <w:bCs/>
                <w:sz w:val="24"/>
              </w:rPr>
              <w:t>量为</w:t>
            </w:r>
            <w:r>
              <w:rPr>
                <w:rFonts w:hint="eastAsia"/>
                <w:bCs/>
                <w:sz w:val="24"/>
              </w:rPr>
              <w:t>0.1656</w:t>
            </w:r>
            <w:r>
              <w:rPr>
                <w:bCs/>
                <w:sz w:val="24"/>
              </w:rPr>
              <w:t>t/a</w:t>
            </w:r>
            <w:r>
              <w:rPr>
                <w:rFonts w:hint="eastAsia"/>
                <w:sz w:val="24"/>
              </w:rPr>
              <w:t>。</w:t>
            </w:r>
          </w:p>
          <w:p>
            <w:pPr>
              <w:spacing w:line="360" w:lineRule="auto"/>
              <w:rPr>
                <w:sz w:val="24"/>
              </w:rPr>
            </w:pPr>
            <w:r>
              <w:rPr>
                <w:b/>
                <w:sz w:val="24"/>
              </w:rPr>
              <w:t>1.</w:t>
            </w:r>
            <w:r>
              <w:rPr>
                <w:rFonts w:hint="eastAsia"/>
                <w:b/>
                <w:sz w:val="24"/>
              </w:rPr>
              <w:t>3大气排放口</w:t>
            </w:r>
          </w:p>
          <w:p>
            <w:pPr>
              <w:pStyle w:val="14"/>
              <w:spacing w:line="360" w:lineRule="auto"/>
              <w:ind w:left="0" w:firstLine="480" w:firstLineChars="200"/>
              <w:rPr>
                <w:rFonts w:ascii="Times New Roman" w:hAnsi="Times New Roman"/>
                <w:sz w:val="24"/>
              </w:rPr>
            </w:pPr>
            <w:r>
              <w:rPr>
                <w:rFonts w:hint="eastAsia" w:ascii="Times New Roman" w:hAnsi="Times New Roman"/>
                <w:sz w:val="24"/>
              </w:rPr>
              <w:t>大气排放口信息见下表。</w:t>
            </w:r>
          </w:p>
          <w:p>
            <w:pPr>
              <w:pStyle w:val="53"/>
              <w:numPr>
                <w:ilvl w:val="0"/>
                <w:numId w:val="2"/>
              </w:numPr>
              <w:ind w:left="0" w:firstLine="0"/>
            </w:pPr>
            <w:r>
              <w:rPr>
                <w:rFonts w:hint="eastAsia"/>
              </w:rPr>
              <w:t>大气排放口基本信息表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1070"/>
              <w:gridCol w:w="1606"/>
              <w:gridCol w:w="936"/>
              <w:gridCol w:w="801"/>
              <w:gridCol w:w="799"/>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92" w:type="pct"/>
                  <w:vAlign w:val="center"/>
                </w:tcPr>
                <w:p>
                  <w:pPr>
                    <w:pStyle w:val="80"/>
                  </w:pPr>
                  <w:r>
                    <w:rPr>
                      <w:rFonts w:hint="eastAsia"/>
                    </w:rPr>
                    <w:t>排放口</w:t>
                  </w:r>
                </w:p>
              </w:tc>
              <w:tc>
                <w:tcPr>
                  <w:tcW w:w="675" w:type="pct"/>
                  <w:vAlign w:val="center"/>
                </w:tcPr>
                <w:p>
                  <w:pPr>
                    <w:pStyle w:val="80"/>
                  </w:pPr>
                  <w:r>
                    <w:rPr>
                      <w:rFonts w:hint="eastAsia"/>
                    </w:rPr>
                    <w:t>污染物</w:t>
                  </w:r>
                </w:p>
              </w:tc>
              <w:tc>
                <w:tcPr>
                  <w:tcW w:w="1013" w:type="pct"/>
                  <w:vAlign w:val="center"/>
                </w:tcPr>
                <w:p>
                  <w:pPr>
                    <w:pStyle w:val="80"/>
                  </w:pPr>
                  <w:r>
                    <w:rPr>
                      <w:rFonts w:hint="eastAsia"/>
                    </w:rPr>
                    <w:t>地理坐标</w:t>
                  </w:r>
                </w:p>
              </w:tc>
              <w:tc>
                <w:tcPr>
                  <w:tcW w:w="590" w:type="pct"/>
                  <w:vAlign w:val="center"/>
                </w:tcPr>
                <w:p>
                  <w:pPr>
                    <w:pStyle w:val="80"/>
                  </w:pPr>
                  <w:r>
                    <w:rPr>
                      <w:rFonts w:hint="eastAsia"/>
                    </w:rPr>
                    <w:t>高度m</w:t>
                  </w:r>
                </w:p>
              </w:tc>
              <w:tc>
                <w:tcPr>
                  <w:tcW w:w="505" w:type="pct"/>
                  <w:vAlign w:val="center"/>
                </w:tcPr>
                <w:p>
                  <w:pPr>
                    <w:pStyle w:val="80"/>
                  </w:pPr>
                  <w:r>
                    <w:rPr>
                      <w:rFonts w:hint="eastAsia"/>
                    </w:rPr>
                    <w:t>出口内径m</w:t>
                  </w:r>
                </w:p>
              </w:tc>
              <w:tc>
                <w:tcPr>
                  <w:tcW w:w="504" w:type="pct"/>
                  <w:vAlign w:val="center"/>
                </w:tcPr>
                <w:p>
                  <w:pPr>
                    <w:pStyle w:val="80"/>
                  </w:pPr>
                  <w:r>
                    <w:rPr>
                      <w:rFonts w:hint="eastAsia"/>
                    </w:rPr>
                    <w:t>温度</w:t>
                  </w:r>
                  <w:r>
                    <w:rPr>
                      <w:rFonts w:hint="eastAsia" w:ascii="宋体" w:hAnsi="宋体" w:cs="宋体"/>
                    </w:rPr>
                    <w:t>℃</w:t>
                  </w:r>
                </w:p>
              </w:tc>
              <w:tc>
                <w:tcPr>
                  <w:tcW w:w="621" w:type="pct"/>
                  <w:vAlign w:val="center"/>
                </w:tcPr>
                <w:p>
                  <w:pPr>
                    <w:pStyle w:val="80"/>
                  </w:pPr>
                  <w:r>
                    <w:rPr>
                      <w:rFonts w:hint="eastAsia"/>
                    </w:rPr>
                    <w:t>排放口</w:t>
                  </w:r>
                </w:p>
                <w:p>
                  <w:pPr>
                    <w:pStyle w:val="80"/>
                  </w:pPr>
                  <w:r>
                    <w:rPr>
                      <w:rFonts w:hint="eastAsia"/>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92" w:type="pct"/>
                  <w:vAlign w:val="center"/>
                </w:tcPr>
                <w:p>
                  <w:pPr>
                    <w:pStyle w:val="58"/>
                    <w:spacing w:line="320" w:lineRule="exact"/>
                  </w:pPr>
                  <w:r>
                    <w:rPr>
                      <w:rFonts w:hint="eastAsia"/>
                    </w:rPr>
                    <w:t>2#车间</w:t>
                  </w:r>
                  <w:r>
                    <w:rPr>
                      <w:rFonts w:hint="eastAsia"/>
                      <w:spacing w:val="-2"/>
                      <w:szCs w:val="21"/>
                    </w:rPr>
                    <w:t>光氧催化+活性炭吸附装置</w:t>
                  </w:r>
                  <w:r>
                    <w:rPr>
                      <w:rFonts w:hint="eastAsia"/>
                    </w:rPr>
                    <w:t>排气筒DA001</w:t>
                  </w:r>
                </w:p>
              </w:tc>
              <w:tc>
                <w:tcPr>
                  <w:tcW w:w="675" w:type="pct"/>
                  <w:vAlign w:val="center"/>
                </w:tcPr>
                <w:p>
                  <w:pPr>
                    <w:pStyle w:val="58"/>
                    <w:spacing w:line="320" w:lineRule="exact"/>
                  </w:pPr>
                  <w:r>
                    <w:rPr>
                      <w:rFonts w:hint="eastAsia"/>
                    </w:rPr>
                    <w:t>非甲烷总烃</w:t>
                  </w:r>
                </w:p>
              </w:tc>
              <w:tc>
                <w:tcPr>
                  <w:tcW w:w="1013" w:type="pct"/>
                  <w:vAlign w:val="center"/>
                </w:tcPr>
                <w:p>
                  <w:pPr>
                    <w:pStyle w:val="58"/>
                    <w:spacing w:line="320" w:lineRule="exact"/>
                    <w:rPr>
                      <w:szCs w:val="21"/>
                    </w:rPr>
                  </w:pPr>
                  <w:r>
                    <w:rPr>
                      <w:rFonts w:hint="eastAsia"/>
                      <w:szCs w:val="21"/>
                    </w:rPr>
                    <w:t>东经</w:t>
                  </w:r>
                  <w:r>
                    <w:rPr>
                      <w:szCs w:val="21"/>
                    </w:rPr>
                    <w:t>112.7273</w:t>
                  </w:r>
                  <w:r>
                    <w:rPr>
                      <w:rFonts w:hint="eastAsia"/>
                      <w:szCs w:val="21"/>
                    </w:rPr>
                    <w:t>°</w:t>
                  </w:r>
                </w:p>
                <w:p>
                  <w:pPr>
                    <w:spacing w:line="320" w:lineRule="exact"/>
                    <w:jc w:val="center"/>
                  </w:pPr>
                  <w:r>
                    <w:rPr>
                      <w:rFonts w:hint="eastAsia"/>
                      <w:szCs w:val="21"/>
                    </w:rPr>
                    <w:t>北纬</w:t>
                  </w:r>
                  <w:r>
                    <w:t>34.7404</w:t>
                  </w:r>
                  <w:r>
                    <w:rPr>
                      <w:rFonts w:hint="eastAsia"/>
                      <w:szCs w:val="21"/>
                    </w:rPr>
                    <w:t>°</w:t>
                  </w:r>
                </w:p>
              </w:tc>
              <w:tc>
                <w:tcPr>
                  <w:tcW w:w="590" w:type="pct"/>
                  <w:vAlign w:val="center"/>
                </w:tcPr>
                <w:p>
                  <w:pPr>
                    <w:pStyle w:val="58"/>
                    <w:spacing w:line="320" w:lineRule="exact"/>
                  </w:pPr>
                  <w:r>
                    <w:rPr>
                      <w:rFonts w:hint="eastAsia"/>
                    </w:rPr>
                    <w:t>15</w:t>
                  </w:r>
                </w:p>
              </w:tc>
              <w:tc>
                <w:tcPr>
                  <w:tcW w:w="505" w:type="pct"/>
                  <w:vAlign w:val="center"/>
                </w:tcPr>
                <w:p>
                  <w:pPr>
                    <w:pStyle w:val="58"/>
                    <w:spacing w:line="320" w:lineRule="exact"/>
                    <w:rPr>
                      <w:u w:val="single"/>
                    </w:rPr>
                  </w:pPr>
                  <w:r>
                    <w:rPr>
                      <w:rFonts w:hint="eastAsia"/>
                      <w:u w:val="single"/>
                    </w:rPr>
                    <w:t>0.4</w:t>
                  </w:r>
                </w:p>
              </w:tc>
              <w:tc>
                <w:tcPr>
                  <w:tcW w:w="504" w:type="pct"/>
                  <w:vAlign w:val="center"/>
                </w:tcPr>
                <w:p>
                  <w:pPr>
                    <w:pStyle w:val="58"/>
                    <w:spacing w:line="320" w:lineRule="exact"/>
                  </w:pPr>
                  <w:r>
                    <w:rPr>
                      <w:rFonts w:hint="eastAsia"/>
                    </w:rPr>
                    <w:t>20</w:t>
                  </w:r>
                </w:p>
              </w:tc>
              <w:tc>
                <w:tcPr>
                  <w:tcW w:w="621" w:type="pct"/>
                  <w:vAlign w:val="center"/>
                </w:tcPr>
                <w:p>
                  <w:pPr>
                    <w:pStyle w:val="58"/>
                    <w:spacing w:line="320" w:lineRule="exact"/>
                    <w:rPr>
                      <w:szCs w:val="21"/>
                    </w:rPr>
                  </w:pPr>
                  <w:r>
                    <w:rPr>
                      <w:rFonts w:hint="eastAsia"/>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92" w:type="pct"/>
                  <w:vAlign w:val="center"/>
                </w:tcPr>
                <w:p>
                  <w:pPr>
                    <w:pStyle w:val="58"/>
                    <w:spacing w:line="320" w:lineRule="exact"/>
                  </w:pPr>
                  <w:r>
                    <w:rPr>
                      <w:rFonts w:hint="eastAsia"/>
                    </w:rPr>
                    <w:t>2#车间袋式除尘器排气筒DA002</w:t>
                  </w:r>
                </w:p>
              </w:tc>
              <w:tc>
                <w:tcPr>
                  <w:tcW w:w="675" w:type="pct"/>
                  <w:vAlign w:val="center"/>
                </w:tcPr>
                <w:p>
                  <w:pPr>
                    <w:pStyle w:val="58"/>
                    <w:spacing w:line="320" w:lineRule="exact"/>
                  </w:pPr>
                  <w:r>
                    <w:rPr>
                      <w:rFonts w:hint="eastAsia"/>
                    </w:rPr>
                    <w:t>颗粒物</w:t>
                  </w:r>
                </w:p>
              </w:tc>
              <w:tc>
                <w:tcPr>
                  <w:tcW w:w="1013" w:type="pct"/>
                  <w:vAlign w:val="center"/>
                </w:tcPr>
                <w:p>
                  <w:pPr>
                    <w:pStyle w:val="58"/>
                    <w:spacing w:line="320" w:lineRule="exact"/>
                    <w:rPr>
                      <w:szCs w:val="21"/>
                    </w:rPr>
                  </w:pPr>
                  <w:r>
                    <w:rPr>
                      <w:rFonts w:hint="eastAsia"/>
                      <w:szCs w:val="21"/>
                    </w:rPr>
                    <w:t>东经</w:t>
                  </w:r>
                  <w:r>
                    <w:rPr>
                      <w:szCs w:val="21"/>
                    </w:rPr>
                    <w:t>112.727</w:t>
                  </w:r>
                  <w:r>
                    <w:rPr>
                      <w:rFonts w:hint="eastAsia"/>
                      <w:szCs w:val="21"/>
                    </w:rPr>
                    <w:t>4°北纬</w:t>
                  </w:r>
                  <w:r>
                    <w:rPr>
                      <w:szCs w:val="21"/>
                    </w:rPr>
                    <w:t>34.740</w:t>
                  </w:r>
                  <w:r>
                    <w:rPr>
                      <w:rFonts w:hint="eastAsia"/>
                      <w:szCs w:val="21"/>
                    </w:rPr>
                    <w:t>5°</w:t>
                  </w:r>
                </w:p>
              </w:tc>
              <w:tc>
                <w:tcPr>
                  <w:tcW w:w="590" w:type="pct"/>
                  <w:vAlign w:val="center"/>
                </w:tcPr>
                <w:p>
                  <w:pPr>
                    <w:pStyle w:val="58"/>
                    <w:spacing w:line="320" w:lineRule="exact"/>
                  </w:pPr>
                  <w:r>
                    <w:rPr>
                      <w:rFonts w:hint="eastAsia"/>
                    </w:rPr>
                    <w:t>15</w:t>
                  </w:r>
                </w:p>
              </w:tc>
              <w:tc>
                <w:tcPr>
                  <w:tcW w:w="505" w:type="pct"/>
                  <w:vAlign w:val="center"/>
                </w:tcPr>
                <w:p>
                  <w:pPr>
                    <w:pStyle w:val="58"/>
                    <w:spacing w:line="320" w:lineRule="exact"/>
                    <w:rPr>
                      <w:u w:val="single"/>
                    </w:rPr>
                  </w:pPr>
                  <w:r>
                    <w:rPr>
                      <w:rFonts w:hint="eastAsia"/>
                      <w:u w:val="single"/>
                    </w:rPr>
                    <w:t>0.3</w:t>
                  </w:r>
                </w:p>
              </w:tc>
              <w:tc>
                <w:tcPr>
                  <w:tcW w:w="504" w:type="pct"/>
                  <w:vAlign w:val="center"/>
                </w:tcPr>
                <w:p>
                  <w:pPr>
                    <w:pStyle w:val="58"/>
                    <w:spacing w:line="320" w:lineRule="exact"/>
                  </w:pPr>
                  <w:r>
                    <w:rPr>
                      <w:rFonts w:hint="eastAsia"/>
                    </w:rPr>
                    <w:t>20</w:t>
                  </w:r>
                </w:p>
              </w:tc>
              <w:tc>
                <w:tcPr>
                  <w:tcW w:w="621" w:type="pct"/>
                  <w:vAlign w:val="center"/>
                </w:tcPr>
                <w:p>
                  <w:pPr>
                    <w:pStyle w:val="58"/>
                    <w:spacing w:line="320" w:lineRule="exact"/>
                    <w:rPr>
                      <w:szCs w:val="21"/>
                    </w:rPr>
                  </w:pPr>
                  <w:r>
                    <w:rPr>
                      <w:rFonts w:hint="eastAsia"/>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92" w:type="pct"/>
                  <w:vAlign w:val="center"/>
                </w:tcPr>
                <w:p>
                  <w:pPr>
                    <w:pStyle w:val="58"/>
                    <w:spacing w:line="320" w:lineRule="exact"/>
                  </w:pPr>
                  <w:r>
                    <w:rPr>
                      <w:rFonts w:hint="eastAsia"/>
                    </w:rPr>
                    <w:t>3#车间</w:t>
                  </w:r>
                  <w:r>
                    <w:rPr>
                      <w:rFonts w:hint="eastAsia"/>
                      <w:spacing w:val="-2"/>
                      <w:szCs w:val="21"/>
                    </w:rPr>
                    <w:t>光氧催化+活性炭吸附装置</w:t>
                  </w:r>
                  <w:r>
                    <w:rPr>
                      <w:rFonts w:hint="eastAsia"/>
                    </w:rPr>
                    <w:t>排气筒DA003</w:t>
                  </w:r>
                </w:p>
              </w:tc>
              <w:tc>
                <w:tcPr>
                  <w:tcW w:w="675" w:type="pct"/>
                  <w:vAlign w:val="center"/>
                </w:tcPr>
                <w:p>
                  <w:pPr>
                    <w:pStyle w:val="58"/>
                    <w:spacing w:line="320" w:lineRule="exact"/>
                  </w:pPr>
                  <w:r>
                    <w:rPr>
                      <w:rFonts w:hint="eastAsia"/>
                    </w:rPr>
                    <w:t>非甲烷总烃</w:t>
                  </w:r>
                </w:p>
              </w:tc>
              <w:tc>
                <w:tcPr>
                  <w:tcW w:w="1013" w:type="pct"/>
                  <w:vAlign w:val="center"/>
                </w:tcPr>
                <w:p>
                  <w:pPr>
                    <w:pStyle w:val="58"/>
                    <w:spacing w:line="320" w:lineRule="exact"/>
                    <w:rPr>
                      <w:szCs w:val="21"/>
                    </w:rPr>
                  </w:pPr>
                  <w:r>
                    <w:rPr>
                      <w:rFonts w:hint="eastAsia"/>
                      <w:szCs w:val="21"/>
                    </w:rPr>
                    <w:t>东经</w:t>
                  </w:r>
                  <w:r>
                    <w:rPr>
                      <w:szCs w:val="21"/>
                    </w:rPr>
                    <w:t>112.7275</w:t>
                  </w:r>
                  <w:r>
                    <w:rPr>
                      <w:rFonts w:hint="eastAsia"/>
                      <w:szCs w:val="21"/>
                    </w:rPr>
                    <w:t>°</w:t>
                  </w:r>
                </w:p>
                <w:p>
                  <w:pPr>
                    <w:spacing w:line="320" w:lineRule="exact"/>
                    <w:jc w:val="center"/>
                  </w:pPr>
                  <w:r>
                    <w:rPr>
                      <w:rFonts w:hint="eastAsia"/>
                      <w:szCs w:val="21"/>
                    </w:rPr>
                    <w:t>北纬</w:t>
                  </w:r>
                  <w:r>
                    <w:t>34.7406</w:t>
                  </w:r>
                  <w:r>
                    <w:rPr>
                      <w:rFonts w:hint="eastAsia"/>
                      <w:szCs w:val="21"/>
                    </w:rPr>
                    <w:t>°</w:t>
                  </w:r>
                </w:p>
              </w:tc>
              <w:tc>
                <w:tcPr>
                  <w:tcW w:w="590" w:type="pct"/>
                  <w:vAlign w:val="center"/>
                </w:tcPr>
                <w:p>
                  <w:pPr>
                    <w:pStyle w:val="58"/>
                    <w:spacing w:line="320" w:lineRule="exact"/>
                  </w:pPr>
                  <w:r>
                    <w:rPr>
                      <w:rFonts w:hint="eastAsia"/>
                    </w:rPr>
                    <w:t>15</w:t>
                  </w:r>
                </w:p>
              </w:tc>
              <w:tc>
                <w:tcPr>
                  <w:tcW w:w="505" w:type="pct"/>
                  <w:vAlign w:val="center"/>
                </w:tcPr>
                <w:p>
                  <w:pPr>
                    <w:pStyle w:val="58"/>
                    <w:spacing w:line="320" w:lineRule="exact"/>
                    <w:rPr>
                      <w:u w:val="single"/>
                    </w:rPr>
                  </w:pPr>
                  <w:r>
                    <w:rPr>
                      <w:rFonts w:hint="eastAsia"/>
                      <w:u w:val="single"/>
                    </w:rPr>
                    <w:t>0.6</w:t>
                  </w:r>
                </w:p>
              </w:tc>
              <w:tc>
                <w:tcPr>
                  <w:tcW w:w="504" w:type="pct"/>
                  <w:vAlign w:val="center"/>
                </w:tcPr>
                <w:p>
                  <w:pPr>
                    <w:pStyle w:val="58"/>
                    <w:spacing w:line="320" w:lineRule="exact"/>
                  </w:pPr>
                  <w:r>
                    <w:rPr>
                      <w:rFonts w:hint="eastAsia"/>
                    </w:rPr>
                    <w:t>20</w:t>
                  </w:r>
                </w:p>
              </w:tc>
              <w:tc>
                <w:tcPr>
                  <w:tcW w:w="621" w:type="pct"/>
                  <w:vAlign w:val="center"/>
                </w:tcPr>
                <w:p>
                  <w:pPr>
                    <w:pStyle w:val="58"/>
                    <w:spacing w:line="320" w:lineRule="exact"/>
                    <w:rPr>
                      <w:szCs w:val="21"/>
                    </w:rPr>
                  </w:pPr>
                  <w:r>
                    <w:rPr>
                      <w:rFonts w:hint="eastAsia"/>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92" w:type="pct"/>
                  <w:tcBorders>
                    <w:bottom w:val="single" w:color="auto" w:sz="4" w:space="0"/>
                  </w:tcBorders>
                  <w:vAlign w:val="center"/>
                </w:tcPr>
                <w:p>
                  <w:pPr>
                    <w:pStyle w:val="58"/>
                    <w:spacing w:line="320" w:lineRule="exact"/>
                  </w:pPr>
                  <w:r>
                    <w:rPr>
                      <w:rFonts w:hint="eastAsia"/>
                    </w:rPr>
                    <w:t>3#车间袋式除尘器排气筒DA004</w:t>
                  </w:r>
                </w:p>
              </w:tc>
              <w:tc>
                <w:tcPr>
                  <w:tcW w:w="675" w:type="pct"/>
                  <w:tcBorders>
                    <w:bottom w:val="single" w:color="auto" w:sz="4" w:space="0"/>
                  </w:tcBorders>
                  <w:vAlign w:val="center"/>
                </w:tcPr>
                <w:p>
                  <w:pPr>
                    <w:pStyle w:val="58"/>
                    <w:spacing w:line="320" w:lineRule="exact"/>
                  </w:pPr>
                  <w:r>
                    <w:rPr>
                      <w:rFonts w:hint="eastAsia"/>
                    </w:rPr>
                    <w:t>颗粒物</w:t>
                  </w:r>
                </w:p>
              </w:tc>
              <w:tc>
                <w:tcPr>
                  <w:tcW w:w="1013" w:type="pct"/>
                  <w:tcBorders>
                    <w:bottom w:val="single" w:color="auto" w:sz="4" w:space="0"/>
                  </w:tcBorders>
                  <w:vAlign w:val="center"/>
                </w:tcPr>
                <w:p>
                  <w:pPr>
                    <w:pStyle w:val="58"/>
                    <w:spacing w:line="320" w:lineRule="exact"/>
                    <w:rPr>
                      <w:szCs w:val="21"/>
                    </w:rPr>
                  </w:pPr>
                  <w:r>
                    <w:rPr>
                      <w:rFonts w:hint="eastAsia"/>
                      <w:szCs w:val="21"/>
                    </w:rPr>
                    <w:t>东经</w:t>
                  </w:r>
                  <w:r>
                    <w:rPr>
                      <w:szCs w:val="21"/>
                    </w:rPr>
                    <w:t>112.7275</w:t>
                  </w:r>
                  <w:r>
                    <w:rPr>
                      <w:rFonts w:hint="eastAsia"/>
                      <w:szCs w:val="21"/>
                    </w:rPr>
                    <w:t>°</w:t>
                  </w:r>
                </w:p>
                <w:p>
                  <w:pPr>
                    <w:spacing w:line="320" w:lineRule="exact"/>
                    <w:jc w:val="center"/>
                  </w:pPr>
                  <w:r>
                    <w:rPr>
                      <w:rFonts w:hint="eastAsia"/>
                      <w:szCs w:val="21"/>
                    </w:rPr>
                    <w:t>北纬</w:t>
                  </w:r>
                  <w:r>
                    <w:t>34.7406</w:t>
                  </w:r>
                  <w:r>
                    <w:rPr>
                      <w:rFonts w:hint="eastAsia"/>
                      <w:szCs w:val="21"/>
                    </w:rPr>
                    <w:t>°</w:t>
                  </w:r>
                </w:p>
              </w:tc>
              <w:tc>
                <w:tcPr>
                  <w:tcW w:w="590" w:type="pct"/>
                  <w:tcBorders>
                    <w:bottom w:val="single" w:color="auto" w:sz="4" w:space="0"/>
                  </w:tcBorders>
                  <w:vAlign w:val="center"/>
                </w:tcPr>
                <w:p>
                  <w:pPr>
                    <w:pStyle w:val="58"/>
                    <w:spacing w:line="320" w:lineRule="exact"/>
                  </w:pPr>
                  <w:r>
                    <w:rPr>
                      <w:rFonts w:hint="eastAsia"/>
                    </w:rPr>
                    <w:t>15</w:t>
                  </w:r>
                </w:p>
              </w:tc>
              <w:tc>
                <w:tcPr>
                  <w:tcW w:w="505" w:type="pct"/>
                  <w:tcBorders>
                    <w:bottom w:val="single" w:color="auto" w:sz="4" w:space="0"/>
                  </w:tcBorders>
                  <w:vAlign w:val="center"/>
                </w:tcPr>
                <w:p>
                  <w:pPr>
                    <w:pStyle w:val="58"/>
                    <w:spacing w:line="320" w:lineRule="exact"/>
                    <w:rPr>
                      <w:u w:val="single"/>
                    </w:rPr>
                  </w:pPr>
                  <w:r>
                    <w:rPr>
                      <w:rFonts w:hint="eastAsia"/>
                      <w:u w:val="single"/>
                    </w:rPr>
                    <w:t>0.4</w:t>
                  </w:r>
                </w:p>
              </w:tc>
              <w:tc>
                <w:tcPr>
                  <w:tcW w:w="504" w:type="pct"/>
                  <w:tcBorders>
                    <w:bottom w:val="single" w:color="auto" w:sz="4" w:space="0"/>
                  </w:tcBorders>
                  <w:vAlign w:val="center"/>
                </w:tcPr>
                <w:p>
                  <w:pPr>
                    <w:pStyle w:val="58"/>
                    <w:spacing w:line="320" w:lineRule="exact"/>
                  </w:pPr>
                  <w:r>
                    <w:rPr>
                      <w:rFonts w:hint="eastAsia"/>
                    </w:rPr>
                    <w:t>20</w:t>
                  </w:r>
                </w:p>
              </w:tc>
              <w:tc>
                <w:tcPr>
                  <w:tcW w:w="621" w:type="pct"/>
                  <w:tcBorders>
                    <w:bottom w:val="single" w:color="auto" w:sz="4" w:space="0"/>
                  </w:tcBorders>
                  <w:vAlign w:val="center"/>
                </w:tcPr>
                <w:p>
                  <w:pPr>
                    <w:pStyle w:val="58"/>
                    <w:spacing w:line="320" w:lineRule="exact"/>
                    <w:rPr>
                      <w:szCs w:val="21"/>
                    </w:rPr>
                  </w:pPr>
                  <w:r>
                    <w:rPr>
                      <w:rFonts w:hint="eastAsia"/>
                      <w:szCs w:val="21"/>
                    </w:rPr>
                    <w:t>一般排放口</w:t>
                  </w:r>
                </w:p>
              </w:tc>
            </w:tr>
          </w:tbl>
          <w:p>
            <w:pPr>
              <w:spacing w:line="360" w:lineRule="auto"/>
              <w:rPr>
                <w:b/>
                <w:sz w:val="24"/>
              </w:rPr>
            </w:pPr>
            <w:r>
              <w:rPr>
                <w:rFonts w:hint="eastAsia"/>
                <w:b/>
                <w:sz w:val="24"/>
              </w:rPr>
              <w:t>1.4环境影响分析</w:t>
            </w:r>
          </w:p>
          <w:p>
            <w:pPr>
              <w:pStyle w:val="10"/>
              <w:widowControl w:val="0"/>
              <w:snapToGrid/>
              <w:spacing w:before="0" w:after="0" w:line="360" w:lineRule="auto"/>
              <w:ind w:right="0" w:firstLine="480" w:firstLineChars="200"/>
              <w:rPr>
                <w:rFonts w:hAnsi="宋体"/>
                <w:sz w:val="24"/>
              </w:rPr>
            </w:pPr>
            <w:r>
              <w:rPr>
                <w:sz w:val="24"/>
              </w:rPr>
              <w:t>本项目所在区域环境空气属于二类</w:t>
            </w:r>
            <w:r>
              <w:rPr>
                <w:rFonts w:hint="eastAsia"/>
                <w:sz w:val="24"/>
              </w:rPr>
              <w:t>区</w:t>
            </w:r>
            <w:r>
              <w:rPr>
                <w:sz w:val="24"/>
              </w:rPr>
              <w:t>。根据2022年洛阳市生态环境状况公报，</w:t>
            </w:r>
            <w:r>
              <w:rPr>
                <w:rFonts w:hint="eastAsia"/>
                <w:sz w:val="24"/>
              </w:rPr>
              <w:t>2022年洛阳市属于</w:t>
            </w:r>
            <w:r>
              <w:rPr>
                <w:sz w:val="24"/>
              </w:rPr>
              <w:t>不达标区</w:t>
            </w:r>
            <w:r>
              <w:rPr>
                <w:rFonts w:hint="eastAsia"/>
                <w:sz w:val="24"/>
              </w:rPr>
              <w:t>。针对区域大气环境质量现状超标的情况，</w:t>
            </w:r>
            <w:r>
              <w:rPr>
                <w:bCs/>
                <w:sz w:val="24"/>
              </w:rPr>
              <w:t>偃师区</w:t>
            </w:r>
            <w:r>
              <w:rPr>
                <w:rFonts w:hint="eastAsia"/>
                <w:sz w:val="24"/>
                <w:szCs w:val="24"/>
              </w:rPr>
              <w:t>先后出台一系列相关大气治理文件，通过治理区域环境质量状况正在逐步好转。本项目营运期针对废气采取的措施为：原料搅拌下料工序产生颗粒物废气经袋式除尘器处理，拉丝、覆膜工序产生有机废气采用的“光氧催化+活性炭吸附装置”</w:t>
            </w:r>
            <w:r>
              <w:rPr>
                <w:rFonts w:hint="eastAsia" w:cs="宋体"/>
                <w:sz w:val="24"/>
              </w:rPr>
              <w:t>处理，</w:t>
            </w:r>
            <w:r>
              <w:rPr>
                <w:rFonts w:hint="eastAsia"/>
                <w:sz w:val="24"/>
              </w:rPr>
              <w:t>废气经治理后达标排放。本项目新增VOCs在偃师区内实行倍量替代，区域内不新增有机废气排放量。</w:t>
            </w:r>
            <w:r>
              <w:rPr>
                <w:rFonts w:hint="eastAsia" w:hAnsi="宋体"/>
                <w:sz w:val="24"/>
              </w:rPr>
              <w:t>本项目最近敏感点为厂区北侧440m的香峪村北沟，大气污染物经治理后排放量较小，</w:t>
            </w:r>
            <w:r>
              <w:rPr>
                <w:rFonts w:hint="eastAsia"/>
                <w:sz w:val="24"/>
              </w:rPr>
              <w:t>对区域环境影响较小。</w:t>
            </w:r>
          </w:p>
          <w:p>
            <w:pPr>
              <w:spacing w:line="360" w:lineRule="auto"/>
              <w:rPr>
                <w:b/>
                <w:sz w:val="24"/>
              </w:rPr>
            </w:pPr>
            <w:r>
              <w:rPr>
                <w:rFonts w:hint="eastAsia"/>
                <w:b/>
                <w:sz w:val="24"/>
              </w:rPr>
              <w:t>2废水</w:t>
            </w:r>
          </w:p>
          <w:p>
            <w:pPr>
              <w:widowControl/>
              <w:spacing w:line="360" w:lineRule="auto"/>
              <w:rPr>
                <w:b/>
                <w:sz w:val="24"/>
              </w:rPr>
            </w:pPr>
            <w:r>
              <w:rPr>
                <w:rFonts w:hint="eastAsia"/>
                <w:b/>
                <w:sz w:val="24"/>
              </w:rPr>
              <w:t>2.1生活污水</w:t>
            </w:r>
          </w:p>
          <w:p>
            <w:pPr>
              <w:widowControl/>
              <w:spacing w:line="360" w:lineRule="auto"/>
              <w:ind w:firstLine="480" w:firstLineChars="200"/>
              <w:rPr>
                <w:bCs/>
                <w:kern w:val="0"/>
                <w:sz w:val="24"/>
              </w:rPr>
            </w:pPr>
            <w:r>
              <w:rPr>
                <w:rFonts w:hint="eastAsia"/>
                <w:sz w:val="24"/>
              </w:rPr>
              <w:t>本项目</w:t>
            </w:r>
            <w:r>
              <w:rPr>
                <w:rFonts w:hint="eastAsia" w:hAnsi="宋体"/>
                <w:bCs/>
                <w:sz w:val="24"/>
              </w:rPr>
              <w:t>生活污水产生量为299.52m</w:t>
            </w:r>
            <w:r>
              <w:rPr>
                <w:rFonts w:hint="eastAsia" w:hAnsi="宋体"/>
                <w:bCs/>
                <w:sz w:val="24"/>
                <w:vertAlign w:val="superscript"/>
              </w:rPr>
              <w:t>3</w:t>
            </w:r>
            <w:r>
              <w:rPr>
                <w:rFonts w:hint="eastAsia" w:hAnsi="宋体"/>
                <w:bCs/>
                <w:sz w:val="24"/>
              </w:rPr>
              <w:t>/a（</w:t>
            </w:r>
            <w:r>
              <w:rPr>
                <w:rFonts w:hint="eastAsia" w:hAnsi="宋体"/>
                <w:sz w:val="24"/>
              </w:rPr>
              <w:t>1.152</w:t>
            </w:r>
            <w:r>
              <w:rPr>
                <w:rFonts w:hint="eastAsia"/>
                <w:sz w:val="24"/>
              </w:rPr>
              <w:t>m</w:t>
            </w:r>
            <w:r>
              <w:rPr>
                <w:rFonts w:hint="eastAsia"/>
                <w:sz w:val="24"/>
                <w:vertAlign w:val="superscript"/>
              </w:rPr>
              <w:t>3</w:t>
            </w:r>
            <w:r>
              <w:rPr>
                <w:rFonts w:hint="eastAsia"/>
                <w:sz w:val="24"/>
              </w:rPr>
              <w:t>/d</w:t>
            </w:r>
            <w:r>
              <w:rPr>
                <w:rFonts w:hint="eastAsia" w:hAnsi="宋体"/>
                <w:bCs/>
                <w:sz w:val="24"/>
              </w:rPr>
              <w:t>），</w:t>
            </w:r>
            <w:r>
              <w:rPr>
                <w:rFonts w:hint="eastAsia"/>
                <w:sz w:val="24"/>
              </w:rPr>
              <w:t>生活污水依托凯胜公司现有化粪池、一体化污水处理设施处理（化粪池总容积30m</w:t>
            </w:r>
            <w:r>
              <w:rPr>
                <w:rFonts w:hint="eastAsia"/>
                <w:sz w:val="24"/>
                <w:vertAlign w:val="superscript"/>
              </w:rPr>
              <w:t>3</w:t>
            </w:r>
            <w:r>
              <w:rPr>
                <w:rFonts w:hint="eastAsia" w:hAnsi="宋体"/>
                <w:sz w:val="24"/>
              </w:rPr>
              <w:t>，</w:t>
            </w:r>
            <w:r>
              <w:rPr>
                <w:rFonts w:hint="eastAsia"/>
                <w:sz w:val="24"/>
              </w:rPr>
              <w:t>一体化污水处理设施</w:t>
            </w:r>
            <w:r>
              <w:rPr>
                <w:rFonts w:hint="eastAsia" w:hAnsi="宋体"/>
                <w:sz w:val="24"/>
              </w:rPr>
              <w:t>1t/h）</w:t>
            </w:r>
            <w:r>
              <w:rPr>
                <w:rFonts w:hint="eastAsia"/>
                <w:sz w:val="24"/>
              </w:rPr>
              <w:t>，</w:t>
            </w:r>
            <w:r>
              <w:rPr>
                <w:rFonts w:hint="eastAsia"/>
                <w:bCs/>
                <w:sz w:val="24"/>
              </w:rPr>
              <w:t>本项目生活污水经</w:t>
            </w:r>
            <w:r>
              <w:rPr>
                <w:rFonts w:hint="eastAsia"/>
                <w:sz w:val="24"/>
              </w:rPr>
              <w:t>化粪池+一体化污水处理设施处理，处理后尾水经厂区20m</w:t>
            </w:r>
            <w:r>
              <w:rPr>
                <w:rFonts w:hint="eastAsia"/>
                <w:sz w:val="24"/>
                <w:vertAlign w:val="superscript"/>
              </w:rPr>
              <w:t>3</w:t>
            </w:r>
            <w:r>
              <w:rPr>
                <w:rFonts w:hint="eastAsia"/>
                <w:sz w:val="24"/>
              </w:rPr>
              <w:t>集水池收集，</w:t>
            </w:r>
            <w:r>
              <w:rPr>
                <w:rFonts w:hint="eastAsia"/>
                <w:bCs/>
                <w:kern w:val="0"/>
                <w:sz w:val="24"/>
              </w:rPr>
              <w:t>用于厂区绿化。根据现场调查，</w:t>
            </w:r>
            <w:r>
              <w:rPr>
                <w:rFonts w:hint="eastAsia"/>
                <w:sz w:val="24"/>
              </w:rPr>
              <w:t>厂区周围污水管网暂未接通，</w:t>
            </w:r>
            <w:r>
              <w:rPr>
                <w:rFonts w:hint="eastAsia"/>
                <w:bCs/>
                <w:kern w:val="0"/>
                <w:sz w:val="24"/>
              </w:rPr>
              <w:t>远期待污水管网接通后经污水管网排入偃师区第二污水处理厂处理。</w:t>
            </w:r>
          </w:p>
          <w:p>
            <w:pPr>
              <w:widowControl/>
              <w:spacing w:line="360" w:lineRule="auto"/>
              <w:rPr>
                <w:b/>
                <w:sz w:val="24"/>
              </w:rPr>
            </w:pPr>
            <w:r>
              <w:rPr>
                <w:rFonts w:hint="eastAsia"/>
                <w:b/>
                <w:sz w:val="24"/>
              </w:rPr>
              <w:t>2.2生产废水</w:t>
            </w:r>
          </w:p>
          <w:p>
            <w:pPr>
              <w:widowControl/>
              <w:spacing w:line="360" w:lineRule="auto"/>
              <w:ind w:firstLine="480" w:firstLineChars="200"/>
              <w:rPr>
                <w:sz w:val="24"/>
              </w:rPr>
            </w:pPr>
            <w:r>
              <w:rPr>
                <w:rFonts w:hint="eastAsia"/>
                <w:sz w:val="24"/>
              </w:rPr>
              <w:t>本项目拉丝机组、覆膜机冷却水循环使用，损耗后补充，定期更换用于厂区洒水绿化降尘，不外排。</w:t>
            </w:r>
          </w:p>
          <w:p>
            <w:pPr>
              <w:widowControl/>
              <w:spacing w:line="360" w:lineRule="auto"/>
              <w:rPr>
                <w:b/>
                <w:sz w:val="24"/>
              </w:rPr>
            </w:pPr>
            <w:r>
              <w:rPr>
                <w:rFonts w:hint="eastAsia"/>
                <w:b/>
                <w:sz w:val="24"/>
              </w:rPr>
              <w:t>2.3污水处理设施依托可行性分析</w:t>
            </w:r>
          </w:p>
          <w:p>
            <w:pPr>
              <w:adjustRightInd w:val="0"/>
              <w:snapToGrid w:val="0"/>
              <w:spacing w:line="360" w:lineRule="auto"/>
              <w:ind w:firstLine="480" w:firstLineChars="200"/>
              <w:rPr>
                <w:sz w:val="24"/>
              </w:rPr>
            </w:pPr>
            <w:r>
              <w:rPr>
                <w:rFonts w:hint="eastAsia"/>
                <w:sz w:val="24"/>
              </w:rPr>
              <w:t>（1）凯胜公司生活污水处理设施依托可行性分析</w:t>
            </w:r>
          </w:p>
          <w:p>
            <w:pPr>
              <w:adjustRightInd w:val="0"/>
              <w:snapToGrid w:val="0"/>
              <w:spacing w:line="360" w:lineRule="auto"/>
              <w:ind w:firstLine="480" w:firstLineChars="200"/>
              <w:rPr>
                <w:sz w:val="24"/>
              </w:rPr>
            </w:pPr>
            <w:r>
              <w:rPr>
                <w:rFonts w:hint="eastAsia"/>
                <w:sz w:val="24"/>
              </w:rPr>
              <w:t>本项目生活污水产生量为1.152</w:t>
            </w:r>
            <w:r>
              <w:rPr>
                <w:kern w:val="0"/>
                <w:sz w:val="24"/>
              </w:rPr>
              <w:t>m³/d</w:t>
            </w:r>
            <w:r>
              <w:rPr>
                <w:rFonts w:hint="eastAsia" w:hAnsi="宋体"/>
                <w:kern w:val="0"/>
                <w:sz w:val="24"/>
              </w:rPr>
              <w:t>，</w:t>
            </w:r>
            <w:r>
              <w:rPr>
                <w:rFonts w:hint="eastAsia"/>
                <w:sz w:val="24"/>
              </w:rPr>
              <w:t>凯胜公司生活污水产生量为5.76</w:t>
            </w:r>
            <w:r>
              <w:rPr>
                <w:kern w:val="0"/>
                <w:sz w:val="24"/>
              </w:rPr>
              <w:t>m³/d</w:t>
            </w:r>
            <w:r>
              <w:rPr>
                <w:rFonts w:hint="eastAsia"/>
                <w:sz w:val="24"/>
              </w:rPr>
              <w:t>，本项目建设后厂区生活污水产生量为6.912</w:t>
            </w:r>
            <w:r>
              <w:rPr>
                <w:kern w:val="0"/>
                <w:sz w:val="24"/>
              </w:rPr>
              <w:t>m³/d</w:t>
            </w:r>
            <w:r>
              <w:rPr>
                <w:rFonts w:hint="eastAsia" w:hAnsi="宋体"/>
                <w:kern w:val="0"/>
                <w:sz w:val="24"/>
              </w:rPr>
              <w:t>，</w:t>
            </w:r>
            <w:r>
              <w:rPr>
                <w:rFonts w:hint="eastAsia"/>
                <w:sz w:val="24"/>
              </w:rPr>
              <w:t>生活污水经</w:t>
            </w:r>
            <w:r>
              <w:rPr>
                <w:rFonts w:hint="eastAsia" w:hAnsi="宋体"/>
                <w:kern w:val="0"/>
                <w:sz w:val="24"/>
              </w:rPr>
              <w:t>厂区现有</w:t>
            </w:r>
            <w:r>
              <w:rPr>
                <w:rFonts w:hint="eastAsia"/>
                <w:kern w:val="0"/>
                <w:sz w:val="24"/>
              </w:rPr>
              <w:t>3</w:t>
            </w:r>
            <w:r>
              <w:rPr>
                <w:kern w:val="0"/>
                <w:sz w:val="24"/>
              </w:rPr>
              <w:t>0m</w:t>
            </w:r>
            <w:r>
              <w:rPr>
                <w:kern w:val="0"/>
                <w:sz w:val="24"/>
                <w:vertAlign w:val="superscript"/>
              </w:rPr>
              <w:t>3</w:t>
            </w:r>
            <w:r>
              <w:rPr>
                <w:rFonts w:hint="eastAsia"/>
                <w:kern w:val="0"/>
                <w:sz w:val="24"/>
              </w:rPr>
              <w:t>化粪池+</w:t>
            </w:r>
            <w:r>
              <w:rPr>
                <w:rFonts w:hint="eastAsia"/>
                <w:sz w:val="24"/>
              </w:rPr>
              <w:t>1m</w:t>
            </w:r>
            <w:r>
              <w:rPr>
                <w:rFonts w:hint="eastAsia"/>
                <w:sz w:val="24"/>
                <w:vertAlign w:val="superscript"/>
              </w:rPr>
              <w:t>3</w:t>
            </w:r>
            <w:r>
              <w:rPr>
                <w:rFonts w:hint="eastAsia"/>
                <w:sz w:val="24"/>
              </w:rPr>
              <w:t>/h</w:t>
            </w:r>
            <w:r>
              <w:rPr>
                <w:rFonts w:hint="eastAsia"/>
                <w:kern w:val="0"/>
                <w:sz w:val="24"/>
              </w:rPr>
              <w:t>地埋式</w:t>
            </w:r>
            <w:r>
              <w:rPr>
                <w:rFonts w:hint="eastAsia"/>
                <w:sz w:val="24"/>
              </w:rPr>
              <w:t>一体化生活污水设施处理，化粪池容积</w:t>
            </w:r>
            <w:r>
              <w:rPr>
                <w:sz w:val="24"/>
              </w:rPr>
              <w:t>满足</w:t>
            </w:r>
            <w:r>
              <w:rPr>
                <w:rFonts w:hint="eastAsia"/>
                <w:sz w:val="24"/>
              </w:rPr>
              <w:t>《建筑给水排水设计规范》（GB50015-2019）</w:t>
            </w:r>
            <w:r>
              <w:rPr>
                <w:sz w:val="24"/>
              </w:rPr>
              <w:t>中化粪池停留12</w:t>
            </w:r>
            <w:r>
              <w:rPr>
                <w:rFonts w:hint="eastAsia"/>
                <w:sz w:val="24"/>
              </w:rPr>
              <w:t>-</w:t>
            </w:r>
            <w:r>
              <w:rPr>
                <w:sz w:val="24"/>
              </w:rPr>
              <w:t>24h的要求</w:t>
            </w:r>
            <w:r>
              <w:rPr>
                <w:rFonts w:hint="eastAsia"/>
                <w:sz w:val="24"/>
              </w:rPr>
              <w:t>，1m</w:t>
            </w:r>
            <w:r>
              <w:rPr>
                <w:rFonts w:hint="eastAsia"/>
                <w:sz w:val="24"/>
                <w:vertAlign w:val="superscript"/>
              </w:rPr>
              <w:t>3</w:t>
            </w:r>
            <w:r>
              <w:rPr>
                <w:rFonts w:hint="eastAsia"/>
                <w:sz w:val="24"/>
              </w:rPr>
              <w:t>/h</w:t>
            </w:r>
            <w:r>
              <w:rPr>
                <w:rFonts w:hint="eastAsia"/>
                <w:kern w:val="0"/>
                <w:sz w:val="24"/>
              </w:rPr>
              <w:t>地埋式</w:t>
            </w:r>
            <w:r>
              <w:rPr>
                <w:rFonts w:hint="eastAsia"/>
                <w:sz w:val="24"/>
              </w:rPr>
              <w:t>一体化生活污水设施满足生活污水处理要求，因此生活污水使用现有化粪池+一体化污水处理设施处理可行。本项目生活污水经化粪池+一体化污水处理设施处理后排放浓度满足《污水综合排放标准》（GB8978-1996）表4三级标准，同时满足偃师区第二污水处理厂进水水质要求（COD330mg/L、氨氮55mg/L）。</w:t>
            </w:r>
          </w:p>
          <w:p>
            <w:pPr>
              <w:adjustRightInd w:val="0"/>
              <w:snapToGrid w:val="0"/>
              <w:spacing w:line="360" w:lineRule="auto"/>
              <w:ind w:firstLine="480" w:firstLineChars="200"/>
              <w:rPr>
                <w:sz w:val="24"/>
              </w:rPr>
            </w:pPr>
            <w:r>
              <w:rPr>
                <w:rFonts w:hint="eastAsia"/>
                <w:sz w:val="24"/>
              </w:rPr>
              <w:t>（2）偃师区第二污水处理厂依托可行性分析</w:t>
            </w:r>
          </w:p>
          <w:p>
            <w:pPr>
              <w:widowControl/>
              <w:spacing w:line="360" w:lineRule="auto"/>
              <w:ind w:firstLine="480" w:firstLineChars="200"/>
              <w:rPr>
                <w:sz w:val="24"/>
              </w:rPr>
            </w:pPr>
            <w:r>
              <w:rPr>
                <w:rFonts w:hint="eastAsia"/>
                <w:sz w:val="24"/>
              </w:rPr>
              <w:t>偃师区第二污水处理厂位于偃师市城关镇高庄村以南，设计处理能力为日处理污水4万立方米，</w:t>
            </w:r>
            <w:r>
              <w:rPr>
                <w:kern w:val="0"/>
                <w:sz w:val="24"/>
              </w:rPr>
              <w:t>排水水质达到</w:t>
            </w:r>
            <w:r>
              <w:rPr>
                <w:rFonts w:hint="eastAsia"/>
                <w:kern w:val="0"/>
                <w:sz w:val="24"/>
              </w:rPr>
              <w:t>《河南省黄河流域水污染物排放标准》（DB412087-2021）</w:t>
            </w:r>
            <w:r>
              <w:rPr>
                <w:kern w:val="0"/>
                <w:sz w:val="24"/>
              </w:rPr>
              <w:t>表1一级标准</w:t>
            </w:r>
            <w:r>
              <w:rPr>
                <w:rFonts w:hint="eastAsia"/>
                <w:kern w:val="0"/>
                <w:sz w:val="24"/>
              </w:rPr>
              <w:t>。</w:t>
            </w:r>
            <w:r>
              <w:rPr>
                <w:rFonts w:hint="eastAsia"/>
                <w:sz w:val="24"/>
              </w:rPr>
              <w:t>收水范围：北环路以南，陇海铁路以北，高速引线以东，东环路以西；太学路以南，商都南路以东，洛河大堤以北，文化路以东，东环路以西。</w:t>
            </w:r>
          </w:p>
          <w:p>
            <w:pPr>
              <w:widowControl/>
              <w:spacing w:line="360" w:lineRule="auto"/>
              <w:ind w:firstLine="480" w:firstLineChars="200"/>
              <w:rPr>
                <w:sz w:val="24"/>
              </w:rPr>
            </w:pPr>
            <w:r>
              <w:rPr>
                <w:rFonts w:hint="eastAsia"/>
                <w:kern w:val="0"/>
                <w:sz w:val="24"/>
              </w:rPr>
              <w:t>本项目位于</w:t>
            </w:r>
            <w:r>
              <w:rPr>
                <w:rFonts w:hint="eastAsia"/>
                <w:sz w:val="24"/>
              </w:rPr>
              <w:t>偃师区第二污水处理厂</w:t>
            </w:r>
            <w:r>
              <w:rPr>
                <w:rFonts w:hint="eastAsia"/>
                <w:kern w:val="0"/>
                <w:sz w:val="24"/>
              </w:rPr>
              <w:t>收水范围内，</w:t>
            </w:r>
            <w:r>
              <w:rPr>
                <w:rFonts w:hint="eastAsia"/>
                <w:sz w:val="24"/>
              </w:rPr>
              <w:t>厂区周围污水管网接通后，厂区内生活污水通过污水管网排入偃师区第二污水处理厂</w:t>
            </w:r>
            <w:r>
              <w:rPr>
                <w:rFonts w:hint="eastAsia"/>
                <w:kern w:val="0"/>
                <w:sz w:val="24"/>
              </w:rPr>
              <w:t>进行深度处理</w:t>
            </w:r>
            <w:r>
              <w:rPr>
                <w:rFonts w:hint="eastAsia"/>
                <w:sz w:val="24"/>
              </w:rPr>
              <w:t>。因此本项目生活污水远期依托偃师区第二污水处理厂进行深度处理可行。</w:t>
            </w:r>
          </w:p>
          <w:p>
            <w:pPr>
              <w:adjustRightInd w:val="0"/>
              <w:snapToGrid w:val="0"/>
              <w:spacing w:line="360" w:lineRule="auto"/>
              <w:ind w:firstLine="480" w:firstLineChars="200"/>
              <w:rPr>
                <w:sz w:val="24"/>
              </w:rPr>
            </w:pPr>
            <w:r>
              <w:rPr>
                <w:rFonts w:hint="eastAsia"/>
                <w:sz w:val="24"/>
              </w:rPr>
              <w:t>本项目生活污水排放量分析见下表。</w:t>
            </w:r>
          </w:p>
          <w:p>
            <w:pPr>
              <w:pStyle w:val="53"/>
              <w:numPr>
                <w:ilvl w:val="0"/>
                <w:numId w:val="2"/>
              </w:numPr>
              <w:ind w:left="0" w:firstLine="0"/>
            </w:pPr>
            <w:r>
              <w:rPr>
                <w:rFonts w:hint="eastAsia"/>
              </w:rPr>
              <w:t>本项目废水总量控制指标一览表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950"/>
              <w:gridCol w:w="697"/>
              <w:gridCol w:w="941"/>
              <w:gridCol w:w="4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74" w:type="dxa"/>
                  <w:gridSpan w:val="2"/>
                  <w:vAlign w:val="center"/>
                </w:tcPr>
                <w:p>
                  <w:pPr>
                    <w:pStyle w:val="58"/>
                    <w:spacing w:line="320" w:lineRule="exact"/>
                    <w:rPr>
                      <w:rFonts w:eastAsia="黑体"/>
                      <w:sz w:val="18"/>
                      <w:szCs w:val="18"/>
                    </w:rPr>
                  </w:pPr>
                  <w:r>
                    <w:rPr>
                      <w:rFonts w:hAnsi="黑体" w:eastAsia="黑体"/>
                      <w:sz w:val="18"/>
                      <w:szCs w:val="18"/>
                    </w:rPr>
                    <w:t>分类</w:t>
                  </w:r>
                </w:p>
              </w:tc>
              <w:tc>
                <w:tcPr>
                  <w:tcW w:w="1663" w:type="dxa"/>
                  <w:gridSpan w:val="2"/>
                  <w:vAlign w:val="center"/>
                </w:tcPr>
                <w:p>
                  <w:pPr>
                    <w:pStyle w:val="58"/>
                    <w:spacing w:line="320" w:lineRule="exact"/>
                    <w:rPr>
                      <w:rFonts w:eastAsia="黑体"/>
                      <w:sz w:val="18"/>
                      <w:szCs w:val="18"/>
                    </w:rPr>
                  </w:pPr>
                  <w:r>
                    <w:rPr>
                      <w:rFonts w:hAnsi="黑体" w:eastAsia="黑体"/>
                      <w:sz w:val="18"/>
                      <w:szCs w:val="18"/>
                    </w:rPr>
                    <w:t>建议总量</w:t>
                  </w:r>
                </w:p>
              </w:tc>
              <w:tc>
                <w:tcPr>
                  <w:tcW w:w="4772" w:type="dxa"/>
                  <w:vAlign w:val="center"/>
                </w:tcPr>
                <w:p>
                  <w:pPr>
                    <w:pStyle w:val="58"/>
                    <w:spacing w:line="320" w:lineRule="exact"/>
                    <w:rPr>
                      <w:rFonts w:eastAsia="黑体"/>
                      <w:sz w:val="18"/>
                      <w:szCs w:val="18"/>
                    </w:rPr>
                  </w:pPr>
                  <w:r>
                    <w:rPr>
                      <w:rFonts w:hAnsi="黑体" w:eastAsia="黑体"/>
                      <w:sz w:val="18"/>
                      <w:szCs w:val="18"/>
                    </w:rPr>
                    <w:t>本项目总量</w:t>
                  </w:r>
                  <w:r>
                    <w:rPr>
                      <w:rFonts w:eastAsia="黑体"/>
                      <w:sz w:val="18"/>
                      <w:szCs w:val="18"/>
                    </w:rPr>
                    <w:t>/</w:t>
                  </w:r>
                  <w:r>
                    <w:rPr>
                      <w:rFonts w:hAnsi="黑体" w:eastAsia="黑体"/>
                      <w:sz w:val="18"/>
                      <w:szCs w:val="18"/>
                    </w:rPr>
                    <w:t>浓度计算过程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4" w:type="dxa"/>
                  <w:vMerge w:val="restart"/>
                  <w:vAlign w:val="center"/>
                </w:tcPr>
                <w:p>
                  <w:pPr>
                    <w:pStyle w:val="58"/>
                    <w:spacing w:line="320" w:lineRule="exact"/>
                    <w:rPr>
                      <w:sz w:val="18"/>
                      <w:szCs w:val="18"/>
                    </w:rPr>
                  </w:pPr>
                  <w:r>
                    <w:rPr>
                      <w:rFonts w:hint="eastAsia"/>
                      <w:sz w:val="18"/>
                      <w:szCs w:val="18"/>
                    </w:rPr>
                    <w:t>本项目（近期）</w:t>
                  </w:r>
                </w:p>
              </w:tc>
              <w:tc>
                <w:tcPr>
                  <w:tcW w:w="990" w:type="dxa"/>
                  <w:vMerge w:val="restart"/>
                  <w:vAlign w:val="center"/>
                </w:tcPr>
                <w:p>
                  <w:pPr>
                    <w:pStyle w:val="58"/>
                    <w:spacing w:line="320" w:lineRule="exact"/>
                    <w:rPr>
                      <w:sz w:val="18"/>
                      <w:szCs w:val="18"/>
                    </w:rPr>
                  </w:pPr>
                  <w:r>
                    <w:rPr>
                      <w:sz w:val="18"/>
                      <w:szCs w:val="18"/>
                    </w:rPr>
                    <w:t>生活</w:t>
                  </w:r>
                  <w:r>
                    <w:rPr>
                      <w:rFonts w:hint="eastAsia"/>
                      <w:sz w:val="18"/>
                      <w:szCs w:val="18"/>
                    </w:rPr>
                    <w:t>污水299.52</w:t>
                  </w:r>
                </w:p>
                <w:p>
                  <w:pPr>
                    <w:pStyle w:val="58"/>
                    <w:spacing w:line="320" w:lineRule="exact"/>
                    <w:rPr>
                      <w:sz w:val="18"/>
                      <w:szCs w:val="18"/>
                    </w:rPr>
                  </w:pPr>
                  <w:r>
                    <w:rPr>
                      <w:sz w:val="18"/>
                      <w:szCs w:val="18"/>
                    </w:rPr>
                    <w:t>m</w:t>
                  </w:r>
                  <w:r>
                    <w:rPr>
                      <w:sz w:val="18"/>
                      <w:szCs w:val="18"/>
                      <w:vertAlign w:val="superscript"/>
                    </w:rPr>
                    <w:t>3</w:t>
                  </w:r>
                  <w:r>
                    <w:rPr>
                      <w:sz w:val="18"/>
                      <w:szCs w:val="18"/>
                    </w:rPr>
                    <w:t>/a</w:t>
                  </w:r>
                </w:p>
              </w:tc>
              <w:tc>
                <w:tcPr>
                  <w:tcW w:w="714" w:type="dxa"/>
                  <w:vAlign w:val="center"/>
                </w:tcPr>
                <w:p>
                  <w:pPr>
                    <w:pStyle w:val="58"/>
                    <w:spacing w:line="320" w:lineRule="exact"/>
                    <w:rPr>
                      <w:sz w:val="18"/>
                      <w:szCs w:val="18"/>
                    </w:rPr>
                  </w:pPr>
                  <w:r>
                    <w:rPr>
                      <w:sz w:val="18"/>
                      <w:szCs w:val="18"/>
                    </w:rPr>
                    <w:t>COD</w:t>
                  </w:r>
                </w:p>
              </w:tc>
              <w:tc>
                <w:tcPr>
                  <w:tcW w:w="949" w:type="dxa"/>
                  <w:vAlign w:val="center"/>
                </w:tcPr>
                <w:p>
                  <w:pPr>
                    <w:pStyle w:val="58"/>
                    <w:spacing w:line="320" w:lineRule="exact"/>
                    <w:rPr>
                      <w:sz w:val="18"/>
                      <w:szCs w:val="18"/>
                    </w:rPr>
                  </w:pPr>
                  <w:r>
                    <w:rPr>
                      <w:rFonts w:hint="eastAsia"/>
                      <w:sz w:val="18"/>
                      <w:szCs w:val="18"/>
                    </w:rPr>
                    <w:t>0.0144</w:t>
                  </w:r>
                  <w:r>
                    <w:rPr>
                      <w:sz w:val="18"/>
                      <w:szCs w:val="18"/>
                    </w:rPr>
                    <w:t>t/a</w:t>
                  </w:r>
                </w:p>
              </w:tc>
              <w:tc>
                <w:tcPr>
                  <w:tcW w:w="4772" w:type="dxa"/>
                  <w:vAlign w:val="center"/>
                </w:tcPr>
                <w:p>
                  <w:pPr>
                    <w:pStyle w:val="58"/>
                    <w:spacing w:line="320" w:lineRule="exact"/>
                    <w:jc w:val="both"/>
                    <w:rPr>
                      <w:sz w:val="18"/>
                      <w:szCs w:val="18"/>
                    </w:rPr>
                  </w:pPr>
                  <w:r>
                    <w:rPr>
                      <w:sz w:val="18"/>
                      <w:szCs w:val="18"/>
                    </w:rPr>
                    <w:t>COD产生浓度300mg/L，经化粪池</w:t>
                  </w:r>
                  <w:r>
                    <w:rPr>
                      <w:rFonts w:hint="eastAsia"/>
                      <w:sz w:val="18"/>
                      <w:szCs w:val="18"/>
                    </w:rPr>
                    <w:t>+一体化污水处理设施</w:t>
                  </w:r>
                  <w:r>
                    <w:rPr>
                      <w:sz w:val="18"/>
                      <w:szCs w:val="18"/>
                    </w:rPr>
                    <w:t>处理（</w:t>
                  </w:r>
                  <w:r>
                    <w:rPr>
                      <w:rFonts w:hint="eastAsia"/>
                      <w:sz w:val="18"/>
                      <w:szCs w:val="18"/>
                    </w:rPr>
                    <w:t>化粪池</w:t>
                  </w:r>
                  <w:r>
                    <w:rPr>
                      <w:sz w:val="18"/>
                      <w:szCs w:val="18"/>
                    </w:rPr>
                    <w:t>去除效率20%</w:t>
                  </w:r>
                  <w:r>
                    <w:rPr>
                      <w:rFonts w:hint="eastAsia"/>
                      <w:sz w:val="18"/>
                      <w:szCs w:val="18"/>
                    </w:rPr>
                    <w:t>，一体化污水处理设施去除效率80%</w:t>
                  </w:r>
                  <w:r>
                    <w:rPr>
                      <w:sz w:val="18"/>
                      <w:szCs w:val="18"/>
                    </w:rPr>
                    <w:t>），COD排放浓度</w:t>
                  </w:r>
                  <w:r>
                    <w:rPr>
                      <w:rFonts w:hint="eastAsia"/>
                      <w:sz w:val="18"/>
                      <w:szCs w:val="18"/>
                    </w:rPr>
                    <w:t>48</w:t>
                  </w:r>
                  <w:r>
                    <w:rPr>
                      <w:sz w:val="18"/>
                      <w:szCs w:val="18"/>
                    </w:rPr>
                    <w:t>mg/L，则生活污水COD排放量为：</w:t>
                  </w:r>
                  <w:r>
                    <w:rPr>
                      <w:rFonts w:hint="eastAsia"/>
                      <w:sz w:val="18"/>
                      <w:szCs w:val="18"/>
                    </w:rPr>
                    <w:t>299.52</w:t>
                  </w:r>
                  <w:r>
                    <w:rPr>
                      <w:sz w:val="18"/>
                      <w:szCs w:val="18"/>
                    </w:rPr>
                    <w:t>×</w:t>
                  </w:r>
                  <w:r>
                    <w:rPr>
                      <w:rFonts w:hint="eastAsia"/>
                      <w:sz w:val="18"/>
                      <w:szCs w:val="18"/>
                    </w:rPr>
                    <w:t>48</w:t>
                  </w:r>
                  <w:r>
                    <w:rPr>
                      <w:sz w:val="18"/>
                      <w:szCs w:val="18"/>
                    </w:rPr>
                    <w:t>×10</w:t>
                  </w:r>
                  <w:r>
                    <w:rPr>
                      <w:sz w:val="18"/>
                      <w:szCs w:val="18"/>
                      <w:vertAlign w:val="superscript"/>
                    </w:rPr>
                    <w:t>-6</w:t>
                  </w:r>
                  <w:r>
                    <w:rPr>
                      <w:sz w:val="18"/>
                      <w:szCs w:val="18"/>
                    </w:rPr>
                    <w:t>=</w:t>
                  </w:r>
                  <w:r>
                    <w:rPr>
                      <w:rFonts w:hint="eastAsia"/>
                      <w:sz w:val="18"/>
                      <w:szCs w:val="18"/>
                    </w:rPr>
                    <w:t>0.0144t/a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4" w:type="dxa"/>
                  <w:vMerge w:val="continue"/>
                  <w:vAlign w:val="center"/>
                </w:tcPr>
                <w:p>
                  <w:pPr>
                    <w:pStyle w:val="58"/>
                    <w:spacing w:line="320" w:lineRule="exact"/>
                    <w:rPr>
                      <w:sz w:val="18"/>
                      <w:szCs w:val="18"/>
                    </w:rPr>
                  </w:pPr>
                </w:p>
              </w:tc>
              <w:tc>
                <w:tcPr>
                  <w:tcW w:w="990" w:type="dxa"/>
                  <w:vMerge w:val="continue"/>
                  <w:vAlign w:val="center"/>
                </w:tcPr>
                <w:p>
                  <w:pPr>
                    <w:pStyle w:val="58"/>
                    <w:spacing w:line="320" w:lineRule="exact"/>
                    <w:rPr>
                      <w:sz w:val="18"/>
                      <w:szCs w:val="18"/>
                    </w:rPr>
                  </w:pPr>
                </w:p>
              </w:tc>
              <w:tc>
                <w:tcPr>
                  <w:tcW w:w="714" w:type="dxa"/>
                  <w:vAlign w:val="center"/>
                </w:tcPr>
                <w:p>
                  <w:pPr>
                    <w:pStyle w:val="58"/>
                    <w:spacing w:line="320" w:lineRule="exact"/>
                    <w:rPr>
                      <w:sz w:val="18"/>
                      <w:szCs w:val="18"/>
                    </w:rPr>
                  </w:pPr>
                  <w:r>
                    <w:rPr>
                      <w:sz w:val="18"/>
                      <w:szCs w:val="18"/>
                    </w:rPr>
                    <w:t>氨氮</w:t>
                  </w:r>
                </w:p>
              </w:tc>
              <w:tc>
                <w:tcPr>
                  <w:tcW w:w="949" w:type="dxa"/>
                  <w:vAlign w:val="center"/>
                </w:tcPr>
                <w:p>
                  <w:pPr>
                    <w:pStyle w:val="58"/>
                    <w:spacing w:line="320" w:lineRule="exact"/>
                    <w:rPr>
                      <w:sz w:val="18"/>
                      <w:szCs w:val="18"/>
                    </w:rPr>
                  </w:pPr>
                  <w:r>
                    <w:rPr>
                      <w:rFonts w:hint="eastAsia"/>
                      <w:sz w:val="18"/>
                      <w:szCs w:val="18"/>
                    </w:rPr>
                    <w:t>0.0015</w:t>
                  </w:r>
                  <w:r>
                    <w:rPr>
                      <w:sz w:val="18"/>
                      <w:szCs w:val="18"/>
                    </w:rPr>
                    <w:t>t/a</w:t>
                  </w:r>
                </w:p>
              </w:tc>
              <w:tc>
                <w:tcPr>
                  <w:tcW w:w="4772" w:type="dxa"/>
                  <w:vAlign w:val="center"/>
                </w:tcPr>
                <w:p>
                  <w:pPr>
                    <w:pStyle w:val="58"/>
                    <w:spacing w:line="320" w:lineRule="exact"/>
                    <w:jc w:val="both"/>
                    <w:rPr>
                      <w:sz w:val="18"/>
                      <w:szCs w:val="18"/>
                    </w:rPr>
                  </w:pPr>
                  <w:r>
                    <w:rPr>
                      <w:rFonts w:hint="eastAsia"/>
                      <w:sz w:val="18"/>
                      <w:szCs w:val="18"/>
                    </w:rPr>
                    <w:t>氨氮</w:t>
                  </w:r>
                  <w:r>
                    <w:rPr>
                      <w:sz w:val="18"/>
                      <w:szCs w:val="18"/>
                    </w:rPr>
                    <w:t>产生浓度</w:t>
                  </w:r>
                  <w:r>
                    <w:rPr>
                      <w:rFonts w:hint="eastAsia"/>
                      <w:sz w:val="18"/>
                      <w:szCs w:val="18"/>
                    </w:rPr>
                    <w:t>25</w:t>
                  </w:r>
                  <w:r>
                    <w:rPr>
                      <w:sz w:val="18"/>
                      <w:szCs w:val="18"/>
                    </w:rPr>
                    <w:t>mg/L，经化粪池</w:t>
                  </w:r>
                  <w:r>
                    <w:rPr>
                      <w:rFonts w:hint="eastAsia"/>
                      <w:sz w:val="18"/>
                      <w:szCs w:val="18"/>
                    </w:rPr>
                    <w:t>+一体化污水处理设施</w:t>
                  </w:r>
                  <w:r>
                    <w:rPr>
                      <w:sz w:val="18"/>
                      <w:szCs w:val="18"/>
                    </w:rPr>
                    <w:t>处理（</w:t>
                  </w:r>
                  <w:r>
                    <w:rPr>
                      <w:rFonts w:hint="eastAsia"/>
                      <w:sz w:val="18"/>
                      <w:szCs w:val="18"/>
                    </w:rPr>
                    <w:t>化粪池</w:t>
                  </w:r>
                  <w:r>
                    <w:rPr>
                      <w:sz w:val="18"/>
                      <w:szCs w:val="18"/>
                    </w:rPr>
                    <w:t>去除效率</w:t>
                  </w:r>
                  <w:r>
                    <w:rPr>
                      <w:rFonts w:hint="eastAsia"/>
                      <w:sz w:val="18"/>
                      <w:szCs w:val="18"/>
                    </w:rPr>
                    <w:t>3</w:t>
                  </w:r>
                  <w:r>
                    <w:rPr>
                      <w:sz w:val="18"/>
                      <w:szCs w:val="18"/>
                    </w:rPr>
                    <w:t>%</w:t>
                  </w:r>
                  <w:r>
                    <w:rPr>
                      <w:rFonts w:hint="eastAsia"/>
                      <w:sz w:val="18"/>
                      <w:szCs w:val="18"/>
                    </w:rPr>
                    <w:t>，一体化污水处理设施去除效率80%</w:t>
                  </w:r>
                  <w:r>
                    <w:rPr>
                      <w:sz w:val="18"/>
                      <w:szCs w:val="18"/>
                    </w:rPr>
                    <w:t>），</w:t>
                  </w:r>
                  <w:r>
                    <w:rPr>
                      <w:rFonts w:hint="eastAsia"/>
                      <w:sz w:val="18"/>
                      <w:szCs w:val="18"/>
                    </w:rPr>
                    <w:t>氨氮</w:t>
                  </w:r>
                  <w:r>
                    <w:rPr>
                      <w:sz w:val="18"/>
                      <w:szCs w:val="18"/>
                    </w:rPr>
                    <w:t>排放浓度</w:t>
                  </w:r>
                  <w:r>
                    <w:rPr>
                      <w:rFonts w:hint="eastAsia"/>
                      <w:sz w:val="18"/>
                      <w:szCs w:val="18"/>
                    </w:rPr>
                    <w:t>4.85</w:t>
                  </w:r>
                  <w:r>
                    <w:rPr>
                      <w:sz w:val="18"/>
                      <w:szCs w:val="18"/>
                    </w:rPr>
                    <w:t>mg/L，则生活污水</w:t>
                  </w:r>
                  <w:r>
                    <w:rPr>
                      <w:rFonts w:hint="eastAsia"/>
                      <w:sz w:val="18"/>
                      <w:szCs w:val="18"/>
                    </w:rPr>
                    <w:t>氨氮</w:t>
                  </w:r>
                  <w:r>
                    <w:rPr>
                      <w:sz w:val="18"/>
                      <w:szCs w:val="18"/>
                    </w:rPr>
                    <w:t>排放量为：</w:t>
                  </w:r>
                  <w:r>
                    <w:rPr>
                      <w:rFonts w:hint="eastAsia"/>
                      <w:sz w:val="18"/>
                      <w:szCs w:val="18"/>
                    </w:rPr>
                    <w:t>299.52</w:t>
                  </w:r>
                  <w:r>
                    <w:rPr>
                      <w:sz w:val="18"/>
                      <w:szCs w:val="18"/>
                    </w:rPr>
                    <w:t>×</w:t>
                  </w:r>
                  <w:r>
                    <w:rPr>
                      <w:rFonts w:hint="eastAsia"/>
                      <w:sz w:val="18"/>
                      <w:szCs w:val="18"/>
                    </w:rPr>
                    <w:t>4.85</w:t>
                  </w:r>
                  <w:r>
                    <w:rPr>
                      <w:sz w:val="18"/>
                      <w:szCs w:val="18"/>
                    </w:rPr>
                    <w:t>×10</w:t>
                  </w:r>
                  <w:r>
                    <w:rPr>
                      <w:sz w:val="18"/>
                      <w:szCs w:val="18"/>
                      <w:vertAlign w:val="superscript"/>
                    </w:rPr>
                    <w:t>-6</w:t>
                  </w:r>
                  <w:r>
                    <w:rPr>
                      <w:sz w:val="18"/>
                      <w:szCs w:val="18"/>
                    </w:rPr>
                    <w:t>=</w:t>
                  </w:r>
                  <w:r>
                    <w:rPr>
                      <w:rFonts w:hint="eastAsia"/>
                      <w:sz w:val="18"/>
                      <w:szCs w:val="18"/>
                    </w:rPr>
                    <w:t>0.0015t/a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4" w:type="dxa"/>
                  <w:vMerge w:val="restart"/>
                  <w:vAlign w:val="center"/>
                </w:tcPr>
                <w:p>
                  <w:pPr>
                    <w:pStyle w:val="58"/>
                    <w:spacing w:line="320" w:lineRule="exact"/>
                    <w:rPr>
                      <w:sz w:val="18"/>
                      <w:szCs w:val="18"/>
                    </w:rPr>
                  </w:pPr>
                  <w:r>
                    <w:rPr>
                      <w:rFonts w:hint="eastAsia"/>
                      <w:sz w:val="18"/>
                      <w:szCs w:val="18"/>
                    </w:rPr>
                    <w:t>偃师区第二污水处理厂排口（远期）</w:t>
                  </w:r>
                </w:p>
              </w:tc>
              <w:tc>
                <w:tcPr>
                  <w:tcW w:w="990" w:type="dxa"/>
                  <w:vMerge w:val="restart"/>
                  <w:vAlign w:val="center"/>
                </w:tcPr>
                <w:p>
                  <w:pPr>
                    <w:pStyle w:val="58"/>
                    <w:spacing w:line="320" w:lineRule="exact"/>
                    <w:rPr>
                      <w:sz w:val="18"/>
                      <w:szCs w:val="18"/>
                    </w:rPr>
                  </w:pPr>
                  <w:r>
                    <w:rPr>
                      <w:sz w:val="18"/>
                      <w:szCs w:val="18"/>
                    </w:rPr>
                    <w:t>生活</w:t>
                  </w:r>
                  <w:r>
                    <w:rPr>
                      <w:rFonts w:hint="eastAsia"/>
                      <w:sz w:val="18"/>
                      <w:szCs w:val="18"/>
                    </w:rPr>
                    <w:t>污水299.52</w:t>
                  </w:r>
                </w:p>
                <w:p>
                  <w:pPr>
                    <w:pStyle w:val="58"/>
                    <w:spacing w:line="320" w:lineRule="exact"/>
                    <w:rPr>
                      <w:sz w:val="18"/>
                      <w:szCs w:val="18"/>
                    </w:rPr>
                  </w:pPr>
                  <w:r>
                    <w:rPr>
                      <w:sz w:val="18"/>
                      <w:szCs w:val="18"/>
                    </w:rPr>
                    <w:t>m</w:t>
                  </w:r>
                  <w:r>
                    <w:rPr>
                      <w:sz w:val="18"/>
                      <w:szCs w:val="18"/>
                      <w:vertAlign w:val="superscript"/>
                    </w:rPr>
                    <w:t>3</w:t>
                  </w:r>
                  <w:r>
                    <w:rPr>
                      <w:sz w:val="18"/>
                      <w:szCs w:val="18"/>
                    </w:rPr>
                    <w:t>/a</w:t>
                  </w:r>
                </w:p>
              </w:tc>
              <w:tc>
                <w:tcPr>
                  <w:tcW w:w="714" w:type="dxa"/>
                  <w:vAlign w:val="center"/>
                </w:tcPr>
                <w:p>
                  <w:pPr>
                    <w:pStyle w:val="58"/>
                    <w:spacing w:line="320" w:lineRule="exact"/>
                    <w:rPr>
                      <w:sz w:val="18"/>
                      <w:szCs w:val="18"/>
                    </w:rPr>
                  </w:pPr>
                  <w:r>
                    <w:rPr>
                      <w:sz w:val="18"/>
                      <w:szCs w:val="18"/>
                    </w:rPr>
                    <w:t>COD</w:t>
                  </w:r>
                </w:p>
              </w:tc>
              <w:tc>
                <w:tcPr>
                  <w:tcW w:w="949" w:type="dxa"/>
                  <w:vAlign w:val="center"/>
                </w:tcPr>
                <w:p>
                  <w:pPr>
                    <w:pStyle w:val="58"/>
                    <w:spacing w:line="320" w:lineRule="exact"/>
                    <w:rPr>
                      <w:sz w:val="18"/>
                      <w:szCs w:val="18"/>
                    </w:rPr>
                  </w:pPr>
                  <w:r>
                    <w:rPr>
                      <w:rFonts w:hint="eastAsia"/>
                      <w:sz w:val="18"/>
                      <w:szCs w:val="18"/>
                    </w:rPr>
                    <w:t>0.0120t/a</w:t>
                  </w:r>
                </w:p>
              </w:tc>
              <w:tc>
                <w:tcPr>
                  <w:tcW w:w="4772" w:type="dxa"/>
                  <w:vAlign w:val="center"/>
                </w:tcPr>
                <w:p>
                  <w:pPr>
                    <w:pStyle w:val="58"/>
                    <w:spacing w:line="320" w:lineRule="exact"/>
                    <w:jc w:val="both"/>
                    <w:rPr>
                      <w:sz w:val="18"/>
                      <w:szCs w:val="18"/>
                    </w:rPr>
                  </w:pPr>
                  <w:r>
                    <w:rPr>
                      <w:rFonts w:hint="eastAsia"/>
                      <w:sz w:val="18"/>
                      <w:szCs w:val="18"/>
                    </w:rPr>
                    <w:t>污水处理厂排口</w:t>
                  </w:r>
                  <w:r>
                    <w:rPr>
                      <w:sz w:val="18"/>
                      <w:szCs w:val="18"/>
                    </w:rPr>
                    <w:t>COD浓</w:t>
                  </w:r>
                  <w:r>
                    <w:rPr>
                      <w:rFonts w:hint="eastAsia"/>
                      <w:sz w:val="18"/>
                      <w:szCs w:val="18"/>
                    </w:rPr>
                    <w:t>40</w:t>
                  </w:r>
                  <w:r>
                    <w:rPr>
                      <w:sz w:val="18"/>
                      <w:szCs w:val="18"/>
                    </w:rPr>
                    <w:t>mg/L，则生活污水COD排放量为：</w:t>
                  </w:r>
                  <w:r>
                    <w:rPr>
                      <w:rFonts w:hint="eastAsia"/>
                      <w:sz w:val="18"/>
                      <w:szCs w:val="18"/>
                    </w:rPr>
                    <w:t>299.52</w:t>
                  </w:r>
                  <w:r>
                    <w:rPr>
                      <w:sz w:val="18"/>
                      <w:szCs w:val="18"/>
                    </w:rPr>
                    <w:t>×</w:t>
                  </w:r>
                  <w:r>
                    <w:rPr>
                      <w:rFonts w:hint="eastAsia"/>
                      <w:sz w:val="18"/>
                      <w:szCs w:val="18"/>
                    </w:rPr>
                    <w:t>40</w:t>
                  </w:r>
                  <w:r>
                    <w:rPr>
                      <w:sz w:val="18"/>
                      <w:szCs w:val="18"/>
                    </w:rPr>
                    <w:t>×10</w:t>
                  </w:r>
                  <w:r>
                    <w:rPr>
                      <w:sz w:val="18"/>
                      <w:szCs w:val="18"/>
                      <w:vertAlign w:val="superscript"/>
                    </w:rPr>
                    <w:t>-6</w:t>
                  </w:r>
                  <w:r>
                    <w:rPr>
                      <w:sz w:val="18"/>
                      <w:szCs w:val="18"/>
                    </w:rPr>
                    <w:t>=</w:t>
                  </w:r>
                  <w:r>
                    <w:rPr>
                      <w:rFonts w:hint="eastAsia"/>
                      <w:sz w:val="18"/>
                      <w:szCs w:val="18"/>
                    </w:rPr>
                    <w:t>0.012t/a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4" w:type="dxa"/>
                  <w:vMerge w:val="continue"/>
                  <w:vAlign w:val="center"/>
                </w:tcPr>
                <w:p>
                  <w:pPr>
                    <w:pStyle w:val="58"/>
                    <w:spacing w:line="320" w:lineRule="exact"/>
                    <w:rPr>
                      <w:sz w:val="18"/>
                      <w:szCs w:val="18"/>
                    </w:rPr>
                  </w:pPr>
                </w:p>
              </w:tc>
              <w:tc>
                <w:tcPr>
                  <w:tcW w:w="990" w:type="dxa"/>
                  <w:vMerge w:val="continue"/>
                  <w:vAlign w:val="center"/>
                </w:tcPr>
                <w:p>
                  <w:pPr>
                    <w:pStyle w:val="58"/>
                    <w:spacing w:line="320" w:lineRule="exact"/>
                    <w:rPr>
                      <w:sz w:val="18"/>
                      <w:szCs w:val="18"/>
                    </w:rPr>
                  </w:pPr>
                </w:p>
              </w:tc>
              <w:tc>
                <w:tcPr>
                  <w:tcW w:w="714" w:type="dxa"/>
                  <w:vAlign w:val="center"/>
                </w:tcPr>
                <w:p>
                  <w:pPr>
                    <w:pStyle w:val="58"/>
                    <w:spacing w:line="320" w:lineRule="exact"/>
                    <w:rPr>
                      <w:sz w:val="18"/>
                      <w:szCs w:val="18"/>
                    </w:rPr>
                  </w:pPr>
                  <w:r>
                    <w:rPr>
                      <w:sz w:val="18"/>
                      <w:szCs w:val="18"/>
                    </w:rPr>
                    <w:t>氨氮</w:t>
                  </w:r>
                </w:p>
              </w:tc>
              <w:tc>
                <w:tcPr>
                  <w:tcW w:w="949" w:type="dxa"/>
                  <w:vAlign w:val="center"/>
                </w:tcPr>
                <w:p>
                  <w:pPr>
                    <w:pStyle w:val="58"/>
                    <w:spacing w:line="320" w:lineRule="exact"/>
                    <w:rPr>
                      <w:sz w:val="18"/>
                      <w:szCs w:val="18"/>
                    </w:rPr>
                  </w:pPr>
                  <w:r>
                    <w:rPr>
                      <w:rFonts w:hint="eastAsia"/>
                      <w:sz w:val="18"/>
                      <w:szCs w:val="18"/>
                    </w:rPr>
                    <w:t>0.0009t/a</w:t>
                  </w:r>
                </w:p>
              </w:tc>
              <w:tc>
                <w:tcPr>
                  <w:tcW w:w="4772" w:type="dxa"/>
                  <w:vAlign w:val="center"/>
                </w:tcPr>
                <w:p>
                  <w:pPr>
                    <w:pStyle w:val="58"/>
                    <w:spacing w:line="320" w:lineRule="exact"/>
                    <w:jc w:val="both"/>
                    <w:rPr>
                      <w:sz w:val="18"/>
                      <w:szCs w:val="18"/>
                    </w:rPr>
                  </w:pPr>
                  <w:r>
                    <w:rPr>
                      <w:rFonts w:hint="eastAsia"/>
                      <w:sz w:val="18"/>
                      <w:szCs w:val="18"/>
                    </w:rPr>
                    <w:t>污水处理厂排口氨氮</w:t>
                  </w:r>
                  <w:r>
                    <w:rPr>
                      <w:sz w:val="18"/>
                      <w:szCs w:val="18"/>
                    </w:rPr>
                    <w:t>浓度</w:t>
                  </w:r>
                  <w:r>
                    <w:rPr>
                      <w:rFonts w:hint="eastAsia"/>
                      <w:sz w:val="18"/>
                      <w:szCs w:val="18"/>
                    </w:rPr>
                    <w:t>3</w:t>
                  </w:r>
                  <w:r>
                    <w:rPr>
                      <w:sz w:val="18"/>
                      <w:szCs w:val="18"/>
                    </w:rPr>
                    <w:t>mg/L</w:t>
                  </w:r>
                  <w:r>
                    <w:rPr>
                      <w:rFonts w:hint="eastAsia"/>
                      <w:sz w:val="18"/>
                      <w:szCs w:val="18"/>
                    </w:rPr>
                    <w:t>，</w:t>
                  </w:r>
                  <w:r>
                    <w:rPr>
                      <w:sz w:val="18"/>
                      <w:szCs w:val="18"/>
                    </w:rPr>
                    <w:t>则生活污水</w:t>
                  </w:r>
                  <w:r>
                    <w:rPr>
                      <w:rFonts w:hint="eastAsia"/>
                      <w:sz w:val="18"/>
                      <w:szCs w:val="18"/>
                    </w:rPr>
                    <w:t>氨氮</w:t>
                  </w:r>
                  <w:r>
                    <w:rPr>
                      <w:sz w:val="18"/>
                      <w:szCs w:val="18"/>
                    </w:rPr>
                    <w:t>排放量为：</w:t>
                  </w:r>
                  <w:r>
                    <w:rPr>
                      <w:rFonts w:hint="eastAsia"/>
                      <w:sz w:val="18"/>
                      <w:szCs w:val="18"/>
                    </w:rPr>
                    <w:t>299.52</w:t>
                  </w:r>
                  <w:r>
                    <w:rPr>
                      <w:sz w:val="18"/>
                      <w:szCs w:val="18"/>
                    </w:rPr>
                    <w:t>×</w:t>
                  </w:r>
                  <w:r>
                    <w:rPr>
                      <w:rFonts w:hint="eastAsia"/>
                      <w:sz w:val="18"/>
                      <w:szCs w:val="18"/>
                    </w:rPr>
                    <w:t>3</w:t>
                  </w:r>
                  <w:r>
                    <w:rPr>
                      <w:sz w:val="18"/>
                      <w:szCs w:val="18"/>
                    </w:rPr>
                    <w:t>×10</w:t>
                  </w:r>
                  <w:r>
                    <w:rPr>
                      <w:sz w:val="18"/>
                      <w:szCs w:val="18"/>
                      <w:vertAlign w:val="superscript"/>
                    </w:rPr>
                    <w:t>-6</w:t>
                  </w:r>
                  <w:r>
                    <w:rPr>
                      <w:sz w:val="18"/>
                      <w:szCs w:val="18"/>
                    </w:rPr>
                    <w:t>=</w:t>
                  </w:r>
                  <w:r>
                    <w:rPr>
                      <w:rFonts w:hint="eastAsia"/>
                      <w:sz w:val="18"/>
                      <w:szCs w:val="18"/>
                    </w:rPr>
                    <w:t>0.0009t/a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4" w:type="dxa"/>
                  <w:vMerge w:val="restart"/>
                  <w:vAlign w:val="center"/>
                </w:tcPr>
                <w:p>
                  <w:pPr>
                    <w:pStyle w:val="58"/>
                    <w:spacing w:line="320" w:lineRule="exact"/>
                    <w:rPr>
                      <w:sz w:val="18"/>
                      <w:szCs w:val="18"/>
                    </w:rPr>
                  </w:pPr>
                  <w:r>
                    <w:rPr>
                      <w:rFonts w:hint="eastAsia"/>
                      <w:sz w:val="18"/>
                      <w:szCs w:val="18"/>
                    </w:rPr>
                    <w:t>本项目</w:t>
                  </w:r>
                  <w:r>
                    <w:rPr>
                      <w:sz w:val="18"/>
                      <w:szCs w:val="18"/>
                    </w:rPr>
                    <w:t>新增</w:t>
                  </w:r>
                  <w:r>
                    <w:rPr>
                      <w:rFonts w:hint="eastAsia"/>
                      <w:sz w:val="18"/>
                      <w:szCs w:val="18"/>
                    </w:rPr>
                    <w:t>排放</w:t>
                  </w:r>
                  <w:r>
                    <w:rPr>
                      <w:sz w:val="18"/>
                      <w:szCs w:val="18"/>
                    </w:rPr>
                    <w:t>量</w:t>
                  </w:r>
                </w:p>
              </w:tc>
              <w:tc>
                <w:tcPr>
                  <w:tcW w:w="990" w:type="dxa"/>
                  <w:vMerge w:val="restart"/>
                  <w:vAlign w:val="center"/>
                </w:tcPr>
                <w:p>
                  <w:pPr>
                    <w:pStyle w:val="58"/>
                    <w:spacing w:line="320" w:lineRule="exact"/>
                    <w:rPr>
                      <w:sz w:val="18"/>
                      <w:szCs w:val="18"/>
                    </w:rPr>
                  </w:pPr>
                  <w:r>
                    <w:rPr>
                      <w:sz w:val="18"/>
                      <w:szCs w:val="18"/>
                    </w:rPr>
                    <w:t>生活</w:t>
                  </w:r>
                  <w:r>
                    <w:rPr>
                      <w:rFonts w:hint="eastAsia"/>
                      <w:sz w:val="18"/>
                      <w:szCs w:val="18"/>
                    </w:rPr>
                    <w:t>污水299.52</w:t>
                  </w:r>
                </w:p>
                <w:p>
                  <w:pPr>
                    <w:pStyle w:val="58"/>
                    <w:spacing w:line="320" w:lineRule="exact"/>
                    <w:rPr>
                      <w:sz w:val="18"/>
                      <w:szCs w:val="18"/>
                    </w:rPr>
                  </w:pPr>
                  <w:r>
                    <w:rPr>
                      <w:sz w:val="18"/>
                      <w:szCs w:val="18"/>
                    </w:rPr>
                    <w:t>m</w:t>
                  </w:r>
                  <w:r>
                    <w:rPr>
                      <w:sz w:val="18"/>
                      <w:szCs w:val="18"/>
                      <w:vertAlign w:val="superscript"/>
                    </w:rPr>
                    <w:t>3</w:t>
                  </w:r>
                  <w:r>
                    <w:rPr>
                      <w:sz w:val="18"/>
                      <w:szCs w:val="18"/>
                    </w:rPr>
                    <w:t>/a</w:t>
                  </w:r>
                </w:p>
              </w:tc>
              <w:tc>
                <w:tcPr>
                  <w:tcW w:w="714" w:type="dxa"/>
                  <w:vAlign w:val="center"/>
                </w:tcPr>
                <w:p>
                  <w:pPr>
                    <w:pStyle w:val="58"/>
                    <w:spacing w:line="320" w:lineRule="exact"/>
                    <w:rPr>
                      <w:sz w:val="18"/>
                      <w:szCs w:val="18"/>
                    </w:rPr>
                  </w:pPr>
                  <w:r>
                    <w:rPr>
                      <w:sz w:val="18"/>
                      <w:szCs w:val="18"/>
                    </w:rPr>
                    <w:t>COD</w:t>
                  </w:r>
                </w:p>
              </w:tc>
              <w:tc>
                <w:tcPr>
                  <w:tcW w:w="949" w:type="dxa"/>
                  <w:vAlign w:val="center"/>
                </w:tcPr>
                <w:p>
                  <w:pPr>
                    <w:pStyle w:val="58"/>
                    <w:spacing w:line="320" w:lineRule="exact"/>
                    <w:rPr>
                      <w:sz w:val="18"/>
                      <w:szCs w:val="18"/>
                    </w:rPr>
                  </w:pPr>
                  <w:r>
                    <w:rPr>
                      <w:rFonts w:hint="eastAsia"/>
                      <w:sz w:val="18"/>
                      <w:szCs w:val="18"/>
                    </w:rPr>
                    <w:t>0.0144</w:t>
                  </w:r>
                  <w:r>
                    <w:rPr>
                      <w:sz w:val="18"/>
                      <w:szCs w:val="18"/>
                    </w:rPr>
                    <w:t>t/a</w:t>
                  </w:r>
                </w:p>
              </w:tc>
              <w:tc>
                <w:tcPr>
                  <w:tcW w:w="4772" w:type="dxa"/>
                  <w:vAlign w:val="center"/>
                </w:tcPr>
                <w:p>
                  <w:pPr>
                    <w:pStyle w:val="58"/>
                    <w:spacing w:line="320" w:lineRule="exact"/>
                    <w:jc w:val="both"/>
                    <w:rPr>
                      <w:sz w:val="18"/>
                      <w:szCs w:val="18"/>
                    </w:rPr>
                  </w:pPr>
                  <w:r>
                    <w:rPr>
                      <w:sz w:val="18"/>
                      <w:szCs w:val="18"/>
                    </w:rPr>
                    <w:t>COD产生浓度300mg/L，经化粪池</w:t>
                  </w:r>
                  <w:r>
                    <w:rPr>
                      <w:rFonts w:hint="eastAsia"/>
                      <w:sz w:val="18"/>
                      <w:szCs w:val="18"/>
                    </w:rPr>
                    <w:t>+一体化污水处理设施</w:t>
                  </w:r>
                  <w:r>
                    <w:rPr>
                      <w:sz w:val="18"/>
                      <w:szCs w:val="18"/>
                    </w:rPr>
                    <w:t>处理（</w:t>
                  </w:r>
                  <w:r>
                    <w:rPr>
                      <w:rFonts w:hint="eastAsia"/>
                      <w:sz w:val="18"/>
                      <w:szCs w:val="18"/>
                    </w:rPr>
                    <w:t>化粪池</w:t>
                  </w:r>
                  <w:r>
                    <w:rPr>
                      <w:sz w:val="18"/>
                      <w:szCs w:val="18"/>
                    </w:rPr>
                    <w:t>去除效率20%</w:t>
                  </w:r>
                  <w:r>
                    <w:rPr>
                      <w:rFonts w:hint="eastAsia"/>
                      <w:sz w:val="18"/>
                      <w:szCs w:val="18"/>
                    </w:rPr>
                    <w:t>，一体化污水处理设施去除效率80%</w:t>
                  </w:r>
                  <w:r>
                    <w:rPr>
                      <w:sz w:val="18"/>
                      <w:szCs w:val="18"/>
                    </w:rPr>
                    <w:t>），COD排放浓度</w:t>
                  </w:r>
                  <w:r>
                    <w:rPr>
                      <w:rFonts w:hint="eastAsia"/>
                      <w:sz w:val="18"/>
                      <w:szCs w:val="18"/>
                    </w:rPr>
                    <w:t>48</w:t>
                  </w:r>
                  <w:r>
                    <w:rPr>
                      <w:sz w:val="18"/>
                      <w:szCs w:val="18"/>
                    </w:rPr>
                    <w:t>mg/L，则生活污水COD排放量为：</w:t>
                  </w:r>
                  <w:r>
                    <w:rPr>
                      <w:rFonts w:hint="eastAsia"/>
                      <w:sz w:val="18"/>
                      <w:szCs w:val="18"/>
                    </w:rPr>
                    <w:t>299.52</w:t>
                  </w:r>
                  <w:r>
                    <w:rPr>
                      <w:sz w:val="18"/>
                      <w:szCs w:val="18"/>
                    </w:rPr>
                    <w:t>×</w:t>
                  </w:r>
                  <w:r>
                    <w:rPr>
                      <w:rFonts w:hint="eastAsia"/>
                      <w:sz w:val="18"/>
                      <w:szCs w:val="18"/>
                    </w:rPr>
                    <w:t>48</w:t>
                  </w:r>
                  <w:r>
                    <w:rPr>
                      <w:sz w:val="18"/>
                      <w:szCs w:val="18"/>
                    </w:rPr>
                    <w:t>×10</w:t>
                  </w:r>
                  <w:r>
                    <w:rPr>
                      <w:sz w:val="18"/>
                      <w:szCs w:val="18"/>
                      <w:vertAlign w:val="superscript"/>
                    </w:rPr>
                    <w:t>-6</w:t>
                  </w:r>
                  <w:r>
                    <w:rPr>
                      <w:sz w:val="18"/>
                      <w:szCs w:val="18"/>
                    </w:rPr>
                    <w:t>=</w:t>
                  </w:r>
                  <w:r>
                    <w:rPr>
                      <w:rFonts w:hint="eastAsia"/>
                      <w:sz w:val="18"/>
                      <w:szCs w:val="18"/>
                    </w:rPr>
                    <w:t>0.0144t/a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4" w:type="dxa"/>
                  <w:vMerge w:val="continue"/>
                  <w:vAlign w:val="center"/>
                </w:tcPr>
                <w:p>
                  <w:pPr>
                    <w:pStyle w:val="58"/>
                    <w:spacing w:line="320" w:lineRule="exact"/>
                    <w:rPr>
                      <w:sz w:val="18"/>
                      <w:szCs w:val="18"/>
                    </w:rPr>
                  </w:pPr>
                </w:p>
              </w:tc>
              <w:tc>
                <w:tcPr>
                  <w:tcW w:w="990" w:type="dxa"/>
                  <w:vMerge w:val="continue"/>
                  <w:vAlign w:val="center"/>
                </w:tcPr>
                <w:p>
                  <w:pPr>
                    <w:pStyle w:val="58"/>
                    <w:spacing w:line="320" w:lineRule="exact"/>
                    <w:rPr>
                      <w:sz w:val="18"/>
                      <w:szCs w:val="18"/>
                    </w:rPr>
                  </w:pPr>
                </w:p>
              </w:tc>
              <w:tc>
                <w:tcPr>
                  <w:tcW w:w="714" w:type="dxa"/>
                  <w:vAlign w:val="center"/>
                </w:tcPr>
                <w:p>
                  <w:pPr>
                    <w:pStyle w:val="58"/>
                    <w:spacing w:line="320" w:lineRule="exact"/>
                    <w:rPr>
                      <w:sz w:val="18"/>
                      <w:szCs w:val="18"/>
                    </w:rPr>
                  </w:pPr>
                  <w:r>
                    <w:rPr>
                      <w:sz w:val="18"/>
                      <w:szCs w:val="18"/>
                    </w:rPr>
                    <w:t>氨氮</w:t>
                  </w:r>
                </w:p>
              </w:tc>
              <w:tc>
                <w:tcPr>
                  <w:tcW w:w="949" w:type="dxa"/>
                  <w:vAlign w:val="center"/>
                </w:tcPr>
                <w:p>
                  <w:pPr>
                    <w:pStyle w:val="58"/>
                    <w:spacing w:line="320" w:lineRule="exact"/>
                    <w:rPr>
                      <w:sz w:val="18"/>
                      <w:szCs w:val="18"/>
                    </w:rPr>
                  </w:pPr>
                  <w:r>
                    <w:rPr>
                      <w:rFonts w:hint="eastAsia"/>
                      <w:sz w:val="18"/>
                      <w:szCs w:val="18"/>
                    </w:rPr>
                    <w:t>0.0015</w:t>
                  </w:r>
                  <w:r>
                    <w:rPr>
                      <w:sz w:val="18"/>
                      <w:szCs w:val="18"/>
                    </w:rPr>
                    <w:t>t/a</w:t>
                  </w:r>
                </w:p>
              </w:tc>
              <w:tc>
                <w:tcPr>
                  <w:tcW w:w="4772" w:type="dxa"/>
                  <w:vAlign w:val="center"/>
                </w:tcPr>
                <w:p>
                  <w:pPr>
                    <w:pStyle w:val="58"/>
                    <w:spacing w:line="320" w:lineRule="exact"/>
                    <w:jc w:val="both"/>
                    <w:rPr>
                      <w:sz w:val="18"/>
                      <w:szCs w:val="18"/>
                    </w:rPr>
                  </w:pPr>
                  <w:r>
                    <w:rPr>
                      <w:rFonts w:hint="eastAsia"/>
                      <w:sz w:val="18"/>
                      <w:szCs w:val="18"/>
                    </w:rPr>
                    <w:t>氨氮</w:t>
                  </w:r>
                  <w:r>
                    <w:rPr>
                      <w:sz w:val="18"/>
                      <w:szCs w:val="18"/>
                    </w:rPr>
                    <w:t>产生浓度</w:t>
                  </w:r>
                  <w:r>
                    <w:rPr>
                      <w:rFonts w:hint="eastAsia"/>
                      <w:sz w:val="18"/>
                      <w:szCs w:val="18"/>
                    </w:rPr>
                    <w:t>25</w:t>
                  </w:r>
                  <w:r>
                    <w:rPr>
                      <w:sz w:val="18"/>
                      <w:szCs w:val="18"/>
                    </w:rPr>
                    <w:t>mg/L，经化粪池</w:t>
                  </w:r>
                  <w:r>
                    <w:rPr>
                      <w:rFonts w:hint="eastAsia"/>
                      <w:sz w:val="18"/>
                      <w:szCs w:val="18"/>
                    </w:rPr>
                    <w:t>+一体化污水处理设施</w:t>
                  </w:r>
                  <w:r>
                    <w:rPr>
                      <w:sz w:val="18"/>
                      <w:szCs w:val="18"/>
                    </w:rPr>
                    <w:t>处理（</w:t>
                  </w:r>
                  <w:r>
                    <w:rPr>
                      <w:rFonts w:hint="eastAsia"/>
                      <w:sz w:val="18"/>
                      <w:szCs w:val="18"/>
                    </w:rPr>
                    <w:t>化粪池</w:t>
                  </w:r>
                  <w:r>
                    <w:rPr>
                      <w:sz w:val="18"/>
                      <w:szCs w:val="18"/>
                    </w:rPr>
                    <w:t>去除效率</w:t>
                  </w:r>
                  <w:r>
                    <w:rPr>
                      <w:rFonts w:hint="eastAsia"/>
                      <w:sz w:val="18"/>
                      <w:szCs w:val="18"/>
                    </w:rPr>
                    <w:t>3</w:t>
                  </w:r>
                  <w:r>
                    <w:rPr>
                      <w:sz w:val="18"/>
                      <w:szCs w:val="18"/>
                    </w:rPr>
                    <w:t>%</w:t>
                  </w:r>
                  <w:r>
                    <w:rPr>
                      <w:rFonts w:hint="eastAsia"/>
                      <w:sz w:val="18"/>
                      <w:szCs w:val="18"/>
                    </w:rPr>
                    <w:t>，一体化污水处理设施去除效率80%</w:t>
                  </w:r>
                  <w:r>
                    <w:rPr>
                      <w:sz w:val="18"/>
                      <w:szCs w:val="18"/>
                    </w:rPr>
                    <w:t>），</w:t>
                  </w:r>
                  <w:r>
                    <w:rPr>
                      <w:rFonts w:hint="eastAsia"/>
                      <w:sz w:val="18"/>
                      <w:szCs w:val="18"/>
                    </w:rPr>
                    <w:t>氨氮</w:t>
                  </w:r>
                  <w:r>
                    <w:rPr>
                      <w:sz w:val="18"/>
                      <w:szCs w:val="18"/>
                    </w:rPr>
                    <w:t>排放浓度</w:t>
                  </w:r>
                  <w:r>
                    <w:rPr>
                      <w:rFonts w:hint="eastAsia"/>
                      <w:sz w:val="18"/>
                      <w:szCs w:val="18"/>
                    </w:rPr>
                    <w:t>4.85</w:t>
                  </w:r>
                  <w:r>
                    <w:rPr>
                      <w:sz w:val="18"/>
                      <w:szCs w:val="18"/>
                    </w:rPr>
                    <w:t>mg/L，则生活污水</w:t>
                  </w:r>
                  <w:r>
                    <w:rPr>
                      <w:rFonts w:hint="eastAsia"/>
                      <w:sz w:val="18"/>
                      <w:szCs w:val="18"/>
                    </w:rPr>
                    <w:t>氨氮</w:t>
                  </w:r>
                  <w:r>
                    <w:rPr>
                      <w:sz w:val="18"/>
                      <w:szCs w:val="18"/>
                    </w:rPr>
                    <w:t>排放量为：</w:t>
                  </w:r>
                  <w:r>
                    <w:rPr>
                      <w:rFonts w:hint="eastAsia"/>
                      <w:sz w:val="18"/>
                      <w:szCs w:val="18"/>
                    </w:rPr>
                    <w:t>299.52</w:t>
                  </w:r>
                  <w:r>
                    <w:rPr>
                      <w:sz w:val="18"/>
                      <w:szCs w:val="18"/>
                    </w:rPr>
                    <w:t>×</w:t>
                  </w:r>
                  <w:r>
                    <w:rPr>
                      <w:rFonts w:hint="eastAsia"/>
                      <w:sz w:val="18"/>
                      <w:szCs w:val="18"/>
                    </w:rPr>
                    <w:t>4.85</w:t>
                  </w:r>
                  <w:r>
                    <w:rPr>
                      <w:sz w:val="18"/>
                      <w:szCs w:val="18"/>
                    </w:rPr>
                    <w:t>×10</w:t>
                  </w:r>
                  <w:r>
                    <w:rPr>
                      <w:sz w:val="18"/>
                      <w:szCs w:val="18"/>
                      <w:vertAlign w:val="superscript"/>
                    </w:rPr>
                    <w:t>-6</w:t>
                  </w:r>
                  <w:r>
                    <w:rPr>
                      <w:sz w:val="18"/>
                      <w:szCs w:val="18"/>
                    </w:rPr>
                    <w:t>=</w:t>
                  </w:r>
                  <w:r>
                    <w:rPr>
                      <w:rFonts w:hint="eastAsia"/>
                      <w:sz w:val="18"/>
                      <w:szCs w:val="18"/>
                    </w:rPr>
                    <w:t>0.0015t/a</w:t>
                  </w:r>
                </w:p>
              </w:tc>
            </w:tr>
          </w:tbl>
          <w:p>
            <w:pPr>
              <w:spacing w:line="360" w:lineRule="auto"/>
              <w:rPr>
                <w:b/>
                <w:sz w:val="24"/>
              </w:rPr>
            </w:pPr>
            <w:r>
              <w:rPr>
                <w:rFonts w:hint="eastAsia"/>
                <w:b/>
                <w:sz w:val="24"/>
              </w:rPr>
              <w:t>3噪声</w:t>
            </w:r>
          </w:p>
          <w:p>
            <w:pPr>
              <w:spacing w:line="360" w:lineRule="auto"/>
              <w:rPr>
                <w:b/>
                <w:sz w:val="24"/>
              </w:rPr>
            </w:pPr>
            <w:r>
              <w:rPr>
                <w:rFonts w:hint="eastAsia"/>
                <w:b/>
                <w:sz w:val="24"/>
              </w:rPr>
              <w:t>3.1噪声源强及污染防治措施</w:t>
            </w:r>
          </w:p>
          <w:p>
            <w:pPr>
              <w:widowControl/>
              <w:spacing w:line="384" w:lineRule="auto"/>
              <w:ind w:left="1" w:firstLine="494" w:firstLineChars="206"/>
              <w:rPr>
                <w:bCs/>
                <w:sz w:val="24"/>
              </w:rPr>
            </w:pPr>
            <w:r>
              <w:rPr>
                <w:rFonts w:hint="eastAsia"/>
                <w:kern w:val="0"/>
                <w:sz w:val="24"/>
              </w:rPr>
              <w:t>本项目新增高噪声主要有</w:t>
            </w:r>
            <w:r>
              <w:rPr>
                <w:rFonts w:hint="eastAsia"/>
                <w:sz w:val="24"/>
              </w:rPr>
              <w:t>拉丝机、覆膜机、织带机、圆织机、</w:t>
            </w:r>
            <w:r>
              <w:rPr>
                <w:rFonts w:hint="eastAsia"/>
                <w:kern w:val="0"/>
                <w:sz w:val="24"/>
              </w:rPr>
              <w:t>冷却塔、环保设施风机</w:t>
            </w:r>
            <w:r>
              <w:rPr>
                <w:rFonts w:hint="eastAsia"/>
                <w:sz w:val="24"/>
              </w:rPr>
              <w:t>等设备运行噪声，声源源强在7</w:t>
            </w:r>
            <w:r>
              <w:rPr>
                <w:sz w:val="24"/>
              </w:rPr>
              <w:t>0</w:t>
            </w:r>
            <w:r>
              <w:rPr>
                <w:rFonts w:hint="eastAsia"/>
                <w:sz w:val="24"/>
              </w:rPr>
              <w:t>-</w:t>
            </w:r>
            <w:r>
              <w:rPr>
                <w:sz w:val="24"/>
              </w:rPr>
              <w:t>90</w:t>
            </w:r>
            <w:r>
              <w:rPr>
                <w:rFonts w:hint="eastAsia"/>
                <w:sz w:val="24"/>
              </w:rPr>
              <w:t>dB(A)之间。</w:t>
            </w:r>
            <w:r>
              <w:rPr>
                <w:rFonts w:hint="eastAsia"/>
                <w:bCs/>
                <w:sz w:val="24"/>
              </w:rPr>
              <w:t>本项目运营期主要噪声源设备位置及噪声源强见下表，</w:t>
            </w:r>
            <w:r>
              <w:rPr>
                <w:bCs/>
                <w:sz w:val="24"/>
              </w:rPr>
              <w:t>空间位置以</w:t>
            </w:r>
            <w:r>
              <w:rPr>
                <w:rFonts w:hint="eastAsia"/>
                <w:bCs/>
                <w:sz w:val="24"/>
              </w:rPr>
              <w:t>厂界西南</w:t>
            </w:r>
            <w:r>
              <w:rPr>
                <w:bCs/>
                <w:sz w:val="24"/>
              </w:rPr>
              <w:t>角为</w:t>
            </w:r>
            <w:r>
              <w:rPr>
                <w:rFonts w:hint="eastAsia"/>
                <w:bCs/>
                <w:sz w:val="24"/>
              </w:rPr>
              <w:t>起始点。</w:t>
            </w:r>
          </w:p>
          <w:p>
            <w:pPr>
              <w:pStyle w:val="53"/>
              <w:numPr>
                <w:ilvl w:val="0"/>
                <w:numId w:val="2"/>
              </w:numPr>
              <w:ind w:left="0" w:firstLine="0"/>
            </w:pPr>
            <w:r>
              <w:rPr>
                <w:rFonts w:hint="eastAsia"/>
              </w:rPr>
              <w:t>工业企业噪声源强调查清单（室内声源）</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701"/>
              <w:gridCol w:w="571"/>
              <w:gridCol w:w="756"/>
              <w:gridCol w:w="564"/>
              <w:gridCol w:w="1046"/>
              <w:gridCol w:w="685"/>
              <w:gridCol w:w="756"/>
              <w:gridCol w:w="491"/>
              <w:gridCol w:w="1026"/>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43" w:type="pct"/>
                  <w:vAlign w:val="center"/>
                </w:tcPr>
                <w:p>
                  <w:pPr>
                    <w:autoSpaceDE w:val="0"/>
                    <w:autoSpaceDN w:val="0"/>
                    <w:adjustRightInd w:val="0"/>
                    <w:snapToGrid w:val="0"/>
                    <w:spacing w:line="320" w:lineRule="exact"/>
                    <w:jc w:val="center"/>
                    <w:rPr>
                      <w:rFonts w:ascii="黑体" w:hAnsi="黑体" w:eastAsia="黑体"/>
                      <w:sz w:val="18"/>
                      <w:szCs w:val="18"/>
                    </w:rPr>
                  </w:pPr>
                  <w:r>
                    <w:rPr>
                      <w:rFonts w:hint="eastAsia" w:ascii="黑体" w:hAnsi="黑体" w:eastAsia="黑体"/>
                      <w:sz w:val="18"/>
                      <w:szCs w:val="18"/>
                    </w:rPr>
                    <w:t>建筑物</w:t>
                  </w:r>
                </w:p>
              </w:tc>
              <w:tc>
                <w:tcPr>
                  <w:tcW w:w="474" w:type="pct"/>
                  <w:vAlign w:val="center"/>
                </w:tcPr>
                <w:p>
                  <w:pPr>
                    <w:autoSpaceDE w:val="0"/>
                    <w:autoSpaceDN w:val="0"/>
                    <w:adjustRightInd w:val="0"/>
                    <w:snapToGrid w:val="0"/>
                    <w:spacing w:line="320" w:lineRule="exact"/>
                    <w:jc w:val="center"/>
                    <w:rPr>
                      <w:rFonts w:ascii="黑体" w:hAnsi="黑体" w:eastAsia="黑体"/>
                      <w:sz w:val="18"/>
                      <w:szCs w:val="18"/>
                    </w:rPr>
                  </w:pPr>
                  <w:r>
                    <w:rPr>
                      <w:rFonts w:hint="eastAsia" w:ascii="黑体" w:hAnsi="黑体" w:eastAsia="黑体"/>
                      <w:sz w:val="18"/>
                      <w:szCs w:val="18"/>
                    </w:rPr>
                    <w:t>声源</w:t>
                  </w:r>
                  <w:r>
                    <w:rPr>
                      <w:rFonts w:ascii="黑体" w:hAnsi="黑体" w:eastAsia="黑体"/>
                      <w:sz w:val="18"/>
                      <w:szCs w:val="18"/>
                    </w:rPr>
                    <w:t>名称</w:t>
                  </w:r>
                </w:p>
              </w:tc>
              <w:tc>
                <w:tcPr>
                  <w:tcW w:w="392" w:type="pct"/>
                  <w:vAlign w:val="center"/>
                </w:tcPr>
                <w:p>
                  <w:pPr>
                    <w:autoSpaceDE w:val="0"/>
                    <w:autoSpaceDN w:val="0"/>
                    <w:adjustRightInd w:val="0"/>
                    <w:snapToGrid w:val="0"/>
                    <w:spacing w:line="320" w:lineRule="exact"/>
                    <w:jc w:val="center"/>
                    <w:rPr>
                      <w:rFonts w:ascii="黑体" w:hAnsi="黑体" w:eastAsia="黑体"/>
                      <w:sz w:val="18"/>
                      <w:szCs w:val="18"/>
                    </w:rPr>
                  </w:pPr>
                  <w:r>
                    <w:rPr>
                      <w:rFonts w:ascii="黑体" w:hAnsi="黑体" w:eastAsia="黑体"/>
                      <w:sz w:val="18"/>
                      <w:szCs w:val="18"/>
                    </w:rPr>
                    <w:t>数量</w:t>
                  </w:r>
                </w:p>
                <w:p>
                  <w:pPr>
                    <w:autoSpaceDE w:val="0"/>
                    <w:autoSpaceDN w:val="0"/>
                    <w:adjustRightInd w:val="0"/>
                    <w:snapToGrid w:val="0"/>
                    <w:spacing w:line="320" w:lineRule="exact"/>
                    <w:jc w:val="center"/>
                    <w:rPr>
                      <w:rFonts w:ascii="黑体" w:hAnsi="黑体" w:eastAsia="黑体"/>
                      <w:sz w:val="18"/>
                      <w:szCs w:val="18"/>
                    </w:rPr>
                  </w:pPr>
                  <w:r>
                    <w:rPr>
                      <w:rFonts w:hint="eastAsia" w:ascii="黑体" w:hAnsi="黑体" w:eastAsia="黑体"/>
                      <w:sz w:val="18"/>
                      <w:szCs w:val="18"/>
                    </w:rPr>
                    <w:t>台/套</w:t>
                  </w:r>
                </w:p>
              </w:tc>
              <w:tc>
                <w:tcPr>
                  <w:tcW w:w="450" w:type="pct"/>
                  <w:vAlign w:val="center"/>
                </w:tcPr>
                <w:p>
                  <w:pPr>
                    <w:autoSpaceDE w:val="0"/>
                    <w:autoSpaceDN w:val="0"/>
                    <w:adjustRightInd w:val="0"/>
                    <w:snapToGrid w:val="0"/>
                    <w:spacing w:line="320" w:lineRule="exact"/>
                    <w:jc w:val="center"/>
                    <w:rPr>
                      <w:rFonts w:ascii="黑体" w:hAnsi="黑体" w:eastAsia="黑体"/>
                      <w:sz w:val="18"/>
                      <w:szCs w:val="18"/>
                    </w:rPr>
                  </w:pPr>
                  <w:r>
                    <w:rPr>
                      <w:rFonts w:hint="eastAsia" w:ascii="黑体" w:hAnsi="黑体" w:eastAsia="黑体"/>
                      <w:sz w:val="18"/>
                      <w:szCs w:val="18"/>
                    </w:rPr>
                    <w:t>声源源强/</w:t>
                  </w:r>
                  <w:r>
                    <w:rPr>
                      <w:rFonts w:ascii="黑体" w:hAnsi="黑体" w:eastAsia="黑体"/>
                      <w:sz w:val="18"/>
                      <w:szCs w:val="18"/>
                    </w:rPr>
                    <w:t>dB(A)</w:t>
                  </w:r>
                </w:p>
              </w:tc>
              <w:tc>
                <w:tcPr>
                  <w:tcW w:w="388" w:type="pct"/>
                  <w:vAlign w:val="center"/>
                </w:tcPr>
                <w:p>
                  <w:pPr>
                    <w:autoSpaceDE w:val="0"/>
                    <w:autoSpaceDN w:val="0"/>
                    <w:adjustRightInd w:val="0"/>
                    <w:snapToGrid w:val="0"/>
                    <w:spacing w:line="320" w:lineRule="exact"/>
                    <w:jc w:val="center"/>
                    <w:rPr>
                      <w:rFonts w:ascii="黑体" w:hAnsi="黑体" w:eastAsia="黑体"/>
                      <w:sz w:val="18"/>
                      <w:szCs w:val="18"/>
                    </w:rPr>
                  </w:pPr>
                  <w:r>
                    <w:rPr>
                      <w:rFonts w:hint="eastAsia" w:ascii="黑体" w:hAnsi="黑体" w:eastAsia="黑体"/>
                      <w:sz w:val="18"/>
                      <w:szCs w:val="18"/>
                    </w:rPr>
                    <w:t>声源控制措施</w:t>
                  </w:r>
                </w:p>
              </w:tc>
              <w:tc>
                <w:tcPr>
                  <w:tcW w:w="637" w:type="pct"/>
                  <w:vAlign w:val="center"/>
                </w:tcPr>
                <w:p>
                  <w:pPr>
                    <w:autoSpaceDE w:val="0"/>
                    <w:autoSpaceDN w:val="0"/>
                    <w:adjustRightInd w:val="0"/>
                    <w:snapToGrid w:val="0"/>
                    <w:spacing w:line="320" w:lineRule="exact"/>
                    <w:jc w:val="center"/>
                    <w:rPr>
                      <w:rFonts w:ascii="黑体" w:hAnsi="黑体" w:eastAsia="黑体"/>
                      <w:sz w:val="18"/>
                      <w:szCs w:val="18"/>
                    </w:rPr>
                  </w:pPr>
                  <w:r>
                    <w:rPr>
                      <w:rFonts w:hint="eastAsia" w:ascii="黑体" w:hAnsi="黑体" w:eastAsia="黑体"/>
                      <w:sz w:val="18"/>
                      <w:szCs w:val="18"/>
                    </w:rPr>
                    <w:t>空间相对位置（</w:t>
                  </w:r>
                  <w:r>
                    <w:rPr>
                      <w:rFonts w:eastAsia="黑体"/>
                      <w:sz w:val="18"/>
                      <w:szCs w:val="18"/>
                    </w:rPr>
                    <w:t>X</w:t>
                  </w:r>
                  <w:r>
                    <w:rPr>
                      <w:rFonts w:hint="eastAsia" w:hAnsi="黑体" w:eastAsia="黑体"/>
                      <w:sz w:val="18"/>
                      <w:szCs w:val="18"/>
                    </w:rPr>
                    <w:t>/</w:t>
                  </w:r>
                  <w:r>
                    <w:rPr>
                      <w:rFonts w:eastAsia="黑体"/>
                      <w:sz w:val="18"/>
                      <w:szCs w:val="18"/>
                    </w:rPr>
                    <w:t>Y</w:t>
                  </w:r>
                  <w:r>
                    <w:rPr>
                      <w:rFonts w:hint="eastAsia" w:hAnsi="黑体" w:eastAsia="黑体"/>
                      <w:sz w:val="18"/>
                      <w:szCs w:val="18"/>
                    </w:rPr>
                    <w:t>/</w:t>
                  </w:r>
                  <w:r>
                    <w:rPr>
                      <w:rFonts w:eastAsia="黑体"/>
                      <w:sz w:val="18"/>
                      <w:szCs w:val="18"/>
                    </w:rPr>
                    <w:t>Z</w:t>
                  </w:r>
                  <w:r>
                    <w:rPr>
                      <w:rFonts w:hint="eastAsia" w:ascii="黑体" w:hAnsi="黑体" w:eastAsia="黑体"/>
                      <w:sz w:val="18"/>
                      <w:szCs w:val="18"/>
                    </w:rPr>
                    <w:t>）/m</w:t>
                  </w:r>
                </w:p>
              </w:tc>
              <w:tc>
                <w:tcPr>
                  <w:tcW w:w="464" w:type="pct"/>
                  <w:vAlign w:val="center"/>
                </w:tcPr>
                <w:p>
                  <w:pPr>
                    <w:autoSpaceDE w:val="0"/>
                    <w:autoSpaceDN w:val="0"/>
                    <w:adjustRightInd w:val="0"/>
                    <w:snapToGrid w:val="0"/>
                    <w:spacing w:line="320" w:lineRule="exact"/>
                    <w:jc w:val="center"/>
                    <w:rPr>
                      <w:rFonts w:ascii="黑体" w:hAnsi="黑体" w:eastAsia="黑体"/>
                      <w:sz w:val="18"/>
                      <w:szCs w:val="18"/>
                    </w:rPr>
                  </w:pPr>
                  <w:r>
                    <w:rPr>
                      <w:rFonts w:hint="eastAsia" w:ascii="黑体" w:hAnsi="黑体" w:eastAsia="黑体"/>
                      <w:sz w:val="18"/>
                      <w:szCs w:val="18"/>
                    </w:rPr>
                    <w:t>距室内边界距离/m</w:t>
                  </w:r>
                </w:p>
              </w:tc>
              <w:tc>
                <w:tcPr>
                  <w:tcW w:w="450" w:type="pct"/>
                  <w:vAlign w:val="center"/>
                </w:tcPr>
                <w:p>
                  <w:pPr>
                    <w:autoSpaceDE w:val="0"/>
                    <w:autoSpaceDN w:val="0"/>
                    <w:adjustRightInd w:val="0"/>
                    <w:snapToGrid w:val="0"/>
                    <w:spacing w:line="320" w:lineRule="exact"/>
                    <w:jc w:val="center"/>
                    <w:rPr>
                      <w:rFonts w:ascii="黑体" w:hAnsi="黑体" w:eastAsia="黑体"/>
                      <w:sz w:val="18"/>
                      <w:szCs w:val="18"/>
                    </w:rPr>
                  </w:pPr>
                  <w:r>
                    <w:rPr>
                      <w:rFonts w:hint="eastAsia" w:ascii="黑体" w:hAnsi="黑体" w:eastAsia="黑体"/>
                      <w:sz w:val="18"/>
                      <w:szCs w:val="18"/>
                    </w:rPr>
                    <w:t>室内边界声级/</w:t>
                  </w:r>
                  <w:r>
                    <w:rPr>
                      <w:rFonts w:ascii="黑体" w:hAnsi="黑体" w:eastAsia="黑体"/>
                      <w:sz w:val="18"/>
                      <w:szCs w:val="18"/>
                    </w:rPr>
                    <w:t>dB(A)</w:t>
                  </w:r>
                </w:p>
              </w:tc>
              <w:tc>
                <w:tcPr>
                  <w:tcW w:w="342" w:type="pct"/>
                  <w:vAlign w:val="center"/>
                </w:tcPr>
                <w:p>
                  <w:pPr>
                    <w:autoSpaceDE w:val="0"/>
                    <w:autoSpaceDN w:val="0"/>
                    <w:adjustRightInd w:val="0"/>
                    <w:snapToGrid w:val="0"/>
                    <w:spacing w:line="320" w:lineRule="exact"/>
                    <w:jc w:val="center"/>
                    <w:rPr>
                      <w:rFonts w:ascii="黑体" w:hAnsi="黑体" w:eastAsia="黑体"/>
                      <w:sz w:val="18"/>
                      <w:szCs w:val="18"/>
                    </w:rPr>
                  </w:pPr>
                  <w:r>
                    <w:rPr>
                      <w:rFonts w:ascii="黑体" w:hAnsi="黑体" w:eastAsia="黑体"/>
                      <w:sz w:val="18"/>
                      <w:szCs w:val="18"/>
                    </w:rPr>
                    <w:t>运行</w:t>
                  </w:r>
                  <w:r>
                    <w:rPr>
                      <w:rFonts w:hint="eastAsia" w:ascii="黑体" w:hAnsi="黑体" w:eastAsia="黑体"/>
                      <w:sz w:val="18"/>
                      <w:szCs w:val="18"/>
                    </w:rPr>
                    <w:t>时段</w:t>
                  </w:r>
                </w:p>
              </w:tc>
              <w:tc>
                <w:tcPr>
                  <w:tcW w:w="610" w:type="pct"/>
                  <w:vAlign w:val="center"/>
                </w:tcPr>
                <w:p>
                  <w:pPr>
                    <w:autoSpaceDE w:val="0"/>
                    <w:autoSpaceDN w:val="0"/>
                    <w:adjustRightInd w:val="0"/>
                    <w:snapToGrid w:val="0"/>
                    <w:spacing w:line="320" w:lineRule="exact"/>
                    <w:jc w:val="center"/>
                    <w:rPr>
                      <w:rFonts w:ascii="黑体" w:hAnsi="黑体" w:eastAsia="黑体"/>
                      <w:sz w:val="18"/>
                      <w:szCs w:val="18"/>
                    </w:rPr>
                  </w:pPr>
                  <w:r>
                    <w:rPr>
                      <w:rFonts w:hint="eastAsia" w:ascii="黑体" w:hAnsi="黑体" w:eastAsia="黑体"/>
                      <w:sz w:val="18"/>
                      <w:szCs w:val="18"/>
                    </w:rPr>
                    <w:t>建筑物插入损失</w:t>
                  </w:r>
                  <w:r>
                    <w:rPr>
                      <w:rFonts w:ascii="黑体" w:hAnsi="黑体" w:eastAsia="黑体"/>
                      <w:sz w:val="18"/>
                      <w:szCs w:val="18"/>
                    </w:rPr>
                    <w:t>（dB(A)）</w:t>
                  </w:r>
                </w:p>
              </w:tc>
              <w:tc>
                <w:tcPr>
                  <w:tcW w:w="450" w:type="pct"/>
                  <w:vAlign w:val="center"/>
                </w:tcPr>
                <w:p>
                  <w:pPr>
                    <w:autoSpaceDE w:val="0"/>
                    <w:autoSpaceDN w:val="0"/>
                    <w:adjustRightInd w:val="0"/>
                    <w:snapToGrid w:val="0"/>
                    <w:spacing w:line="320" w:lineRule="exact"/>
                    <w:jc w:val="center"/>
                    <w:rPr>
                      <w:rFonts w:ascii="黑体" w:hAnsi="黑体" w:eastAsia="黑体"/>
                      <w:sz w:val="18"/>
                      <w:szCs w:val="18"/>
                    </w:rPr>
                  </w:pPr>
                  <w:r>
                    <w:rPr>
                      <w:rFonts w:hint="eastAsia" w:ascii="黑体" w:hAnsi="黑体" w:eastAsia="黑体"/>
                      <w:sz w:val="18"/>
                      <w:szCs w:val="18"/>
                    </w:rPr>
                    <w:t>建筑物外噪声/</w:t>
                  </w:r>
                  <w:r>
                    <w:rPr>
                      <w:rFonts w:ascii="黑体" w:hAnsi="黑体" w:eastAsia="黑体"/>
                      <w:sz w:val="18"/>
                      <w:szCs w:val="18"/>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3" w:type="pct"/>
                  <w:vAlign w:val="center"/>
                </w:tcPr>
                <w:p>
                  <w:pPr>
                    <w:widowControl/>
                    <w:adjustRightInd w:val="0"/>
                    <w:snapToGrid w:val="0"/>
                    <w:spacing w:line="320" w:lineRule="exact"/>
                    <w:jc w:val="center"/>
                    <w:rPr>
                      <w:kern w:val="0"/>
                      <w:sz w:val="18"/>
                      <w:szCs w:val="18"/>
                    </w:rPr>
                  </w:pPr>
                  <w:r>
                    <w:rPr>
                      <w:rFonts w:hint="eastAsia"/>
                      <w:kern w:val="0"/>
                      <w:sz w:val="18"/>
                      <w:szCs w:val="18"/>
                    </w:rPr>
                    <w:t>2#车间</w:t>
                  </w:r>
                </w:p>
              </w:tc>
              <w:tc>
                <w:tcPr>
                  <w:tcW w:w="474" w:type="pct"/>
                  <w:vAlign w:val="center"/>
                </w:tcPr>
                <w:p>
                  <w:pPr>
                    <w:pStyle w:val="58"/>
                    <w:spacing w:line="320" w:lineRule="exact"/>
                    <w:rPr>
                      <w:sz w:val="18"/>
                      <w:szCs w:val="18"/>
                    </w:rPr>
                  </w:pPr>
                  <w:r>
                    <w:rPr>
                      <w:rFonts w:hint="eastAsia"/>
                      <w:sz w:val="18"/>
                      <w:szCs w:val="18"/>
                    </w:rPr>
                    <w:t>拉丝</w:t>
                  </w:r>
                  <w:r>
                    <w:rPr>
                      <w:sz w:val="18"/>
                      <w:szCs w:val="18"/>
                    </w:rPr>
                    <w:t>机</w:t>
                  </w:r>
                </w:p>
              </w:tc>
              <w:tc>
                <w:tcPr>
                  <w:tcW w:w="392" w:type="pct"/>
                  <w:vAlign w:val="center"/>
                </w:tcPr>
                <w:p>
                  <w:pPr>
                    <w:pStyle w:val="58"/>
                    <w:spacing w:line="320" w:lineRule="exact"/>
                    <w:rPr>
                      <w:bCs/>
                      <w:sz w:val="18"/>
                      <w:szCs w:val="18"/>
                    </w:rPr>
                  </w:pPr>
                  <w:r>
                    <w:rPr>
                      <w:rFonts w:hint="eastAsia"/>
                      <w:bCs/>
                      <w:sz w:val="18"/>
                      <w:szCs w:val="18"/>
                    </w:rPr>
                    <w:t>2</w:t>
                  </w:r>
                </w:p>
              </w:tc>
              <w:tc>
                <w:tcPr>
                  <w:tcW w:w="450" w:type="pct"/>
                  <w:vAlign w:val="center"/>
                </w:tcPr>
                <w:p>
                  <w:pPr>
                    <w:pStyle w:val="58"/>
                    <w:spacing w:line="320" w:lineRule="exact"/>
                    <w:rPr>
                      <w:sz w:val="18"/>
                      <w:szCs w:val="18"/>
                    </w:rPr>
                  </w:pPr>
                  <w:r>
                    <w:rPr>
                      <w:rFonts w:hint="eastAsia"/>
                      <w:sz w:val="18"/>
                      <w:szCs w:val="18"/>
                    </w:rPr>
                    <w:t>80</w:t>
                  </w:r>
                </w:p>
              </w:tc>
              <w:tc>
                <w:tcPr>
                  <w:tcW w:w="388" w:type="pct"/>
                  <w:vAlign w:val="center"/>
                </w:tcPr>
                <w:p>
                  <w:pPr>
                    <w:adjustRightInd w:val="0"/>
                    <w:snapToGrid w:val="0"/>
                    <w:spacing w:line="320" w:lineRule="exact"/>
                    <w:jc w:val="center"/>
                    <w:rPr>
                      <w:bCs/>
                      <w:sz w:val="18"/>
                      <w:szCs w:val="18"/>
                    </w:rPr>
                  </w:pPr>
                  <w:r>
                    <w:rPr>
                      <w:rFonts w:hint="eastAsia"/>
                      <w:bCs/>
                      <w:sz w:val="18"/>
                      <w:szCs w:val="18"/>
                    </w:rPr>
                    <w:t>建筑物隔声</w:t>
                  </w:r>
                </w:p>
              </w:tc>
              <w:tc>
                <w:tcPr>
                  <w:tcW w:w="637" w:type="pct"/>
                  <w:vAlign w:val="center"/>
                </w:tcPr>
                <w:p>
                  <w:pPr>
                    <w:autoSpaceDE w:val="0"/>
                    <w:autoSpaceDN w:val="0"/>
                    <w:adjustRightInd w:val="0"/>
                    <w:snapToGrid w:val="0"/>
                    <w:spacing w:line="320" w:lineRule="exact"/>
                    <w:jc w:val="center"/>
                    <w:rPr>
                      <w:bCs/>
                      <w:sz w:val="18"/>
                      <w:szCs w:val="18"/>
                    </w:rPr>
                  </w:pPr>
                  <w:r>
                    <w:rPr>
                      <w:rFonts w:hint="eastAsia"/>
                      <w:bCs/>
                      <w:sz w:val="18"/>
                      <w:szCs w:val="18"/>
                    </w:rPr>
                    <w:t>12/203/1.5</w:t>
                  </w:r>
                </w:p>
              </w:tc>
              <w:tc>
                <w:tcPr>
                  <w:tcW w:w="464" w:type="pct"/>
                  <w:vAlign w:val="center"/>
                </w:tcPr>
                <w:p>
                  <w:pPr>
                    <w:autoSpaceDE w:val="0"/>
                    <w:autoSpaceDN w:val="0"/>
                    <w:adjustRightInd w:val="0"/>
                    <w:snapToGrid w:val="0"/>
                    <w:spacing w:line="320" w:lineRule="exact"/>
                    <w:jc w:val="center"/>
                    <w:rPr>
                      <w:sz w:val="18"/>
                      <w:szCs w:val="18"/>
                    </w:rPr>
                  </w:pPr>
                  <w:r>
                    <w:rPr>
                      <w:rFonts w:hint="eastAsia"/>
                      <w:sz w:val="18"/>
                      <w:szCs w:val="18"/>
                    </w:rPr>
                    <w:t>N2</w:t>
                  </w:r>
                </w:p>
                <w:p>
                  <w:pPr>
                    <w:autoSpaceDE w:val="0"/>
                    <w:autoSpaceDN w:val="0"/>
                    <w:adjustRightInd w:val="0"/>
                    <w:snapToGrid w:val="0"/>
                    <w:spacing w:line="320" w:lineRule="exact"/>
                    <w:jc w:val="center"/>
                    <w:rPr>
                      <w:sz w:val="18"/>
                      <w:szCs w:val="18"/>
                    </w:rPr>
                  </w:pPr>
                  <w:r>
                    <w:rPr>
                      <w:rFonts w:hint="eastAsia"/>
                      <w:sz w:val="18"/>
                      <w:szCs w:val="18"/>
                    </w:rPr>
                    <w:t>E35</w:t>
                  </w:r>
                </w:p>
                <w:p>
                  <w:pPr>
                    <w:autoSpaceDE w:val="0"/>
                    <w:autoSpaceDN w:val="0"/>
                    <w:adjustRightInd w:val="0"/>
                    <w:snapToGrid w:val="0"/>
                    <w:spacing w:line="320" w:lineRule="exact"/>
                    <w:jc w:val="center"/>
                    <w:rPr>
                      <w:sz w:val="18"/>
                      <w:szCs w:val="18"/>
                    </w:rPr>
                  </w:pPr>
                  <w:r>
                    <w:rPr>
                      <w:rFonts w:hint="eastAsia"/>
                      <w:sz w:val="18"/>
                      <w:szCs w:val="18"/>
                    </w:rPr>
                    <w:t>S59</w:t>
                  </w:r>
                </w:p>
                <w:p>
                  <w:pPr>
                    <w:autoSpaceDE w:val="0"/>
                    <w:autoSpaceDN w:val="0"/>
                    <w:adjustRightInd w:val="0"/>
                    <w:snapToGrid w:val="0"/>
                    <w:spacing w:line="320" w:lineRule="exact"/>
                    <w:jc w:val="center"/>
                    <w:rPr>
                      <w:bCs/>
                      <w:sz w:val="18"/>
                      <w:szCs w:val="18"/>
                    </w:rPr>
                  </w:pPr>
                  <w:r>
                    <w:rPr>
                      <w:rFonts w:hint="eastAsia"/>
                      <w:sz w:val="18"/>
                      <w:szCs w:val="18"/>
                    </w:rPr>
                    <w:t>W2</w:t>
                  </w:r>
                </w:p>
              </w:tc>
              <w:tc>
                <w:tcPr>
                  <w:tcW w:w="450" w:type="pct"/>
                  <w:vAlign w:val="center"/>
                </w:tcPr>
                <w:p>
                  <w:pPr>
                    <w:autoSpaceDE w:val="0"/>
                    <w:autoSpaceDN w:val="0"/>
                    <w:adjustRightInd w:val="0"/>
                    <w:snapToGrid w:val="0"/>
                    <w:spacing w:line="320" w:lineRule="exact"/>
                    <w:jc w:val="center"/>
                    <w:rPr>
                      <w:sz w:val="18"/>
                      <w:szCs w:val="18"/>
                    </w:rPr>
                  </w:pPr>
                  <w:r>
                    <w:rPr>
                      <w:rFonts w:hint="eastAsia"/>
                      <w:sz w:val="18"/>
                      <w:szCs w:val="18"/>
                    </w:rPr>
                    <w:t>N64</w:t>
                  </w:r>
                </w:p>
                <w:p>
                  <w:pPr>
                    <w:autoSpaceDE w:val="0"/>
                    <w:autoSpaceDN w:val="0"/>
                    <w:adjustRightInd w:val="0"/>
                    <w:snapToGrid w:val="0"/>
                    <w:spacing w:line="320" w:lineRule="exact"/>
                    <w:jc w:val="center"/>
                    <w:rPr>
                      <w:sz w:val="18"/>
                      <w:szCs w:val="18"/>
                    </w:rPr>
                  </w:pPr>
                  <w:r>
                    <w:rPr>
                      <w:rFonts w:hint="eastAsia"/>
                      <w:sz w:val="18"/>
                      <w:szCs w:val="18"/>
                    </w:rPr>
                    <w:t>E54</w:t>
                  </w:r>
                </w:p>
                <w:p>
                  <w:pPr>
                    <w:autoSpaceDE w:val="0"/>
                    <w:autoSpaceDN w:val="0"/>
                    <w:adjustRightInd w:val="0"/>
                    <w:snapToGrid w:val="0"/>
                    <w:spacing w:line="320" w:lineRule="exact"/>
                    <w:jc w:val="center"/>
                    <w:rPr>
                      <w:sz w:val="18"/>
                      <w:szCs w:val="18"/>
                    </w:rPr>
                  </w:pPr>
                  <w:r>
                    <w:rPr>
                      <w:rFonts w:hint="eastAsia"/>
                      <w:sz w:val="18"/>
                      <w:szCs w:val="18"/>
                    </w:rPr>
                    <w:t>S54</w:t>
                  </w:r>
                </w:p>
                <w:p>
                  <w:pPr>
                    <w:autoSpaceDE w:val="0"/>
                    <w:autoSpaceDN w:val="0"/>
                    <w:adjustRightInd w:val="0"/>
                    <w:snapToGrid w:val="0"/>
                    <w:spacing w:line="320" w:lineRule="exact"/>
                    <w:jc w:val="center"/>
                    <w:rPr>
                      <w:bCs/>
                      <w:sz w:val="18"/>
                      <w:szCs w:val="18"/>
                    </w:rPr>
                  </w:pPr>
                  <w:r>
                    <w:rPr>
                      <w:rFonts w:hint="eastAsia"/>
                      <w:sz w:val="18"/>
                      <w:szCs w:val="18"/>
                    </w:rPr>
                    <w:t>W64</w:t>
                  </w:r>
                </w:p>
              </w:tc>
              <w:tc>
                <w:tcPr>
                  <w:tcW w:w="342" w:type="pct"/>
                  <w:vAlign w:val="center"/>
                </w:tcPr>
                <w:p>
                  <w:pPr>
                    <w:autoSpaceDE w:val="0"/>
                    <w:autoSpaceDN w:val="0"/>
                    <w:adjustRightInd w:val="0"/>
                    <w:snapToGrid w:val="0"/>
                    <w:spacing w:line="320" w:lineRule="exact"/>
                    <w:jc w:val="center"/>
                    <w:rPr>
                      <w:bCs/>
                      <w:sz w:val="18"/>
                      <w:szCs w:val="18"/>
                    </w:rPr>
                  </w:pPr>
                  <w:r>
                    <w:rPr>
                      <w:rFonts w:hint="eastAsia"/>
                      <w:bCs/>
                      <w:sz w:val="18"/>
                      <w:szCs w:val="18"/>
                    </w:rPr>
                    <w:t>昼夜</w:t>
                  </w:r>
                  <w:r>
                    <w:rPr>
                      <w:bCs/>
                      <w:sz w:val="18"/>
                      <w:szCs w:val="18"/>
                    </w:rPr>
                    <w:t>间断</w:t>
                  </w:r>
                </w:p>
              </w:tc>
              <w:tc>
                <w:tcPr>
                  <w:tcW w:w="610" w:type="pct"/>
                  <w:vAlign w:val="center"/>
                </w:tcPr>
                <w:p>
                  <w:pPr>
                    <w:autoSpaceDE w:val="0"/>
                    <w:autoSpaceDN w:val="0"/>
                    <w:adjustRightInd w:val="0"/>
                    <w:snapToGrid w:val="0"/>
                    <w:spacing w:line="320" w:lineRule="exact"/>
                    <w:jc w:val="center"/>
                    <w:rPr>
                      <w:bCs/>
                      <w:sz w:val="18"/>
                      <w:szCs w:val="18"/>
                    </w:rPr>
                  </w:pPr>
                  <w:r>
                    <w:rPr>
                      <w:rFonts w:hint="eastAsia"/>
                      <w:bCs/>
                      <w:sz w:val="18"/>
                      <w:szCs w:val="18"/>
                    </w:rPr>
                    <w:t>20</w:t>
                  </w:r>
                </w:p>
              </w:tc>
              <w:tc>
                <w:tcPr>
                  <w:tcW w:w="450" w:type="pct"/>
                  <w:vAlign w:val="center"/>
                </w:tcPr>
                <w:p>
                  <w:pPr>
                    <w:autoSpaceDE w:val="0"/>
                    <w:autoSpaceDN w:val="0"/>
                    <w:adjustRightInd w:val="0"/>
                    <w:snapToGrid w:val="0"/>
                    <w:spacing w:line="320" w:lineRule="exact"/>
                    <w:jc w:val="center"/>
                    <w:rPr>
                      <w:sz w:val="18"/>
                      <w:szCs w:val="18"/>
                    </w:rPr>
                  </w:pPr>
                  <w:r>
                    <w:rPr>
                      <w:rFonts w:hint="eastAsia"/>
                      <w:sz w:val="18"/>
                      <w:szCs w:val="18"/>
                    </w:rPr>
                    <w:t>N44</w:t>
                  </w:r>
                </w:p>
                <w:p>
                  <w:pPr>
                    <w:autoSpaceDE w:val="0"/>
                    <w:autoSpaceDN w:val="0"/>
                    <w:adjustRightInd w:val="0"/>
                    <w:snapToGrid w:val="0"/>
                    <w:spacing w:line="320" w:lineRule="exact"/>
                    <w:jc w:val="center"/>
                    <w:rPr>
                      <w:sz w:val="18"/>
                      <w:szCs w:val="18"/>
                    </w:rPr>
                  </w:pPr>
                  <w:r>
                    <w:rPr>
                      <w:rFonts w:hint="eastAsia"/>
                      <w:sz w:val="18"/>
                      <w:szCs w:val="18"/>
                    </w:rPr>
                    <w:t>E34</w:t>
                  </w:r>
                </w:p>
                <w:p>
                  <w:pPr>
                    <w:autoSpaceDE w:val="0"/>
                    <w:autoSpaceDN w:val="0"/>
                    <w:adjustRightInd w:val="0"/>
                    <w:snapToGrid w:val="0"/>
                    <w:spacing w:line="320" w:lineRule="exact"/>
                    <w:jc w:val="center"/>
                    <w:rPr>
                      <w:sz w:val="18"/>
                      <w:szCs w:val="18"/>
                    </w:rPr>
                  </w:pPr>
                  <w:r>
                    <w:rPr>
                      <w:rFonts w:hint="eastAsia"/>
                      <w:sz w:val="18"/>
                      <w:szCs w:val="18"/>
                    </w:rPr>
                    <w:t>S34</w:t>
                  </w:r>
                </w:p>
                <w:p>
                  <w:pPr>
                    <w:autoSpaceDE w:val="0"/>
                    <w:autoSpaceDN w:val="0"/>
                    <w:adjustRightInd w:val="0"/>
                    <w:snapToGrid w:val="0"/>
                    <w:spacing w:line="320" w:lineRule="exact"/>
                    <w:jc w:val="center"/>
                    <w:rPr>
                      <w:bCs/>
                      <w:sz w:val="18"/>
                      <w:szCs w:val="18"/>
                    </w:rPr>
                  </w:pPr>
                  <w:r>
                    <w:rPr>
                      <w:rFonts w:hint="eastAsia"/>
                      <w:sz w:val="18"/>
                      <w:szCs w:val="18"/>
                    </w:rPr>
                    <w:t>W44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3" w:type="pct"/>
                  <w:vMerge w:val="restart"/>
                  <w:vAlign w:val="center"/>
                </w:tcPr>
                <w:p>
                  <w:pPr>
                    <w:widowControl/>
                    <w:adjustRightInd w:val="0"/>
                    <w:snapToGrid w:val="0"/>
                    <w:spacing w:line="320" w:lineRule="exact"/>
                    <w:jc w:val="center"/>
                    <w:rPr>
                      <w:kern w:val="0"/>
                      <w:sz w:val="18"/>
                      <w:szCs w:val="18"/>
                    </w:rPr>
                  </w:pPr>
                  <w:r>
                    <w:rPr>
                      <w:rFonts w:hint="eastAsia"/>
                      <w:kern w:val="0"/>
                      <w:sz w:val="18"/>
                      <w:szCs w:val="18"/>
                    </w:rPr>
                    <w:t>3#车间（一层）</w:t>
                  </w:r>
                </w:p>
              </w:tc>
              <w:tc>
                <w:tcPr>
                  <w:tcW w:w="474" w:type="pct"/>
                  <w:vAlign w:val="center"/>
                </w:tcPr>
                <w:p>
                  <w:pPr>
                    <w:pStyle w:val="58"/>
                    <w:spacing w:line="320" w:lineRule="exact"/>
                    <w:rPr>
                      <w:sz w:val="18"/>
                      <w:szCs w:val="18"/>
                    </w:rPr>
                  </w:pPr>
                  <w:r>
                    <w:rPr>
                      <w:rFonts w:hint="eastAsia"/>
                      <w:sz w:val="18"/>
                      <w:szCs w:val="18"/>
                    </w:rPr>
                    <w:t>拉丝</w:t>
                  </w:r>
                  <w:r>
                    <w:rPr>
                      <w:sz w:val="18"/>
                      <w:szCs w:val="18"/>
                    </w:rPr>
                    <w:t>机</w:t>
                  </w:r>
                </w:p>
              </w:tc>
              <w:tc>
                <w:tcPr>
                  <w:tcW w:w="392" w:type="pct"/>
                  <w:vAlign w:val="center"/>
                </w:tcPr>
                <w:p>
                  <w:pPr>
                    <w:pStyle w:val="58"/>
                    <w:spacing w:line="320" w:lineRule="exact"/>
                    <w:rPr>
                      <w:bCs/>
                      <w:sz w:val="18"/>
                      <w:szCs w:val="18"/>
                    </w:rPr>
                  </w:pPr>
                  <w:r>
                    <w:rPr>
                      <w:rFonts w:hint="eastAsia"/>
                      <w:bCs/>
                      <w:sz w:val="18"/>
                      <w:szCs w:val="18"/>
                    </w:rPr>
                    <w:t>4</w:t>
                  </w:r>
                </w:p>
              </w:tc>
              <w:tc>
                <w:tcPr>
                  <w:tcW w:w="450" w:type="pct"/>
                  <w:vAlign w:val="center"/>
                </w:tcPr>
                <w:p>
                  <w:pPr>
                    <w:pStyle w:val="58"/>
                    <w:spacing w:line="320" w:lineRule="exact"/>
                    <w:rPr>
                      <w:sz w:val="18"/>
                      <w:szCs w:val="18"/>
                    </w:rPr>
                  </w:pPr>
                  <w:r>
                    <w:rPr>
                      <w:rFonts w:hint="eastAsia"/>
                      <w:sz w:val="18"/>
                      <w:szCs w:val="18"/>
                    </w:rPr>
                    <w:t>80</w:t>
                  </w:r>
                </w:p>
              </w:tc>
              <w:tc>
                <w:tcPr>
                  <w:tcW w:w="388" w:type="pct"/>
                  <w:vAlign w:val="center"/>
                </w:tcPr>
                <w:p>
                  <w:pPr>
                    <w:adjustRightInd w:val="0"/>
                    <w:snapToGrid w:val="0"/>
                    <w:spacing w:line="320" w:lineRule="exact"/>
                    <w:jc w:val="center"/>
                    <w:rPr>
                      <w:bCs/>
                      <w:sz w:val="18"/>
                      <w:szCs w:val="18"/>
                    </w:rPr>
                  </w:pPr>
                  <w:r>
                    <w:rPr>
                      <w:rFonts w:hint="eastAsia"/>
                      <w:bCs/>
                      <w:sz w:val="18"/>
                      <w:szCs w:val="18"/>
                    </w:rPr>
                    <w:t>建筑物隔声</w:t>
                  </w:r>
                </w:p>
              </w:tc>
              <w:tc>
                <w:tcPr>
                  <w:tcW w:w="637" w:type="pct"/>
                  <w:vAlign w:val="center"/>
                </w:tcPr>
                <w:p>
                  <w:pPr>
                    <w:autoSpaceDE w:val="0"/>
                    <w:autoSpaceDN w:val="0"/>
                    <w:adjustRightInd w:val="0"/>
                    <w:snapToGrid w:val="0"/>
                    <w:spacing w:line="320" w:lineRule="exact"/>
                    <w:jc w:val="center"/>
                    <w:rPr>
                      <w:bCs/>
                      <w:sz w:val="18"/>
                      <w:szCs w:val="18"/>
                    </w:rPr>
                  </w:pPr>
                  <w:r>
                    <w:rPr>
                      <w:rFonts w:hint="eastAsia"/>
                      <w:bCs/>
                      <w:sz w:val="18"/>
                      <w:szCs w:val="18"/>
                    </w:rPr>
                    <w:t>16/232/1.5</w:t>
                  </w:r>
                </w:p>
              </w:tc>
              <w:tc>
                <w:tcPr>
                  <w:tcW w:w="464" w:type="pct"/>
                  <w:vAlign w:val="center"/>
                </w:tcPr>
                <w:p>
                  <w:pPr>
                    <w:autoSpaceDE w:val="0"/>
                    <w:autoSpaceDN w:val="0"/>
                    <w:adjustRightInd w:val="0"/>
                    <w:snapToGrid w:val="0"/>
                    <w:spacing w:line="320" w:lineRule="exact"/>
                    <w:jc w:val="center"/>
                    <w:rPr>
                      <w:sz w:val="18"/>
                      <w:szCs w:val="18"/>
                    </w:rPr>
                  </w:pPr>
                  <w:r>
                    <w:rPr>
                      <w:rFonts w:hint="eastAsia"/>
                      <w:sz w:val="18"/>
                      <w:szCs w:val="18"/>
                    </w:rPr>
                    <w:t>N25</w:t>
                  </w:r>
                </w:p>
                <w:p>
                  <w:pPr>
                    <w:autoSpaceDE w:val="0"/>
                    <w:autoSpaceDN w:val="0"/>
                    <w:adjustRightInd w:val="0"/>
                    <w:snapToGrid w:val="0"/>
                    <w:spacing w:line="320" w:lineRule="exact"/>
                    <w:jc w:val="center"/>
                    <w:rPr>
                      <w:sz w:val="18"/>
                      <w:szCs w:val="18"/>
                    </w:rPr>
                  </w:pPr>
                  <w:r>
                    <w:rPr>
                      <w:rFonts w:hint="eastAsia"/>
                      <w:sz w:val="18"/>
                      <w:szCs w:val="18"/>
                    </w:rPr>
                    <w:t>E18</w:t>
                  </w:r>
                </w:p>
                <w:p>
                  <w:pPr>
                    <w:autoSpaceDE w:val="0"/>
                    <w:autoSpaceDN w:val="0"/>
                    <w:adjustRightInd w:val="0"/>
                    <w:snapToGrid w:val="0"/>
                    <w:spacing w:line="320" w:lineRule="exact"/>
                    <w:jc w:val="center"/>
                    <w:rPr>
                      <w:sz w:val="18"/>
                      <w:szCs w:val="18"/>
                    </w:rPr>
                  </w:pPr>
                  <w:r>
                    <w:rPr>
                      <w:rFonts w:hint="eastAsia"/>
                      <w:sz w:val="18"/>
                      <w:szCs w:val="18"/>
                    </w:rPr>
                    <w:t>S2</w:t>
                  </w:r>
                </w:p>
                <w:p>
                  <w:pPr>
                    <w:autoSpaceDE w:val="0"/>
                    <w:autoSpaceDN w:val="0"/>
                    <w:adjustRightInd w:val="0"/>
                    <w:snapToGrid w:val="0"/>
                    <w:spacing w:line="320" w:lineRule="exact"/>
                    <w:jc w:val="center"/>
                    <w:rPr>
                      <w:bCs/>
                      <w:sz w:val="18"/>
                      <w:szCs w:val="18"/>
                    </w:rPr>
                  </w:pPr>
                  <w:r>
                    <w:rPr>
                      <w:rFonts w:hint="eastAsia"/>
                      <w:sz w:val="18"/>
                      <w:szCs w:val="18"/>
                    </w:rPr>
                    <w:t>W6</w:t>
                  </w:r>
                </w:p>
              </w:tc>
              <w:tc>
                <w:tcPr>
                  <w:tcW w:w="450" w:type="pct"/>
                  <w:vAlign w:val="center"/>
                </w:tcPr>
                <w:p>
                  <w:pPr>
                    <w:autoSpaceDE w:val="0"/>
                    <w:autoSpaceDN w:val="0"/>
                    <w:adjustRightInd w:val="0"/>
                    <w:snapToGrid w:val="0"/>
                    <w:spacing w:line="320" w:lineRule="exact"/>
                    <w:jc w:val="center"/>
                    <w:rPr>
                      <w:sz w:val="18"/>
                      <w:szCs w:val="18"/>
                    </w:rPr>
                  </w:pPr>
                  <w:r>
                    <w:rPr>
                      <w:rFonts w:hint="eastAsia"/>
                      <w:sz w:val="18"/>
                      <w:szCs w:val="18"/>
                    </w:rPr>
                    <w:t>N54</w:t>
                  </w:r>
                </w:p>
                <w:p>
                  <w:pPr>
                    <w:autoSpaceDE w:val="0"/>
                    <w:autoSpaceDN w:val="0"/>
                    <w:adjustRightInd w:val="0"/>
                    <w:snapToGrid w:val="0"/>
                    <w:spacing w:line="320" w:lineRule="exact"/>
                    <w:jc w:val="center"/>
                    <w:rPr>
                      <w:sz w:val="18"/>
                      <w:szCs w:val="18"/>
                    </w:rPr>
                  </w:pPr>
                  <w:r>
                    <w:rPr>
                      <w:rFonts w:hint="eastAsia"/>
                      <w:sz w:val="18"/>
                      <w:szCs w:val="18"/>
                    </w:rPr>
                    <w:t>E55</w:t>
                  </w:r>
                </w:p>
                <w:p>
                  <w:pPr>
                    <w:autoSpaceDE w:val="0"/>
                    <w:autoSpaceDN w:val="0"/>
                    <w:adjustRightInd w:val="0"/>
                    <w:snapToGrid w:val="0"/>
                    <w:spacing w:line="320" w:lineRule="exact"/>
                    <w:jc w:val="center"/>
                    <w:rPr>
                      <w:sz w:val="18"/>
                      <w:szCs w:val="18"/>
                    </w:rPr>
                  </w:pPr>
                  <w:r>
                    <w:rPr>
                      <w:rFonts w:hint="eastAsia"/>
                      <w:sz w:val="18"/>
                      <w:szCs w:val="18"/>
                    </w:rPr>
                    <w:t>S64</w:t>
                  </w:r>
                </w:p>
                <w:p>
                  <w:pPr>
                    <w:autoSpaceDE w:val="0"/>
                    <w:autoSpaceDN w:val="0"/>
                    <w:adjustRightInd w:val="0"/>
                    <w:snapToGrid w:val="0"/>
                    <w:spacing w:line="320" w:lineRule="exact"/>
                    <w:jc w:val="center"/>
                    <w:rPr>
                      <w:bCs/>
                      <w:sz w:val="18"/>
                      <w:szCs w:val="18"/>
                    </w:rPr>
                  </w:pPr>
                  <w:r>
                    <w:rPr>
                      <w:rFonts w:hint="eastAsia"/>
                      <w:sz w:val="18"/>
                      <w:szCs w:val="18"/>
                    </w:rPr>
                    <w:t>W57</w:t>
                  </w:r>
                </w:p>
              </w:tc>
              <w:tc>
                <w:tcPr>
                  <w:tcW w:w="342" w:type="pct"/>
                  <w:vAlign w:val="center"/>
                </w:tcPr>
                <w:p>
                  <w:pPr>
                    <w:autoSpaceDE w:val="0"/>
                    <w:autoSpaceDN w:val="0"/>
                    <w:adjustRightInd w:val="0"/>
                    <w:snapToGrid w:val="0"/>
                    <w:spacing w:line="320" w:lineRule="exact"/>
                    <w:jc w:val="center"/>
                    <w:rPr>
                      <w:bCs/>
                      <w:sz w:val="18"/>
                      <w:szCs w:val="18"/>
                    </w:rPr>
                  </w:pPr>
                  <w:r>
                    <w:rPr>
                      <w:rFonts w:hint="eastAsia"/>
                      <w:bCs/>
                      <w:sz w:val="18"/>
                      <w:szCs w:val="18"/>
                    </w:rPr>
                    <w:t>昼夜</w:t>
                  </w:r>
                  <w:r>
                    <w:rPr>
                      <w:bCs/>
                      <w:sz w:val="18"/>
                      <w:szCs w:val="18"/>
                    </w:rPr>
                    <w:t>间断</w:t>
                  </w:r>
                </w:p>
              </w:tc>
              <w:tc>
                <w:tcPr>
                  <w:tcW w:w="610" w:type="pct"/>
                  <w:vAlign w:val="center"/>
                </w:tcPr>
                <w:p>
                  <w:pPr>
                    <w:autoSpaceDE w:val="0"/>
                    <w:autoSpaceDN w:val="0"/>
                    <w:adjustRightInd w:val="0"/>
                    <w:snapToGrid w:val="0"/>
                    <w:spacing w:line="320" w:lineRule="exact"/>
                    <w:jc w:val="center"/>
                    <w:rPr>
                      <w:bCs/>
                      <w:sz w:val="18"/>
                      <w:szCs w:val="18"/>
                    </w:rPr>
                  </w:pPr>
                  <w:r>
                    <w:rPr>
                      <w:rFonts w:hint="eastAsia"/>
                      <w:bCs/>
                      <w:sz w:val="18"/>
                      <w:szCs w:val="18"/>
                    </w:rPr>
                    <w:t>20</w:t>
                  </w:r>
                </w:p>
              </w:tc>
              <w:tc>
                <w:tcPr>
                  <w:tcW w:w="450" w:type="pct"/>
                  <w:vAlign w:val="center"/>
                </w:tcPr>
                <w:p>
                  <w:pPr>
                    <w:autoSpaceDE w:val="0"/>
                    <w:autoSpaceDN w:val="0"/>
                    <w:adjustRightInd w:val="0"/>
                    <w:snapToGrid w:val="0"/>
                    <w:spacing w:line="320" w:lineRule="exact"/>
                    <w:jc w:val="center"/>
                    <w:rPr>
                      <w:sz w:val="18"/>
                      <w:szCs w:val="18"/>
                    </w:rPr>
                  </w:pPr>
                  <w:r>
                    <w:rPr>
                      <w:rFonts w:hint="eastAsia"/>
                      <w:sz w:val="18"/>
                      <w:szCs w:val="18"/>
                    </w:rPr>
                    <w:t>N34</w:t>
                  </w:r>
                </w:p>
                <w:p>
                  <w:pPr>
                    <w:autoSpaceDE w:val="0"/>
                    <w:autoSpaceDN w:val="0"/>
                    <w:adjustRightInd w:val="0"/>
                    <w:snapToGrid w:val="0"/>
                    <w:spacing w:line="320" w:lineRule="exact"/>
                    <w:jc w:val="center"/>
                    <w:rPr>
                      <w:sz w:val="18"/>
                      <w:szCs w:val="18"/>
                    </w:rPr>
                  </w:pPr>
                  <w:r>
                    <w:rPr>
                      <w:rFonts w:hint="eastAsia"/>
                      <w:sz w:val="18"/>
                      <w:szCs w:val="18"/>
                    </w:rPr>
                    <w:t>E35</w:t>
                  </w:r>
                </w:p>
                <w:p>
                  <w:pPr>
                    <w:autoSpaceDE w:val="0"/>
                    <w:autoSpaceDN w:val="0"/>
                    <w:adjustRightInd w:val="0"/>
                    <w:snapToGrid w:val="0"/>
                    <w:spacing w:line="320" w:lineRule="exact"/>
                    <w:jc w:val="center"/>
                    <w:rPr>
                      <w:sz w:val="18"/>
                      <w:szCs w:val="18"/>
                    </w:rPr>
                  </w:pPr>
                  <w:r>
                    <w:rPr>
                      <w:rFonts w:hint="eastAsia"/>
                      <w:sz w:val="18"/>
                      <w:szCs w:val="18"/>
                    </w:rPr>
                    <w:t>S44</w:t>
                  </w:r>
                </w:p>
                <w:p>
                  <w:pPr>
                    <w:autoSpaceDE w:val="0"/>
                    <w:autoSpaceDN w:val="0"/>
                    <w:adjustRightInd w:val="0"/>
                    <w:snapToGrid w:val="0"/>
                    <w:spacing w:line="320" w:lineRule="exact"/>
                    <w:jc w:val="center"/>
                    <w:rPr>
                      <w:sz w:val="18"/>
                      <w:szCs w:val="18"/>
                    </w:rPr>
                  </w:pPr>
                  <w:r>
                    <w:rPr>
                      <w:rFonts w:hint="eastAsia"/>
                      <w:sz w:val="18"/>
                      <w:szCs w:val="18"/>
                    </w:rPr>
                    <w:t>W37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3" w:type="pct"/>
                  <w:vMerge w:val="continue"/>
                  <w:vAlign w:val="center"/>
                </w:tcPr>
                <w:p>
                  <w:pPr>
                    <w:widowControl/>
                    <w:adjustRightInd w:val="0"/>
                    <w:snapToGrid w:val="0"/>
                    <w:spacing w:line="320" w:lineRule="exact"/>
                    <w:jc w:val="center"/>
                    <w:rPr>
                      <w:kern w:val="0"/>
                      <w:sz w:val="18"/>
                      <w:szCs w:val="18"/>
                    </w:rPr>
                  </w:pPr>
                </w:p>
              </w:tc>
              <w:tc>
                <w:tcPr>
                  <w:tcW w:w="474" w:type="pct"/>
                  <w:vAlign w:val="center"/>
                </w:tcPr>
                <w:p>
                  <w:pPr>
                    <w:pStyle w:val="58"/>
                    <w:spacing w:line="320" w:lineRule="exact"/>
                    <w:rPr>
                      <w:sz w:val="18"/>
                      <w:szCs w:val="18"/>
                    </w:rPr>
                  </w:pPr>
                  <w:r>
                    <w:rPr>
                      <w:rFonts w:hint="eastAsia"/>
                      <w:sz w:val="18"/>
                      <w:szCs w:val="18"/>
                    </w:rPr>
                    <w:t>覆膜机</w:t>
                  </w:r>
                </w:p>
              </w:tc>
              <w:tc>
                <w:tcPr>
                  <w:tcW w:w="392" w:type="pct"/>
                  <w:vAlign w:val="center"/>
                </w:tcPr>
                <w:p>
                  <w:pPr>
                    <w:pStyle w:val="58"/>
                    <w:spacing w:line="320" w:lineRule="exact"/>
                    <w:rPr>
                      <w:bCs/>
                      <w:sz w:val="18"/>
                      <w:szCs w:val="18"/>
                    </w:rPr>
                  </w:pPr>
                  <w:r>
                    <w:rPr>
                      <w:rFonts w:hint="eastAsia"/>
                      <w:bCs/>
                      <w:sz w:val="18"/>
                      <w:szCs w:val="18"/>
                    </w:rPr>
                    <w:t>2</w:t>
                  </w:r>
                </w:p>
              </w:tc>
              <w:tc>
                <w:tcPr>
                  <w:tcW w:w="450" w:type="pct"/>
                  <w:vAlign w:val="center"/>
                </w:tcPr>
                <w:p>
                  <w:pPr>
                    <w:pStyle w:val="58"/>
                    <w:spacing w:line="320" w:lineRule="exact"/>
                    <w:rPr>
                      <w:sz w:val="18"/>
                      <w:szCs w:val="18"/>
                    </w:rPr>
                  </w:pPr>
                  <w:r>
                    <w:rPr>
                      <w:rFonts w:hint="eastAsia"/>
                      <w:sz w:val="18"/>
                      <w:szCs w:val="18"/>
                    </w:rPr>
                    <w:t>75</w:t>
                  </w:r>
                </w:p>
              </w:tc>
              <w:tc>
                <w:tcPr>
                  <w:tcW w:w="388" w:type="pct"/>
                  <w:vAlign w:val="center"/>
                </w:tcPr>
                <w:p>
                  <w:pPr>
                    <w:autoSpaceDE w:val="0"/>
                    <w:autoSpaceDN w:val="0"/>
                    <w:adjustRightInd w:val="0"/>
                    <w:snapToGrid w:val="0"/>
                    <w:spacing w:line="320" w:lineRule="exact"/>
                    <w:jc w:val="center"/>
                    <w:rPr>
                      <w:bCs/>
                      <w:sz w:val="18"/>
                      <w:szCs w:val="18"/>
                    </w:rPr>
                  </w:pPr>
                  <w:r>
                    <w:rPr>
                      <w:rFonts w:hint="eastAsia"/>
                      <w:bCs/>
                      <w:sz w:val="18"/>
                      <w:szCs w:val="18"/>
                    </w:rPr>
                    <w:t>建筑物隔声</w:t>
                  </w:r>
                </w:p>
              </w:tc>
              <w:tc>
                <w:tcPr>
                  <w:tcW w:w="637" w:type="pct"/>
                  <w:vAlign w:val="center"/>
                </w:tcPr>
                <w:p>
                  <w:pPr>
                    <w:spacing w:line="320" w:lineRule="exact"/>
                    <w:jc w:val="center"/>
                    <w:rPr>
                      <w:sz w:val="18"/>
                      <w:szCs w:val="18"/>
                    </w:rPr>
                  </w:pPr>
                  <w:r>
                    <w:rPr>
                      <w:rFonts w:hint="eastAsia"/>
                      <w:sz w:val="18"/>
                      <w:szCs w:val="18"/>
                    </w:rPr>
                    <w:t>16/257/1.5</w:t>
                  </w:r>
                </w:p>
              </w:tc>
              <w:tc>
                <w:tcPr>
                  <w:tcW w:w="464" w:type="pct"/>
                  <w:vAlign w:val="center"/>
                </w:tcPr>
                <w:p>
                  <w:pPr>
                    <w:spacing w:line="320" w:lineRule="exact"/>
                    <w:jc w:val="center"/>
                    <w:rPr>
                      <w:sz w:val="18"/>
                      <w:szCs w:val="18"/>
                    </w:rPr>
                  </w:pPr>
                  <w:r>
                    <w:rPr>
                      <w:rFonts w:hint="eastAsia"/>
                      <w:sz w:val="18"/>
                      <w:szCs w:val="18"/>
                    </w:rPr>
                    <w:t>N8</w:t>
                  </w:r>
                </w:p>
                <w:p>
                  <w:pPr>
                    <w:spacing w:line="320" w:lineRule="exact"/>
                    <w:jc w:val="center"/>
                    <w:rPr>
                      <w:sz w:val="18"/>
                      <w:szCs w:val="18"/>
                    </w:rPr>
                  </w:pPr>
                  <w:r>
                    <w:rPr>
                      <w:rFonts w:hint="eastAsia"/>
                      <w:sz w:val="18"/>
                      <w:szCs w:val="18"/>
                    </w:rPr>
                    <w:t>E18</w:t>
                  </w:r>
                </w:p>
                <w:p>
                  <w:pPr>
                    <w:spacing w:line="320" w:lineRule="exact"/>
                    <w:jc w:val="center"/>
                    <w:rPr>
                      <w:sz w:val="18"/>
                      <w:szCs w:val="18"/>
                    </w:rPr>
                  </w:pPr>
                  <w:r>
                    <w:rPr>
                      <w:rFonts w:hint="eastAsia"/>
                      <w:sz w:val="18"/>
                      <w:szCs w:val="18"/>
                    </w:rPr>
                    <w:t>S27</w:t>
                  </w:r>
                </w:p>
                <w:p>
                  <w:pPr>
                    <w:spacing w:line="320" w:lineRule="exact"/>
                    <w:jc w:val="center"/>
                    <w:rPr>
                      <w:sz w:val="18"/>
                      <w:szCs w:val="18"/>
                    </w:rPr>
                  </w:pPr>
                  <w:r>
                    <w:rPr>
                      <w:rFonts w:hint="eastAsia"/>
                      <w:sz w:val="18"/>
                      <w:szCs w:val="18"/>
                    </w:rPr>
                    <w:t>W6</w:t>
                  </w:r>
                </w:p>
              </w:tc>
              <w:tc>
                <w:tcPr>
                  <w:tcW w:w="450" w:type="pct"/>
                  <w:vAlign w:val="center"/>
                </w:tcPr>
                <w:p>
                  <w:pPr>
                    <w:autoSpaceDE w:val="0"/>
                    <w:autoSpaceDN w:val="0"/>
                    <w:adjustRightInd w:val="0"/>
                    <w:snapToGrid w:val="0"/>
                    <w:spacing w:line="320" w:lineRule="exact"/>
                    <w:jc w:val="center"/>
                    <w:rPr>
                      <w:sz w:val="18"/>
                      <w:szCs w:val="18"/>
                    </w:rPr>
                  </w:pPr>
                  <w:r>
                    <w:rPr>
                      <w:rFonts w:hint="eastAsia"/>
                      <w:sz w:val="18"/>
                      <w:szCs w:val="18"/>
                    </w:rPr>
                    <w:t>N51</w:t>
                  </w:r>
                </w:p>
                <w:p>
                  <w:pPr>
                    <w:autoSpaceDE w:val="0"/>
                    <w:autoSpaceDN w:val="0"/>
                    <w:adjustRightInd w:val="0"/>
                    <w:snapToGrid w:val="0"/>
                    <w:spacing w:line="320" w:lineRule="exact"/>
                    <w:jc w:val="center"/>
                    <w:rPr>
                      <w:sz w:val="18"/>
                      <w:szCs w:val="18"/>
                    </w:rPr>
                  </w:pPr>
                  <w:r>
                    <w:rPr>
                      <w:rFonts w:hint="eastAsia"/>
                      <w:sz w:val="18"/>
                      <w:szCs w:val="18"/>
                    </w:rPr>
                    <w:t>E50</w:t>
                  </w:r>
                </w:p>
                <w:p>
                  <w:pPr>
                    <w:autoSpaceDE w:val="0"/>
                    <w:autoSpaceDN w:val="0"/>
                    <w:adjustRightInd w:val="0"/>
                    <w:snapToGrid w:val="0"/>
                    <w:spacing w:line="320" w:lineRule="exact"/>
                    <w:jc w:val="center"/>
                    <w:rPr>
                      <w:sz w:val="18"/>
                      <w:szCs w:val="18"/>
                    </w:rPr>
                  </w:pPr>
                  <w:r>
                    <w:rPr>
                      <w:rFonts w:hint="eastAsia"/>
                      <w:sz w:val="18"/>
                      <w:szCs w:val="18"/>
                    </w:rPr>
                    <w:t>S49</w:t>
                  </w:r>
                </w:p>
                <w:p>
                  <w:pPr>
                    <w:spacing w:line="320" w:lineRule="exact"/>
                    <w:jc w:val="center"/>
                    <w:rPr>
                      <w:sz w:val="18"/>
                      <w:szCs w:val="18"/>
                    </w:rPr>
                  </w:pPr>
                  <w:r>
                    <w:rPr>
                      <w:rFonts w:hint="eastAsia"/>
                      <w:sz w:val="18"/>
                      <w:szCs w:val="18"/>
                    </w:rPr>
                    <w:t>W52</w:t>
                  </w:r>
                </w:p>
              </w:tc>
              <w:tc>
                <w:tcPr>
                  <w:tcW w:w="342" w:type="pct"/>
                  <w:vAlign w:val="center"/>
                </w:tcPr>
                <w:p>
                  <w:pPr>
                    <w:autoSpaceDE w:val="0"/>
                    <w:autoSpaceDN w:val="0"/>
                    <w:adjustRightInd w:val="0"/>
                    <w:snapToGrid w:val="0"/>
                    <w:spacing w:line="320" w:lineRule="exact"/>
                    <w:jc w:val="center"/>
                    <w:rPr>
                      <w:bCs/>
                      <w:sz w:val="18"/>
                      <w:szCs w:val="18"/>
                    </w:rPr>
                  </w:pPr>
                  <w:r>
                    <w:rPr>
                      <w:rFonts w:hint="eastAsia"/>
                      <w:bCs/>
                      <w:sz w:val="18"/>
                      <w:szCs w:val="18"/>
                    </w:rPr>
                    <w:t>昼夜</w:t>
                  </w:r>
                  <w:r>
                    <w:rPr>
                      <w:bCs/>
                      <w:sz w:val="18"/>
                      <w:szCs w:val="18"/>
                    </w:rPr>
                    <w:t>间断</w:t>
                  </w:r>
                </w:p>
              </w:tc>
              <w:tc>
                <w:tcPr>
                  <w:tcW w:w="610" w:type="pct"/>
                  <w:vAlign w:val="center"/>
                </w:tcPr>
                <w:p>
                  <w:pPr>
                    <w:spacing w:line="320" w:lineRule="exact"/>
                    <w:jc w:val="center"/>
                    <w:rPr>
                      <w:sz w:val="18"/>
                      <w:szCs w:val="18"/>
                    </w:rPr>
                  </w:pPr>
                  <w:r>
                    <w:rPr>
                      <w:rFonts w:hint="eastAsia"/>
                      <w:sz w:val="18"/>
                      <w:szCs w:val="18"/>
                    </w:rPr>
                    <w:t>20</w:t>
                  </w:r>
                </w:p>
              </w:tc>
              <w:tc>
                <w:tcPr>
                  <w:tcW w:w="450" w:type="pct"/>
                  <w:vAlign w:val="center"/>
                </w:tcPr>
                <w:p>
                  <w:pPr>
                    <w:autoSpaceDE w:val="0"/>
                    <w:autoSpaceDN w:val="0"/>
                    <w:adjustRightInd w:val="0"/>
                    <w:snapToGrid w:val="0"/>
                    <w:spacing w:line="320" w:lineRule="exact"/>
                    <w:jc w:val="center"/>
                    <w:rPr>
                      <w:sz w:val="18"/>
                      <w:szCs w:val="18"/>
                    </w:rPr>
                  </w:pPr>
                  <w:r>
                    <w:rPr>
                      <w:rFonts w:hint="eastAsia"/>
                      <w:sz w:val="18"/>
                      <w:szCs w:val="18"/>
                    </w:rPr>
                    <w:t>N31</w:t>
                  </w:r>
                </w:p>
                <w:p>
                  <w:pPr>
                    <w:autoSpaceDE w:val="0"/>
                    <w:autoSpaceDN w:val="0"/>
                    <w:adjustRightInd w:val="0"/>
                    <w:snapToGrid w:val="0"/>
                    <w:spacing w:line="320" w:lineRule="exact"/>
                    <w:jc w:val="center"/>
                    <w:rPr>
                      <w:sz w:val="18"/>
                      <w:szCs w:val="18"/>
                    </w:rPr>
                  </w:pPr>
                  <w:r>
                    <w:rPr>
                      <w:rFonts w:hint="eastAsia"/>
                      <w:sz w:val="18"/>
                      <w:szCs w:val="18"/>
                    </w:rPr>
                    <w:t>E30</w:t>
                  </w:r>
                </w:p>
                <w:p>
                  <w:pPr>
                    <w:autoSpaceDE w:val="0"/>
                    <w:autoSpaceDN w:val="0"/>
                    <w:adjustRightInd w:val="0"/>
                    <w:snapToGrid w:val="0"/>
                    <w:spacing w:line="320" w:lineRule="exact"/>
                    <w:jc w:val="center"/>
                    <w:rPr>
                      <w:sz w:val="18"/>
                      <w:szCs w:val="18"/>
                    </w:rPr>
                  </w:pPr>
                  <w:r>
                    <w:rPr>
                      <w:rFonts w:hint="eastAsia"/>
                      <w:sz w:val="18"/>
                      <w:szCs w:val="18"/>
                    </w:rPr>
                    <w:t>S29</w:t>
                  </w:r>
                </w:p>
                <w:p>
                  <w:pPr>
                    <w:spacing w:line="320" w:lineRule="exact"/>
                    <w:jc w:val="center"/>
                    <w:rPr>
                      <w:sz w:val="18"/>
                      <w:szCs w:val="18"/>
                    </w:rPr>
                  </w:pPr>
                  <w:r>
                    <w:rPr>
                      <w:rFonts w:hint="eastAsia"/>
                      <w:sz w:val="18"/>
                      <w:szCs w:val="18"/>
                    </w:rPr>
                    <w:t>W32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3" w:type="pct"/>
                  <w:vMerge w:val="restart"/>
                  <w:vAlign w:val="center"/>
                </w:tcPr>
                <w:p>
                  <w:pPr>
                    <w:widowControl/>
                    <w:adjustRightInd w:val="0"/>
                    <w:snapToGrid w:val="0"/>
                    <w:spacing w:line="320" w:lineRule="exact"/>
                    <w:jc w:val="center"/>
                    <w:rPr>
                      <w:kern w:val="0"/>
                      <w:sz w:val="18"/>
                      <w:szCs w:val="18"/>
                    </w:rPr>
                  </w:pPr>
                  <w:r>
                    <w:rPr>
                      <w:rFonts w:hint="eastAsia"/>
                      <w:kern w:val="0"/>
                      <w:sz w:val="18"/>
                      <w:szCs w:val="18"/>
                    </w:rPr>
                    <w:t>3#车间（二层）</w:t>
                  </w:r>
                </w:p>
              </w:tc>
              <w:tc>
                <w:tcPr>
                  <w:tcW w:w="474" w:type="pct"/>
                  <w:vAlign w:val="center"/>
                </w:tcPr>
                <w:p>
                  <w:pPr>
                    <w:pStyle w:val="58"/>
                    <w:spacing w:line="320" w:lineRule="exact"/>
                    <w:rPr>
                      <w:sz w:val="18"/>
                      <w:szCs w:val="18"/>
                    </w:rPr>
                  </w:pPr>
                  <w:r>
                    <w:rPr>
                      <w:rFonts w:hint="eastAsia"/>
                      <w:sz w:val="18"/>
                      <w:szCs w:val="18"/>
                    </w:rPr>
                    <w:t>圆织机</w:t>
                  </w:r>
                </w:p>
              </w:tc>
              <w:tc>
                <w:tcPr>
                  <w:tcW w:w="392" w:type="pct"/>
                  <w:vAlign w:val="center"/>
                </w:tcPr>
                <w:p>
                  <w:pPr>
                    <w:pStyle w:val="58"/>
                    <w:spacing w:line="320" w:lineRule="exact"/>
                    <w:rPr>
                      <w:bCs/>
                      <w:sz w:val="18"/>
                      <w:szCs w:val="18"/>
                    </w:rPr>
                  </w:pPr>
                  <w:r>
                    <w:rPr>
                      <w:rFonts w:hint="eastAsia"/>
                      <w:bCs/>
                      <w:sz w:val="18"/>
                      <w:szCs w:val="18"/>
                    </w:rPr>
                    <w:t>22</w:t>
                  </w:r>
                </w:p>
              </w:tc>
              <w:tc>
                <w:tcPr>
                  <w:tcW w:w="450" w:type="pct"/>
                  <w:vAlign w:val="center"/>
                </w:tcPr>
                <w:p>
                  <w:pPr>
                    <w:pStyle w:val="58"/>
                    <w:spacing w:line="320" w:lineRule="exact"/>
                    <w:rPr>
                      <w:sz w:val="18"/>
                      <w:szCs w:val="18"/>
                    </w:rPr>
                  </w:pPr>
                  <w:r>
                    <w:rPr>
                      <w:rFonts w:hint="eastAsia"/>
                      <w:sz w:val="18"/>
                      <w:szCs w:val="18"/>
                    </w:rPr>
                    <w:t>80</w:t>
                  </w:r>
                </w:p>
              </w:tc>
              <w:tc>
                <w:tcPr>
                  <w:tcW w:w="388" w:type="pct"/>
                  <w:vAlign w:val="center"/>
                </w:tcPr>
                <w:p>
                  <w:pPr>
                    <w:adjustRightInd w:val="0"/>
                    <w:snapToGrid w:val="0"/>
                    <w:spacing w:line="320" w:lineRule="exact"/>
                    <w:jc w:val="center"/>
                    <w:rPr>
                      <w:bCs/>
                      <w:sz w:val="18"/>
                      <w:szCs w:val="18"/>
                    </w:rPr>
                  </w:pPr>
                  <w:r>
                    <w:rPr>
                      <w:rFonts w:hint="eastAsia"/>
                      <w:bCs/>
                      <w:sz w:val="18"/>
                      <w:szCs w:val="18"/>
                    </w:rPr>
                    <w:t>建筑物隔声</w:t>
                  </w:r>
                </w:p>
              </w:tc>
              <w:tc>
                <w:tcPr>
                  <w:tcW w:w="637" w:type="pct"/>
                  <w:vAlign w:val="center"/>
                </w:tcPr>
                <w:p>
                  <w:pPr>
                    <w:spacing w:line="320" w:lineRule="exact"/>
                    <w:jc w:val="center"/>
                    <w:rPr>
                      <w:sz w:val="18"/>
                      <w:szCs w:val="18"/>
                    </w:rPr>
                  </w:pPr>
                  <w:r>
                    <w:rPr>
                      <w:rFonts w:hint="eastAsia"/>
                      <w:sz w:val="18"/>
                      <w:szCs w:val="18"/>
                    </w:rPr>
                    <w:t>12/232/9</w:t>
                  </w:r>
                </w:p>
              </w:tc>
              <w:tc>
                <w:tcPr>
                  <w:tcW w:w="464" w:type="pct"/>
                  <w:vAlign w:val="center"/>
                </w:tcPr>
                <w:p>
                  <w:pPr>
                    <w:spacing w:line="320" w:lineRule="exact"/>
                    <w:jc w:val="center"/>
                    <w:rPr>
                      <w:sz w:val="18"/>
                      <w:szCs w:val="18"/>
                    </w:rPr>
                  </w:pPr>
                  <w:r>
                    <w:rPr>
                      <w:rFonts w:hint="eastAsia"/>
                      <w:sz w:val="18"/>
                      <w:szCs w:val="18"/>
                    </w:rPr>
                    <w:t>N30</w:t>
                  </w:r>
                </w:p>
                <w:p>
                  <w:pPr>
                    <w:spacing w:line="320" w:lineRule="exact"/>
                    <w:jc w:val="center"/>
                    <w:rPr>
                      <w:sz w:val="18"/>
                      <w:szCs w:val="18"/>
                    </w:rPr>
                  </w:pPr>
                  <w:r>
                    <w:rPr>
                      <w:rFonts w:hint="eastAsia"/>
                      <w:sz w:val="18"/>
                      <w:szCs w:val="18"/>
                    </w:rPr>
                    <w:t>E35</w:t>
                  </w:r>
                </w:p>
                <w:p>
                  <w:pPr>
                    <w:spacing w:line="320" w:lineRule="exact"/>
                    <w:jc w:val="center"/>
                    <w:rPr>
                      <w:sz w:val="18"/>
                      <w:szCs w:val="18"/>
                    </w:rPr>
                  </w:pPr>
                  <w:r>
                    <w:rPr>
                      <w:rFonts w:hint="eastAsia"/>
                      <w:sz w:val="18"/>
                      <w:szCs w:val="18"/>
                    </w:rPr>
                    <w:t>S2</w:t>
                  </w:r>
                </w:p>
                <w:p>
                  <w:pPr>
                    <w:spacing w:line="320" w:lineRule="exact"/>
                    <w:jc w:val="center"/>
                    <w:rPr>
                      <w:sz w:val="18"/>
                      <w:szCs w:val="18"/>
                    </w:rPr>
                  </w:pPr>
                  <w:r>
                    <w:rPr>
                      <w:rFonts w:hint="eastAsia"/>
                      <w:sz w:val="18"/>
                      <w:szCs w:val="18"/>
                    </w:rPr>
                    <w:t>W2</w:t>
                  </w:r>
                </w:p>
              </w:tc>
              <w:tc>
                <w:tcPr>
                  <w:tcW w:w="450" w:type="pct"/>
                  <w:vAlign w:val="center"/>
                </w:tcPr>
                <w:p>
                  <w:pPr>
                    <w:autoSpaceDE w:val="0"/>
                    <w:autoSpaceDN w:val="0"/>
                    <w:adjustRightInd w:val="0"/>
                    <w:snapToGrid w:val="0"/>
                    <w:spacing w:line="320" w:lineRule="exact"/>
                    <w:jc w:val="center"/>
                    <w:rPr>
                      <w:sz w:val="18"/>
                      <w:szCs w:val="18"/>
                    </w:rPr>
                  </w:pPr>
                  <w:r>
                    <w:rPr>
                      <w:rFonts w:hint="eastAsia"/>
                      <w:sz w:val="18"/>
                      <w:szCs w:val="18"/>
                    </w:rPr>
                    <w:t>N56</w:t>
                  </w:r>
                </w:p>
                <w:p>
                  <w:pPr>
                    <w:autoSpaceDE w:val="0"/>
                    <w:autoSpaceDN w:val="0"/>
                    <w:adjustRightInd w:val="0"/>
                    <w:snapToGrid w:val="0"/>
                    <w:spacing w:line="320" w:lineRule="exact"/>
                    <w:jc w:val="center"/>
                    <w:rPr>
                      <w:sz w:val="18"/>
                      <w:szCs w:val="18"/>
                    </w:rPr>
                  </w:pPr>
                  <w:r>
                    <w:rPr>
                      <w:rFonts w:hint="eastAsia"/>
                      <w:sz w:val="18"/>
                      <w:szCs w:val="18"/>
                    </w:rPr>
                    <w:t>E56</w:t>
                  </w:r>
                </w:p>
                <w:p>
                  <w:pPr>
                    <w:autoSpaceDE w:val="0"/>
                    <w:autoSpaceDN w:val="0"/>
                    <w:adjustRightInd w:val="0"/>
                    <w:snapToGrid w:val="0"/>
                    <w:spacing w:line="320" w:lineRule="exact"/>
                    <w:jc w:val="center"/>
                    <w:rPr>
                      <w:sz w:val="18"/>
                      <w:szCs w:val="18"/>
                    </w:rPr>
                  </w:pPr>
                  <w:r>
                    <w:rPr>
                      <w:rFonts w:hint="eastAsia"/>
                      <w:sz w:val="18"/>
                      <w:szCs w:val="18"/>
                    </w:rPr>
                    <w:t>S64</w:t>
                  </w:r>
                </w:p>
                <w:p>
                  <w:pPr>
                    <w:spacing w:line="320" w:lineRule="exact"/>
                    <w:jc w:val="center"/>
                    <w:rPr>
                      <w:sz w:val="18"/>
                      <w:szCs w:val="18"/>
                    </w:rPr>
                  </w:pPr>
                  <w:r>
                    <w:rPr>
                      <w:rFonts w:hint="eastAsia"/>
                      <w:sz w:val="18"/>
                      <w:szCs w:val="18"/>
                    </w:rPr>
                    <w:t>W64</w:t>
                  </w:r>
                </w:p>
              </w:tc>
              <w:tc>
                <w:tcPr>
                  <w:tcW w:w="342" w:type="pct"/>
                  <w:vAlign w:val="center"/>
                </w:tcPr>
                <w:p>
                  <w:pPr>
                    <w:autoSpaceDE w:val="0"/>
                    <w:autoSpaceDN w:val="0"/>
                    <w:adjustRightInd w:val="0"/>
                    <w:snapToGrid w:val="0"/>
                    <w:spacing w:line="320" w:lineRule="exact"/>
                    <w:jc w:val="center"/>
                    <w:rPr>
                      <w:bCs/>
                      <w:sz w:val="18"/>
                      <w:szCs w:val="18"/>
                    </w:rPr>
                  </w:pPr>
                  <w:r>
                    <w:rPr>
                      <w:rFonts w:hint="eastAsia"/>
                      <w:bCs/>
                      <w:sz w:val="18"/>
                      <w:szCs w:val="18"/>
                    </w:rPr>
                    <w:t>昼夜</w:t>
                  </w:r>
                  <w:r>
                    <w:rPr>
                      <w:bCs/>
                      <w:sz w:val="18"/>
                      <w:szCs w:val="18"/>
                    </w:rPr>
                    <w:t>间断</w:t>
                  </w:r>
                </w:p>
              </w:tc>
              <w:tc>
                <w:tcPr>
                  <w:tcW w:w="610" w:type="pct"/>
                  <w:vAlign w:val="center"/>
                </w:tcPr>
                <w:p>
                  <w:pPr>
                    <w:spacing w:line="320" w:lineRule="exact"/>
                    <w:jc w:val="center"/>
                    <w:rPr>
                      <w:sz w:val="18"/>
                      <w:szCs w:val="18"/>
                    </w:rPr>
                  </w:pPr>
                  <w:r>
                    <w:rPr>
                      <w:rFonts w:hint="eastAsia"/>
                      <w:sz w:val="18"/>
                      <w:szCs w:val="18"/>
                    </w:rPr>
                    <w:t>20</w:t>
                  </w:r>
                </w:p>
              </w:tc>
              <w:tc>
                <w:tcPr>
                  <w:tcW w:w="450" w:type="pct"/>
                  <w:vAlign w:val="center"/>
                </w:tcPr>
                <w:p>
                  <w:pPr>
                    <w:autoSpaceDE w:val="0"/>
                    <w:autoSpaceDN w:val="0"/>
                    <w:adjustRightInd w:val="0"/>
                    <w:snapToGrid w:val="0"/>
                    <w:spacing w:line="320" w:lineRule="exact"/>
                    <w:jc w:val="center"/>
                    <w:rPr>
                      <w:sz w:val="18"/>
                      <w:szCs w:val="18"/>
                    </w:rPr>
                  </w:pPr>
                  <w:r>
                    <w:rPr>
                      <w:rFonts w:hint="eastAsia"/>
                      <w:sz w:val="18"/>
                      <w:szCs w:val="18"/>
                    </w:rPr>
                    <w:t>N36</w:t>
                  </w:r>
                </w:p>
                <w:p>
                  <w:pPr>
                    <w:autoSpaceDE w:val="0"/>
                    <w:autoSpaceDN w:val="0"/>
                    <w:adjustRightInd w:val="0"/>
                    <w:snapToGrid w:val="0"/>
                    <w:spacing w:line="320" w:lineRule="exact"/>
                    <w:jc w:val="center"/>
                    <w:rPr>
                      <w:sz w:val="18"/>
                      <w:szCs w:val="18"/>
                    </w:rPr>
                  </w:pPr>
                  <w:r>
                    <w:rPr>
                      <w:rFonts w:hint="eastAsia"/>
                      <w:sz w:val="18"/>
                      <w:szCs w:val="18"/>
                    </w:rPr>
                    <w:t>E36</w:t>
                  </w:r>
                </w:p>
                <w:p>
                  <w:pPr>
                    <w:autoSpaceDE w:val="0"/>
                    <w:autoSpaceDN w:val="0"/>
                    <w:adjustRightInd w:val="0"/>
                    <w:snapToGrid w:val="0"/>
                    <w:spacing w:line="320" w:lineRule="exact"/>
                    <w:jc w:val="center"/>
                    <w:rPr>
                      <w:sz w:val="18"/>
                      <w:szCs w:val="18"/>
                    </w:rPr>
                  </w:pPr>
                  <w:r>
                    <w:rPr>
                      <w:rFonts w:hint="eastAsia"/>
                      <w:sz w:val="18"/>
                      <w:szCs w:val="18"/>
                    </w:rPr>
                    <w:t>S44</w:t>
                  </w:r>
                </w:p>
                <w:p>
                  <w:pPr>
                    <w:spacing w:line="320" w:lineRule="exact"/>
                    <w:jc w:val="center"/>
                    <w:rPr>
                      <w:sz w:val="18"/>
                      <w:szCs w:val="18"/>
                    </w:rPr>
                  </w:pPr>
                  <w:r>
                    <w:rPr>
                      <w:rFonts w:hint="eastAsia"/>
                      <w:sz w:val="18"/>
                      <w:szCs w:val="18"/>
                    </w:rPr>
                    <w:t>W44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3" w:type="pct"/>
                  <w:vMerge w:val="continue"/>
                  <w:vAlign w:val="center"/>
                </w:tcPr>
                <w:p>
                  <w:pPr>
                    <w:widowControl/>
                    <w:adjustRightInd w:val="0"/>
                    <w:snapToGrid w:val="0"/>
                    <w:spacing w:line="320" w:lineRule="exact"/>
                    <w:jc w:val="center"/>
                    <w:rPr>
                      <w:kern w:val="0"/>
                      <w:sz w:val="18"/>
                      <w:szCs w:val="18"/>
                    </w:rPr>
                  </w:pPr>
                </w:p>
              </w:tc>
              <w:tc>
                <w:tcPr>
                  <w:tcW w:w="474" w:type="pct"/>
                  <w:vAlign w:val="center"/>
                </w:tcPr>
                <w:p>
                  <w:pPr>
                    <w:pStyle w:val="58"/>
                    <w:spacing w:line="320" w:lineRule="exact"/>
                    <w:rPr>
                      <w:sz w:val="18"/>
                      <w:szCs w:val="18"/>
                    </w:rPr>
                  </w:pPr>
                  <w:r>
                    <w:rPr>
                      <w:rFonts w:hint="eastAsia"/>
                      <w:sz w:val="18"/>
                      <w:szCs w:val="18"/>
                    </w:rPr>
                    <w:t>吊带机</w:t>
                  </w:r>
                </w:p>
              </w:tc>
              <w:tc>
                <w:tcPr>
                  <w:tcW w:w="392" w:type="pct"/>
                  <w:vAlign w:val="center"/>
                </w:tcPr>
                <w:p>
                  <w:pPr>
                    <w:pStyle w:val="58"/>
                    <w:spacing w:line="320" w:lineRule="exact"/>
                    <w:rPr>
                      <w:bCs/>
                      <w:sz w:val="18"/>
                      <w:szCs w:val="18"/>
                    </w:rPr>
                  </w:pPr>
                  <w:r>
                    <w:rPr>
                      <w:rFonts w:hint="eastAsia"/>
                      <w:bCs/>
                      <w:sz w:val="18"/>
                      <w:szCs w:val="18"/>
                    </w:rPr>
                    <w:t>30</w:t>
                  </w:r>
                </w:p>
              </w:tc>
              <w:tc>
                <w:tcPr>
                  <w:tcW w:w="450" w:type="pct"/>
                  <w:vAlign w:val="center"/>
                </w:tcPr>
                <w:p>
                  <w:pPr>
                    <w:pStyle w:val="58"/>
                    <w:spacing w:line="320" w:lineRule="exact"/>
                    <w:rPr>
                      <w:sz w:val="18"/>
                      <w:szCs w:val="18"/>
                    </w:rPr>
                  </w:pPr>
                  <w:r>
                    <w:rPr>
                      <w:rFonts w:hint="eastAsia"/>
                      <w:sz w:val="18"/>
                      <w:szCs w:val="18"/>
                    </w:rPr>
                    <w:t>80</w:t>
                  </w:r>
                </w:p>
              </w:tc>
              <w:tc>
                <w:tcPr>
                  <w:tcW w:w="388" w:type="pct"/>
                  <w:vAlign w:val="center"/>
                </w:tcPr>
                <w:p>
                  <w:pPr>
                    <w:adjustRightInd w:val="0"/>
                    <w:snapToGrid w:val="0"/>
                    <w:spacing w:line="320" w:lineRule="exact"/>
                    <w:jc w:val="center"/>
                    <w:rPr>
                      <w:bCs/>
                      <w:sz w:val="18"/>
                      <w:szCs w:val="18"/>
                    </w:rPr>
                  </w:pPr>
                  <w:r>
                    <w:rPr>
                      <w:rFonts w:hint="eastAsia"/>
                      <w:bCs/>
                      <w:sz w:val="18"/>
                      <w:szCs w:val="18"/>
                    </w:rPr>
                    <w:t>建筑物隔声</w:t>
                  </w:r>
                </w:p>
              </w:tc>
              <w:tc>
                <w:tcPr>
                  <w:tcW w:w="637" w:type="pct"/>
                  <w:vAlign w:val="center"/>
                </w:tcPr>
                <w:p>
                  <w:pPr>
                    <w:spacing w:line="320" w:lineRule="exact"/>
                    <w:jc w:val="center"/>
                    <w:rPr>
                      <w:sz w:val="18"/>
                      <w:szCs w:val="18"/>
                    </w:rPr>
                  </w:pPr>
                  <w:r>
                    <w:rPr>
                      <w:rFonts w:hint="eastAsia"/>
                      <w:sz w:val="18"/>
                      <w:szCs w:val="18"/>
                    </w:rPr>
                    <w:t>12/252/9</w:t>
                  </w:r>
                </w:p>
              </w:tc>
              <w:tc>
                <w:tcPr>
                  <w:tcW w:w="464" w:type="pct"/>
                  <w:vAlign w:val="center"/>
                </w:tcPr>
                <w:p>
                  <w:pPr>
                    <w:spacing w:line="320" w:lineRule="exact"/>
                    <w:jc w:val="center"/>
                    <w:rPr>
                      <w:sz w:val="18"/>
                      <w:szCs w:val="18"/>
                    </w:rPr>
                  </w:pPr>
                  <w:r>
                    <w:rPr>
                      <w:rFonts w:hint="eastAsia"/>
                      <w:sz w:val="18"/>
                      <w:szCs w:val="18"/>
                    </w:rPr>
                    <w:t>N25</w:t>
                  </w:r>
                </w:p>
                <w:p>
                  <w:pPr>
                    <w:spacing w:line="320" w:lineRule="exact"/>
                    <w:jc w:val="center"/>
                    <w:rPr>
                      <w:sz w:val="18"/>
                      <w:szCs w:val="18"/>
                    </w:rPr>
                  </w:pPr>
                  <w:r>
                    <w:rPr>
                      <w:rFonts w:hint="eastAsia"/>
                      <w:sz w:val="18"/>
                      <w:szCs w:val="18"/>
                    </w:rPr>
                    <w:t>E35</w:t>
                  </w:r>
                </w:p>
                <w:p>
                  <w:pPr>
                    <w:spacing w:line="320" w:lineRule="exact"/>
                    <w:jc w:val="center"/>
                    <w:rPr>
                      <w:sz w:val="18"/>
                      <w:szCs w:val="18"/>
                    </w:rPr>
                  </w:pPr>
                  <w:r>
                    <w:rPr>
                      <w:rFonts w:hint="eastAsia"/>
                      <w:sz w:val="18"/>
                      <w:szCs w:val="18"/>
                    </w:rPr>
                    <w:t>S22</w:t>
                  </w:r>
                </w:p>
                <w:p>
                  <w:pPr>
                    <w:spacing w:line="320" w:lineRule="exact"/>
                    <w:jc w:val="center"/>
                    <w:rPr>
                      <w:sz w:val="18"/>
                      <w:szCs w:val="18"/>
                    </w:rPr>
                  </w:pPr>
                  <w:r>
                    <w:rPr>
                      <w:rFonts w:hint="eastAsia"/>
                      <w:sz w:val="18"/>
                      <w:szCs w:val="18"/>
                    </w:rPr>
                    <w:t>W2</w:t>
                  </w:r>
                </w:p>
              </w:tc>
              <w:tc>
                <w:tcPr>
                  <w:tcW w:w="450" w:type="pct"/>
                  <w:vAlign w:val="center"/>
                </w:tcPr>
                <w:p>
                  <w:pPr>
                    <w:spacing w:line="320" w:lineRule="exact"/>
                    <w:jc w:val="center"/>
                    <w:rPr>
                      <w:sz w:val="18"/>
                      <w:szCs w:val="18"/>
                    </w:rPr>
                  </w:pPr>
                  <w:r>
                    <w:rPr>
                      <w:rFonts w:hint="eastAsia"/>
                      <w:sz w:val="18"/>
                      <w:szCs w:val="18"/>
                    </w:rPr>
                    <w:t>N56</w:t>
                  </w:r>
                </w:p>
                <w:p>
                  <w:pPr>
                    <w:spacing w:line="320" w:lineRule="exact"/>
                    <w:jc w:val="center"/>
                    <w:rPr>
                      <w:sz w:val="18"/>
                      <w:szCs w:val="18"/>
                    </w:rPr>
                  </w:pPr>
                  <w:r>
                    <w:rPr>
                      <w:rFonts w:hint="eastAsia"/>
                      <w:sz w:val="18"/>
                      <w:szCs w:val="18"/>
                    </w:rPr>
                    <w:t>E56</w:t>
                  </w:r>
                </w:p>
                <w:p>
                  <w:pPr>
                    <w:spacing w:line="320" w:lineRule="exact"/>
                    <w:jc w:val="center"/>
                    <w:rPr>
                      <w:sz w:val="18"/>
                      <w:szCs w:val="18"/>
                    </w:rPr>
                  </w:pPr>
                  <w:r>
                    <w:rPr>
                      <w:rFonts w:hint="eastAsia"/>
                      <w:sz w:val="18"/>
                      <w:szCs w:val="18"/>
                    </w:rPr>
                    <w:t>S56</w:t>
                  </w:r>
                </w:p>
                <w:p>
                  <w:pPr>
                    <w:autoSpaceDE w:val="0"/>
                    <w:autoSpaceDN w:val="0"/>
                    <w:adjustRightInd w:val="0"/>
                    <w:snapToGrid w:val="0"/>
                    <w:spacing w:line="320" w:lineRule="exact"/>
                    <w:jc w:val="center"/>
                    <w:rPr>
                      <w:sz w:val="18"/>
                      <w:szCs w:val="18"/>
                    </w:rPr>
                  </w:pPr>
                  <w:r>
                    <w:rPr>
                      <w:rFonts w:hint="eastAsia"/>
                      <w:sz w:val="18"/>
                      <w:szCs w:val="18"/>
                    </w:rPr>
                    <w:t>W64</w:t>
                  </w:r>
                </w:p>
              </w:tc>
              <w:tc>
                <w:tcPr>
                  <w:tcW w:w="342" w:type="pct"/>
                  <w:vAlign w:val="center"/>
                </w:tcPr>
                <w:p>
                  <w:pPr>
                    <w:autoSpaceDE w:val="0"/>
                    <w:autoSpaceDN w:val="0"/>
                    <w:adjustRightInd w:val="0"/>
                    <w:snapToGrid w:val="0"/>
                    <w:spacing w:line="320" w:lineRule="exact"/>
                    <w:jc w:val="center"/>
                    <w:rPr>
                      <w:bCs/>
                      <w:sz w:val="18"/>
                      <w:szCs w:val="18"/>
                    </w:rPr>
                  </w:pPr>
                  <w:r>
                    <w:rPr>
                      <w:rFonts w:hint="eastAsia"/>
                      <w:bCs/>
                      <w:sz w:val="18"/>
                      <w:szCs w:val="18"/>
                    </w:rPr>
                    <w:t>昼夜</w:t>
                  </w:r>
                  <w:r>
                    <w:rPr>
                      <w:bCs/>
                      <w:sz w:val="18"/>
                      <w:szCs w:val="18"/>
                    </w:rPr>
                    <w:t>间断</w:t>
                  </w:r>
                </w:p>
              </w:tc>
              <w:tc>
                <w:tcPr>
                  <w:tcW w:w="610" w:type="pct"/>
                  <w:vAlign w:val="center"/>
                </w:tcPr>
                <w:p>
                  <w:pPr>
                    <w:spacing w:line="320" w:lineRule="exact"/>
                    <w:jc w:val="center"/>
                    <w:rPr>
                      <w:sz w:val="18"/>
                      <w:szCs w:val="18"/>
                    </w:rPr>
                  </w:pPr>
                  <w:r>
                    <w:rPr>
                      <w:rFonts w:hint="eastAsia"/>
                      <w:sz w:val="18"/>
                      <w:szCs w:val="18"/>
                    </w:rPr>
                    <w:t>20</w:t>
                  </w:r>
                </w:p>
              </w:tc>
              <w:tc>
                <w:tcPr>
                  <w:tcW w:w="450" w:type="pct"/>
                  <w:vAlign w:val="center"/>
                </w:tcPr>
                <w:p>
                  <w:pPr>
                    <w:spacing w:line="320" w:lineRule="exact"/>
                    <w:jc w:val="center"/>
                    <w:rPr>
                      <w:sz w:val="18"/>
                      <w:szCs w:val="18"/>
                    </w:rPr>
                  </w:pPr>
                  <w:r>
                    <w:rPr>
                      <w:rFonts w:hint="eastAsia"/>
                      <w:sz w:val="18"/>
                      <w:szCs w:val="18"/>
                    </w:rPr>
                    <w:t>N36</w:t>
                  </w:r>
                </w:p>
                <w:p>
                  <w:pPr>
                    <w:spacing w:line="320" w:lineRule="exact"/>
                    <w:jc w:val="center"/>
                    <w:rPr>
                      <w:sz w:val="18"/>
                      <w:szCs w:val="18"/>
                    </w:rPr>
                  </w:pPr>
                  <w:r>
                    <w:rPr>
                      <w:rFonts w:hint="eastAsia"/>
                      <w:sz w:val="18"/>
                      <w:szCs w:val="18"/>
                    </w:rPr>
                    <w:t>E36</w:t>
                  </w:r>
                </w:p>
                <w:p>
                  <w:pPr>
                    <w:spacing w:line="320" w:lineRule="exact"/>
                    <w:jc w:val="center"/>
                    <w:rPr>
                      <w:sz w:val="18"/>
                      <w:szCs w:val="18"/>
                    </w:rPr>
                  </w:pPr>
                  <w:r>
                    <w:rPr>
                      <w:rFonts w:hint="eastAsia"/>
                      <w:sz w:val="18"/>
                      <w:szCs w:val="18"/>
                    </w:rPr>
                    <w:t>S36</w:t>
                  </w:r>
                </w:p>
                <w:p>
                  <w:pPr>
                    <w:autoSpaceDE w:val="0"/>
                    <w:autoSpaceDN w:val="0"/>
                    <w:adjustRightInd w:val="0"/>
                    <w:snapToGrid w:val="0"/>
                    <w:spacing w:line="320" w:lineRule="exact"/>
                    <w:jc w:val="center"/>
                    <w:rPr>
                      <w:sz w:val="18"/>
                      <w:szCs w:val="18"/>
                    </w:rPr>
                  </w:pPr>
                  <w:r>
                    <w:rPr>
                      <w:rFonts w:hint="eastAsia"/>
                      <w:sz w:val="18"/>
                      <w:szCs w:val="18"/>
                    </w:rPr>
                    <w:t>W44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3" w:type="pct"/>
                  <w:vMerge w:val="continue"/>
                  <w:vAlign w:val="center"/>
                </w:tcPr>
                <w:p>
                  <w:pPr>
                    <w:widowControl/>
                    <w:adjustRightInd w:val="0"/>
                    <w:snapToGrid w:val="0"/>
                    <w:spacing w:line="320" w:lineRule="exact"/>
                    <w:jc w:val="center"/>
                    <w:rPr>
                      <w:kern w:val="0"/>
                      <w:sz w:val="18"/>
                      <w:szCs w:val="18"/>
                    </w:rPr>
                  </w:pPr>
                </w:p>
              </w:tc>
              <w:tc>
                <w:tcPr>
                  <w:tcW w:w="474" w:type="pct"/>
                  <w:vAlign w:val="center"/>
                </w:tcPr>
                <w:p>
                  <w:pPr>
                    <w:pStyle w:val="58"/>
                    <w:spacing w:line="320" w:lineRule="exact"/>
                    <w:rPr>
                      <w:sz w:val="18"/>
                      <w:szCs w:val="18"/>
                    </w:rPr>
                  </w:pPr>
                  <w:r>
                    <w:rPr>
                      <w:rFonts w:hint="eastAsia"/>
                      <w:sz w:val="18"/>
                      <w:szCs w:val="18"/>
                    </w:rPr>
                    <w:t>空压机</w:t>
                  </w:r>
                </w:p>
              </w:tc>
              <w:tc>
                <w:tcPr>
                  <w:tcW w:w="392" w:type="pct"/>
                  <w:vAlign w:val="center"/>
                </w:tcPr>
                <w:p>
                  <w:pPr>
                    <w:pStyle w:val="58"/>
                    <w:spacing w:line="320" w:lineRule="exact"/>
                    <w:rPr>
                      <w:bCs/>
                      <w:sz w:val="18"/>
                      <w:szCs w:val="18"/>
                    </w:rPr>
                  </w:pPr>
                  <w:r>
                    <w:rPr>
                      <w:rFonts w:hint="eastAsia"/>
                      <w:bCs/>
                      <w:sz w:val="18"/>
                      <w:szCs w:val="18"/>
                    </w:rPr>
                    <w:t>2</w:t>
                  </w:r>
                </w:p>
              </w:tc>
              <w:tc>
                <w:tcPr>
                  <w:tcW w:w="450" w:type="pct"/>
                  <w:vAlign w:val="center"/>
                </w:tcPr>
                <w:p>
                  <w:pPr>
                    <w:pStyle w:val="58"/>
                    <w:spacing w:line="320" w:lineRule="exact"/>
                    <w:rPr>
                      <w:sz w:val="18"/>
                      <w:szCs w:val="18"/>
                    </w:rPr>
                  </w:pPr>
                  <w:r>
                    <w:rPr>
                      <w:rFonts w:hint="eastAsia"/>
                      <w:sz w:val="18"/>
                      <w:szCs w:val="18"/>
                    </w:rPr>
                    <w:t>82</w:t>
                  </w:r>
                </w:p>
              </w:tc>
              <w:tc>
                <w:tcPr>
                  <w:tcW w:w="388" w:type="pct"/>
                  <w:vAlign w:val="center"/>
                </w:tcPr>
                <w:p>
                  <w:pPr>
                    <w:adjustRightInd w:val="0"/>
                    <w:snapToGrid w:val="0"/>
                    <w:spacing w:line="320" w:lineRule="exact"/>
                    <w:jc w:val="center"/>
                    <w:rPr>
                      <w:bCs/>
                      <w:sz w:val="18"/>
                      <w:szCs w:val="18"/>
                    </w:rPr>
                  </w:pPr>
                  <w:r>
                    <w:rPr>
                      <w:rFonts w:hint="eastAsia"/>
                      <w:sz w:val="18"/>
                      <w:szCs w:val="18"/>
                    </w:rPr>
                    <w:t>建筑物隔声</w:t>
                  </w:r>
                </w:p>
              </w:tc>
              <w:tc>
                <w:tcPr>
                  <w:tcW w:w="637" w:type="pct"/>
                  <w:vAlign w:val="center"/>
                </w:tcPr>
                <w:p>
                  <w:pPr>
                    <w:spacing w:line="320" w:lineRule="exact"/>
                    <w:jc w:val="center"/>
                    <w:rPr>
                      <w:sz w:val="18"/>
                      <w:szCs w:val="18"/>
                    </w:rPr>
                  </w:pPr>
                  <w:r>
                    <w:rPr>
                      <w:rFonts w:hint="eastAsia"/>
                      <w:sz w:val="18"/>
                      <w:szCs w:val="18"/>
                    </w:rPr>
                    <w:t>45/252/9</w:t>
                  </w:r>
                </w:p>
              </w:tc>
              <w:tc>
                <w:tcPr>
                  <w:tcW w:w="464" w:type="pct"/>
                  <w:vAlign w:val="center"/>
                </w:tcPr>
                <w:p>
                  <w:pPr>
                    <w:spacing w:line="320" w:lineRule="exact"/>
                    <w:jc w:val="center"/>
                    <w:rPr>
                      <w:sz w:val="18"/>
                      <w:szCs w:val="18"/>
                    </w:rPr>
                  </w:pPr>
                  <w:r>
                    <w:rPr>
                      <w:rFonts w:hint="eastAsia"/>
                      <w:sz w:val="18"/>
                      <w:szCs w:val="18"/>
                    </w:rPr>
                    <w:t>N30</w:t>
                  </w:r>
                </w:p>
                <w:p>
                  <w:pPr>
                    <w:spacing w:line="320" w:lineRule="exact"/>
                    <w:jc w:val="center"/>
                    <w:rPr>
                      <w:sz w:val="18"/>
                      <w:szCs w:val="18"/>
                    </w:rPr>
                  </w:pPr>
                  <w:r>
                    <w:rPr>
                      <w:rFonts w:hint="eastAsia"/>
                      <w:sz w:val="18"/>
                      <w:szCs w:val="18"/>
                    </w:rPr>
                    <w:t>E35</w:t>
                  </w:r>
                </w:p>
                <w:p>
                  <w:pPr>
                    <w:spacing w:line="320" w:lineRule="exact"/>
                    <w:jc w:val="center"/>
                    <w:rPr>
                      <w:sz w:val="18"/>
                      <w:szCs w:val="18"/>
                    </w:rPr>
                  </w:pPr>
                  <w:r>
                    <w:rPr>
                      <w:rFonts w:hint="eastAsia"/>
                      <w:sz w:val="18"/>
                      <w:szCs w:val="18"/>
                    </w:rPr>
                    <w:t>S20</w:t>
                  </w:r>
                </w:p>
                <w:p>
                  <w:pPr>
                    <w:spacing w:line="320" w:lineRule="exact"/>
                    <w:jc w:val="center"/>
                    <w:rPr>
                      <w:sz w:val="18"/>
                      <w:szCs w:val="18"/>
                    </w:rPr>
                  </w:pPr>
                  <w:r>
                    <w:rPr>
                      <w:rFonts w:hint="eastAsia"/>
                      <w:sz w:val="18"/>
                      <w:szCs w:val="18"/>
                    </w:rPr>
                    <w:t>W33</w:t>
                  </w:r>
                </w:p>
              </w:tc>
              <w:tc>
                <w:tcPr>
                  <w:tcW w:w="450" w:type="pct"/>
                  <w:vAlign w:val="center"/>
                </w:tcPr>
                <w:p>
                  <w:pPr>
                    <w:spacing w:line="320" w:lineRule="exact"/>
                    <w:jc w:val="center"/>
                    <w:rPr>
                      <w:sz w:val="18"/>
                      <w:szCs w:val="18"/>
                    </w:rPr>
                  </w:pPr>
                  <w:r>
                    <w:rPr>
                      <w:rFonts w:hint="eastAsia"/>
                      <w:sz w:val="18"/>
                      <w:szCs w:val="18"/>
                    </w:rPr>
                    <w:t>N58</w:t>
                  </w:r>
                </w:p>
                <w:p>
                  <w:pPr>
                    <w:spacing w:line="320" w:lineRule="exact"/>
                    <w:jc w:val="center"/>
                    <w:rPr>
                      <w:sz w:val="18"/>
                      <w:szCs w:val="18"/>
                    </w:rPr>
                  </w:pPr>
                  <w:r>
                    <w:rPr>
                      <w:rFonts w:hint="eastAsia"/>
                      <w:sz w:val="18"/>
                      <w:szCs w:val="18"/>
                    </w:rPr>
                    <w:t>E58</w:t>
                  </w:r>
                </w:p>
                <w:p>
                  <w:pPr>
                    <w:spacing w:line="320" w:lineRule="exact"/>
                    <w:jc w:val="center"/>
                    <w:rPr>
                      <w:sz w:val="18"/>
                      <w:szCs w:val="18"/>
                    </w:rPr>
                  </w:pPr>
                  <w:r>
                    <w:rPr>
                      <w:rFonts w:hint="eastAsia"/>
                      <w:sz w:val="18"/>
                      <w:szCs w:val="18"/>
                    </w:rPr>
                    <w:t>S58</w:t>
                  </w:r>
                </w:p>
                <w:p>
                  <w:pPr>
                    <w:autoSpaceDE w:val="0"/>
                    <w:autoSpaceDN w:val="0"/>
                    <w:adjustRightInd w:val="0"/>
                    <w:snapToGrid w:val="0"/>
                    <w:spacing w:line="320" w:lineRule="exact"/>
                    <w:jc w:val="center"/>
                    <w:rPr>
                      <w:sz w:val="18"/>
                      <w:szCs w:val="18"/>
                    </w:rPr>
                  </w:pPr>
                  <w:r>
                    <w:rPr>
                      <w:rFonts w:hint="eastAsia"/>
                      <w:sz w:val="18"/>
                      <w:szCs w:val="18"/>
                    </w:rPr>
                    <w:t>W58</w:t>
                  </w:r>
                </w:p>
              </w:tc>
              <w:tc>
                <w:tcPr>
                  <w:tcW w:w="342" w:type="pct"/>
                  <w:vAlign w:val="center"/>
                </w:tcPr>
                <w:p>
                  <w:pPr>
                    <w:autoSpaceDE w:val="0"/>
                    <w:autoSpaceDN w:val="0"/>
                    <w:adjustRightInd w:val="0"/>
                    <w:snapToGrid w:val="0"/>
                    <w:spacing w:line="320" w:lineRule="exact"/>
                    <w:jc w:val="center"/>
                    <w:rPr>
                      <w:bCs/>
                      <w:sz w:val="18"/>
                      <w:szCs w:val="18"/>
                    </w:rPr>
                  </w:pPr>
                  <w:r>
                    <w:rPr>
                      <w:rFonts w:hint="eastAsia"/>
                      <w:bCs/>
                      <w:sz w:val="18"/>
                      <w:szCs w:val="18"/>
                    </w:rPr>
                    <w:t>昼夜</w:t>
                  </w:r>
                  <w:r>
                    <w:rPr>
                      <w:bCs/>
                      <w:sz w:val="18"/>
                      <w:szCs w:val="18"/>
                    </w:rPr>
                    <w:t>间断</w:t>
                  </w:r>
                </w:p>
              </w:tc>
              <w:tc>
                <w:tcPr>
                  <w:tcW w:w="610" w:type="pct"/>
                  <w:vAlign w:val="center"/>
                </w:tcPr>
                <w:p>
                  <w:pPr>
                    <w:spacing w:line="320" w:lineRule="exact"/>
                    <w:jc w:val="center"/>
                    <w:rPr>
                      <w:sz w:val="18"/>
                      <w:szCs w:val="18"/>
                    </w:rPr>
                  </w:pPr>
                  <w:r>
                    <w:rPr>
                      <w:rFonts w:hint="eastAsia"/>
                      <w:sz w:val="18"/>
                      <w:szCs w:val="18"/>
                    </w:rPr>
                    <w:t>20</w:t>
                  </w:r>
                </w:p>
              </w:tc>
              <w:tc>
                <w:tcPr>
                  <w:tcW w:w="450" w:type="pct"/>
                  <w:vAlign w:val="center"/>
                </w:tcPr>
                <w:p>
                  <w:pPr>
                    <w:spacing w:line="320" w:lineRule="exact"/>
                    <w:jc w:val="center"/>
                    <w:rPr>
                      <w:sz w:val="18"/>
                      <w:szCs w:val="18"/>
                    </w:rPr>
                  </w:pPr>
                  <w:r>
                    <w:rPr>
                      <w:rFonts w:hint="eastAsia"/>
                      <w:sz w:val="18"/>
                      <w:szCs w:val="18"/>
                    </w:rPr>
                    <w:t>N38</w:t>
                  </w:r>
                </w:p>
                <w:p>
                  <w:pPr>
                    <w:spacing w:line="320" w:lineRule="exact"/>
                    <w:jc w:val="center"/>
                    <w:rPr>
                      <w:sz w:val="18"/>
                      <w:szCs w:val="18"/>
                    </w:rPr>
                  </w:pPr>
                  <w:r>
                    <w:rPr>
                      <w:rFonts w:hint="eastAsia"/>
                      <w:sz w:val="18"/>
                      <w:szCs w:val="18"/>
                    </w:rPr>
                    <w:t>E38</w:t>
                  </w:r>
                </w:p>
                <w:p>
                  <w:pPr>
                    <w:spacing w:line="320" w:lineRule="exact"/>
                    <w:jc w:val="center"/>
                    <w:rPr>
                      <w:sz w:val="18"/>
                      <w:szCs w:val="18"/>
                    </w:rPr>
                  </w:pPr>
                  <w:r>
                    <w:rPr>
                      <w:rFonts w:hint="eastAsia"/>
                      <w:sz w:val="18"/>
                      <w:szCs w:val="18"/>
                    </w:rPr>
                    <w:t>S38</w:t>
                  </w:r>
                </w:p>
                <w:p>
                  <w:pPr>
                    <w:autoSpaceDE w:val="0"/>
                    <w:autoSpaceDN w:val="0"/>
                    <w:adjustRightInd w:val="0"/>
                    <w:snapToGrid w:val="0"/>
                    <w:spacing w:line="320" w:lineRule="exact"/>
                    <w:jc w:val="center"/>
                    <w:rPr>
                      <w:sz w:val="18"/>
                      <w:szCs w:val="18"/>
                    </w:rPr>
                  </w:pPr>
                  <w:r>
                    <w:rPr>
                      <w:rFonts w:hint="eastAsia"/>
                      <w:sz w:val="18"/>
                      <w:szCs w:val="18"/>
                    </w:rPr>
                    <w:t>W38</w:t>
                  </w:r>
                </w:p>
              </w:tc>
            </w:tr>
          </w:tbl>
          <w:p>
            <w:pPr>
              <w:pStyle w:val="53"/>
              <w:numPr>
                <w:ilvl w:val="0"/>
                <w:numId w:val="2"/>
              </w:numPr>
              <w:ind w:left="0" w:firstLine="0"/>
            </w:pPr>
            <w:r>
              <w:rPr>
                <w:rFonts w:hint="eastAsia"/>
              </w:rPr>
              <w:t>工业企业噪声源强调查清单（室外声源）</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1142"/>
              <w:gridCol w:w="804"/>
              <w:gridCol w:w="1603"/>
              <w:gridCol w:w="1204"/>
              <w:gridCol w:w="1335"/>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2" w:type="pct"/>
                  <w:vAlign w:val="center"/>
                </w:tcPr>
                <w:p>
                  <w:pPr>
                    <w:autoSpaceDE w:val="0"/>
                    <w:autoSpaceDN w:val="0"/>
                    <w:adjustRightInd w:val="0"/>
                    <w:snapToGrid w:val="0"/>
                    <w:spacing w:line="320" w:lineRule="exact"/>
                    <w:jc w:val="center"/>
                    <w:rPr>
                      <w:rFonts w:ascii="黑体" w:hAnsi="黑体" w:eastAsia="黑体"/>
                      <w:szCs w:val="21"/>
                    </w:rPr>
                  </w:pPr>
                  <w:r>
                    <w:rPr>
                      <w:rFonts w:hint="eastAsia" w:ascii="黑体" w:hAnsi="黑体" w:eastAsia="黑体"/>
                      <w:szCs w:val="21"/>
                    </w:rPr>
                    <w:t>序号</w:t>
                  </w:r>
                </w:p>
              </w:tc>
              <w:tc>
                <w:tcPr>
                  <w:tcW w:w="720" w:type="pct"/>
                  <w:vAlign w:val="center"/>
                </w:tcPr>
                <w:p>
                  <w:pPr>
                    <w:autoSpaceDE w:val="0"/>
                    <w:autoSpaceDN w:val="0"/>
                    <w:adjustRightInd w:val="0"/>
                    <w:snapToGrid w:val="0"/>
                    <w:spacing w:line="320" w:lineRule="exact"/>
                    <w:jc w:val="center"/>
                    <w:rPr>
                      <w:rFonts w:ascii="黑体" w:hAnsi="黑体" w:eastAsia="黑体"/>
                      <w:szCs w:val="21"/>
                    </w:rPr>
                  </w:pPr>
                  <w:r>
                    <w:rPr>
                      <w:rFonts w:hint="eastAsia" w:ascii="黑体" w:hAnsi="黑体" w:eastAsia="黑体"/>
                      <w:szCs w:val="21"/>
                    </w:rPr>
                    <w:t>声源</w:t>
                  </w:r>
                  <w:r>
                    <w:rPr>
                      <w:rFonts w:ascii="黑体" w:hAnsi="黑体" w:eastAsia="黑体"/>
                      <w:szCs w:val="21"/>
                    </w:rPr>
                    <w:t>名称</w:t>
                  </w:r>
                </w:p>
              </w:tc>
              <w:tc>
                <w:tcPr>
                  <w:tcW w:w="507" w:type="pct"/>
                  <w:vAlign w:val="center"/>
                </w:tcPr>
                <w:p>
                  <w:pPr>
                    <w:autoSpaceDE w:val="0"/>
                    <w:autoSpaceDN w:val="0"/>
                    <w:adjustRightInd w:val="0"/>
                    <w:snapToGrid w:val="0"/>
                    <w:spacing w:line="320" w:lineRule="exact"/>
                    <w:jc w:val="center"/>
                    <w:rPr>
                      <w:rFonts w:ascii="黑体" w:hAnsi="黑体" w:eastAsia="黑体"/>
                      <w:szCs w:val="21"/>
                    </w:rPr>
                  </w:pPr>
                  <w:r>
                    <w:rPr>
                      <w:rFonts w:ascii="黑体" w:hAnsi="黑体" w:eastAsia="黑体"/>
                      <w:szCs w:val="21"/>
                    </w:rPr>
                    <w:t>数量</w:t>
                  </w:r>
                  <w:r>
                    <w:rPr>
                      <w:rFonts w:hint="eastAsia" w:ascii="黑体" w:hAnsi="黑体" w:eastAsia="黑体"/>
                      <w:szCs w:val="21"/>
                    </w:rPr>
                    <w:t>台/套</w:t>
                  </w:r>
                </w:p>
              </w:tc>
              <w:tc>
                <w:tcPr>
                  <w:tcW w:w="1011" w:type="pct"/>
                  <w:vAlign w:val="center"/>
                </w:tcPr>
                <w:p>
                  <w:pPr>
                    <w:autoSpaceDE w:val="0"/>
                    <w:autoSpaceDN w:val="0"/>
                    <w:adjustRightInd w:val="0"/>
                    <w:snapToGrid w:val="0"/>
                    <w:spacing w:line="320" w:lineRule="exact"/>
                    <w:jc w:val="center"/>
                    <w:rPr>
                      <w:rFonts w:ascii="黑体" w:hAnsi="黑体" w:eastAsia="黑体"/>
                      <w:szCs w:val="21"/>
                    </w:rPr>
                  </w:pPr>
                  <w:r>
                    <w:rPr>
                      <w:rFonts w:hint="eastAsia" w:ascii="黑体" w:hAnsi="黑体" w:eastAsia="黑体"/>
                      <w:szCs w:val="21"/>
                    </w:rPr>
                    <w:t>空间相对位置</w:t>
                  </w:r>
                </w:p>
                <w:p>
                  <w:pPr>
                    <w:autoSpaceDE w:val="0"/>
                    <w:autoSpaceDN w:val="0"/>
                    <w:adjustRightInd w:val="0"/>
                    <w:snapToGrid w:val="0"/>
                    <w:spacing w:line="320" w:lineRule="exact"/>
                    <w:jc w:val="center"/>
                    <w:rPr>
                      <w:rFonts w:ascii="黑体" w:hAnsi="黑体" w:eastAsia="黑体"/>
                      <w:szCs w:val="21"/>
                    </w:rPr>
                  </w:pPr>
                  <w:r>
                    <w:rPr>
                      <w:rFonts w:hint="eastAsia" w:ascii="黑体" w:hAnsi="黑体" w:eastAsia="黑体"/>
                      <w:szCs w:val="21"/>
                    </w:rPr>
                    <w:t>（</w:t>
                  </w:r>
                  <w:r>
                    <w:rPr>
                      <w:rFonts w:eastAsia="黑体"/>
                      <w:szCs w:val="21"/>
                    </w:rPr>
                    <w:t>X</w:t>
                  </w:r>
                  <w:r>
                    <w:rPr>
                      <w:rFonts w:hint="eastAsia" w:hAnsi="黑体" w:eastAsia="黑体"/>
                      <w:szCs w:val="21"/>
                    </w:rPr>
                    <w:t>/</w:t>
                  </w:r>
                  <w:r>
                    <w:rPr>
                      <w:rFonts w:eastAsia="黑体"/>
                      <w:szCs w:val="21"/>
                    </w:rPr>
                    <w:t>Y</w:t>
                  </w:r>
                  <w:r>
                    <w:rPr>
                      <w:rFonts w:hint="eastAsia" w:hAnsi="黑体" w:eastAsia="黑体"/>
                      <w:szCs w:val="21"/>
                    </w:rPr>
                    <w:t>/</w:t>
                  </w:r>
                  <w:r>
                    <w:rPr>
                      <w:rFonts w:eastAsia="黑体"/>
                      <w:szCs w:val="21"/>
                    </w:rPr>
                    <w:t>Z</w:t>
                  </w:r>
                  <w:r>
                    <w:rPr>
                      <w:rFonts w:hint="eastAsia" w:ascii="黑体" w:hAnsi="黑体" w:eastAsia="黑体"/>
                      <w:szCs w:val="21"/>
                    </w:rPr>
                    <w:t>）/m</w:t>
                  </w:r>
                </w:p>
              </w:tc>
              <w:tc>
                <w:tcPr>
                  <w:tcW w:w="759" w:type="pct"/>
                  <w:vAlign w:val="center"/>
                </w:tcPr>
                <w:p>
                  <w:pPr>
                    <w:autoSpaceDE w:val="0"/>
                    <w:autoSpaceDN w:val="0"/>
                    <w:adjustRightInd w:val="0"/>
                    <w:snapToGrid w:val="0"/>
                    <w:spacing w:line="320" w:lineRule="exact"/>
                    <w:jc w:val="center"/>
                    <w:rPr>
                      <w:rFonts w:ascii="黑体" w:hAnsi="黑体" w:eastAsia="黑体"/>
                      <w:szCs w:val="21"/>
                    </w:rPr>
                  </w:pPr>
                  <w:r>
                    <w:rPr>
                      <w:rFonts w:hint="eastAsia" w:ascii="黑体" w:hAnsi="黑体" w:eastAsia="黑体"/>
                      <w:szCs w:val="21"/>
                    </w:rPr>
                    <w:t>声源源强/</w:t>
                  </w:r>
                  <w:r>
                    <w:rPr>
                      <w:rFonts w:ascii="黑体" w:hAnsi="黑体" w:eastAsia="黑体"/>
                      <w:szCs w:val="21"/>
                    </w:rPr>
                    <w:t>dB(A)</w:t>
                  </w:r>
                </w:p>
              </w:tc>
              <w:tc>
                <w:tcPr>
                  <w:tcW w:w="842" w:type="pct"/>
                  <w:vAlign w:val="center"/>
                </w:tcPr>
                <w:p>
                  <w:pPr>
                    <w:autoSpaceDE w:val="0"/>
                    <w:autoSpaceDN w:val="0"/>
                    <w:adjustRightInd w:val="0"/>
                    <w:snapToGrid w:val="0"/>
                    <w:spacing w:line="320" w:lineRule="exact"/>
                    <w:jc w:val="center"/>
                    <w:rPr>
                      <w:rFonts w:ascii="黑体" w:hAnsi="黑体" w:eastAsia="黑体"/>
                      <w:szCs w:val="21"/>
                    </w:rPr>
                  </w:pPr>
                  <w:r>
                    <w:rPr>
                      <w:rFonts w:hint="eastAsia" w:ascii="黑体" w:hAnsi="黑体" w:eastAsia="黑体"/>
                      <w:szCs w:val="21"/>
                    </w:rPr>
                    <w:t>声源控制措施</w:t>
                  </w:r>
                </w:p>
              </w:tc>
              <w:tc>
                <w:tcPr>
                  <w:tcW w:w="789" w:type="pct"/>
                  <w:vAlign w:val="center"/>
                </w:tcPr>
                <w:p>
                  <w:pPr>
                    <w:autoSpaceDE w:val="0"/>
                    <w:autoSpaceDN w:val="0"/>
                    <w:adjustRightInd w:val="0"/>
                    <w:snapToGrid w:val="0"/>
                    <w:spacing w:line="320" w:lineRule="exact"/>
                    <w:jc w:val="center"/>
                    <w:rPr>
                      <w:rFonts w:ascii="黑体" w:hAnsi="黑体" w:eastAsia="黑体"/>
                      <w:szCs w:val="21"/>
                    </w:rPr>
                  </w:pPr>
                  <w:r>
                    <w:rPr>
                      <w:rFonts w:ascii="黑体" w:hAnsi="黑体" w:eastAsia="黑体"/>
                      <w:szCs w:val="21"/>
                    </w:rPr>
                    <w:t>运行</w:t>
                  </w:r>
                  <w:r>
                    <w:rPr>
                      <w:rFonts w:hint="eastAsia" w:ascii="黑体" w:hAnsi="黑体" w:eastAsia="黑体"/>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2" w:type="pct"/>
                  <w:vAlign w:val="center"/>
                </w:tcPr>
                <w:p>
                  <w:pPr>
                    <w:widowControl/>
                    <w:adjustRightInd w:val="0"/>
                    <w:snapToGrid w:val="0"/>
                    <w:spacing w:line="320" w:lineRule="exact"/>
                    <w:jc w:val="center"/>
                    <w:rPr>
                      <w:kern w:val="0"/>
                      <w:szCs w:val="21"/>
                    </w:rPr>
                  </w:pPr>
                  <w:r>
                    <w:rPr>
                      <w:rFonts w:hint="eastAsia"/>
                      <w:kern w:val="0"/>
                      <w:szCs w:val="21"/>
                    </w:rPr>
                    <w:t>1</w:t>
                  </w:r>
                </w:p>
              </w:tc>
              <w:tc>
                <w:tcPr>
                  <w:tcW w:w="720" w:type="pct"/>
                  <w:vAlign w:val="center"/>
                </w:tcPr>
                <w:p>
                  <w:pPr>
                    <w:pStyle w:val="58"/>
                    <w:spacing w:line="320" w:lineRule="exact"/>
                    <w:rPr>
                      <w:szCs w:val="21"/>
                    </w:rPr>
                  </w:pPr>
                  <w:r>
                    <w:rPr>
                      <w:rFonts w:hint="eastAsia"/>
                      <w:szCs w:val="21"/>
                    </w:rPr>
                    <w:t>冷却塔</w:t>
                  </w:r>
                </w:p>
              </w:tc>
              <w:tc>
                <w:tcPr>
                  <w:tcW w:w="507" w:type="pct"/>
                  <w:vAlign w:val="center"/>
                </w:tcPr>
                <w:p>
                  <w:pPr>
                    <w:pStyle w:val="58"/>
                    <w:spacing w:line="320" w:lineRule="exact"/>
                    <w:rPr>
                      <w:bCs/>
                      <w:szCs w:val="21"/>
                    </w:rPr>
                  </w:pPr>
                  <w:r>
                    <w:rPr>
                      <w:rFonts w:hint="eastAsia"/>
                      <w:bCs/>
                      <w:szCs w:val="21"/>
                    </w:rPr>
                    <w:t>1</w:t>
                  </w:r>
                </w:p>
              </w:tc>
              <w:tc>
                <w:tcPr>
                  <w:tcW w:w="1011" w:type="pct"/>
                  <w:vAlign w:val="center"/>
                </w:tcPr>
                <w:p>
                  <w:pPr>
                    <w:pStyle w:val="58"/>
                    <w:spacing w:line="320" w:lineRule="exact"/>
                    <w:rPr>
                      <w:szCs w:val="21"/>
                    </w:rPr>
                  </w:pPr>
                  <w:r>
                    <w:rPr>
                      <w:rFonts w:hint="eastAsia"/>
                      <w:szCs w:val="21"/>
                    </w:rPr>
                    <w:t>40/214/2.5</w:t>
                  </w:r>
                </w:p>
              </w:tc>
              <w:tc>
                <w:tcPr>
                  <w:tcW w:w="759" w:type="pct"/>
                  <w:vAlign w:val="center"/>
                </w:tcPr>
                <w:p>
                  <w:pPr>
                    <w:pStyle w:val="58"/>
                    <w:spacing w:line="320" w:lineRule="exact"/>
                    <w:rPr>
                      <w:szCs w:val="21"/>
                    </w:rPr>
                  </w:pPr>
                  <w:r>
                    <w:rPr>
                      <w:rFonts w:hint="eastAsia"/>
                      <w:szCs w:val="21"/>
                    </w:rPr>
                    <w:t>78</w:t>
                  </w:r>
                </w:p>
              </w:tc>
              <w:tc>
                <w:tcPr>
                  <w:tcW w:w="842" w:type="pct"/>
                  <w:vAlign w:val="center"/>
                </w:tcPr>
                <w:p>
                  <w:pPr>
                    <w:spacing w:line="320" w:lineRule="exact"/>
                    <w:jc w:val="center"/>
                    <w:rPr>
                      <w:szCs w:val="21"/>
                    </w:rPr>
                  </w:pPr>
                  <w:r>
                    <w:rPr>
                      <w:rFonts w:hint="eastAsia"/>
                      <w:szCs w:val="21"/>
                    </w:rPr>
                    <w:t>距离衰减</w:t>
                  </w:r>
                </w:p>
              </w:tc>
              <w:tc>
                <w:tcPr>
                  <w:tcW w:w="789" w:type="pct"/>
                  <w:vAlign w:val="center"/>
                </w:tcPr>
                <w:p>
                  <w:pPr>
                    <w:spacing w:line="320" w:lineRule="exact"/>
                    <w:jc w:val="center"/>
                    <w:rPr>
                      <w:szCs w:val="21"/>
                    </w:rPr>
                  </w:pPr>
                  <w:r>
                    <w:rPr>
                      <w:rFonts w:hint="eastAsia"/>
                      <w:bCs/>
                      <w:szCs w:val="21"/>
                    </w:rPr>
                    <w:t>昼夜</w:t>
                  </w:r>
                  <w:r>
                    <w:rPr>
                      <w:bCs/>
                      <w:szCs w:val="21"/>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2" w:type="pct"/>
                  <w:vAlign w:val="center"/>
                </w:tcPr>
                <w:p>
                  <w:pPr>
                    <w:widowControl/>
                    <w:adjustRightInd w:val="0"/>
                    <w:snapToGrid w:val="0"/>
                    <w:spacing w:line="320" w:lineRule="exact"/>
                    <w:jc w:val="center"/>
                    <w:rPr>
                      <w:kern w:val="0"/>
                      <w:szCs w:val="21"/>
                    </w:rPr>
                  </w:pPr>
                  <w:r>
                    <w:rPr>
                      <w:rFonts w:hint="eastAsia"/>
                      <w:kern w:val="0"/>
                      <w:szCs w:val="21"/>
                    </w:rPr>
                    <w:t>2</w:t>
                  </w:r>
                </w:p>
              </w:tc>
              <w:tc>
                <w:tcPr>
                  <w:tcW w:w="720" w:type="pct"/>
                  <w:vAlign w:val="center"/>
                </w:tcPr>
                <w:p>
                  <w:pPr>
                    <w:pStyle w:val="58"/>
                    <w:spacing w:line="320" w:lineRule="exact"/>
                    <w:rPr>
                      <w:szCs w:val="21"/>
                    </w:rPr>
                  </w:pPr>
                  <w:r>
                    <w:rPr>
                      <w:rFonts w:hint="eastAsia"/>
                      <w:szCs w:val="21"/>
                    </w:rPr>
                    <w:t>风机</w:t>
                  </w:r>
                </w:p>
              </w:tc>
              <w:tc>
                <w:tcPr>
                  <w:tcW w:w="507" w:type="pct"/>
                  <w:vAlign w:val="center"/>
                </w:tcPr>
                <w:p>
                  <w:pPr>
                    <w:pStyle w:val="58"/>
                    <w:spacing w:line="320" w:lineRule="exact"/>
                    <w:rPr>
                      <w:bCs/>
                      <w:szCs w:val="21"/>
                    </w:rPr>
                  </w:pPr>
                  <w:r>
                    <w:rPr>
                      <w:rFonts w:hint="eastAsia"/>
                      <w:bCs/>
                      <w:szCs w:val="21"/>
                    </w:rPr>
                    <w:t>2</w:t>
                  </w:r>
                </w:p>
              </w:tc>
              <w:tc>
                <w:tcPr>
                  <w:tcW w:w="1011" w:type="pct"/>
                  <w:vAlign w:val="center"/>
                </w:tcPr>
                <w:p>
                  <w:pPr>
                    <w:pStyle w:val="58"/>
                    <w:spacing w:line="320" w:lineRule="exact"/>
                    <w:rPr>
                      <w:szCs w:val="21"/>
                    </w:rPr>
                  </w:pPr>
                  <w:r>
                    <w:rPr>
                      <w:rFonts w:hint="eastAsia"/>
                      <w:szCs w:val="21"/>
                    </w:rPr>
                    <w:t>43/214/1.5</w:t>
                  </w:r>
                </w:p>
              </w:tc>
              <w:tc>
                <w:tcPr>
                  <w:tcW w:w="759" w:type="pct"/>
                  <w:vAlign w:val="center"/>
                </w:tcPr>
                <w:p>
                  <w:pPr>
                    <w:pStyle w:val="58"/>
                    <w:spacing w:line="320" w:lineRule="exact"/>
                    <w:rPr>
                      <w:szCs w:val="21"/>
                    </w:rPr>
                  </w:pPr>
                  <w:r>
                    <w:rPr>
                      <w:rFonts w:hint="eastAsia"/>
                      <w:szCs w:val="21"/>
                    </w:rPr>
                    <w:t>80</w:t>
                  </w:r>
                </w:p>
              </w:tc>
              <w:tc>
                <w:tcPr>
                  <w:tcW w:w="842" w:type="pct"/>
                  <w:vAlign w:val="center"/>
                </w:tcPr>
                <w:p>
                  <w:pPr>
                    <w:spacing w:line="320" w:lineRule="exact"/>
                    <w:jc w:val="center"/>
                    <w:rPr>
                      <w:szCs w:val="21"/>
                    </w:rPr>
                  </w:pPr>
                  <w:r>
                    <w:rPr>
                      <w:rFonts w:hint="eastAsia"/>
                      <w:bCs/>
                      <w:szCs w:val="21"/>
                    </w:rPr>
                    <w:t>隔声罩隔声</w:t>
                  </w:r>
                </w:p>
              </w:tc>
              <w:tc>
                <w:tcPr>
                  <w:tcW w:w="789" w:type="pct"/>
                  <w:vAlign w:val="center"/>
                </w:tcPr>
                <w:p>
                  <w:pPr>
                    <w:spacing w:line="320" w:lineRule="exact"/>
                    <w:jc w:val="center"/>
                    <w:rPr>
                      <w:szCs w:val="21"/>
                    </w:rPr>
                  </w:pPr>
                  <w:r>
                    <w:rPr>
                      <w:rFonts w:hint="eastAsia"/>
                      <w:bCs/>
                      <w:szCs w:val="21"/>
                    </w:rPr>
                    <w:t>昼夜</w:t>
                  </w:r>
                  <w:r>
                    <w:rPr>
                      <w:bCs/>
                      <w:szCs w:val="21"/>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2" w:type="pct"/>
                  <w:vAlign w:val="center"/>
                </w:tcPr>
                <w:p>
                  <w:pPr>
                    <w:widowControl/>
                    <w:adjustRightInd w:val="0"/>
                    <w:snapToGrid w:val="0"/>
                    <w:spacing w:line="320" w:lineRule="exact"/>
                    <w:jc w:val="center"/>
                    <w:rPr>
                      <w:kern w:val="0"/>
                      <w:szCs w:val="21"/>
                    </w:rPr>
                  </w:pPr>
                  <w:r>
                    <w:rPr>
                      <w:rFonts w:hint="eastAsia"/>
                      <w:kern w:val="0"/>
                      <w:szCs w:val="21"/>
                    </w:rPr>
                    <w:t>3</w:t>
                  </w:r>
                </w:p>
              </w:tc>
              <w:tc>
                <w:tcPr>
                  <w:tcW w:w="720" w:type="pct"/>
                  <w:vAlign w:val="center"/>
                </w:tcPr>
                <w:p>
                  <w:pPr>
                    <w:pStyle w:val="58"/>
                    <w:spacing w:line="320" w:lineRule="exact"/>
                    <w:rPr>
                      <w:szCs w:val="21"/>
                    </w:rPr>
                  </w:pPr>
                  <w:r>
                    <w:rPr>
                      <w:rFonts w:hint="eastAsia"/>
                      <w:szCs w:val="21"/>
                    </w:rPr>
                    <w:t>风机</w:t>
                  </w:r>
                </w:p>
              </w:tc>
              <w:tc>
                <w:tcPr>
                  <w:tcW w:w="507" w:type="pct"/>
                  <w:vAlign w:val="center"/>
                </w:tcPr>
                <w:p>
                  <w:pPr>
                    <w:pStyle w:val="58"/>
                    <w:spacing w:line="320" w:lineRule="exact"/>
                    <w:rPr>
                      <w:bCs/>
                      <w:szCs w:val="21"/>
                    </w:rPr>
                  </w:pPr>
                  <w:r>
                    <w:rPr>
                      <w:rFonts w:hint="eastAsia"/>
                      <w:bCs/>
                      <w:szCs w:val="21"/>
                    </w:rPr>
                    <w:t>2</w:t>
                  </w:r>
                </w:p>
              </w:tc>
              <w:tc>
                <w:tcPr>
                  <w:tcW w:w="1011" w:type="pct"/>
                  <w:vAlign w:val="center"/>
                </w:tcPr>
                <w:p>
                  <w:pPr>
                    <w:pStyle w:val="58"/>
                    <w:spacing w:line="320" w:lineRule="exact"/>
                    <w:rPr>
                      <w:szCs w:val="21"/>
                    </w:rPr>
                  </w:pPr>
                  <w:r>
                    <w:rPr>
                      <w:rFonts w:hint="eastAsia"/>
                      <w:szCs w:val="21"/>
                    </w:rPr>
                    <w:t>50/224/1.5</w:t>
                  </w:r>
                </w:p>
              </w:tc>
              <w:tc>
                <w:tcPr>
                  <w:tcW w:w="759" w:type="pct"/>
                  <w:vAlign w:val="center"/>
                </w:tcPr>
                <w:p>
                  <w:pPr>
                    <w:pStyle w:val="58"/>
                    <w:spacing w:line="320" w:lineRule="exact"/>
                    <w:rPr>
                      <w:szCs w:val="21"/>
                    </w:rPr>
                  </w:pPr>
                  <w:r>
                    <w:rPr>
                      <w:rFonts w:hint="eastAsia"/>
                      <w:szCs w:val="21"/>
                    </w:rPr>
                    <w:t>80</w:t>
                  </w:r>
                </w:p>
              </w:tc>
              <w:tc>
                <w:tcPr>
                  <w:tcW w:w="842" w:type="pct"/>
                  <w:vAlign w:val="center"/>
                </w:tcPr>
                <w:p>
                  <w:pPr>
                    <w:spacing w:line="320" w:lineRule="exact"/>
                    <w:jc w:val="center"/>
                    <w:rPr>
                      <w:szCs w:val="21"/>
                    </w:rPr>
                  </w:pPr>
                  <w:r>
                    <w:rPr>
                      <w:rFonts w:hint="eastAsia"/>
                      <w:bCs/>
                      <w:szCs w:val="21"/>
                    </w:rPr>
                    <w:t>隔声罩隔声</w:t>
                  </w:r>
                </w:p>
              </w:tc>
              <w:tc>
                <w:tcPr>
                  <w:tcW w:w="789" w:type="pct"/>
                  <w:vAlign w:val="center"/>
                </w:tcPr>
                <w:p>
                  <w:pPr>
                    <w:spacing w:line="320" w:lineRule="exact"/>
                    <w:jc w:val="center"/>
                    <w:rPr>
                      <w:szCs w:val="21"/>
                    </w:rPr>
                  </w:pPr>
                  <w:r>
                    <w:rPr>
                      <w:rFonts w:hint="eastAsia"/>
                      <w:bCs/>
                      <w:szCs w:val="21"/>
                    </w:rPr>
                    <w:t>昼夜</w:t>
                  </w:r>
                  <w:r>
                    <w:rPr>
                      <w:bCs/>
                      <w:szCs w:val="21"/>
                    </w:rPr>
                    <w:t>间断</w:t>
                  </w:r>
                </w:p>
              </w:tc>
            </w:tr>
          </w:tbl>
          <w:p>
            <w:pPr>
              <w:spacing w:line="360" w:lineRule="auto"/>
              <w:rPr>
                <w:b/>
                <w:sz w:val="24"/>
              </w:rPr>
            </w:pPr>
            <w:r>
              <w:rPr>
                <w:rFonts w:hint="eastAsia"/>
                <w:b/>
                <w:sz w:val="24"/>
              </w:rPr>
              <w:t>3.2噪声影响分析</w:t>
            </w:r>
          </w:p>
          <w:p>
            <w:pPr>
              <w:widowControl/>
              <w:spacing w:line="384" w:lineRule="auto"/>
              <w:ind w:left="1" w:firstLine="494" w:firstLineChars="206"/>
              <w:rPr>
                <w:sz w:val="24"/>
              </w:rPr>
            </w:pPr>
            <w:r>
              <w:rPr>
                <w:rFonts w:hint="eastAsia"/>
                <w:sz w:val="24"/>
              </w:rPr>
              <w:t>本项目噪声预测结果见下表。</w:t>
            </w:r>
          </w:p>
          <w:p>
            <w:pPr>
              <w:pStyle w:val="53"/>
              <w:numPr>
                <w:ilvl w:val="0"/>
                <w:numId w:val="2"/>
              </w:numPr>
              <w:ind w:left="0" w:firstLine="0"/>
            </w:pPr>
            <w:r>
              <w:rPr>
                <w:rFonts w:hint="eastAsia"/>
              </w:rPr>
              <w:t>本项目噪声预测结果</w:t>
            </w:r>
            <w:r>
              <w:t>单位：dB(A)</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1203"/>
              <w:gridCol w:w="1334"/>
              <w:gridCol w:w="1212"/>
              <w:gridCol w:w="1083"/>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269" w:type="dxa"/>
                  <w:gridSpan w:val="2"/>
                  <w:vAlign w:val="center"/>
                </w:tcPr>
                <w:p>
                  <w:pPr>
                    <w:pStyle w:val="54"/>
                  </w:pPr>
                  <w:r>
                    <w:t>项目</w:t>
                  </w:r>
                </w:p>
              </w:tc>
              <w:tc>
                <w:tcPr>
                  <w:tcW w:w="1411" w:type="dxa"/>
                  <w:vAlign w:val="center"/>
                </w:tcPr>
                <w:p>
                  <w:pPr>
                    <w:pStyle w:val="54"/>
                  </w:pPr>
                  <w:r>
                    <w:t>东厂界</w:t>
                  </w:r>
                </w:p>
              </w:tc>
              <w:tc>
                <w:tcPr>
                  <w:tcW w:w="1276" w:type="dxa"/>
                  <w:vAlign w:val="center"/>
                </w:tcPr>
                <w:p>
                  <w:pPr>
                    <w:pStyle w:val="54"/>
                  </w:pPr>
                  <w:r>
                    <w:rPr>
                      <w:rFonts w:hint="eastAsia"/>
                    </w:rPr>
                    <w:t>西厂界</w:t>
                  </w:r>
                </w:p>
              </w:tc>
              <w:tc>
                <w:tcPr>
                  <w:tcW w:w="1134" w:type="dxa"/>
                  <w:vAlign w:val="center"/>
                </w:tcPr>
                <w:p>
                  <w:pPr>
                    <w:pStyle w:val="54"/>
                  </w:pPr>
                  <w:r>
                    <w:rPr>
                      <w:rFonts w:hint="eastAsia"/>
                    </w:rPr>
                    <w:t>南厂界</w:t>
                  </w:r>
                </w:p>
              </w:tc>
              <w:tc>
                <w:tcPr>
                  <w:tcW w:w="2319" w:type="dxa"/>
                  <w:vAlign w:val="center"/>
                </w:tcPr>
                <w:p>
                  <w:pPr>
                    <w:pStyle w:val="54"/>
                  </w:pPr>
                  <w:r>
                    <w:rPr>
                      <w:rFonts w:hint="eastAsia"/>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87" w:type="dxa"/>
                  <w:vMerge w:val="restart"/>
                  <w:vAlign w:val="center"/>
                </w:tcPr>
                <w:p>
                  <w:pPr>
                    <w:adjustRightInd w:val="0"/>
                    <w:snapToGrid w:val="0"/>
                    <w:spacing w:line="320" w:lineRule="exact"/>
                    <w:jc w:val="center"/>
                    <w:rPr>
                      <w:szCs w:val="21"/>
                    </w:rPr>
                  </w:pPr>
                  <w:r>
                    <w:rPr>
                      <w:rFonts w:hAnsi="宋体"/>
                      <w:szCs w:val="21"/>
                    </w:rPr>
                    <w:t>贡献值</w:t>
                  </w:r>
                </w:p>
              </w:tc>
              <w:tc>
                <w:tcPr>
                  <w:tcW w:w="1282" w:type="dxa"/>
                  <w:vAlign w:val="center"/>
                </w:tcPr>
                <w:p>
                  <w:pPr>
                    <w:adjustRightInd w:val="0"/>
                    <w:snapToGrid w:val="0"/>
                    <w:spacing w:line="320" w:lineRule="exact"/>
                    <w:jc w:val="center"/>
                    <w:rPr>
                      <w:szCs w:val="21"/>
                    </w:rPr>
                  </w:pPr>
                  <w:r>
                    <w:rPr>
                      <w:rFonts w:hAnsi="宋体"/>
                      <w:szCs w:val="21"/>
                    </w:rPr>
                    <w:t>昼间</w:t>
                  </w:r>
                </w:p>
              </w:tc>
              <w:tc>
                <w:tcPr>
                  <w:tcW w:w="1411" w:type="dxa"/>
                  <w:vAlign w:val="center"/>
                </w:tcPr>
                <w:p>
                  <w:pPr>
                    <w:spacing w:line="320" w:lineRule="exact"/>
                    <w:jc w:val="center"/>
                    <w:rPr>
                      <w:szCs w:val="21"/>
                    </w:rPr>
                  </w:pPr>
                  <w:r>
                    <w:rPr>
                      <w:rFonts w:hint="eastAsia"/>
                      <w:szCs w:val="21"/>
                    </w:rPr>
                    <w:t>52.6</w:t>
                  </w:r>
                </w:p>
              </w:tc>
              <w:tc>
                <w:tcPr>
                  <w:tcW w:w="1276" w:type="dxa"/>
                  <w:vAlign w:val="center"/>
                </w:tcPr>
                <w:p>
                  <w:pPr>
                    <w:spacing w:line="320" w:lineRule="exact"/>
                    <w:jc w:val="center"/>
                    <w:rPr>
                      <w:szCs w:val="21"/>
                    </w:rPr>
                  </w:pPr>
                  <w:r>
                    <w:rPr>
                      <w:rFonts w:hint="eastAsia"/>
                      <w:szCs w:val="21"/>
                    </w:rPr>
                    <w:t>53.2</w:t>
                  </w:r>
                </w:p>
              </w:tc>
              <w:tc>
                <w:tcPr>
                  <w:tcW w:w="1134" w:type="dxa"/>
                  <w:vAlign w:val="center"/>
                </w:tcPr>
                <w:p>
                  <w:pPr>
                    <w:spacing w:line="320" w:lineRule="exact"/>
                    <w:jc w:val="center"/>
                    <w:rPr>
                      <w:szCs w:val="21"/>
                    </w:rPr>
                  </w:pPr>
                  <w:r>
                    <w:rPr>
                      <w:rFonts w:hint="eastAsia"/>
                      <w:szCs w:val="21"/>
                    </w:rPr>
                    <w:t>40.9</w:t>
                  </w:r>
                </w:p>
              </w:tc>
              <w:tc>
                <w:tcPr>
                  <w:tcW w:w="2319" w:type="dxa"/>
                  <w:vAlign w:val="center"/>
                </w:tcPr>
                <w:p>
                  <w:pPr>
                    <w:spacing w:line="320" w:lineRule="exact"/>
                    <w:jc w:val="center"/>
                    <w:rPr>
                      <w:szCs w:val="21"/>
                    </w:rPr>
                  </w:pPr>
                  <w:r>
                    <w:rPr>
                      <w:rFonts w:hint="eastAsia"/>
                      <w:szCs w:val="21"/>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87" w:type="dxa"/>
                  <w:vMerge w:val="continue"/>
                  <w:vAlign w:val="center"/>
                </w:tcPr>
                <w:p>
                  <w:pPr>
                    <w:adjustRightInd w:val="0"/>
                    <w:snapToGrid w:val="0"/>
                    <w:spacing w:line="320" w:lineRule="exact"/>
                    <w:jc w:val="center"/>
                    <w:rPr>
                      <w:rFonts w:hAnsi="宋体"/>
                      <w:szCs w:val="21"/>
                    </w:rPr>
                  </w:pPr>
                </w:p>
              </w:tc>
              <w:tc>
                <w:tcPr>
                  <w:tcW w:w="1282" w:type="dxa"/>
                  <w:vAlign w:val="center"/>
                </w:tcPr>
                <w:p>
                  <w:pPr>
                    <w:adjustRightInd w:val="0"/>
                    <w:snapToGrid w:val="0"/>
                    <w:spacing w:line="320" w:lineRule="exact"/>
                    <w:jc w:val="center"/>
                    <w:rPr>
                      <w:rFonts w:hAnsi="宋体"/>
                      <w:szCs w:val="21"/>
                    </w:rPr>
                  </w:pPr>
                  <w:r>
                    <w:rPr>
                      <w:rFonts w:hint="eastAsia" w:hAnsi="宋体"/>
                      <w:szCs w:val="21"/>
                    </w:rPr>
                    <w:t>夜间</w:t>
                  </w:r>
                </w:p>
              </w:tc>
              <w:tc>
                <w:tcPr>
                  <w:tcW w:w="1411" w:type="dxa"/>
                  <w:vAlign w:val="center"/>
                </w:tcPr>
                <w:p>
                  <w:pPr>
                    <w:spacing w:line="320" w:lineRule="exact"/>
                    <w:jc w:val="center"/>
                    <w:rPr>
                      <w:szCs w:val="21"/>
                    </w:rPr>
                  </w:pPr>
                  <w:r>
                    <w:rPr>
                      <w:rFonts w:hint="eastAsia"/>
                      <w:szCs w:val="21"/>
                    </w:rPr>
                    <w:t>52.6</w:t>
                  </w:r>
                </w:p>
              </w:tc>
              <w:tc>
                <w:tcPr>
                  <w:tcW w:w="1276" w:type="dxa"/>
                  <w:vAlign w:val="center"/>
                </w:tcPr>
                <w:p>
                  <w:pPr>
                    <w:spacing w:line="320" w:lineRule="exact"/>
                    <w:jc w:val="center"/>
                    <w:rPr>
                      <w:szCs w:val="21"/>
                    </w:rPr>
                  </w:pPr>
                  <w:r>
                    <w:rPr>
                      <w:rFonts w:hint="eastAsia"/>
                      <w:szCs w:val="21"/>
                    </w:rPr>
                    <w:t>53.2</w:t>
                  </w:r>
                </w:p>
              </w:tc>
              <w:tc>
                <w:tcPr>
                  <w:tcW w:w="1134" w:type="dxa"/>
                  <w:vAlign w:val="center"/>
                </w:tcPr>
                <w:p>
                  <w:pPr>
                    <w:spacing w:line="320" w:lineRule="exact"/>
                    <w:jc w:val="center"/>
                    <w:rPr>
                      <w:szCs w:val="21"/>
                    </w:rPr>
                  </w:pPr>
                  <w:r>
                    <w:rPr>
                      <w:rFonts w:hint="eastAsia"/>
                      <w:szCs w:val="21"/>
                    </w:rPr>
                    <w:t>40.9</w:t>
                  </w:r>
                </w:p>
              </w:tc>
              <w:tc>
                <w:tcPr>
                  <w:tcW w:w="2319" w:type="dxa"/>
                  <w:vAlign w:val="center"/>
                </w:tcPr>
                <w:p>
                  <w:pPr>
                    <w:spacing w:line="320" w:lineRule="exact"/>
                    <w:jc w:val="center"/>
                    <w:rPr>
                      <w:szCs w:val="21"/>
                    </w:rPr>
                  </w:pPr>
                  <w:r>
                    <w:rPr>
                      <w:rFonts w:hint="eastAsia"/>
                      <w:szCs w:val="21"/>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269" w:type="dxa"/>
                  <w:gridSpan w:val="2"/>
                  <w:vAlign w:val="center"/>
                </w:tcPr>
                <w:p>
                  <w:pPr>
                    <w:adjustRightInd w:val="0"/>
                    <w:snapToGrid w:val="0"/>
                    <w:spacing w:line="320" w:lineRule="exact"/>
                    <w:jc w:val="center"/>
                    <w:rPr>
                      <w:rFonts w:hAnsi="宋体"/>
                      <w:szCs w:val="21"/>
                    </w:rPr>
                  </w:pPr>
                  <w:r>
                    <w:rPr>
                      <w:rFonts w:hint="eastAsia" w:hAnsi="宋体"/>
                      <w:szCs w:val="21"/>
                    </w:rPr>
                    <w:t>标准值</w:t>
                  </w:r>
                </w:p>
              </w:tc>
              <w:tc>
                <w:tcPr>
                  <w:tcW w:w="3821" w:type="dxa"/>
                  <w:gridSpan w:val="3"/>
                  <w:vAlign w:val="center"/>
                </w:tcPr>
                <w:p>
                  <w:pPr>
                    <w:adjustRightInd w:val="0"/>
                    <w:snapToGrid w:val="0"/>
                    <w:spacing w:line="320" w:lineRule="exact"/>
                    <w:jc w:val="center"/>
                    <w:rPr>
                      <w:rFonts w:hAnsi="宋体"/>
                      <w:szCs w:val="21"/>
                    </w:rPr>
                  </w:pPr>
                  <w:r>
                    <w:rPr>
                      <w:rFonts w:hint="eastAsia"/>
                      <w:szCs w:val="21"/>
                    </w:rPr>
                    <w:t>3类：昼间65，夜间55</w:t>
                  </w:r>
                </w:p>
              </w:tc>
              <w:tc>
                <w:tcPr>
                  <w:tcW w:w="2319" w:type="dxa"/>
                  <w:vAlign w:val="center"/>
                </w:tcPr>
                <w:p>
                  <w:pPr>
                    <w:adjustRightInd w:val="0"/>
                    <w:snapToGrid w:val="0"/>
                    <w:spacing w:line="320" w:lineRule="exact"/>
                    <w:jc w:val="center"/>
                    <w:rPr>
                      <w:rFonts w:hAnsi="宋体"/>
                      <w:szCs w:val="21"/>
                    </w:rPr>
                  </w:pPr>
                  <w:r>
                    <w:rPr>
                      <w:rFonts w:hint="eastAsia" w:hAnsi="宋体"/>
                      <w:szCs w:val="21"/>
                    </w:rPr>
                    <w:t>4类：</w:t>
                  </w:r>
                  <w:r>
                    <w:rPr>
                      <w:rFonts w:hint="eastAsia"/>
                      <w:szCs w:val="21"/>
                    </w:rPr>
                    <w:t>昼间70，夜间55</w:t>
                  </w:r>
                </w:p>
              </w:tc>
            </w:tr>
          </w:tbl>
          <w:p>
            <w:pPr>
              <w:spacing w:line="360" w:lineRule="auto"/>
              <w:ind w:firstLine="480"/>
              <w:rPr>
                <w:sz w:val="24"/>
              </w:rPr>
            </w:pPr>
            <w:r>
              <w:rPr>
                <w:kern w:val="0"/>
                <w:sz w:val="24"/>
              </w:rPr>
              <w:t>由上表可知，</w:t>
            </w:r>
            <w:r>
              <w:rPr>
                <w:rFonts w:hint="eastAsia"/>
                <w:kern w:val="0"/>
                <w:sz w:val="24"/>
              </w:rPr>
              <w:t>本项目对厂界噪声贡献值</w:t>
            </w:r>
            <w:r>
              <w:rPr>
                <w:kern w:val="0"/>
                <w:sz w:val="24"/>
              </w:rPr>
              <w:t>满足《工业企业厂界环境噪声排放标准》（GB12348-2008）</w:t>
            </w:r>
            <w:r>
              <w:rPr>
                <w:rFonts w:hint="eastAsia"/>
                <w:kern w:val="0"/>
                <w:sz w:val="24"/>
              </w:rPr>
              <w:t>3</w:t>
            </w:r>
            <w:r>
              <w:rPr>
                <w:kern w:val="0"/>
                <w:sz w:val="24"/>
              </w:rPr>
              <w:t>类</w:t>
            </w:r>
            <w:r>
              <w:rPr>
                <w:rFonts w:hint="eastAsia"/>
                <w:kern w:val="0"/>
                <w:sz w:val="24"/>
              </w:rPr>
              <w:t>、4类</w:t>
            </w:r>
            <w:r>
              <w:rPr>
                <w:kern w:val="0"/>
                <w:sz w:val="24"/>
              </w:rPr>
              <w:t>标准要求</w:t>
            </w:r>
            <w:r>
              <w:rPr>
                <w:rFonts w:hint="eastAsia"/>
                <w:sz w:val="24"/>
              </w:rPr>
              <w:t>。</w:t>
            </w:r>
          </w:p>
          <w:p>
            <w:pPr>
              <w:spacing w:line="360" w:lineRule="auto"/>
              <w:rPr>
                <w:b/>
                <w:sz w:val="24"/>
              </w:rPr>
            </w:pPr>
            <w:r>
              <w:rPr>
                <w:rFonts w:hint="eastAsia"/>
                <w:b/>
                <w:sz w:val="24"/>
              </w:rPr>
              <w:t>4固体废物</w:t>
            </w:r>
          </w:p>
          <w:p>
            <w:pPr>
              <w:spacing w:line="360" w:lineRule="auto"/>
              <w:rPr>
                <w:b/>
                <w:sz w:val="24"/>
              </w:rPr>
            </w:pPr>
            <w:r>
              <w:rPr>
                <w:rFonts w:hint="eastAsia"/>
                <w:b/>
                <w:sz w:val="24"/>
              </w:rPr>
              <w:t>4.1固体废物产排情况</w:t>
            </w:r>
          </w:p>
          <w:p>
            <w:pPr>
              <w:spacing w:line="360" w:lineRule="auto"/>
              <w:ind w:firstLine="480"/>
              <w:rPr>
                <w:kern w:val="0"/>
                <w:sz w:val="24"/>
              </w:rPr>
            </w:pPr>
            <w:r>
              <w:rPr>
                <w:sz w:val="24"/>
              </w:rPr>
              <w:t>本项目固废产生及处理处置方式见</w:t>
            </w:r>
            <w:r>
              <w:rPr>
                <w:rFonts w:hint="eastAsia"/>
                <w:sz w:val="24"/>
              </w:rPr>
              <w:t>下表</w:t>
            </w:r>
            <w:r>
              <w:rPr>
                <w:sz w:val="24"/>
              </w:rPr>
              <w:t>。</w:t>
            </w:r>
          </w:p>
          <w:p>
            <w:pPr>
              <w:pStyle w:val="53"/>
              <w:numPr>
                <w:ilvl w:val="0"/>
                <w:numId w:val="2"/>
              </w:numPr>
              <w:ind w:left="0" w:firstLine="0"/>
            </w:pPr>
            <w:r>
              <w:rPr>
                <w:rFonts w:hint="eastAsia"/>
              </w:rPr>
              <w:t>项目固体废物汇总表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329"/>
              <w:gridCol w:w="1267"/>
              <w:gridCol w:w="809"/>
              <w:gridCol w:w="1596"/>
              <w:gridCol w:w="1063"/>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74" w:type="dxa"/>
                  <w:vAlign w:val="center"/>
                </w:tcPr>
                <w:p>
                  <w:pPr>
                    <w:widowControl/>
                    <w:jc w:val="center"/>
                    <w:rPr>
                      <w:bCs/>
                      <w:szCs w:val="21"/>
                    </w:rPr>
                  </w:pPr>
                  <w:r>
                    <w:rPr>
                      <w:rFonts w:hint="eastAsia"/>
                      <w:bCs/>
                      <w:szCs w:val="21"/>
                    </w:rPr>
                    <w:t>序号</w:t>
                  </w:r>
                </w:p>
              </w:tc>
              <w:tc>
                <w:tcPr>
                  <w:tcW w:w="1405" w:type="dxa"/>
                  <w:vAlign w:val="center"/>
                </w:tcPr>
                <w:p>
                  <w:pPr>
                    <w:widowControl/>
                    <w:jc w:val="center"/>
                    <w:rPr>
                      <w:bCs/>
                      <w:szCs w:val="21"/>
                    </w:rPr>
                  </w:pPr>
                  <w:r>
                    <w:rPr>
                      <w:rFonts w:hint="eastAsia"/>
                      <w:bCs/>
                      <w:szCs w:val="21"/>
                    </w:rPr>
                    <w:t>名称</w:t>
                  </w:r>
                </w:p>
              </w:tc>
              <w:tc>
                <w:tcPr>
                  <w:tcW w:w="1359" w:type="dxa"/>
                  <w:vAlign w:val="center"/>
                </w:tcPr>
                <w:p>
                  <w:pPr>
                    <w:widowControl/>
                    <w:jc w:val="center"/>
                    <w:rPr>
                      <w:bCs/>
                      <w:szCs w:val="21"/>
                    </w:rPr>
                  </w:pPr>
                  <w:r>
                    <w:rPr>
                      <w:rFonts w:hint="eastAsia"/>
                      <w:bCs/>
                      <w:szCs w:val="21"/>
                    </w:rPr>
                    <w:t>产生工序</w:t>
                  </w:r>
                </w:p>
              </w:tc>
              <w:tc>
                <w:tcPr>
                  <w:tcW w:w="851" w:type="dxa"/>
                  <w:vAlign w:val="center"/>
                </w:tcPr>
                <w:p>
                  <w:pPr>
                    <w:widowControl/>
                    <w:jc w:val="center"/>
                    <w:rPr>
                      <w:bCs/>
                      <w:szCs w:val="21"/>
                    </w:rPr>
                  </w:pPr>
                  <w:r>
                    <w:rPr>
                      <w:rFonts w:hint="eastAsia"/>
                      <w:bCs/>
                      <w:szCs w:val="21"/>
                    </w:rPr>
                    <w:t>形态</w:t>
                  </w:r>
                </w:p>
              </w:tc>
              <w:tc>
                <w:tcPr>
                  <w:tcW w:w="1701" w:type="dxa"/>
                  <w:vAlign w:val="center"/>
                </w:tcPr>
                <w:p>
                  <w:pPr>
                    <w:widowControl/>
                    <w:jc w:val="center"/>
                    <w:rPr>
                      <w:bCs/>
                      <w:szCs w:val="21"/>
                    </w:rPr>
                  </w:pPr>
                  <w:r>
                    <w:rPr>
                      <w:rFonts w:hint="eastAsia"/>
                      <w:bCs/>
                      <w:szCs w:val="21"/>
                    </w:rPr>
                    <w:t>主要成分</w:t>
                  </w:r>
                </w:p>
              </w:tc>
              <w:tc>
                <w:tcPr>
                  <w:tcW w:w="1133" w:type="dxa"/>
                  <w:vAlign w:val="center"/>
                </w:tcPr>
                <w:p>
                  <w:pPr>
                    <w:widowControl/>
                    <w:jc w:val="center"/>
                    <w:rPr>
                      <w:bCs/>
                      <w:szCs w:val="21"/>
                    </w:rPr>
                  </w:pPr>
                  <w:r>
                    <w:rPr>
                      <w:rFonts w:hint="eastAsia"/>
                      <w:bCs/>
                      <w:szCs w:val="21"/>
                    </w:rPr>
                    <w:t>属性</w:t>
                  </w:r>
                </w:p>
              </w:tc>
              <w:tc>
                <w:tcPr>
                  <w:tcW w:w="1186" w:type="dxa"/>
                  <w:vAlign w:val="center"/>
                </w:tcPr>
                <w:p>
                  <w:pPr>
                    <w:widowControl/>
                    <w:jc w:val="center"/>
                    <w:rPr>
                      <w:bCs/>
                      <w:szCs w:val="21"/>
                    </w:rPr>
                  </w:pPr>
                  <w:r>
                    <w:rPr>
                      <w:rFonts w:hint="eastAsia"/>
                      <w:bCs/>
                      <w:szCs w:val="21"/>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4" w:type="dxa"/>
                  <w:vAlign w:val="center"/>
                </w:tcPr>
                <w:p>
                  <w:pPr>
                    <w:widowControl/>
                    <w:jc w:val="center"/>
                    <w:rPr>
                      <w:bCs/>
                      <w:szCs w:val="21"/>
                    </w:rPr>
                  </w:pPr>
                  <w:r>
                    <w:rPr>
                      <w:rFonts w:hint="eastAsia"/>
                      <w:bCs/>
                      <w:szCs w:val="21"/>
                    </w:rPr>
                    <w:t>1</w:t>
                  </w:r>
                </w:p>
              </w:tc>
              <w:tc>
                <w:tcPr>
                  <w:tcW w:w="1405" w:type="dxa"/>
                  <w:vAlign w:val="center"/>
                </w:tcPr>
                <w:p>
                  <w:pPr>
                    <w:widowControl/>
                    <w:jc w:val="center"/>
                    <w:rPr>
                      <w:bCs/>
                      <w:szCs w:val="21"/>
                    </w:rPr>
                  </w:pPr>
                  <w:r>
                    <w:rPr>
                      <w:rFonts w:hint="eastAsia"/>
                      <w:bCs/>
                      <w:szCs w:val="21"/>
                    </w:rPr>
                    <w:t>废丝、边角料</w:t>
                  </w:r>
                </w:p>
              </w:tc>
              <w:tc>
                <w:tcPr>
                  <w:tcW w:w="1359" w:type="dxa"/>
                  <w:vMerge w:val="restart"/>
                  <w:vAlign w:val="center"/>
                </w:tcPr>
                <w:p>
                  <w:pPr>
                    <w:widowControl/>
                    <w:jc w:val="center"/>
                    <w:rPr>
                      <w:bCs/>
                      <w:szCs w:val="21"/>
                    </w:rPr>
                  </w:pPr>
                  <w:r>
                    <w:rPr>
                      <w:rFonts w:hint="eastAsia"/>
                      <w:bCs/>
                      <w:szCs w:val="21"/>
                    </w:rPr>
                    <w:t>生产过程</w:t>
                  </w:r>
                </w:p>
              </w:tc>
              <w:tc>
                <w:tcPr>
                  <w:tcW w:w="851" w:type="dxa"/>
                  <w:vAlign w:val="center"/>
                </w:tcPr>
                <w:p>
                  <w:pPr>
                    <w:widowControl/>
                    <w:jc w:val="center"/>
                    <w:rPr>
                      <w:bCs/>
                      <w:szCs w:val="21"/>
                    </w:rPr>
                  </w:pPr>
                  <w:r>
                    <w:rPr>
                      <w:rFonts w:hint="eastAsia"/>
                      <w:bCs/>
                      <w:szCs w:val="21"/>
                    </w:rPr>
                    <w:t>固态</w:t>
                  </w:r>
                </w:p>
              </w:tc>
              <w:tc>
                <w:tcPr>
                  <w:tcW w:w="1701" w:type="dxa"/>
                  <w:vAlign w:val="center"/>
                </w:tcPr>
                <w:p>
                  <w:pPr>
                    <w:widowControl/>
                    <w:jc w:val="center"/>
                    <w:rPr>
                      <w:bCs/>
                      <w:szCs w:val="21"/>
                    </w:rPr>
                  </w:pPr>
                  <w:r>
                    <w:rPr>
                      <w:rFonts w:hint="eastAsia"/>
                      <w:bCs/>
                      <w:szCs w:val="21"/>
                    </w:rPr>
                    <w:t>聚丙烯、聚乙烯</w:t>
                  </w:r>
                </w:p>
              </w:tc>
              <w:tc>
                <w:tcPr>
                  <w:tcW w:w="1133" w:type="dxa"/>
                  <w:vMerge w:val="restart"/>
                  <w:vAlign w:val="center"/>
                </w:tcPr>
                <w:p>
                  <w:pPr>
                    <w:widowControl/>
                    <w:jc w:val="center"/>
                    <w:rPr>
                      <w:bCs/>
                      <w:szCs w:val="21"/>
                    </w:rPr>
                  </w:pPr>
                  <w:r>
                    <w:rPr>
                      <w:rFonts w:hint="eastAsia"/>
                      <w:bCs/>
                      <w:szCs w:val="21"/>
                    </w:rPr>
                    <w:t>一般工业固废</w:t>
                  </w:r>
                </w:p>
              </w:tc>
              <w:tc>
                <w:tcPr>
                  <w:tcW w:w="1186" w:type="dxa"/>
                  <w:vAlign w:val="center"/>
                </w:tcPr>
                <w:p>
                  <w:pPr>
                    <w:widowControl/>
                    <w:jc w:val="center"/>
                    <w:rPr>
                      <w:bCs/>
                      <w:szCs w:val="21"/>
                    </w:rPr>
                  </w:pPr>
                  <w:r>
                    <w:rPr>
                      <w:rFonts w:hint="eastAsia"/>
                      <w:bCs/>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4" w:type="dxa"/>
                  <w:vAlign w:val="center"/>
                </w:tcPr>
                <w:p>
                  <w:pPr>
                    <w:widowControl/>
                    <w:jc w:val="center"/>
                    <w:rPr>
                      <w:bCs/>
                      <w:szCs w:val="21"/>
                    </w:rPr>
                  </w:pPr>
                  <w:r>
                    <w:rPr>
                      <w:rFonts w:hint="eastAsia"/>
                      <w:bCs/>
                      <w:szCs w:val="21"/>
                    </w:rPr>
                    <w:t>2</w:t>
                  </w:r>
                </w:p>
              </w:tc>
              <w:tc>
                <w:tcPr>
                  <w:tcW w:w="1405" w:type="dxa"/>
                  <w:vAlign w:val="center"/>
                </w:tcPr>
                <w:p>
                  <w:pPr>
                    <w:widowControl/>
                    <w:jc w:val="center"/>
                    <w:rPr>
                      <w:bCs/>
                      <w:szCs w:val="21"/>
                    </w:rPr>
                  </w:pPr>
                  <w:r>
                    <w:rPr>
                      <w:rFonts w:hint="eastAsia"/>
                      <w:bCs/>
                      <w:szCs w:val="21"/>
                    </w:rPr>
                    <w:t>废包装袋</w:t>
                  </w:r>
                </w:p>
              </w:tc>
              <w:tc>
                <w:tcPr>
                  <w:tcW w:w="1359" w:type="dxa"/>
                  <w:vMerge w:val="continue"/>
                  <w:vAlign w:val="center"/>
                </w:tcPr>
                <w:p>
                  <w:pPr>
                    <w:widowControl/>
                    <w:jc w:val="center"/>
                    <w:rPr>
                      <w:bCs/>
                      <w:szCs w:val="21"/>
                    </w:rPr>
                  </w:pPr>
                </w:p>
              </w:tc>
              <w:tc>
                <w:tcPr>
                  <w:tcW w:w="851" w:type="dxa"/>
                  <w:vAlign w:val="center"/>
                </w:tcPr>
                <w:p>
                  <w:pPr>
                    <w:widowControl/>
                    <w:jc w:val="center"/>
                    <w:rPr>
                      <w:bCs/>
                      <w:szCs w:val="21"/>
                    </w:rPr>
                  </w:pPr>
                  <w:r>
                    <w:rPr>
                      <w:rFonts w:hint="eastAsia"/>
                      <w:bCs/>
                      <w:szCs w:val="21"/>
                    </w:rPr>
                    <w:t>固态</w:t>
                  </w:r>
                </w:p>
              </w:tc>
              <w:tc>
                <w:tcPr>
                  <w:tcW w:w="1701" w:type="dxa"/>
                  <w:vAlign w:val="center"/>
                </w:tcPr>
                <w:p>
                  <w:pPr>
                    <w:widowControl/>
                    <w:jc w:val="center"/>
                    <w:rPr>
                      <w:bCs/>
                      <w:szCs w:val="21"/>
                    </w:rPr>
                  </w:pPr>
                  <w:r>
                    <w:rPr>
                      <w:rFonts w:hint="eastAsia"/>
                      <w:bCs/>
                      <w:szCs w:val="21"/>
                    </w:rPr>
                    <w:t>编织袋</w:t>
                  </w:r>
                </w:p>
              </w:tc>
              <w:tc>
                <w:tcPr>
                  <w:tcW w:w="1133" w:type="dxa"/>
                  <w:vMerge w:val="continue"/>
                  <w:vAlign w:val="center"/>
                </w:tcPr>
                <w:p>
                  <w:pPr>
                    <w:widowControl/>
                    <w:jc w:val="center"/>
                    <w:rPr>
                      <w:bCs/>
                      <w:szCs w:val="21"/>
                    </w:rPr>
                  </w:pPr>
                </w:p>
              </w:tc>
              <w:tc>
                <w:tcPr>
                  <w:tcW w:w="1186" w:type="dxa"/>
                  <w:vAlign w:val="center"/>
                </w:tcPr>
                <w:p>
                  <w:pPr>
                    <w:widowControl/>
                    <w:jc w:val="center"/>
                    <w:rPr>
                      <w:bCs/>
                      <w:szCs w:val="21"/>
                    </w:rPr>
                  </w:pPr>
                  <w:r>
                    <w:rPr>
                      <w:rFonts w:hint="eastAsia"/>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4" w:type="dxa"/>
                  <w:vAlign w:val="center"/>
                </w:tcPr>
                <w:p>
                  <w:pPr>
                    <w:widowControl/>
                    <w:jc w:val="center"/>
                    <w:rPr>
                      <w:bCs/>
                      <w:szCs w:val="21"/>
                    </w:rPr>
                  </w:pPr>
                  <w:r>
                    <w:rPr>
                      <w:rFonts w:hint="eastAsia"/>
                      <w:bCs/>
                      <w:szCs w:val="21"/>
                    </w:rPr>
                    <w:t>3</w:t>
                  </w:r>
                </w:p>
              </w:tc>
              <w:tc>
                <w:tcPr>
                  <w:tcW w:w="1405" w:type="dxa"/>
                  <w:vAlign w:val="center"/>
                </w:tcPr>
                <w:p>
                  <w:pPr>
                    <w:widowControl/>
                    <w:jc w:val="center"/>
                    <w:rPr>
                      <w:bCs/>
                      <w:szCs w:val="21"/>
                    </w:rPr>
                  </w:pPr>
                  <w:r>
                    <w:rPr>
                      <w:rFonts w:hint="eastAsia"/>
                      <w:bCs/>
                      <w:szCs w:val="21"/>
                    </w:rPr>
                    <w:t>浮渣</w:t>
                  </w:r>
                </w:p>
              </w:tc>
              <w:tc>
                <w:tcPr>
                  <w:tcW w:w="1359" w:type="dxa"/>
                  <w:vAlign w:val="center"/>
                </w:tcPr>
                <w:p>
                  <w:pPr>
                    <w:widowControl/>
                    <w:jc w:val="center"/>
                    <w:rPr>
                      <w:bCs/>
                      <w:szCs w:val="21"/>
                    </w:rPr>
                  </w:pPr>
                  <w:r>
                    <w:rPr>
                      <w:rFonts w:hint="eastAsia"/>
                      <w:bCs/>
                      <w:szCs w:val="21"/>
                    </w:rPr>
                    <w:t>冷却水箱</w:t>
                  </w:r>
                </w:p>
              </w:tc>
              <w:tc>
                <w:tcPr>
                  <w:tcW w:w="851" w:type="dxa"/>
                  <w:vAlign w:val="center"/>
                </w:tcPr>
                <w:p>
                  <w:pPr>
                    <w:widowControl/>
                    <w:jc w:val="center"/>
                    <w:rPr>
                      <w:bCs/>
                      <w:szCs w:val="21"/>
                    </w:rPr>
                  </w:pPr>
                  <w:r>
                    <w:rPr>
                      <w:rFonts w:hint="eastAsia"/>
                      <w:bCs/>
                      <w:szCs w:val="21"/>
                    </w:rPr>
                    <w:t>固态</w:t>
                  </w:r>
                </w:p>
              </w:tc>
              <w:tc>
                <w:tcPr>
                  <w:tcW w:w="1701" w:type="dxa"/>
                  <w:vAlign w:val="center"/>
                </w:tcPr>
                <w:p>
                  <w:pPr>
                    <w:widowControl/>
                    <w:jc w:val="center"/>
                    <w:rPr>
                      <w:bCs/>
                      <w:szCs w:val="21"/>
                    </w:rPr>
                  </w:pPr>
                  <w:r>
                    <w:rPr>
                      <w:rFonts w:hint="eastAsia"/>
                      <w:bCs/>
                      <w:szCs w:val="21"/>
                    </w:rPr>
                    <w:t>塑料</w:t>
                  </w:r>
                </w:p>
              </w:tc>
              <w:tc>
                <w:tcPr>
                  <w:tcW w:w="1133" w:type="dxa"/>
                  <w:vMerge w:val="continue"/>
                  <w:vAlign w:val="center"/>
                </w:tcPr>
                <w:p>
                  <w:pPr>
                    <w:widowControl/>
                    <w:jc w:val="center"/>
                    <w:rPr>
                      <w:bCs/>
                      <w:szCs w:val="21"/>
                    </w:rPr>
                  </w:pPr>
                </w:p>
              </w:tc>
              <w:tc>
                <w:tcPr>
                  <w:tcW w:w="1186" w:type="dxa"/>
                  <w:vAlign w:val="center"/>
                </w:tcPr>
                <w:p>
                  <w:pPr>
                    <w:widowControl/>
                    <w:jc w:val="center"/>
                    <w:rPr>
                      <w:bCs/>
                      <w:szCs w:val="21"/>
                    </w:rPr>
                  </w:pPr>
                  <w:r>
                    <w:rPr>
                      <w:rFonts w:hint="eastAsia"/>
                      <w:bCs/>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4" w:type="dxa"/>
                  <w:vAlign w:val="center"/>
                </w:tcPr>
                <w:p>
                  <w:pPr>
                    <w:widowControl/>
                    <w:jc w:val="center"/>
                    <w:rPr>
                      <w:bCs/>
                      <w:szCs w:val="21"/>
                    </w:rPr>
                  </w:pPr>
                  <w:r>
                    <w:rPr>
                      <w:rFonts w:hint="eastAsia"/>
                      <w:bCs/>
                      <w:szCs w:val="21"/>
                    </w:rPr>
                    <w:t>4</w:t>
                  </w:r>
                </w:p>
              </w:tc>
              <w:tc>
                <w:tcPr>
                  <w:tcW w:w="1405" w:type="dxa"/>
                  <w:vAlign w:val="center"/>
                </w:tcPr>
                <w:p>
                  <w:pPr>
                    <w:widowControl/>
                    <w:jc w:val="center"/>
                    <w:rPr>
                      <w:bCs/>
                      <w:szCs w:val="21"/>
                    </w:rPr>
                  </w:pPr>
                  <w:r>
                    <w:rPr>
                      <w:rFonts w:hint="eastAsia"/>
                      <w:bCs/>
                      <w:szCs w:val="21"/>
                    </w:rPr>
                    <w:t>除尘灰</w:t>
                  </w:r>
                </w:p>
              </w:tc>
              <w:tc>
                <w:tcPr>
                  <w:tcW w:w="1359" w:type="dxa"/>
                  <w:vAlign w:val="center"/>
                </w:tcPr>
                <w:p>
                  <w:pPr>
                    <w:widowControl/>
                    <w:jc w:val="center"/>
                    <w:rPr>
                      <w:bCs/>
                      <w:szCs w:val="21"/>
                    </w:rPr>
                  </w:pPr>
                  <w:r>
                    <w:rPr>
                      <w:rFonts w:hint="eastAsia"/>
                      <w:bCs/>
                      <w:szCs w:val="21"/>
                    </w:rPr>
                    <w:t>袋式除尘器</w:t>
                  </w:r>
                </w:p>
              </w:tc>
              <w:tc>
                <w:tcPr>
                  <w:tcW w:w="851" w:type="dxa"/>
                  <w:vAlign w:val="center"/>
                </w:tcPr>
                <w:p>
                  <w:pPr>
                    <w:widowControl/>
                    <w:jc w:val="center"/>
                    <w:rPr>
                      <w:bCs/>
                      <w:szCs w:val="21"/>
                    </w:rPr>
                  </w:pPr>
                  <w:r>
                    <w:rPr>
                      <w:rFonts w:hint="eastAsia"/>
                      <w:bCs/>
                      <w:szCs w:val="21"/>
                    </w:rPr>
                    <w:t>固体</w:t>
                  </w:r>
                </w:p>
              </w:tc>
              <w:tc>
                <w:tcPr>
                  <w:tcW w:w="1701" w:type="dxa"/>
                  <w:vAlign w:val="center"/>
                </w:tcPr>
                <w:p>
                  <w:pPr>
                    <w:widowControl/>
                    <w:jc w:val="center"/>
                    <w:rPr>
                      <w:bCs/>
                      <w:szCs w:val="21"/>
                    </w:rPr>
                  </w:pPr>
                  <w:r>
                    <w:rPr>
                      <w:rFonts w:hint="eastAsia"/>
                      <w:bCs/>
                      <w:szCs w:val="21"/>
                    </w:rPr>
                    <w:t>聚丙烯、聚乙烯</w:t>
                  </w:r>
                </w:p>
              </w:tc>
              <w:tc>
                <w:tcPr>
                  <w:tcW w:w="1133" w:type="dxa"/>
                  <w:vMerge w:val="continue"/>
                  <w:vAlign w:val="center"/>
                </w:tcPr>
                <w:p>
                  <w:pPr>
                    <w:widowControl/>
                    <w:jc w:val="center"/>
                    <w:rPr>
                      <w:bCs/>
                      <w:szCs w:val="21"/>
                    </w:rPr>
                  </w:pPr>
                </w:p>
              </w:tc>
              <w:tc>
                <w:tcPr>
                  <w:tcW w:w="1186" w:type="dxa"/>
                  <w:vAlign w:val="center"/>
                </w:tcPr>
                <w:p>
                  <w:pPr>
                    <w:widowControl/>
                    <w:jc w:val="center"/>
                    <w:rPr>
                      <w:bCs/>
                      <w:szCs w:val="21"/>
                      <w:u w:val="single"/>
                    </w:rPr>
                  </w:pPr>
                  <w:r>
                    <w:rPr>
                      <w:rFonts w:hint="eastAsia"/>
                      <w:bCs/>
                      <w:szCs w:val="21"/>
                      <w:u w:val="single"/>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4" w:type="dxa"/>
                  <w:vAlign w:val="center"/>
                </w:tcPr>
                <w:p>
                  <w:pPr>
                    <w:widowControl/>
                    <w:jc w:val="center"/>
                    <w:rPr>
                      <w:bCs/>
                      <w:szCs w:val="21"/>
                    </w:rPr>
                  </w:pPr>
                  <w:r>
                    <w:rPr>
                      <w:rFonts w:hint="eastAsia"/>
                      <w:bCs/>
                      <w:szCs w:val="21"/>
                    </w:rPr>
                    <w:t>5</w:t>
                  </w:r>
                </w:p>
              </w:tc>
              <w:tc>
                <w:tcPr>
                  <w:tcW w:w="1405" w:type="dxa"/>
                  <w:vAlign w:val="center"/>
                </w:tcPr>
                <w:p>
                  <w:pPr>
                    <w:widowControl/>
                    <w:jc w:val="center"/>
                    <w:rPr>
                      <w:bCs/>
                      <w:szCs w:val="21"/>
                    </w:rPr>
                  </w:pPr>
                  <w:r>
                    <w:rPr>
                      <w:rFonts w:hint="eastAsia"/>
                      <w:bCs/>
                      <w:szCs w:val="21"/>
                    </w:rPr>
                    <w:t>废润滑油</w:t>
                  </w:r>
                </w:p>
              </w:tc>
              <w:tc>
                <w:tcPr>
                  <w:tcW w:w="1359" w:type="dxa"/>
                  <w:vAlign w:val="center"/>
                </w:tcPr>
                <w:p>
                  <w:pPr>
                    <w:widowControl/>
                    <w:jc w:val="center"/>
                    <w:rPr>
                      <w:bCs/>
                      <w:szCs w:val="21"/>
                    </w:rPr>
                  </w:pPr>
                  <w:r>
                    <w:rPr>
                      <w:rFonts w:hint="eastAsia"/>
                      <w:bCs/>
                      <w:szCs w:val="21"/>
                    </w:rPr>
                    <w:t>设备维修</w:t>
                  </w:r>
                </w:p>
              </w:tc>
              <w:tc>
                <w:tcPr>
                  <w:tcW w:w="851" w:type="dxa"/>
                  <w:vAlign w:val="center"/>
                </w:tcPr>
                <w:p>
                  <w:pPr>
                    <w:widowControl/>
                    <w:jc w:val="center"/>
                    <w:rPr>
                      <w:bCs/>
                      <w:szCs w:val="21"/>
                    </w:rPr>
                  </w:pPr>
                  <w:r>
                    <w:rPr>
                      <w:rFonts w:hint="eastAsia"/>
                      <w:bCs/>
                      <w:szCs w:val="21"/>
                    </w:rPr>
                    <w:t>液态</w:t>
                  </w:r>
                </w:p>
              </w:tc>
              <w:tc>
                <w:tcPr>
                  <w:tcW w:w="1701" w:type="dxa"/>
                  <w:vAlign w:val="center"/>
                </w:tcPr>
                <w:p>
                  <w:pPr>
                    <w:widowControl/>
                    <w:jc w:val="center"/>
                    <w:rPr>
                      <w:bCs/>
                      <w:szCs w:val="21"/>
                    </w:rPr>
                  </w:pPr>
                  <w:r>
                    <w:rPr>
                      <w:rFonts w:hint="eastAsia"/>
                      <w:bCs/>
                      <w:szCs w:val="21"/>
                    </w:rPr>
                    <w:t>矿物油</w:t>
                  </w:r>
                </w:p>
              </w:tc>
              <w:tc>
                <w:tcPr>
                  <w:tcW w:w="1133" w:type="dxa"/>
                  <w:vMerge w:val="restart"/>
                  <w:vAlign w:val="center"/>
                </w:tcPr>
                <w:p>
                  <w:pPr>
                    <w:widowControl/>
                    <w:jc w:val="center"/>
                    <w:rPr>
                      <w:bCs/>
                      <w:szCs w:val="21"/>
                    </w:rPr>
                  </w:pPr>
                  <w:r>
                    <w:rPr>
                      <w:rFonts w:hint="eastAsia"/>
                      <w:bCs/>
                      <w:szCs w:val="21"/>
                    </w:rPr>
                    <w:t>危险废物</w:t>
                  </w:r>
                </w:p>
              </w:tc>
              <w:tc>
                <w:tcPr>
                  <w:tcW w:w="1186" w:type="dxa"/>
                  <w:vAlign w:val="center"/>
                </w:tcPr>
                <w:p>
                  <w:pPr>
                    <w:widowControl/>
                    <w:jc w:val="center"/>
                    <w:rPr>
                      <w:bCs/>
                      <w:szCs w:val="21"/>
                      <w:u w:val="single"/>
                    </w:rPr>
                  </w:pPr>
                  <w:r>
                    <w:rPr>
                      <w:rFonts w:hint="eastAsia"/>
                      <w:bCs/>
                      <w:szCs w:val="21"/>
                      <w:u w:val="singl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74" w:type="dxa"/>
                  <w:vAlign w:val="center"/>
                </w:tcPr>
                <w:p>
                  <w:pPr>
                    <w:widowControl/>
                    <w:jc w:val="center"/>
                    <w:rPr>
                      <w:bCs/>
                      <w:szCs w:val="21"/>
                    </w:rPr>
                  </w:pPr>
                  <w:r>
                    <w:rPr>
                      <w:rFonts w:hint="eastAsia"/>
                      <w:bCs/>
                      <w:szCs w:val="21"/>
                    </w:rPr>
                    <w:t>6</w:t>
                  </w:r>
                </w:p>
              </w:tc>
              <w:tc>
                <w:tcPr>
                  <w:tcW w:w="1405" w:type="dxa"/>
                  <w:vAlign w:val="center"/>
                </w:tcPr>
                <w:p>
                  <w:pPr>
                    <w:widowControl/>
                    <w:jc w:val="center"/>
                    <w:rPr>
                      <w:bCs/>
                      <w:szCs w:val="21"/>
                    </w:rPr>
                  </w:pPr>
                  <w:r>
                    <w:rPr>
                      <w:rFonts w:hint="eastAsia"/>
                      <w:bCs/>
                      <w:szCs w:val="21"/>
                    </w:rPr>
                    <w:t>废灯管</w:t>
                  </w:r>
                </w:p>
              </w:tc>
              <w:tc>
                <w:tcPr>
                  <w:tcW w:w="1359" w:type="dxa"/>
                  <w:vMerge w:val="restart"/>
                  <w:vAlign w:val="center"/>
                </w:tcPr>
                <w:p>
                  <w:pPr>
                    <w:widowControl/>
                    <w:jc w:val="center"/>
                    <w:rPr>
                      <w:bCs/>
                      <w:szCs w:val="21"/>
                    </w:rPr>
                  </w:pPr>
                  <w:r>
                    <w:rPr>
                      <w:rFonts w:hint="eastAsia"/>
                      <w:bCs/>
                      <w:szCs w:val="21"/>
                    </w:rPr>
                    <w:t>有机废气治理设施</w:t>
                  </w:r>
                </w:p>
              </w:tc>
              <w:tc>
                <w:tcPr>
                  <w:tcW w:w="851" w:type="dxa"/>
                  <w:vAlign w:val="center"/>
                </w:tcPr>
                <w:p>
                  <w:pPr>
                    <w:widowControl/>
                    <w:jc w:val="center"/>
                    <w:rPr>
                      <w:bCs/>
                      <w:szCs w:val="21"/>
                    </w:rPr>
                  </w:pPr>
                  <w:r>
                    <w:rPr>
                      <w:rFonts w:hint="eastAsia"/>
                      <w:bCs/>
                      <w:kern w:val="0"/>
                      <w:szCs w:val="21"/>
                    </w:rPr>
                    <w:t>气态+固态</w:t>
                  </w:r>
                </w:p>
              </w:tc>
              <w:tc>
                <w:tcPr>
                  <w:tcW w:w="1701" w:type="dxa"/>
                  <w:vAlign w:val="center"/>
                </w:tcPr>
                <w:p>
                  <w:pPr>
                    <w:widowControl/>
                    <w:jc w:val="center"/>
                    <w:rPr>
                      <w:bCs/>
                      <w:szCs w:val="21"/>
                    </w:rPr>
                  </w:pPr>
                  <w:r>
                    <w:rPr>
                      <w:rFonts w:hint="eastAsia"/>
                      <w:bCs/>
                      <w:szCs w:val="21"/>
                    </w:rPr>
                    <w:t>汞蒸汽</w:t>
                  </w:r>
                </w:p>
              </w:tc>
              <w:tc>
                <w:tcPr>
                  <w:tcW w:w="1133" w:type="dxa"/>
                  <w:vMerge w:val="continue"/>
                  <w:vAlign w:val="center"/>
                </w:tcPr>
                <w:p>
                  <w:pPr>
                    <w:widowControl/>
                    <w:jc w:val="center"/>
                    <w:rPr>
                      <w:bCs/>
                      <w:szCs w:val="21"/>
                    </w:rPr>
                  </w:pPr>
                </w:p>
              </w:tc>
              <w:tc>
                <w:tcPr>
                  <w:tcW w:w="1186" w:type="dxa"/>
                  <w:vAlign w:val="center"/>
                </w:tcPr>
                <w:p>
                  <w:pPr>
                    <w:widowControl/>
                    <w:jc w:val="center"/>
                    <w:rPr>
                      <w:bCs/>
                      <w:szCs w:val="21"/>
                      <w:u w:val="single"/>
                    </w:rPr>
                  </w:pPr>
                  <w:r>
                    <w:rPr>
                      <w:rFonts w:hint="eastAsia"/>
                      <w:bCs/>
                      <w:szCs w:val="21"/>
                      <w:u w:val="single"/>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4" w:type="dxa"/>
                  <w:vAlign w:val="center"/>
                </w:tcPr>
                <w:p>
                  <w:pPr>
                    <w:widowControl/>
                    <w:jc w:val="center"/>
                    <w:rPr>
                      <w:bCs/>
                      <w:szCs w:val="21"/>
                    </w:rPr>
                  </w:pPr>
                  <w:r>
                    <w:rPr>
                      <w:rFonts w:hint="eastAsia"/>
                      <w:bCs/>
                      <w:szCs w:val="21"/>
                    </w:rPr>
                    <w:t>7</w:t>
                  </w:r>
                </w:p>
              </w:tc>
              <w:tc>
                <w:tcPr>
                  <w:tcW w:w="1405" w:type="dxa"/>
                  <w:vAlign w:val="center"/>
                </w:tcPr>
                <w:p>
                  <w:pPr>
                    <w:widowControl/>
                    <w:jc w:val="center"/>
                    <w:rPr>
                      <w:bCs/>
                      <w:szCs w:val="21"/>
                    </w:rPr>
                  </w:pPr>
                  <w:r>
                    <w:rPr>
                      <w:rFonts w:hint="eastAsia"/>
                      <w:bCs/>
                      <w:szCs w:val="21"/>
                    </w:rPr>
                    <w:t>废活性炭</w:t>
                  </w:r>
                </w:p>
              </w:tc>
              <w:tc>
                <w:tcPr>
                  <w:tcW w:w="1359" w:type="dxa"/>
                  <w:vMerge w:val="continue"/>
                  <w:vAlign w:val="center"/>
                </w:tcPr>
                <w:p>
                  <w:pPr>
                    <w:widowControl/>
                    <w:jc w:val="center"/>
                    <w:rPr>
                      <w:bCs/>
                      <w:szCs w:val="21"/>
                    </w:rPr>
                  </w:pPr>
                </w:p>
              </w:tc>
              <w:tc>
                <w:tcPr>
                  <w:tcW w:w="851" w:type="dxa"/>
                  <w:vAlign w:val="center"/>
                </w:tcPr>
                <w:p>
                  <w:pPr>
                    <w:widowControl/>
                    <w:jc w:val="center"/>
                    <w:rPr>
                      <w:bCs/>
                      <w:szCs w:val="21"/>
                    </w:rPr>
                  </w:pPr>
                  <w:r>
                    <w:rPr>
                      <w:rFonts w:hint="eastAsia"/>
                      <w:bCs/>
                      <w:szCs w:val="21"/>
                    </w:rPr>
                    <w:t>固态</w:t>
                  </w:r>
                </w:p>
              </w:tc>
              <w:tc>
                <w:tcPr>
                  <w:tcW w:w="1701" w:type="dxa"/>
                  <w:vAlign w:val="center"/>
                </w:tcPr>
                <w:p>
                  <w:pPr>
                    <w:widowControl/>
                    <w:jc w:val="center"/>
                    <w:rPr>
                      <w:bCs/>
                      <w:szCs w:val="21"/>
                    </w:rPr>
                  </w:pPr>
                  <w:r>
                    <w:rPr>
                      <w:rFonts w:hint="eastAsia"/>
                      <w:bCs/>
                      <w:szCs w:val="21"/>
                    </w:rPr>
                    <w:t>活性炭</w:t>
                  </w:r>
                </w:p>
              </w:tc>
              <w:tc>
                <w:tcPr>
                  <w:tcW w:w="1133" w:type="dxa"/>
                  <w:vMerge w:val="continue"/>
                  <w:vAlign w:val="center"/>
                </w:tcPr>
                <w:p>
                  <w:pPr>
                    <w:widowControl/>
                    <w:jc w:val="center"/>
                    <w:rPr>
                      <w:bCs/>
                      <w:szCs w:val="21"/>
                    </w:rPr>
                  </w:pPr>
                </w:p>
              </w:tc>
              <w:tc>
                <w:tcPr>
                  <w:tcW w:w="1186" w:type="dxa"/>
                  <w:vAlign w:val="center"/>
                </w:tcPr>
                <w:p>
                  <w:pPr>
                    <w:widowControl/>
                    <w:jc w:val="center"/>
                    <w:rPr>
                      <w:bCs/>
                      <w:szCs w:val="21"/>
                      <w:u w:val="single"/>
                    </w:rPr>
                  </w:pPr>
                  <w:r>
                    <w:rPr>
                      <w:rFonts w:hint="eastAsia"/>
                      <w:bCs/>
                      <w:szCs w:val="21"/>
                      <w:u w:val="single"/>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4" w:type="dxa"/>
                  <w:vAlign w:val="center"/>
                </w:tcPr>
                <w:p>
                  <w:pPr>
                    <w:widowControl/>
                    <w:jc w:val="center"/>
                    <w:rPr>
                      <w:bCs/>
                      <w:szCs w:val="21"/>
                    </w:rPr>
                  </w:pPr>
                  <w:r>
                    <w:rPr>
                      <w:rFonts w:hint="eastAsia"/>
                      <w:bCs/>
                      <w:szCs w:val="21"/>
                    </w:rPr>
                    <w:t>8</w:t>
                  </w:r>
                </w:p>
              </w:tc>
              <w:tc>
                <w:tcPr>
                  <w:tcW w:w="1405" w:type="dxa"/>
                  <w:vAlign w:val="center"/>
                </w:tcPr>
                <w:p>
                  <w:pPr>
                    <w:widowControl/>
                    <w:jc w:val="center"/>
                    <w:rPr>
                      <w:bCs/>
                      <w:szCs w:val="21"/>
                    </w:rPr>
                  </w:pPr>
                  <w:r>
                    <w:rPr>
                      <w:rFonts w:hint="eastAsia"/>
                      <w:bCs/>
                      <w:szCs w:val="21"/>
                    </w:rPr>
                    <w:t>生活垃圾</w:t>
                  </w:r>
                </w:p>
              </w:tc>
              <w:tc>
                <w:tcPr>
                  <w:tcW w:w="1359" w:type="dxa"/>
                  <w:vAlign w:val="center"/>
                </w:tcPr>
                <w:p>
                  <w:pPr>
                    <w:widowControl/>
                    <w:jc w:val="center"/>
                    <w:rPr>
                      <w:bCs/>
                      <w:szCs w:val="21"/>
                    </w:rPr>
                  </w:pPr>
                  <w:r>
                    <w:rPr>
                      <w:rFonts w:hint="eastAsia"/>
                      <w:bCs/>
                      <w:szCs w:val="21"/>
                    </w:rPr>
                    <w:t>职工生活</w:t>
                  </w:r>
                </w:p>
              </w:tc>
              <w:tc>
                <w:tcPr>
                  <w:tcW w:w="851" w:type="dxa"/>
                  <w:vAlign w:val="center"/>
                </w:tcPr>
                <w:p>
                  <w:pPr>
                    <w:widowControl/>
                    <w:jc w:val="center"/>
                    <w:rPr>
                      <w:bCs/>
                      <w:szCs w:val="21"/>
                    </w:rPr>
                  </w:pPr>
                  <w:r>
                    <w:rPr>
                      <w:rFonts w:hint="eastAsia"/>
                      <w:bCs/>
                      <w:szCs w:val="21"/>
                    </w:rPr>
                    <w:t>固态</w:t>
                  </w:r>
                </w:p>
              </w:tc>
              <w:tc>
                <w:tcPr>
                  <w:tcW w:w="1701" w:type="dxa"/>
                  <w:vAlign w:val="center"/>
                </w:tcPr>
                <w:p>
                  <w:pPr>
                    <w:widowControl/>
                    <w:jc w:val="center"/>
                    <w:rPr>
                      <w:bCs/>
                      <w:szCs w:val="21"/>
                    </w:rPr>
                  </w:pPr>
                  <w:r>
                    <w:rPr>
                      <w:rFonts w:hint="eastAsia"/>
                      <w:bCs/>
                      <w:szCs w:val="21"/>
                    </w:rPr>
                    <w:t>生活垃圾</w:t>
                  </w:r>
                </w:p>
              </w:tc>
              <w:tc>
                <w:tcPr>
                  <w:tcW w:w="1133" w:type="dxa"/>
                  <w:vAlign w:val="center"/>
                </w:tcPr>
                <w:p>
                  <w:pPr>
                    <w:widowControl/>
                    <w:jc w:val="center"/>
                    <w:rPr>
                      <w:bCs/>
                      <w:szCs w:val="21"/>
                    </w:rPr>
                  </w:pPr>
                  <w:r>
                    <w:rPr>
                      <w:rFonts w:hint="eastAsia"/>
                      <w:bCs/>
                      <w:szCs w:val="21"/>
                    </w:rPr>
                    <w:t>一般固废</w:t>
                  </w:r>
                </w:p>
              </w:tc>
              <w:tc>
                <w:tcPr>
                  <w:tcW w:w="1186" w:type="dxa"/>
                  <w:vAlign w:val="center"/>
                </w:tcPr>
                <w:p>
                  <w:pPr>
                    <w:widowControl/>
                    <w:jc w:val="center"/>
                    <w:rPr>
                      <w:bCs/>
                      <w:szCs w:val="21"/>
                    </w:rPr>
                  </w:pPr>
                  <w:r>
                    <w:rPr>
                      <w:rFonts w:hint="eastAsia"/>
                      <w:bCs/>
                      <w:szCs w:val="21"/>
                    </w:rPr>
                    <w:t>4.68</w:t>
                  </w:r>
                </w:p>
              </w:tc>
            </w:tr>
          </w:tbl>
          <w:p>
            <w:pPr>
              <w:spacing w:line="360" w:lineRule="auto"/>
              <w:ind w:firstLine="480"/>
              <w:rPr>
                <w:sz w:val="24"/>
              </w:rPr>
            </w:pPr>
            <w:r>
              <w:rPr>
                <w:rFonts w:hint="eastAsia"/>
                <w:sz w:val="24"/>
              </w:rPr>
              <w:t>（1）一般固体废物</w:t>
            </w:r>
          </w:p>
          <w:p>
            <w:pPr>
              <w:widowControl/>
              <w:spacing w:line="360" w:lineRule="auto"/>
              <w:ind w:firstLine="480" w:firstLineChars="200"/>
              <w:rPr>
                <w:bCs/>
                <w:sz w:val="24"/>
              </w:rPr>
            </w:pPr>
            <w:r>
              <w:rPr>
                <w:rFonts w:hint="eastAsia"/>
                <w:bCs/>
                <w:sz w:val="24"/>
              </w:rPr>
              <w:t>本</w:t>
            </w:r>
            <w:r>
              <w:rPr>
                <w:bCs/>
                <w:sz w:val="24"/>
              </w:rPr>
              <w:t>项目</w:t>
            </w:r>
            <w:r>
              <w:rPr>
                <w:rFonts w:hint="eastAsia"/>
                <w:bCs/>
                <w:sz w:val="24"/>
              </w:rPr>
              <w:t>职工定员</w:t>
            </w:r>
            <w:r>
              <w:rPr>
                <w:bCs/>
                <w:sz w:val="24"/>
              </w:rPr>
              <w:t>36人</w:t>
            </w:r>
            <w:r>
              <w:rPr>
                <w:rFonts w:hint="eastAsia"/>
                <w:bCs/>
                <w:sz w:val="24"/>
              </w:rPr>
              <w:t>，</w:t>
            </w:r>
            <w:r>
              <w:rPr>
                <w:bCs/>
                <w:sz w:val="24"/>
              </w:rPr>
              <w:t>每年工作</w:t>
            </w:r>
            <w:r>
              <w:rPr>
                <w:rFonts w:hint="eastAsia"/>
                <w:bCs/>
                <w:sz w:val="24"/>
              </w:rPr>
              <w:t>260</w:t>
            </w:r>
            <w:r>
              <w:rPr>
                <w:bCs/>
                <w:sz w:val="24"/>
              </w:rPr>
              <w:t>天</w:t>
            </w:r>
            <w:r>
              <w:rPr>
                <w:rFonts w:hint="eastAsia"/>
                <w:bCs/>
                <w:sz w:val="24"/>
              </w:rPr>
              <w:t>，按</w:t>
            </w:r>
            <w:r>
              <w:rPr>
                <w:bCs/>
                <w:sz w:val="24"/>
              </w:rPr>
              <w:t>每人每天产生垃圾0.5</w:t>
            </w:r>
            <w:r>
              <w:rPr>
                <w:rFonts w:hint="eastAsia"/>
                <w:bCs/>
                <w:sz w:val="24"/>
              </w:rPr>
              <w:t>k</w:t>
            </w:r>
            <w:r>
              <w:rPr>
                <w:bCs/>
                <w:sz w:val="24"/>
              </w:rPr>
              <w:t>g计算</w:t>
            </w:r>
            <w:r>
              <w:rPr>
                <w:rFonts w:hint="eastAsia"/>
                <w:bCs/>
                <w:sz w:val="24"/>
              </w:rPr>
              <w:t>，本项目</w:t>
            </w:r>
            <w:r>
              <w:rPr>
                <w:bCs/>
                <w:sz w:val="24"/>
              </w:rPr>
              <w:t>生活垃圾产生量为4.68t/a。</w:t>
            </w:r>
            <w:r>
              <w:rPr>
                <w:rFonts w:hint="eastAsia"/>
                <w:bCs/>
                <w:sz w:val="24"/>
              </w:rPr>
              <w:t>生活垃圾袋装分类收集后由环卫部门清运处置。</w:t>
            </w:r>
          </w:p>
          <w:p>
            <w:pPr>
              <w:widowControl/>
              <w:spacing w:line="312" w:lineRule="auto"/>
              <w:ind w:firstLine="480" w:firstLineChars="200"/>
              <w:rPr>
                <w:bCs/>
                <w:sz w:val="24"/>
              </w:rPr>
            </w:pPr>
            <w:r>
              <w:rPr>
                <w:rFonts w:hint="eastAsia"/>
                <w:bCs/>
                <w:sz w:val="24"/>
              </w:rPr>
              <w:t>本项目</w:t>
            </w:r>
            <w:r>
              <w:rPr>
                <w:rFonts w:hint="eastAsia"/>
                <w:sz w:val="24"/>
              </w:rPr>
              <w:t>拉丝、裁剪等工序产生的</w:t>
            </w:r>
            <w:r>
              <w:rPr>
                <w:rFonts w:hint="eastAsia"/>
                <w:bCs/>
                <w:sz w:val="24"/>
              </w:rPr>
              <w:t>废丝、边角料产生量约为原料用量的0.1%，产生量约为6.2t/a，在车间内的一般固废暂存间暂存后，定期外售。</w:t>
            </w:r>
          </w:p>
          <w:p>
            <w:pPr>
              <w:widowControl/>
              <w:spacing w:line="312" w:lineRule="auto"/>
              <w:ind w:firstLine="480" w:firstLineChars="200"/>
              <w:rPr>
                <w:sz w:val="24"/>
              </w:rPr>
            </w:pPr>
            <w:r>
              <w:rPr>
                <w:rFonts w:hint="eastAsia"/>
                <w:bCs/>
                <w:sz w:val="24"/>
              </w:rPr>
              <w:t>本项目生产过程中产生的原材料包装袋产生量约为5t/a，在厂区内</w:t>
            </w:r>
            <w:r>
              <w:rPr>
                <w:rFonts w:hint="eastAsia"/>
                <w:sz w:val="24"/>
              </w:rPr>
              <w:t>一般固废堆场</w:t>
            </w:r>
            <w:r>
              <w:rPr>
                <w:sz w:val="24"/>
              </w:rPr>
              <w:t>暂存后，定期</w:t>
            </w:r>
            <w:r>
              <w:rPr>
                <w:rFonts w:hint="eastAsia"/>
                <w:sz w:val="24"/>
              </w:rPr>
              <w:t>外售。</w:t>
            </w:r>
          </w:p>
          <w:p>
            <w:pPr>
              <w:widowControl/>
              <w:spacing w:line="312" w:lineRule="auto"/>
              <w:ind w:firstLine="480" w:firstLineChars="200"/>
              <w:rPr>
                <w:sz w:val="24"/>
              </w:rPr>
            </w:pPr>
            <w:r>
              <w:rPr>
                <w:rFonts w:hint="eastAsia"/>
                <w:sz w:val="24"/>
              </w:rPr>
              <w:t>拉丝机冷却水箱内漂浮的浮渣产生量为0.05t/a，主要成分为塑料漂浮渣，主要成分为塑料漂浮渣，定期清理至塑料桶内储存，</w:t>
            </w:r>
            <w:r>
              <w:rPr>
                <w:rFonts w:hint="eastAsia"/>
                <w:bCs/>
                <w:sz w:val="24"/>
              </w:rPr>
              <w:t>交由环卫部门处置。</w:t>
            </w:r>
          </w:p>
          <w:p>
            <w:pPr>
              <w:spacing w:line="360" w:lineRule="auto"/>
              <w:ind w:firstLine="480"/>
              <w:rPr>
                <w:bCs/>
                <w:sz w:val="24"/>
                <w:u w:val="single"/>
              </w:rPr>
            </w:pPr>
            <w:r>
              <w:rPr>
                <w:rFonts w:hint="eastAsia"/>
                <w:bCs/>
                <w:sz w:val="24"/>
                <w:u w:val="single"/>
              </w:rPr>
              <w:t>本项目袋式除尘器产生除尘灰约4.55t/a，包装袋收集，交由环卫部门处置。</w:t>
            </w:r>
          </w:p>
          <w:p>
            <w:pPr>
              <w:spacing w:line="360" w:lineRule="auto"/>
              <w:ind w:firstLine="480"/>
              <w:rPr>
                <w:sz w:val="24"/>
              </w:rPr>
            </w:pPr>
            <w:r>
              <w:rPr>
                <w:rFonts w:hint="eastAsia"/>
                <w:bCs/>
                <w:sz w:val="24"/>
              </w:rPr>
              <w:t>本项目</w:t>
            </w:r>
            <w:r>
              <w:rPr>
                <w:rFonts w:hint="eastAsia"/>
                <w:sz w:val="24"/>
              </w:rPr>
              <w:t>车间内设置32m</w:t>
            </w:r>
            <w:r>
              <w:rPr>
                <w:rFonts w:hint="eastAsia"/>
                <w:sz w:val="24"/>
                <w:vertAlign w:val="superscript"/>
              </w:rPr>
              <w:t>2</w:t>
            </w:r>
            <w:r>
              <w:rPr>
                <w:rFonts w:hint="eastAsia"/>
                <w:sz w:val="24"/>
              </w:rPr>
              <w:t>一般固废暂存间，</w:t>
            </w:r>
            <w:r>
              <w:rPr>
                <w:rFonts w:hint="eastAsia"/>
                <w:bCs/>
                <w:sz w:val="24"/>
              </w:rPr>
              <w:t>一般固废暂存间</w:t>
            </w:r>
            <w:r>
              <w:rPr>
                <w:bCs/>
                <w:sz w:val="24"/>
              </w:rPr>
              <w:t>符合防风、防雨、防渗等要求，</w:t>
            </w:r>
            <w:r>
              <w:rPr>
                <w:rFonts w:hint="eastAsia"/>
                <w:sz w:val="24"/>
              </w:rPr>
              <w:t>暂存生产过程中</w:t>
            </w:r>
            <w:r>
              <w:rPr>
                <w:rFonts w:hint="eastAsia"/>
                <w:bCs/>
                <w:sz w:val="24"/>
              </w:rPr>
              <w:t>产生的废丝、边角料、废包装袋等</w:t>
            </w:r>
            <w:r>
              <w:rPr>
                <w:rFonts w:hint="eastAsia"/>
                <w:sz w:val="24"/>
              </w:rPr>
              <w:t>，定期外售综合利用。</w:t>
            </w:r>
          </w:p>
          <w:p>
            <w:pPr>
              <w:spacing w:line="360" w:lineRule="auto"/>
              <w:ind w:firstLine="480"/>
              <w:rPr>
                <w:sz w:val="24"/>
              </w:rPr>
            </w:pPr>
            <w:r>
              <w:rPr>
                <w:rFonts w:hint="eastAsia"/>
                <w:sz w:val="24"/>
              </w:rPr>
              <w:t>（2）危险废物</w:t>
            </w:r>
          </w:p>
          <w:p>
            <w:pPr>
              <w:widowControl/>
              <w:spacing w:line="360" w:lineRule="auto"/>
              <w:ind w:firstLine="480" w:firstLineChars="200"/>
              <w:rPr>
                <w:sz w:val="24"/>
                <w:u w:val="single"/>
              </w:rPr>
            </w:pPr>
            <w:r>
              <w:rPr>
                <w:rFonts w:hint="eastAsia"/>
                <w:sz w:val="24"/>
                <w:u w:val="single"/>
              </w:rPr>
              <w:t>本项目使用润滑油为设备润滑使用，定期更换，废润滑油产生量为0.05t/a。</w:t>
            </w:r>
          </w:p>
          <w:p>
            <w:pPr>
              <w:widowControl/>
              <w:spacing w:line="360" w:lineRule="auto"/>
              <w:ind w:firstLine="480" w:firstLineChars="200"/>
              <w:rPr>
                <w:sz w:val="24"/>
              </w:rPr>
            </w:pPr>
            <w:r>
              <w:rPr>
                <w:rFonts w:hint="eastAsia"/>
                <w:sz w:val="24"/>
              </w:rPr>
              <w:t>本项目拉丝机、覆膜机产生的有机废气通过“光氧催化+活性炭吸附装置”处理，</w:t>
            </w:r>
            <w:r>
              <w:rPr>
                <w:rFonts w:hint="eastAsia"/>
                <w:sz w:val="24"/>
                <w:u w:val="single"/>
              </w:rPr>
              <w:t>活性炭吸附装置吸附到的有机废气量按有机废气处理总量的70%计，</w:t>
            </w:r>
            <w:r>
              <w:rPr>
                <w:sz w:val="24"/>
                <w:u w:val="single"/>
              </w:rPr>
              <w:t>1t</w:t>
            </w:r>
            <w:r>
              <w:rPr>
                <w:rFonts w:hint="eastAsia"/>
                <w:sz w:val="24"/>
                <w:u w:val="single"/>
              </w:rPr>
              <w:t>活性炭可吸附</w:t>
            </w:r>
            <w:r>
              <w:rPr>
                <w:sz w:val="24"/>
                <w:u w:val="single"/>
              </w:rPr>
              <w:t>0.</w:t>
            </w:r>
            <w:r>
              <w:rPr>
                <w:rFonts w:hint="eastAsia"/>
                <w:sz w:val="24"/>
                <w:u w:val="single"/>
              </w:rPr>
              <w:t>3t有机废气，2#车间有机废气治理设施活性炭用量为1.22t/a，2#车间活性炭装置按装载量310</w:t>
            </w:r>
            <w:r>
              <w:rPr>
                <w:sz w:val="24"/>
                <w:u w:val="single"/>
              </w:rPr>
              <w:t>kg</w:t>
            </w:r>
            <w:r>
              <w:rPr>
                <w:rFonts w:hint="eastAsia"/>
                <w:sz w:val="24"/>
                <w:u w:val="single"/>
              </w:rPr>
              <w:t>计算，定期更换活性炭4次</w:t>
            </w:r>
            <w:r>
              <w:rPr>
                <w:sz w:val="24"/>
                <w:u w:val="single"/>
              </w:rPr>
              <w:t>/</w:t>
            </w:r>
            <w:r>
              <w:rPr>
                <w:rFonts w:hint="eastAsia"/>
                <w:sz w:val="24"/>
                <w:u w:val="single"/>
              </w:rPr>
              <w:t>年，则2#车间有机废气治理设施废活性炭产生量为1.61t/a。3#车间有机废气治理设施活性炭用量为2.78t/a，3#车间活性炭装置按装载量700</w:t>
            </w:r>
            <w:r>
              <w:rPr>
                <w:sz w:val="24"/>
                <w:u w:val="single"/>
              </w:rPr>
              <w:t>kg</w:t>
            </w:r>
            <w:r>
              <w:rPr>
                <w:rFonts w:hint="eastAsia"/>
                <w:sz w:val="24"/>
                <w:u w:val="single"/>
              </w:rPr>
              <w:t>计算，定期更换活性炭4次</w:t>
            </w:r>
            <w:r>
              <w:rPr>
                <w:sz w:val="24"/>
                <w:u w:val="single"/>
              </w:rPr>
              <w:t>/</w:t>
            </w:r>
            <w:r>
              <w:rPr>
                <w:rFonts w:hint="eastAsia"/>
                <w:sz w:val="24"/>
                <w:u w:val="single"/>
              </w:rPr>
              <w:t>年，则3#车间有机废气治理设施废活性炭产生量为3.63t/a。因此本项目废活性炭产生量为5.24t/a。</w:t>
            </w:r>
          </w:p>
          <w:p>
            <w:pPr>
              <w:widowControl/>
              <w:spacing w:line="360" w:lineRule="auto"/>
              <w:ind w:firstLine="480" w:firstLineChars="200"/>
              <w:rPr>
                <w:sz w:val="24"/>
                <w:u w:val="single"/>
              </w:rPr>
            </w:pPr>
            <w:r>
              <w:rPr>
                <w:rFonts w:hint="eastAsia"/>
                <w:sz w:val="24"/>
                <w:u w:val="single"/>
              </w:rPr>
              <w:t>废光氧灯管：光氧催化装置定期更换的废灯管产生量为</w:t>
            </w:r>
            <w:r>
              <w:rPr>
                <w:sz w:val="24"/>
                <w:u w:val="single"/>
              </w:rPr>
              <w:t>0.0</w:t>
            </w:r>
            <w:r>
              <w:rPr>
                <w:rFonts w:hint="eastAsia"/>
                <w:sz w:val="24"/>
                <w:u w:val="single"/>
              </w:rPr>
              <w:t>4</w:t>
            </w:r>
            <w:r>
              <w:rPr>
                <w:sz w:val="24"/>
                <w:u w:val="single"/>
              </w:rPr>
              <w:t>t/a</w:t>
            </w:r>
            <w:r>
              <w:rPr>
                <w:rFonts w:hint="eastAsia"/>
                <w:sz w:val="24"/>
                <w:u w:val="single"/>
              </w:rPr>
              <w:t>。</w:t>
            </w:r>
          </w:p>
          <w:p>
            <w:pPr>
              <w:widowControl/>
              <w:spacing w:line="360" w:lineRule="auto"/>
              <w:ind w:firstLine="480" w:firstLineChars="200"/>
              <w:rPr>
                <w:bCs/>
                <w:sz w:val="24"/>
              </w:rPr>
            </w:pPr>
            <w:r>
              <w:rPr>
                <w:rFonts w:hint="eastAsia"/>
                <w:sz w:val="24"/>
              </w:rPr>
              <w:t>对照《国家危险废物名录》（</w:t>
            </w:r>
            <w:r>
              <w:rPr>
                <w:sz w:val="24"/>
              </w:rPr>
              <w:t>20</w:t>
            </w:r>
            <w:r>
              <w:rPr>
                <w:rFonts w:hint="eastAsia"/>
                <w:sz w:val="24"/>
              </w:rPr>
              <w:t>21年），</w:t>
            </w:r>
            <w:r>
              <w:rPr>
                <w:rFonts w:hint="eastAsia"/>
                <w:bCs/>
                <w:sz w:val="24"/>
              </w:rPr>
              <w:t>本项目危险废物汇总见下表。</w:t>
            </w:r>
          </w:p>
          <w:p>
            <w:pPr>
              <w:pStyle w:val="53"/>
              <w:numPr>
                <w:ilvl w:val="0"/>
                <w:numId w:val="2"/>
              </w:numPr>
              <w:ind w:left="0" w:firstLine="0"/>
            </w:pPr>
            <w:r>
              <w:rPr>
                <w:rFonts w:hint="eastAsia"/>
              </w:rPr>
              <w:t>项目危险废物汇总表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042"/>
              <w:gridCol w:w="1196"/>
              <w:gridCol w:w="825"/>
              <w:gridCol w:w="693"/>
              <w:gridCol w:w="659"/>
              <w:gridCol w:w="640"/>
              <w:gridCol w:w="643"/>
              <w:gridCol w:w="745"/>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vAlign w:val="center"/>
                </w:tcPr>
                <w:p>
                  <w:pPr>
                    <w:widowControl/>
                    <w:jc w:val="center"/>
                    <w:rPr>
                      <w:bCs/>
                      <w:szCs w:val="21"/>
                    </w:rPr>
                  </w:pPr>
                  <w:r>
                    <w:rPr>
                      <w:rFonts w:hint="eastAsia"/>
                      <w:bCs/>
                      <w:szCs w:val="21"/>
                    </w:rPr>
                    <w:t>危废名称</w:t>
                  </w:r>
                </w:p>
              </w:tc>
              <w:tc>
                <w:tcPr>
                  <w:tcW w:w="1121" w:type="dxa"/>
                  <w:vAlign w:val="center"/>
                </w:tcPr>
                <w:p>
                  <w:pPr>
                    <w:widowControl/>
                    <w:jc w:val="center"/>
                    <w:rPr>
                      <w:bCs/>
                      <w:szCs w:val="21"/>
                    </w:rPr>
                  </w:pPr>
                  <w:r>
                    <w:rPr>
                      <w:rFonts w:hint="eastAsia"/>
                      <w:bCs/>
                      <w:szCs w:val="21"/>
                    </w:rPr>
                    <w:t>危废类别</w:t>
                  </w:r>
                </w:p>
              </w:tc>
              <w:tc>
                <w:tcPr>
                  <w:tcW w:w="1196" w:type="dxa"/>
                  <w:vAlign w:val="center"/>
                </w:tcPr>
                <w:p>
                  <w:pPr>
                    <w:widowControl/>
                    <w:jc w:val="center"/>
                    <w:rPr>
                      <w:bCs/>
                      <w:szCs w:val="21"/>
                    </w:rPr>
                  </w:pPr>
                  <w:r>
                    <w:rPr>
                      <w:rFonts w:hint="eastAsia"/>
                      <w:bCs/>
                      <w:szCs w:val="21"/>
                    </w:rPr>
                    <w:t>危废代码</w:t>
                  </w:r>
                </w:p>
              </w:tc>
              <w:tc>
                <w:tcPr>
                  <w:tcW w:w="834" w:type="dxa"/>
                  <w:vAlign w:val="center"/>
                </w:tcPr>
                <w:p>
                  <w:pPr>
                    <w:widowControl/>
                    <w:jc w:val="center"/>
                    <w:rPr>
                      <w:bCs/>
                      <w:szCs w:val="21"/>
                    </w:rPr>
                  </w:pPr>
                  <w:r>
                    <w:rPr>
                      <w:rFonts w:hint="eastAsia"/>
                      <w:bCs/>
                      <w:szCs w:val="21"/>
                    </w:rPr>
                    <w:t>产生量</w:t>
                  </w:r>
                </w:p>
              </w:tc>
              <w:tc>
                <w:tcPr>
                  <w:tcW w:w="773" w:type="dxa"/>
                  <w:vAlign w:val="center"/>
                </w:tcPr>
                <w:p>
                  <w:pPr>
                    <w:widowControl/>
                    <w:jc w:val="center"/>
                    <w:rPr>
                      <w:bCs/>
                      <w:szCs w:val="21"/>
                    </w:rPr>
                  </w:pPr>
                  <w:r>
                    <w:rPr>
                      <w:rFonts w:hint="eastAsia"/>
                      <w:bCs/>
                      <w:szCs w:val="21"/>
                    </w:rPr>
                    <w:t>产生工序</w:t>
                  </w:r>
                </w:p>
              </w:tc>
              <w:tc>
                <w:tcPr>
                  <w:tcW w:w="729" w:type="dxa"/>
                  <w:vAlign w:val="center"/>
                </w:tcPr>
                <w:p>
                  <w:pPr>
                    <w:widowControl/>
                    <w:jc w:val="center"/>
                    <w:rPr>
                      <w:bCs/>
                      <w:szCs w:val="21"/>
                    </w:rPr>
                  </w:pPr>
                  <w:r>
                    <w:rPr>
                      <w:rFonts w:hint="eastAsia"/>
                      <w:bCs/>
                      <w:szCs w:val="21"/>
                    </w:rPr>
                    <w:t>形态</w:t>
                  </w:r>
                </w:p>
              </w:tc>
              <w:tc>
                <w:tcPr>
                  <w:tcW w:w="704" w:type="dxa"/>
                  <w:vAlign w:val="center"/>
                </w:tcPr>
                <w:p>
                  <w:pPr>
                    <w:widowControl/>
                    <w:jc w:val="center"/>
                    <w:rPr>
                      <w:bCs/>
                      <w:szCs w:val="21"/>
                    </w:rPr>
                  </w:pPr>
                  <w:r>
                    <w:rPr>
                      <w:rFonts w:hint="eastAsia"/>
                      <w:bCs/>
                      <w:szCs w:val="21"/>
                    </w:rPr>
                    <w:t>主要成分</w:t>
                  </w:r>
                </w:p>
              </w:tc>
              <w:tc>
                <w:tcPr>
                  <w:tcW w:w="663" w:type="dxa"/>
                  <w:vAlign w:val="center"/>
                </w:tcPr>
                <w:p>
                  <w:pPr>
                    <w:widowControl/>
                    <w:jc w:val="center"/>
                    <w:rPr>
                      <w:bCs/>
                      <w:szCs w:val="21"/>
                    </w:rPr>
                  </w:pPr>
                  <w:r>
                    <w:rPr>
                      <w:rFonts w:hint="eastAsia"/>
                      <w:bCs/>
                      <w:szCs w:val="21"/>
                    </w:rPr>
                    <w:t>产污周期</w:t>
                  </w:r>
                </w:p>
              </w:tc>
              <w:tc>
                <w:tcPr>
                  <w:tcW w:w="777" w:type="dxa"/>
                  <w:vAlign w:val="center"/>
                </w:tcPr>
                <w:p>
                  <w:pPr>
                    <w:widowControl/>
                    <w:jc w:val="center"/>
                    <w:rPr>
                      <w:bCs/>
                      <w:szCs w:val="21"/>
                    </w:rPr>
                  </w:pPr>
                  <w:r>
                    <w:rPr>
                      <w:rFonts w:hint="eastAsia"/>
                      <w:bCs/>
                      <w:szCs w:val="21"/>
                    </w:rPr>
                    <w:t>危险特性</w:t>
                  </w:r>
                </w:p>
              </w:tc>
              <w:tc>
                <w:tcPr>
                  <w:tcW w:w="990" w:type="dxa"/>
                  <w:vAlign w:val="center"/>
                </w:tcPr>
                <w:p>
                  <w:pPr>
                    <w:widowControl/>
                    <w:jc w:val="center"/>
                    <w:rPr>
                      <w:bCs/>
                      <w:szCs w:val="21"/>
                    </w:rPr>
                  </w:pPr>
                  <w:r>
                    <w:rPr>
                      <w:rFonts w:hint="eastAsia"/>
                      <w:bCs/>
                      <w:szCs w:val="21"/>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vAlign w:val="center"/>
                </w:tcPr>
                <w:p>
                  <w:pPr>
                    <w:widowControl/>
                    <w:jc w:val="center"/>
                    <w:rPr>
                      <w:bCs/>
                      <w:szCs w:val="21"/>
                    </w:rPr>
                  </w:pPr>
                  <w:r>
                    <w:rPr>
                      <w:rFonts w:hint="eastAsia"/>
                      <w:bCs/>
                      <w:szCs w:val="21"/>
                    </w:rPr>
                    <w:t>废润滑油</w:t>
                  </w:r>
                </w:p>
              </w:tc>
              <w:tc>
                <w:tcPr>
                  <w:tcW w:w="1121" w:type="dxa"/>
                  <w:vAlign w:val="center"/>
                </w:tcPr>
                <w:p>
                  <w:pPr>
                    <w:widowControl/>
                    <w:jc w:val="center"/>
                    <w:rPr>
                      <w:bCs/>
                      <w:szCs w:val="21"/>
                    </w:rPr>
                  </w:pPr>
                  <w:r>
                    <w:rPr>
                      <w:szCs w:val="21"/>
                    </w:rPr>
                    <w:t>HW08</w:t>
                  </w:r>
                  <w:r>
                    <w:rPr>
                      <w:rFonts w:hint="eastAsia"/>
                      <w:szCs w:val="21"/>
                    </w:rPr>
                    <w:t>废矿物油与含矿物油废物</w:t>
                  </w:r>
                </w:p>
              </w:tc>
              <w:tc>
                <w:tcPr>
                  <w:tcW w:w="1196" w:type="dxa"/>
                  <w:vAlign w:val="center"/>
                </w:tcPr>
                <w:p>
                  <w:pPr>
                    <w:widowControl/>
                    <w:jc w:val="center"/>
                    <w:rPr>
                      <w:bCs/>
                      <w:szCs w:val="21"/>
                    </w:rPr>
                  </w:pPr>
                  <w:r>
                    <w:rPr>
                      <w:rFonts w:hint="eastAsia"/>
                      <w:szCs w:val="21"/>
                    </w:rPr>
                    <w:t>900-214-08</w:t>
                  </w:r>
                </w:p>
              </w:tc>
              <w:tc>
                <w:tcPr>
                  <w:tcW w:w="834" w:type="dxa"/>
                  <w:vAlign w:val="center"/>
                </w:tcPr>
                <w:p>
                  <w:pPr>
                    <w:widowControl/>
                    <w:jc w:val="center"/>
                    <w:rPr>
                      <w:bCs/>
                      <w:szCs w:val="21"/>
                      <w:u w:val="single"/>
                    </w:rPr>
                  </w:pPr>
                  <w:r>
                    <w:rPr>
                      <w:rFonts w:hint="eastAsia"/>
                      <w:bCs/>
                      <w:szCs w:val="21"/>
                      <w:u w:val="single"/>
                    </w:rPr>
                    <w:t>0.05t/a</w:t>
                  </w:r>
                </w:p>
              </w:tc>
              <w:tc>
                <w:tcPr>
                  <w:tcW w:w="773" w:type="dxa"/>
                  <w:vAlign w:val="center"/>
                </w:tcPr>
                <w:p>
                  <w:pPr>
                    <w:widowControl/>
                    <w:jc w:val="center"/>
                    <w:rPr>
                      <w:bCs/>
                      <w:szCs w:val="21"/>
                    </w:rPr>
                  </w:pPr>
                  <w:r>
                    <w:rPr>
                      <w:rFonts w:hint="eastAsia"/>
                      <w:bCs/>
                      <w:szCs w:val="21"/>
                    </w:rPr>
                    <w:t>机械设备使用</w:t>
                  </w:r>
                </w:p>
              </w:tc>
              <w:tc>
                <w:tcPr>
                  <w:tcW w:w="729" w:type="dxa"/>
                  <w:vAlign w:val="center"/>
                </w:tcPr>
                <w:p>
                  <w:pPr>
                    <w:widowControl/>
                    <w:jc w:val="center"/>
                    <w:rPr>
                      <w:bCs/>
                      <w:szCs w:val="21"/>
                    </w:rPr>
                  </w:pPr>
                  <w:r>
                    <w:rPr>
                      <w:rFonts w:hint="eastAsia"/>
                      <w:bCs/>
                      <w:szCs w:val="21"/>
                    </w:rPr>
                    <w:t>液态</w:t>
                  </w:r>
                </w:p>
              </w:tc>
              <w:tc>
                <w:tcPr>
                  <w:tcW w:w="704" w:type="dxa"/>
                  <w:vAlign w:val="center"/>
                </w:tcPr>
                <w:p>
                  <w:pPr>
                    <w:widowControl/>
                    <w:jc w:val="center"/>
                    <w:rPr>
                      <w:bCs/>
                      <w:szCs w:val="21"/>
                    </w:rPr>
                  </w:pPr>
                  <w:r>
                    <w:rPr>
                      <w:rFonts w:hint="eastAsia"/>
                      <w:bCs/>
                      <w:szCs w:val="21"/>
                    </w:rPr>
                    <w:t>矿物油</w:t>
                  </w:r>
                </w:p>
              </w:tc>
              <w:tc>
                <w:tcPr>
                  <w:tcW w:w="663" w:type="dxa"/>
                  <w:vAlign w:val="center"/>
                </w:tcPr>
                <w:p>
                  <w:pPr>
                    <w:widowControl/>
                    <w:jc w:val="center"/>
                    <w:rPr>
                      <w:bCs/>
                      <w:szCs w:val="21"/>
                      <w:highlight w:val="yellow"/>
                    </w:rPr>
                  </w:pPr>
                  <w:r>
                    <w:rPr>
                      <w:rFonts w:hint="eastAsia"/>
                      <w:bCs/>
                      <w:szCs w:val="21"/>
                    </w:rPr>
                    <w:t>1a/次</w:t>
                  </w:r>
                </w:p>
              </w:tc>
              <w:tc>
                <w:tcPr>
                  <w:tcW w:w="777" w:type="dxa"/>
                  <w:vAlign w:val="center"/>
                </w:tcPr>
                <w:p>
                  <w:pPr>
                    <w:widowControl/>
                    <w:jc w:val="center"/>
                    <w:rPr>
                      <w:bCs/>
                      <w:szCs w:val="21"/>
                    </w:rPr>
                  </w:pPr>
                  <w:r>
                    <w:rPr>
                      <w:rFonts w:hint="eastAsia"/>
                      <w:bCs/>
                      <w:szCs w:val="21"/>
                    </w:rPr>
                    <w:t>毒性、易燃性</w:t>
                  </w:r>
                </w:p>
              </w:tc>
              <w:tc>
                <w:tcPr>
                  <w:tcW w:w="990" w:type="dxa"/>
                  <w:vMerge w:val="restart"/>
                  <w:vAlign w:val="center"/>
                </w:tcPr>
                <w:p>
                  <w:pPr>
                    <w:widowControl/>
                    <w:rPr>
                      <w:szCs w:val="21"/>
                    </w:rPr>
                  </w:pPr>
                  <w:r>
                    <w:rPr>
                      <w:rFonts w:hint="eastAsia"/>
                      <w:szCs w:val="21"/>
                    </w:rPr>
                    <w:t>分别使用容器收集，委托有相应资质的危废处置单位处理处置。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vAlign w:val="center"/>
                </w:tcPr>
                <w:p>
                  <w:pPr>
                    <w:widowControl/>
                    <w:jc w:val="center"/>
                    <w:rPr>
                      <w:bCs/>
                      <w:szCs w:val="21"/>
                    </w:rPr>
                  </w:pPr>
                  <w:r>
                    <w:rPr>
                      <w:rFonts w:hint="eastAsia"/>
                      <w:bCs/>
                      <w:szCs w:val="21"/>
                    </w:rPr>
                    <w:t>废灯管</w:t>
                  </w:r>
                </w:p>
              </w:tc>
              <w:tc>
                <w:tcPr>
                  <w:tcW w:w="1121" w:type="dxa"/>
                  <w:vAlign w:val="center"/>
                </w:tcPr>
                <w:p>
                  <w:pPr>
                    <w:widowControl/>
                    <w:jc w:val="center"/>
                    <w:rPr>
                      <w:szCs w:val="21"/>
                    </w:rPr>
                  </w:pPr>
                  <w:r>
                    <w:rPr>
                      <w:rFonts w:hint="eastAsia"/>
                      <w:szCs w:val="21"/>
                    </w:rPr>
                    <w:t>HW29含汞废物</w:t>
                  </w:r>
                </w:p>
              </w:tc>
              <w:tc>
                <w:tcPr>
                  <w:tcW w:w="1196" w:type="dxa"/>
                  <w:vAlign w:val="center"/>
                </w:tcPr>
                <w:p>
                  <w:pPr>
                    <w:widowControl/>
                    <w:jc w:val="center"/>
                    <w:rPr>
                      <w:szCs w:val="21"/>
                    </w:rPr>
                  </w:pPr>
                  <w:r>
                    <w:rPr>
                      <w:rFonts w:hint="eastAsia"/>
                      <w:szCs w:val="21"/>
                    </w:rPr>
                    <w:t>900-023-29</w:t>
                  </w:r>
                </w:p>
              </w:tc>
              <w:tc>
                <w:tcPr>
                  <w:tcW w:w="834" w:type="dxa"/>
                  <w:vAlign w:val="center"/>
                </w:tcPr>
                <w:p>
                  <w:pPr>
                    <w:widowControl/>
                    <w:jc w:val="center"/>
                    <w:rPr>
                      <w:bCs/>
                      <w:szCs w:val="21"/>
                      <w:u w:val="single"/>
                    </w:rPr>
                  </w:pPr>
                  <w:r>
                    <w:rPr>
                      <w:rFonts w:hint="eastAsia"/>
                      <w:bCs/>
                      <w:szCs w:val="21"/>
                      <w:u w:val="single"/>
                    </w:rPr>
                    <w:t>0.04t/a</w:t>
                  </w:r>
                </w:p>
              </w:tc>
              <w:tc>
                <w:tcPr>
                  <w:tcW w:w="773" w:type="dxa"/>
                  <w:vMerge w:val="restart"/>
                  <w:vAlign w:val="center"/>
                </w:tcPr>
                <w:p>
                  <w:pPr>
                    <w:topLinePunct/>
                    <w:snapToGrid w:val="0"/>
                    <w:contextualSpacing/>
                    <w:jc w:val="center"/>
                    <w:rPr>
                      <w:kern w:val="0"/>
                      <w:szCs w:val="21"/>
                    </w:rPr>
                  </w:pPr>
                  <w:r>
                    <w:rPr>
                      <w:rFonts w:hint="eastAsia"/>
                      <w:kern w:val="0"/>
                      <w:szCs w:val="21"/>
                    </w:rPr>
                    <w:t>有机废气治理设施</w:t>
                  </w:r>
                </w:p>
              </w:tc>
              <w:tc>
                <w:tcPr>
                  <w:tcW w:w="729" w:type="dxa"/>
                  <w:vAlign w:val="center"/>
                </w:tcPr>
                <w:p>
                  <w:pPr>
                    <w:topLinePunct/>
                    <w:snapToGrid w:val="0"/>
                    <w:contextualSpacing/>
                    <w:jc w:val="center"/>
                    <w:rPr>
                      <w:kern w:val="0"/>
                      <w:szCs w:val="21"/>
                    </w:rPr>
                  </w:pPr>
                  <w:r>
                    <w:rPr>
                      <w:rFonts w:hint="eastAsia"/>
                      <w:bCs/>
                      <w:kern w:val="0"/>
                      <w:szCs w:val="21"/>
                    </w:rPr>
                    <w:t>气态+固态</w:t>
                  </w:r>
                </w:p>
              </w:tc>
              <w:tc>
                <w:tcPr>
                  <w:tcW w:w="704" w:type="dxa"/>
                  <w:vAlign w:val="center"/>
                </w:tcPr>
                <w:p>
                  <w:pPr>
                    <w:topLinePunct/>
                    <w:snapToGrid w:val="0"/>
                    <w:contextualSpacing/>
                    <w:jc w:val="center"/>
                    <w:rPr>
                      <w:bCs/>
                      <w:szCs w:val="21"/>
                    </w:rPr>
                  </w:pPr>
                  <w:r>
                    <w:rPr>
                      <w:rFonts w:hint="eastAsia"/>
                      <w:bCs/>
                      <w:szCs w:val="21"/>
                    </w:rPr>
                    <w:t>汞蒸汽</w:t>
                  </w:r>
                </w:p>
              </w:tc>
              <w:tc>
                <w:tcPr>
                  <w:tcW w:w="663" w:type="dxa"/>
                  <w:vAlign w:val="center"/>
                </w:tcPr>
                <w:p>
                  <w:pPr>
                    <w:topLinePunct/>
                    <w:snapToGrid w:val="0"/>
                    <w:contextualSpacing/>
                    <w:jc w:val="center"/>
                    <w:rPr>
                      <w:kern w:val="0"/>
                      <w:szCs w:val="21"/>
                    </w:rPr>
                  </w:pPr>
                  <w:r>
                    <w:rPr>
                      <w:rFonts w:hint="eastAsia"/>
                      <w:bCs/>
                      <w:kern w:val="0"/>
                      <w:szCs w:val="21"/>
                    </w:rPr>
                    <w:t>1次/a</w:t>
                  </w:r>
                </w:p>
              </w:tc>
              <w:tc>
                <w:tcPr>
                  <w:tcW w:w="777" w:type="dxa"/>
                  <w:vAlign w:val="center"/>
                </w:tcPr>
                <w:p>
                  <w:pPr>
                    <w:topLinePunct/>
                    <w:snapToGrid w:val="0"/>
                    <w:contextualSpacing/>
                    <w:jc w:val="center"/>
                    <w:rPr>
                      <w:kern w:val="0"/>
                      <w:szCs w:val="21"/>
                    </w:rPr>
                  </w:pPr>
                  <w:r>
                    <w:rPr>
                      <w:rFonts w:hint="eastAsia"/>
                      <w:kern w:val="0"/>
                      <w:szCs w:val="21"/>
                    </w:rPr>
                    <w:t>毒性</w:t>
                  </w:r>
                </w:p>
              </w:tc>
              <w:tc>
                <w:tcPr>
                  <w:tcW w:w="990" w:type="dxa"/>
                  <w:vMerge w:val="continue"/>
                  <w:vAlign w:val="center"/>
                </w:tcPr>
                <w:p>
                  <w:pPr>
                    <w:widowControl/>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vAlign w:val="center"/>
                </w:tcPr>
                <w:p>
                  <w:pPr>
                    <w:widowControl/>
                    <w:jc w:val="center"/>
                    <w:rPr>
                      <w:bCs/>
                      <w:szCs w:val="21"/>
                    </w:rPr>
                  </w:pPr>
                  <w:r>
                    <w:rPr>
                      <w:rFonts w:hint="eastAsia"/>
                      <w:bCs/>
                      <w:szCs w:val="21"/>
                    </w:rPr>
                    <w:t>废活性炭</w:t>
                  </w:r>
                </w:p>
              </w:tc>
              <w:tc>
                <w:tcPr>
                  <w:tcW w:w="1121" w:type="dxa"/>
                  <w:vAlign w:val="center"/>
                </w:tcPr>
                <w:p>
                  <w:pPr>
                    <w:widowControl/>
                    <w:jc w:val="center"/>
                    <w:rPr>
                      <w:szCs w:val="21"/>
                    </w:rPr>
                  </w:pPr>
                  <w:r>
                    <w:rPr>
                      <w:rFonts w:hint="eastAsia"/>
                      <w:szCs w:val="21"/>
                    </w:rPr>
                    <w:t>HW49其他废物</w:t>
                  </w:r>
                </w:p>
              </w:tc>
              <w:tc>
                <w:tcPr>
                  <w:tcW w:w="1196" w:type="dxa"/>
                  <w:vAlign w:val="center"/>
                </w:tcPr>
                <w:p>
                  <w:pPr>
                    <w:widowControl/>
                    <w:jc w:val="center"/>
                    <w:rPr>
                      <w:szCs w:val="21"/>
                    </w:rPr>
                  </w:pPr>
                  <w:r>
                    <w:rPr>
                      <w:rFonts w:hint="eastAsia"/>
                      <w:szCs w:val="21"/>
                    </w:rPr>
                    <w:t>900-039-49</w:t>
                  </w:r>
                </w:p>
              </w:tc>
              <w:tc>
                <w:tcPr>
                  <w:tcW w:w="834" w:type="dxa"/>
                  <w:vAlign w:val="center"/>
                </w:tcPr>
                <w:p>
                  <w:pPr>
                    <w:widowControl/>
                    <w:jc w:val="center"/>
                    <w:rPr>
                      <w:bCs/>
                      <w:szCs w:val="21"/>
                      <w:u w:val="single"/>
                    </w:rPr>
                  </w:pPr>
                  <w:r>
                    <w:rPr>
                      <w:rFonts w:hint="eastAsia"/>
                      <w:bCs/>
                      <w:szCs w:val="21"/>
                      <w:u w:val="single"/>
                    </w:rPr>
                    <w:t>5.24t/a</w:t>
                  </w:r>
                </w:p>
              </w:tc>
              <w:tc>
                <w:tcPr>
                  <w:tcW w:w="773" w:type="dxa"/>
                  <w:vMerge w:val="continue"/>
                  <w:vAlign w:val="center"/>
                </w:tcPr>
                <w:p>
                  <w:pPr>
                    <w:widowControl/>
                    <w:jc w:val="center"/>
                    <w:rPr>
                      <w:bCs/>
                      <w:szCs w:val="21"/>
                    </w:rPr>
                  </w:pPr>
                </w:p>
              </w:tc>
              <w:tc>
                <w:tcPr>
                  <w:tcW w:w="729" w:type="dxa"/>
                  <w:vAlign w:val="center"/>
                </w:tcPr>
                <w:p>
                  <w:pPr>
                    <w:widowControl/>
                    <w:jc w:val="center"/>
                    <w:rPr>
                      <w:bCs/>
                      <w:szCs w:val="21"/>
                    </w:rPr>
                  </w:pPr>
                  <w:r>
                    <w:rPr>
                      <w:rFonts w:hint="eastAsia"/>
                      <w:bCs/>
                      <w:szCs w:val="21"/>
                    </w:rPr>
                    <w:t>固态</w:t>
                  </w:r>
                </w:p>
              </w:tc>
              <w:tc>
                <w:tcPr>
                  <w:tcW w:w="704" w:type="dxa"/>
                  <w:vAlign w:val="center"/>
                </w:tcPr>
                <w:p>
                  <w:pPr>
                    <w:widowControl/>
                    <w:jc w:val="center"/>
                    <w:rPr>
                      <w:bCs/>
                      <w:szCs w:val="21"/>
                    </w:rPr>
                  </w:pPr>
                  <w:r>
                    <w:rPr>
                      <w:rFonts w:hint="eastAsia"/>
                      <w:bCs/>
                      <w:szCs w:val="21"/>
                    </w:rPr>
                    <w:t>含有机废气废物</w:t>
                  </w:r>
                </w:p>
              </w:tc>
              <w:tc>
                <w:tcPr>
                  <w:tcW w:w="663" w:type="dxa"/>
                  <w:vAlign w:val="center"/>
                </w:tcPr>
                <w:p>
                  <w:pPr>
                    <w:widowControl/>
                    <w:jc w:val="center"/>
                    <w:rPr>
                      <w:bCs/>
                      <w:szCs w:val="21"/>
                    </w:rPr>
                  </w:pPr>
                  <w:r>
                    <w:rPr>
                      <w:rFonts w:hint="eastAsia"/>
                      <w:bCs/>
                      <w:szCs w:val="21"/>
                    </w:rPr>
                    <w:t>1a/4次</w:t>
                  </w:r>
                </w:p>
              </w:tc>
              <w:tc>
                <w:tcPr>
                  <w:tcW w:w="777" w:type="dxa"/>
                  <w:vAlign w:val="center"/>
                </w:tcPr>
                <w:p>
                  <w:pPr>
                    <w:widowControl/>
                    <w:jc w:val="center"/>
                    <w:rPr>
                      <w:bCs/>
                      <w:szCs w:val="21"/>
                    </w:rPr>
                  </w:pPr>
                  <w:r>
                    <w:rPr>
                      <w:rFonts w:hint="eastAsia"/>
                      <w:bCs/>
                      <w:szCs w:val="21"/>
                    </w:rPr>
                    <w:t>毒性</w:t>
                  </w:r>
                </w:p>
              </w:tc>
              <w:tc>
                <w:tcPr>
                  <w:tcW w:w="990" w:type="dxa"/>
                  <w:vMerge w:val="continue"/>
                  <w:vAlign w:val="center"/>
                </w:tcPr>
                <w:p>
                  <w:pPr>
                    <w:widowControl/>
                    <w:rPr>
                      <w:szCs w:val="21"/>
                    </w:rPr>
                  </w:pPr>
                </w:p>
              </w:tc>
            </w:tr>
          </w:tbl>
          <w:p>
            <w:pPr>
              <w:spacing w:line="360" w:lineRule="auto"/>
              <w:rPr>
                <w:b/>
                <w:sz w:val="24"/>
              </w:rPr>
            </w:pPr>
            <w:r>
              <w:rPr>
                <w:rFonts w:hint="eastAsia"/>
                <w:b/>
                <w:sz w:val="24"/>
              </w:rPr>
              <w:t>4.2环境管理要求</w:t>
            </w:r>
          </w:p>
          <w:p>
            <w:pPr>
              <w:spacing w:line="360" w:lineRule="auto"/>
              <w:ind w:firstLine="480" w:firstLineChars="200"/>
              <w:rPr>
                <w:sz w:val="24"/>
              </w:rPr>
            </w:pPr>
            <w:r>
              <w:rPr>
                <w:rFonts w:hint="eastAsia"/>
                <w:kern w:val="0"/>
                <w:sz w:val="24"/>
              </w:rPr>
              <w:t>本项目设置危废暂存间，产生的废活性炭、废光氧灯管、废润滑油</w:t>
            </w:r>
            <w:r>
              <w:rPr>
                <w:rFonts w:hint="eastAsia"/>
                <w:sz w:val="24"/>
              </w:rPr>
              <w:t>危险废物密封储存，</w:t>
            </w:r>
            <w:r>
              <w:rPr>
                <w:sz w:val="24"/>
              </w:rPr>
              <w:t>暂存于危废暂存间内，</w:t>
            </w:r>
            <w:r>
              <w:rPr>
                <w:rFonts w:hint="eastAsia"/>
                <w:sz w:val="24"/>
              </w:rPr>
              <w:t>并定期由具有危险废物处理资质的单位进行处理，危险废物在厂区内暂存时间应不超过一年</w:t>
            </w:r>
            <w:r>
              <w:rPr>
                <w:sz w:val="24"/>
              </w:rPr>
              <w:t>。</w:t>
            </w:r>
          </w:p>
          <w:p>
            <w:pPr>
              <w:spacing w:line="360" w:lineRule="auto"/>
              <w:ind w:firstLine="480" w:firstLineChars="200"/>
              <w:rPr>
                <w:sz w:val="24"/>
                <w:u w:val="single"/>
              </w:rPr>
            </w:pPr>
            <w:r>
              <w:rPr>
                <w:rFonts w:hint="eastAsia"/>
                <w:sz w:val="24"/>
                <w:u w:val="single"/>
              </w:rPr>
              <w:t>建设完善管理制度，同时设置专人管理，制定有关管理制度，做好台账记录，记录固体废物收集、储存、转运等情况。定期对危废贮存容器及危废间进行检查；危险废物的转运严格按照有关规定，实现联单制度。</w:t>
            </w:r>
          </w:p>
          <w:p>
            <w:pPr>
              <w:pStyle w:val="53"/>
              <w:numPr>
                <w:ilvl w:val="0"/>
                <w:numId w:val="2"/>
              </w:numPr>
              <w:ind w:left="0" w:firstLine="0"/>
            </w:pPr>
            <w:r>
              <w:t>项目危险废物贮存场所（设施）情况表</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autofit"/>
              <w:tblCellMar>
                <w:top w:w="0" w:type="dxa"/>
                <w:left w:w="0" w:type="dxa"/>
                <w:bottom w:w="0" w:type="dxa"/>
                <w:right w:w="0" w:type="dxa"/>
              </w:tblCellMar>
            </w:tblPr>
            <w:tblGrid>
              <w:gridCol w:w="688"/>
              <w:gridCol w:w="1057"/>
              <w:gridCol w:w="1414"/>
              <w:gridCol w:w="1190"/>
              <w:gridCol w:w="759"/>
              <w:gridCol w:w="656"/>
              <w:gridCol w:w="797"/>
              <w:gridCol w:w="661"/>
              <w:gridCol w:w="7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369" w:hRule="atLeast"/>
                <w:jc w:val="center"/>
              </w:trPr>
              <w:tc>
                <w:tcPr>
                  <w:tcW w:w="440" w:type="pct"/>
                  <w:shd w:val="clear" w:color="auto" w:fill="FFFFFF"/>
                  <w:tcMar>
                    <w:top w:w="0" w:type="dxa"/>
                    <w:left w:w="105" w:type="dxa"/>
                    <w:bottom w:w="0" w:type="dxa"/>
                    <w:right w:w="105" w:type="dxa"/>
                  </w:tcMar>
                  <w:vAlign w:val="center"/>
                </w:tcPr>
                <w:p>
                  <w:pPr>
                    <w:pStyle w:val="54"/>
                    <w:spacing w:line="320" w:lineRule="exact"/>
                  </w:pPr>
                  <w:r>
                    <w:t>贮存场所</w:t>
                  </w:r>
                </w:p>
              </w:tc>
              <w:tc>
                <w:tcPr>
                  <w:tcW w:w="672" w:type="pct"/>
                  <w:shd w:val="clear" w:color="auto" w:fill="FFFFFF"/>
                  <w:tcMar>
                    <w:top w:w="0" w:type="dxa"/>
                    <w:left w:w="105" w:type="dxa"/>
                    <w:bottom w:w="0" w:type="dxa"/>
                    <w:right w:w="105" w:type="dxa"/>
                  </w:tcMar>
                  <w:vAlign w:val="center"/>
                </w:tcPr>
                <w:p>
                  <w:pPr>
                    <w:pStyle w:val="54"/>
                    <w:spacing w:line="320" w:lineRule="exact"/>
                  </w:pPr>
                  <w:r>
                    <w:t>危险废物名称</w:t>
                  </w:r>
                </w:p>
              </w:tc>
              <w:tc>
                <w:tcPr>
                  <w:tcW w:w="897" w:type="pct"/>
                  <w:shd w:val="clear" w:color="auto" w:fill="FFFFFF"/>
                  <w:tcMar>
                    <w:top w:w="0" w:type="dxa"/>
                    <w:left w:w="105" w:type="dxa"/>
                    <w:bottom w:w="0" w:type="dxa"/>
                    <w:right w:w="105" w:type="dxa"/>
                  </w:tcMar>
                  <w:vAlign w:val="center"/>
                </w:tcPr>
                <w:p>
                  <w:pPr>
                    <w:pStyle w:val="54"/>
                    <w:spacing w:line="320" w:lineRule="exact"/>
                  </w:pPr>
                  <w:r>
                    <w:t>危险废物类别</w:t>
                  </w:r>
                </w:p>
              </w:tc>
              <w:tc>
                <w:tcPr>
                  <w:tcW w:w="709" w:type="pct"/>
                  <w:shd w:val="clear" w:color="auto" w:fill="FFFFFF"/>
                  <w:tcMar>
                    <w:top w:w="0" w:type="dxa"/>
                    <w:left w:w="105" w:type="dxa"/>
                    <w:bottom w:w="0" w:type="dxa"/>
                    <w:right w:w="105" w:type="dxa"/>
                  </w:tcMar>
                  <w:vAlign w:val="center"/>
                </w:tcPr>
                <w:p>
                  <w:pPr>
                    <w:pStyle w:val="54"/>
                    <w:spacing w:line="320" w:lineRule="exact"/>
                  </w:pPr>
                  <w:r>
                    <w:t>危险废物代码</w:t>
                  </w:r>
                </w:p>
              </w:tc>
              <w:tc>
                <w:tcPr>
                  <w:tcW w:w="484" w:type="pct"/>
                  <w:shd w:val="clear" w:color="auto" w:fill="FFFFFF"/>
                  <w:tcMar>
                    <w:top w:w="0" w:type="dxa"/>
                    <w:left w:w="105" w:type="dxa"/>
                    <w:bottom w:w="0" w:type="dxa"/>
                    <w:right w:w="105" w:type="dxa"/>
                  </w:tcMar>
                  <w:vAlign w:val="center"/>
                </w:tcPr>
                <w:p>
                  <w:pPr>
                    <w:pStyle w:val="54"/>
                    <w:spacing w:line="320" w:lineRule="exact"/>
                  </w:pPr>
                  <w:r>
                    <w:t>位置</w:t>
                  </w:r>
                </w:p>
              </w:tc>
              <w:tc>
                <w:tcPr>
                  <w:tcW w:w="419" w:type="pct"/>
                  <w:shd w:val="clear" w:color="auto" w:fill="FFFFFF"/>
                  <w:tcMar>
                    <w:top w:w="0" w:type="dxa"/>
                    <w:left w:w="105" w:type="dxa"/>
                    <w:bottom w:w="0" w:type="dxa"/>
                    <w:right w:w="105" w:type="dxa"/>
                  </w:tcMar>
                  <w:vAlign w:val="center"/>
                </w:tcPr>
                <w:p>
                  <w:pPr>
                    <w:pStyle w:val="54"/>
                    <w:spacing w:line="320" w:lineRule="exact"/>
                  </w:pPr>
                  <w:r>
                    <w:t>占地面积</w:t>
                  </w:r>
                </w:p>
              </w:tc>
              <w:tc>
                <w:tcPr>
                  <w:tcW w:w="508" w:type="pct"/>
                  <w:shd w:val="clear" w:color="auto" w:fill="FFFFFF"/>
                  <w:tcMar>
                    <w:top w:w="0" w:type="dxa"/>
                    <w:left w:w="105" w:type="dxa"/>
                    <w:bottom w:w="0" w:type="dxa"/>
                    <w:right w:w="105" w:type="dxa"/>
                  </w:tcMar>
                  <w:vAlign w:val="center"/>
                </w:tcPr>
                <w:p>
                  <w:pPr>
                    <w:pStyle w:val="54"/>
                    <w:spacing w:line="320" w:lineRule="exact"/>
                  </w:pPr>
                  <w:r>
                    <w:t>贮存方式</w:t>
                  </w:r>
                </w:p>
              </w:tc>
              <w:tc>
                <w:tcPr>
                  <w:tcW w:w="422" w:type="pct"/>
                  <w:shd w:val="clear" w:color="auto" w:fill="FFFFFF"/>
                  <w:tcMar>
                    <w:top w:w="0" w:type="dxa"/>
                    <w:left w:w="105" w:type="dxa"/>
                    <w:bottom w:w="0" w:type="dxa"/>
                    <w:right w:w="105" w:type="dxa"/>
                  </w:tcMar>
                  <w:vAlign w:val="center"/>
                </w:tcPr>
                <w:p>
                  <w:pPr>
                    <w:pStyle w:val="54"/>
                    <w:spacing w:line="320" w:lineRule="exact"/>
                  </w:pPr>
                  <w:r>
                    <w:t>贮存能力</w:t>
                  </w:r>
                </w:p>
              </w:tc>
              <w:tc>
                <w:tcPr>
                  <w:tcW w:w="448" w:type="pct"/>
                  <w:shd w:val="clear" w:color="auto" w:fill="FFFFFF"/>
                  <w:tcMar>
                    <w:top w:w="0" w:type="dxa"/>
                    <w:left w:w="105" w:type="dxa"/>
                    <w:bottom w:w="0" w:type="dxa"/>
                    <w:right w:w="105" w:type="dxa"/>
                  </w:tcMar>
                  <w:vAlign w:val="center"/>
                </w:tcPr>
                <w:p>
                  <w:pPr>
                    <w:pStyle w:val="54"/>
                    <w:spacing w:line="320" w:lineRule="exact"/>
                  </w:pPr>
                  <w:r>
                    <w:t>贮存周期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440" w:type="pct"/>
                  <w:vMerge w:val="restart"/>
                  <w:shd w:val="clear" w:color="auto" w:fill="FFFFFF"/>
                  <w:tcMar>
                    <w:top w:w="0" w:type="dxa"/>
                    <w:left w:w="105" w:type="dxa"/>
                    <w:bottom w:w="0" w:type="dxa"/>
                    <w:right w:w="105" w:type="dxa"/>
                  </w:tcMar>
                  <w:vAlign w:val="center"/>
                </w:tcPr>
                <w:p>
                  <w:pPr>
                    <w:pStyle w:val="58"/>
                    <w:spacing w:line="320" w:lineRule="exact"/>
                    <w:rPr>
                      <w:kern w:val="0"/>
                    </w:rPr>
                  </w:pPr>
                  <w:r>
                    <w:rPr>
                      <w:rFonts w:hint="eastAsia"/>
                      <w:kern w:val="0"/>
                    </w:rPr>
                    <w:t>危废暂存间</w:t>
                  </w:r>
                </w:p>
              </w:tc>
              <w:tc>
                <w:tcPr>
                  <w:tcW w:w="672" w:type="pct"/>
                  <w:shd w:val="clear" w:color="auto" w:fill="FFFFFF"/>
                  <w:tcMar>
                    <w:top w:w="0" w:type="dxa"/>
                    <w:left w:w="105" w:type="dxa"/>
                    <w:bottom w:w="0" w:type="dxa"/>
                    <w:right w:w="105" w:type="dxa"/>
                  </w:tcMar>
                  <w:vAlign w:val="center"/>
                </w:tcPr>
                <w:p>
                  <w:pPr>
                    <w:pStyle w:val="58"/>
                    <w:spacing w:line="320" w:lineRule="exact"/>
                    <w:rPr>
                      <w:bCs/>
                    </w:rPr>
                  </w:pPr>
                  <w:r>
                    <w:rPr>
                      <w:rFonts w:hint="eastAsia"/>
                      <w:bCs/>
                    </w:rPr>
                    <w:t>废活性炭</w:t>
                  </w:r>
                </w:p>
              </w:tc>
              <w:tc>
                <w:tcPr>
                  <w:tcW w:w="897" w:type="pct"/>
                  <w:shd w:val="clear" w:color="auto" w:fill="FFFFFF"/>
                  <w:tcMar>
                    <w:top w:w="0" w:type="dxa"/>
                    <w:left w:w="105" w:type="dxa"/>
                    <w:bottom w:w="0" w:type="dxa"/>
                    <w:right w:w="105" w:type="dxa"/>
                  </w:tcMar>
                  <w:vAlign w:val="center"/>
                </w:tcPr>
                <w:p>
                  <w:pPr>
                    <w:pStyle w:val="58"/>
                    <w:spacing w:line="320" w:lineRule="exact"/>
                  </w:pPr>
                  <w:r>
                    <w:rPr>
                      <w:rFonts w:hint="eastAsia"/>
                    </w:rPr>
                    <w:t>HW49</w:t>
                  </w:r>
                </w:p>
                <w:p>
                  <w:pPr>
                    <w:pStyle w:val="58"/>
                    <w:spacing w:line="320" w:lineRule="exact"/>
                  </w:pPr>
                  <w:r>
                    <w:rPr>
                      <w:rFonts w:hint="eastAsia"/>
                    </w:rPr>
                    <w:t>其他废物</w:t>
                  </w:r>
                </w:p>
              </w:tc>
              <w:tc>
                <w:tcPr>
                  <w:tcW w:w="709" w:type="pct"/>
                  <w:shd w:val="clear" w:color="auto" w:fill="FFFFFF"/>
                  <w:tcMar>
                    <w:top w:w="0" w:type="dxa"/>
                    <w:left w:w="105" w:type="dxa"/>
                    <w:bottom w:w="0" w:type="dxa"/>
                    <w:right w:w="105" w:type="dxa"/>
                  </w:tcMar>
                  <w:vAlign w:val="center"/>
                </w:tcPr>
                <w:p>
                  <w:pPr>
                    <w:pStyle w:val="58"/>
                    <w:spacing w:line="320" w:lineRule="exact"/>
                  </w:pPr>
                  <w:r>
                    <w:rPr>
                      <w:rFonts w:hint="eastAsia"/>
                    </w:rPr>
                    <w:t>900-039-49</w:t>
                  </w:r>
                </w:p>
              </w:tc>
              <w:tc>
                <w:tcPr>
                  <w:tcW w:w="484" w:type="pct"/>
                  <w:vMerge w:val="restart"/>
                  <w:shd w:val="clear" w:color="auto" w:fill="FFFFFF"/>
                  <w:tcMar>
                    <w:top w:w="0" w:type="dxa"/>
                    <w:left w:w="105" w:type="dxa"/>
                    <w:bottom w:w="0" w:type="dxa"/>
                    <w:right w:w="105" w:type="dxa"/>
                  </w:tcMar>
                  <w:vAlign w:val="center"/>
                </w:tcPr>
                <w:p>
                  <w:pPr>
                    <w:pStyle w:val="58"/>
                    <w:spacing w:line="320" w:lineRule="exact"/>
                    <w:rPr>
                      <w:kern w:val="0"/>
                    </w:rPr>
                  </w:pPr>
                  <w:r>
                    <w:rPr>
                      <w:rFonts w:hint="eastAsia"/>
                      <w:kern w:val="0"/>
                    </w:rPr>
                    <w:t>2#车间北侧</w:t>
                  </w:r>
                </w:p>
              </w:tc>
              <w:tc>
                <w:tcPr>
                  <w:tcW w:w="419" w:type="pct"/>
                  <w:vMerge w:val="restart"/>
                  <w:shd w:val="clear" w:color="auto" w:fill="FFFFFF"/>
                  <w:tcMar>
                    <w:top w:w="0" w:type="dxa"/>
                    <w:left w:w="105" w:type="dxa"/>
                    <w:bottom w:w="0" w:type="dxa"/>
                    <w:right w:w="105" w:type="dxa"/>
                  </w:tcMar>
                  <w:vAlign w:val="center"/>
                </w:tcPr>
                <w:p>
                  <w:pPr>
                    <w:pStyle w:val="58"/>
                    <w:spacing w:line="320" w:lineRule="exact"/>
                    <w:rPr>
                      <w:kern w:val="0"/>
                    </w:rPr>
                  </w:pPr>
                  <w:r>
                    <w:rPr>
                      <w:rFonts w:hint="eastAsia"/>
                      <w:kern w:val="0"/>
                    </w:rPr>
                    <w:t>8m</w:t>
                  </w:r>
                  <w:r>
                    <w:rPr>
                      <w:rFonts w:hint="eastAsia"/>
                      <w:kern w:val="0"/>
                      <w:vertAlign w:val="superscript"/>
                    </w:rPr>
                    <w:t>2</w:t>
                  </w:r>
                </w:p>
              </w:tc>
              <w:tc>
                <w:tcPr>
                  <w:tcW w:w="508" w:type="pct"/>
                  <w:shd w:val="clear" w:color="auto" w:fill="FFFFFF"/>
                  <w:tcMar>
                    <w:top w:w="0" w:type="dxa"/>
                    <w:left w:w="105" w:type="dxa"/>
                    <w:bottom w:w="0" w:type="dxa"/>
                    <w:right w:w="105" w:type="dxa"/>
                  </w:tcMar>
                  <w:vAlign w:val="center"/>
                </w:tcPr>
                <w:p>
                  <w:pPr>
                    <w:pStyle w:val="58"/>
                    <w:spacing w:line="320" w:lineRule="exact"/>
                    <w:rPr>
                      <w:kern w:val="0"/>
                      <w:u w:val="single"/>
                    </w:rPr>
                  </w:pPr>
                  <w:r>
                    <w:rPr>
                      <w:rFonts w:hint="eastAsia"/>
                      <w:kern w:val="0"/>
                      <w:u w:val="single"/>
                    </w:rPr>
                    <w:t>带内衬编织袋</w:t>
                  </w:r>
                </w:p>
              </w:tc>
              <w:tc>
                <w:tcPr>
                  <w:tcW w:w="422" w:type="pct"/>
                  <w:shd w:val="clear" w:color="auto" w:fill="FFFFFF"/>
                  <w:tcMar>
                    <w:top w:w="0" w:type="dxa"/>
                    <w:left w:w="105" w:type="dxa"/>
                    <w:bottom w:w="0" w:type="dxa"/>
                    <w:right w:w="105" w:type="dxa"/>
                  </w:tcMar>
                  <w:vAlign w:val="center"/>
                </w:tcPr>
                <w:p>
                  <w:pPr>
                    <w:pStyle w:val="58"/>
                    <w:spacing w:line="320" w:lineRule="exact"/>
                    <w:rPr>
                      <w:kern w:val="0"/>
                      <w:u w:val="single"/>
                    </w:rPr>
                  </w:pPr>
                  <w:r>
                    <w:rPr>
                      <w:rFonts w:hint="eastAsia"/>
                      <w:kern w:val="0"/>
                      <w:u w:val="single"/>
                    </w:rPr>
                    <w:t>3t</w:t>
                  </w:r>
                </w:p>
              </w:tc>
              <w:tc>
                <w:tcPr>
                  <w:tcW w:w="448" w:type="pct"/>
                  <w:shd w:val="clear" w:color="auto" w:fill="FFFFFF"/>
                  <w:tcMar>
                    <w:top w:w="0" w:type="dxa"/>
                    <w:left w:w="105" w:type="dxa"/>
                    <w:bottom w:w="0" w:type="dxa"/>
                    <w:right w:w="105" w:type="dxa"/>
                  </w:tcMar>
                  <w:vAlign w:val="center"/>
                </w:tcPr>
                <w:p>
                  <w:pPr>
                    <w:pStyle w:val="58"/>
                    <w:spacing w:line="320" w:lineRule="exact"/>
                    <w:rPr>
                      <w:kern w:val="0"/>
                    </w:rPr>
                  </w:pPr>
                  <w:r>
                    <w:rPr>
                      <w:rFonts w:hint="eastAsia"/>
                      <w:kern w:val="0"/>
                    </w:rPr>
                    <w:t>半年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440" w:type="pct"/>
                  <w:vMerge w:val="continue"/>
                  <w:shd w:val="clear" w:color="auto" w:fill="FFFFFF"/>
                  <w:tcMar>
                    <w:top w:w="0" w:type="dxa"/>
                    <w:left w:w="105" w:type="dxa"/>
                    <w:bottom w:w="0" w:type="dxa"/>
                    <w:right w:w="105" w:type="dxa"/>
                  </w:tcMar>
                  <w:vAlign w:val="center"/>
                </w:tcPr>
                <w:p>
                  <w:pPr>
                    <w:pStyle w:val="58"/>
                    <w:spacing w:line="320" w:lineRule="exact"/>
                    <w:rPr>
                      <w:kern w:val="0"/>
                    </w:rPr>
                  </w:pPr>
                </w:p>
              </w:tc>
              <w:tc>
                <w:tcPr>
                  <w:tcW w:w="672" w:type="pct"/>
                  <w:shd w:val="clear" w:color="auto" w:fill="FFFFFF"/>
                  <w:tcMar>
                    <w:top w:w="0" w:type="dxa"/>
                    <w:left w:w="105" w:type="dxa"/>
                    <w:bottom w:w="0" w:type="dxa"/>
                    <w:right w:w="105" w:type="dxa"/>
                  </w:tcMar>
                  <w:vAlign w:val="center"/>
                </w:tcPr>
                <w:p>
                  <w:pPr>
                    <w:pStyle w:val="58"/>
                    <w:spacing w:line="320" w:lineRule="exact"/>
                    <w:rPr>
                      <w:bCs/>
                    </w:rPr>
                  </w:pPr>
                  <w:r>
                    <w:rPr>
                      <w:rFonts w:hint="eastAsia"/>
                      <w:bCs/>
                    </w:rPr>
                    <w:t>废光氧灯管</w:t>
                  </w:r>
                </w:p>
              </w:tc>
              <w:tc>
                <w:tcPr>
                  <w:tcW w:w="897" w:type="pct"/>
                  <w:shd w:val="clear" w:color="auto" w:fill="FFFFFF"/>
                  <w:tcMar>
                    <w:top w:w="0" w:type="dxa"/>
                    <w:left w:w="105" w:type="dxa"/>
                    <w:bottom w:w="0" w:type="dxa"/>
                    <w:right w:w="105" w:type="dxa"/>
                  </w:tcMar>
                  <w:vAlign w:val="center"/>
                </w:tcPr>
                <w:p>
                  <w:pPr>
                    <w:pStyle w:val="58"/>
                  </w:pPr>
                  <w:r>
                    <w:rPr>
                      <w:rFonts w:hint="eastAsia"/>
                    </w:rPr>
                    <w:t>HW29</w:t>
                  </w:r>
                </w:p>
                <w:p>
                  <w:pPr>
                    <w:pStyle w:val="58"/>
                  </w:pPr>
                  <w:r>
                    <w:rPr>
                      <w:rFonts w:hint="eastAsia"/>
                    </w:rPr>
                    <w:t>含汞废物</w:t>
                  </w:r>
                </w:p>
              </w:tc>
              <w:tc>
                <w:tcPr>
                  <w:tcW w:w="709" w:type="pct"/>
                  <w:shd w:val="clear" w:color="auto" w:fill="FFFFFF"/>
                  <w:tcMar>
                    <w:top w:w="0" w:type="dxa"/>
                    <w:left w:w="105" w:type="dxa"/>
                    <w:bottom w:w="0" w:type="dxa"/>
                    <w:right w:w="105" w:type="dxa"/>
                  </w:tcMar>
                  <w:vAlign w:val="center"/>
                </w:tcPr>
                <w:p>
                  <w:pPr>
                    <w:pStyle w:val="58"/>
                  </w:pPr>
                  <w:r>
                    <w:rPr>
                      <w:bCs/>
                    </w:rPr>
                    <w:t>900-023-29</w:t>
                  </w:r>
                </w:p>
              </w:tc>
              <w:tc>
                <w:tcPr>
                  <w:tcW w:w="484" w:type="pct"/>
                  <w:vMerge w:val="continue"/>
                  <w:shd w:val="clear" w:color="auto" w:fill="FFFFFF"/>
                  <w:tcMar>
                    <w:top w:w="0" w:type="dxa"/>
                    <w:left w:w="105" w:type="dxa"/>
                    <w:bottom w:w="0" w:type="dxa"/>
                    <w:right w:w="105" w:type="dxa"/>
                  </w:tcMar>
                  <w:vAlign w:val="center"/>
                </w:tcPr>
                <w:p>
                  <w:pPr>
                    <w:pStyle w:val="58"/>
                    <w:spacing w:line="320" w:lineRule="exact"/>
                    <w:rPr>
                      <w:kern w:val="0"/>
                    </w:rPr>
                  </w:pPr>
                </w:p>
              </w:tc>
              <w:tc>
                <w:tcPr>
                  <w:tcW w:w="419" w:type="pct"/>
                  <w:vMerge w:val="continue"/>
                  <w:shd w:val="clear" w:color="auto" w:fill="FFFFFF"/>
                  <w:tcMar>
                    <w:top w:w="0" w:type="dxa"/>
                    <w:left w:w="105" w:type="dxa"/>
                    <w:bottom w:w="0" w:type="dxa"/>
                    <w:right w:w="105" w:type="dxa"/>
                  </w:tcMar>
                  <w:vAlign w:val="center"/>
                </w:tcPr>
                <w:p>
                  <w:pPr>
                    <w:pStyle w:val="58"/>
                    <w:spacing w:line="320" w:lineRule="exact"/>
                    <w:rPr>
                      <w:kern w:val="0"/>
                    </w:rPr>
                  </w:pPr>
                </w:p>
              </w:tc>
              <w:tc>
                <w:tcPr>
                  <w:tcW w:w="508" w:type="pct"/>
                  <w:shd w:val="clear" w:color="auto" w:fill="FFFFFF"/>
                  <w:tcMar>
                    <w:top w:w="0" w:type="dxa"/>
                    <w:left w:w="105" w:type="dxa"/>
                    <w:bottom w:w="0" w:type="dxa"/>
                    <w:right w:w="105" w:type="dxa"/>
                  </w:tcMar>
                  <w:vAlign w:val="center"/>
                </w:tcPr>
                <w:p>
                  <w:pPr>
                    <w:pStyle w:val="58"/>
                    <w:spacing w:line="320" w:lineRule="exact"/>
                    <w:rPr>
                      <w:kern w:val="0"/>
                      <w:u w:val="single"/>
                    </w:rPr>
                  </w:pPr>
                  <w:r>
                    <w:rPr>
                      <w:rFonts w:hint="eastAsia"/>
                      <w:kern w:val="0"/>
                      <w:u w:val="single"/>
                    </w:rPr>
                    <w:t>塑料收纳箱</w:t>
                  </w:r>
                </w:p>
              </w:tc>
              <w:tc>
                <w:tcPr>
                  <w:tcW w:w="422" w:type="pct"/>
                  <w:shd w:val="clear" w:color="auto" w:fill="FFFFFF"/>
                  <w:tcMar>
                    <w:top w:w="0" w:type="dxa"/>
                    <w:left w:w="105" w:type="dxa"/>
                    <w:bottom w:w="0" w:type="dxa"/>
                    <w:right w:w="105" w:type="dxa"/>
                  </w:tcMar>
                  <w:vAlign w:val="center"/>
                </w:tcPr>
                <w:p>
                  <w:pPr>
                    <w:pStyle w:val="58"/>
                    <w:spacing w:line="320" w:lineRule="exact"/>
                    <w:rPr>
                      <w:kern w:val="0"/>
                    </w:rPr>
                  </w:pPr>
                  <w:r>
                    <w:rPr>
                      <w:rFonts w:hint="eastAsia"/>
                      <w:kern w:val="0"/>
                    </w:rPr>
                    <w:t>0.02t</w:t>
                  </w:r>
                </w:p>
              </w:tc>
              <w:tc>
                <w:tcPr>
                  <w:tcW w:w="448" w:type="pct"/>
                  <w:shd w:val="clear" w:color="auto" w:fill="FFFFFF"/>
                  <w:tcMar>
                    <w:top w:w="0" w:type="dxa"/>
                    <w:left w:w="105" w:type="dxa"/>
                    <w:bottom w:w="0" w:type="dxa"/>
                    <w:right w:w="105" w:type="dxa"/>
                  </w:tcMar>
                  <w:vAlign w:val="center"/>
                </w:tcPr>
                <w:p>
                  <w:pPr>
                    <w:pStyle w:val="58"/>
                    <w:spacing w:line="320" w:lineRule="exact"/>
                    <w:rPr>
                      <w:kern w:val="0"/>
                    </w:rPr>
                  </w:pPr>
                  <w:r>
                    <w:rPr>
                      <w:rFonts w:hint="eastAsia"/>
                      <w:kern w:val="0"/>
                    </w:rPr>
                    <w:t>半年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440" w:type="pct"/>
                  <w:vMerge w:val="continue"/>
                  <w:shd w:val="clear" w:color="auto" w:fill="FFFFFF"/>
                  <w:tcMar>
                    <w:top w:w="0" w:type="dxa"/>
                    <w:left w:w="105" w:type="dxa"/>
                    <w:bottom w:w="0" w:type="dxa"/>
                    <w:right w:w="105" w:type="dxa"/>
                  </w:tcMar>
                  <w:vAlign w:val="center"/>
                </w:tcPr>
                <w:p>
                  <w:pPr>
                    <w:pStyle w:val="58"/>
                    <w:spacing w:line="320" w:lineRule="exact"/>
                    <w:rPr>
                      <w:kern w:val="0"/>
                    </w:rPr>
                  </w:pPr>
                </w:p>
              </w:tc>
              <w:tc>
                <w:tcPr>
                  <w:tcW w:w="672" w:type="pct"/>
                  <w:shd w:val="clear" w:color="auto" w:fill="FFFFFF"/>
                  <w:tcMar>
                    <w:top w:w="0" w:type="dxa"/>
                    <w:left w:w="105" w:type="dxa"/>
                    <w:bottom w:w="0" w:type="dxa"/>
                    <w:right w:w="105" w:type="dxa"/>
                  </w:tcMar>
                  <w:vAlign w:val="center"/>
                </w:tcPr>
                <w:p>
                  <w:pPr>
                    <w:pStyle w:val="58"/>
                    <w:spacing w:line="320" w:lineRule="exact"/>
                    <w:rPr>
                      <w:bCs/>
                    </w:rPr>
                  </w:pPr>
                  <w:r>
                    <w:rPr>
                      <w:rFonts w:hint="eastAsia"/>
                      <w:bCs/>
                    </w:rPr>
                    <w:t>废润滑油</w:t>
                  </w:r>
                </w:p>
              </w:tc>
              <w:tc>
                <w:tcPr>
                  <w:tcW w:w="897" w:type="pct"/>
                  <w:shd w:val="clear" w:color="auto" w:fill="FFFFFF"/>
                  <w:tcMar>
                    <w:top w:w="0" w:type="dxa"/>
                    <w:left w:w="105" w:type="dxa"/>
                    <w:bottom w:w="0" w:type="dxa"/>
                    <w:right w:w="105" w:type="dxa"/>
                  </w:tcMar>
                  <w:vAlign w:val="center"/>
                </w:tcPr>
                <w:p>
                  <w:pPr>
                    <w:pStyle w:val="58"/>
                    <w:spacing w:line="320" w:lineRule="exact"/>
                  </w:pPr>
                  <w:r>
                    <w:rPr>
                      <w:rFonts w:hint="eastAsia"/>
                    </w:rPr>
                    <w:t>HW08废矿物油与含矿物油废物</w:t>
                  </w:r>
                </w:p>
              </w:tc>
              <w:tc>
                <w:tcPr>
                  <w:tcW w:w="709" w:type="pct"/>
                  <w:shd w:val="clear" w:color="auto" w:fill="FFFFFF"/>
                  <w:tcMar>
                    <w:top w:w="0" w:type="dxa"/>
                    <w:left w:w="105" w:type="dxa"/>
                    <w:bottom w:w="0" w:type="dxa"/>
                    <w:right w:w="105" w:type="dxa"/>
                  </w:tcMar>
                  <w:vAlign w:val="center"/>
                </w:tcPr>
                <w:p>
                  <w:pPr>
                    <w:pStyle w:val="58"/>
                    <w:spacing w:line="320" w:lineRule="exact"/>
                  </w:pPr>
                  <w:r>
                    <w:rPr>
                      <w:rFonts w:hint="eastAsia"/>
                    </w:rPr>
                    <w:t>900-214-08</w:t>
                  </w:r>
                </w:p>
              </w:tc>
              <w:tc>
                <w:tcPr>
                  <w:tcW w:w="484" w:type="pct"/>
                  <w:vMerge w:val="continue"/>
                  <w:shd w:val="clear" w:color="auto" w:fill="FFFFFF"/>
                  <w:tcMar>
                    <w:top w:w="0" w:type="dxa"/>
                    <w:left w:w="105" w:type="dxa"/>
                    <w:bottom w:w="0" w:type="dxa"/>
                    <w:right w:w="105" w:type="dxa"/>
                  </w:tcMar>
                  <w:vAlign w:val="center"/>
                </w:tcPr>
                <w:p>
                  <w:pPr>
                    <w:pStyle w:val="58"/>
                    <w:spacing w:line="320" w:lineRule="exact"/>
                    <w:rPr>
                      <w:kern w:val="0"/>
                    </w:rPr>
                  </w:pPr>
                </w:p>
              </w:tc>
              <w:tc>
                <w:tcPr>
                  <w:tcW w:w="419" w:type="pct"/>
                  <w:vMerge w:val="continue"/>
                  <w:shd w:val="clear" w:color="auto" w:fill="FFFFFF"/>
                  <w:tcMar>
                    <w:top w:w="0" w:type="dxa"/>
                    <w:left w:w="105" w:type="dxa"/>
                    <w:bottom w:w="0" w:type="dxa"/>
                    <w:right w:w="105" w:type="dxa"/>
                  </w:tcMar>
                  <w:vAlign w:val="center"/>
                </w:tcPr>
                <w:p>
                  <w:pPr>
                    <w:pStyle w:val="58"/>
                    <w:spacing w:line="320" w:lineRule="exact"/>
                    <w:rPr>
                      <w:kern w:val="0"/>
                    </w:rPr>
                  </w:pPr>
                </w:p>
              </w:tc>
              <w:tc>
                <w:tcPr>
                  <w:tcW w:w="508" w:type="pct"/>
                  <w:shd w:val="clear" w:color="auto" w:fill="FFFFFF"/>
                  <w:tcMar>
                    <w:top w:w="0" w:type="dxa"/>
                    <w:left w:w="105" w:type="dxa"/>
                    <w:bottom w:w="0" w:type="dxa"/>
                    <w:right w:w="105" w:type="dxa"/>
                  </w:tcMar>
                  <w:vAlign w:val="center"/>
                </w:tcPr>
                <w:p>
                  <w:pPr>
                    <w:pStyle w:val="58"/>
                    <w:spacing w:line="320" w:lineRule="exact"/>
                    <w:rPr>
                      <w:kern w:val="0"/>
                    </w:rPr>
                  </w:pPr>
                  <w:r>
                    <w:rPr>
                      <w:rFonts w:hint="eastAsia"/>
                      <w:kern w:val="0"/>
                    </w:rPr>
                    <w:t>金属桶装</w:t>
                  </w:r>
                </w:p>
              </w:tc>
              <w:tc>
                <w:tcPr>
                  <w:tcW w:w="422" w:type="pct"/>
                  <w:shd w:val="clear" w:color="auto" w:fill="FFFFFF"/>
                  <w:tcMar>
                    <w:top w:w="0" w:type="dxa"/>
                    <w:left w:w="105" w:type="dxa"/>
                    <w:bottom w:w="0" w:type="dxa"/>
                    <w:right w:w="105" w:type="dxa"/>
                  </w:tcMar>
                  <w:vAlign w:val="center"/>
                </w:tcPr>
                <w:p>
                  <w:pPr>
                    <w:pStyle w:val="58"/>
                    <w:spacing w:line="320" w:lineRule="exact"/>
                    <w:rPr>
                      <w:kern w:val="0"/>
                    </w:rPr>
                  </w:pPr>
                  <w:r>
                    <w:rPr>
                      <w:rFonts w:hint="eastAsia"/>
                      <w:kern w:val="0"/>
                    </w:rPr>
                    <w:t>0.05t</w:t>
                  </w:r>
                </w:p>
              </w:tc>
              <w:tc>
                <w:tcPr>
                  <w:tcW w:w="448" w:type="pct"/>
                  <w:shd w:val="clear" w:color="auto" w:fill="FFFFFF"/>
                  <w:tcMar>
                    <w:top w:w="0" w:type="dxa"/>
                    <w:left w:w="105" w:type="dxa"/>
                    <w:bottom w:w="0" w:type="dxa"/>
                    <w:right w:w="105" w:type="dxa"/>
                  </w:tcMar>
                  <w:vAlign w:val="center"/>
                </w:tcPr>
                <w:p>
                  <w:pPr>
                    <w:pStyle w:val="58"/>
                    <w:spacing w:line="320" w:lineRule="exact"/>
                    <w:rPr>
                      <w:kern w:val="0"/>
                    </w:rPr>
                  </w:pPr>
                  <w:r>
                    <w:rPr>
                      <w:rFonts w:hint="eastAsia"/>
                      <w:kern w:val="0"/>
                    </w:rPr>
                    <w:t>一年</w:t>
                  </w:r>
                </w:p>
              </w:tc>
            </w:tr>
          </w:tbl>
          <w:p>
            <w:pPr>
              <w:spacing w:beforeLines="50" w:line="360" w:lineRule="auto"/>
              <w:ind w:firstLine="480" w:firstLineChars="200"/>
              <w:rPr>
                <w:bCs/>
                <w:sz w:val="24"/>
                <w:u w:val="single"/>
              </w:rPr>
            </w:pPr>
            <w:r>
              <w:rPr>
                <w:bCs/>
                <w:sz w:val="24"/>
              </w:rPr>
              <w:t>危险暂存间</w:t>
            </w:r>
            <w:r>
              <w:rPr>
                <w:rFonts w:hint="eastAsia"/>
                <w:bCs/>
                <w:sz w:val="24"/>
              </w:rPr>
              <w:t>设</w:t>
            </w:r>
            <w:r>
              <w:rPr>
                <w:bCs/>
                <w:sz w:val="24"/>
              </w:rPr>
              <w:t>为封闭</w:t>
            </w:r>
            <w:r>
              <w:rPr>
                <w:rFonts w:hint="eastAsia"/>
                <w:bCs/>
                <w:sz w:val="24"/>
              </w:rPr>
              <w:t>隔间</w:t>
            </w:r>
            <w:r>
              <w:rPr>
                <w:bCs/>
                <w:sz w:val="24"/>
              </w:rPr>
              <w:t>，采取必要的防风、防晒、防雨、防漏、防渗、防腐以及其他环境污染防治措施</w:t>
            </w:r>
            <w:r>
              <w:rPr>
                <w:sz w:val="24"/>
              </w:rPr>
              <w:t>。</w:t>
            </w:r>
            <w:r>
              <w:rPr>
                <w:bCs/>
                <w:sz w:val="24"/>
              </w:rPr>
              <w:t>本次环评要求</w:t>
            </w:r>
            <w:r>
              <w:rPr>
                <w:sz w:val="24"/>
              </w:rPr>
              <w:t>危废</w:t>
            </w:r>
            <w:r>
              <w:rPr>
                <w:rFonts w:hint="eastAsia"/>
                <w:sz w:val="24"/>
              </w:rPr>
              <w:t>暂存间</w:t>
            </w:r>
            <w:r>
              <w:rPr>
                <w:sz w:val="24"/>
              </w:rPr>
              <w:t>严格按照《危险废物贮存污染控制标准》（GB18597-20</w:t>
            </w:r>
            <w:r>
              <w:rPr>
                <w:rFonts w:hint="eastAsia"/>
                <w:sz w:val="24"/>
              </w:rPr>
              <w:t>23</w:t>
            </w:r>
            <w:r>
              <w:rPr>
                <w:sz w:val="24"/>
              </w:rPr>
              <w:t>）的要求进行建设，地面硬化防渗，</w:t>
            </w:r>
            <w:r>
              <w:rPr>
                <w:rFonts w:hint="eastAsia"/>
                <w:sz w:val="24"/>
                <w:u w:val="single"/>
              </w:rPr>
              <w:t>各类危险废物分区存放，</w:t>
            </w:r>
            <w:r>
              <w:rPr>
                <w:sz w:val="24"/>
              </w:rPr>
              <w:t>装载危险废物的容器必须定期检查，确保完好无损，防止容器破损造成二次污染，并设置明显的警示标志。</w:t>
            </w:r>
          </w:p>
          <w:p>
            <w:pPr>
              <w:spacing w:line="360" w:lineRule="auto"/>
              <w:ind w:firstLine="480" w:firstLineChars="200"/>
              <w:rPr>
                <w:sz w:val="24"/>
              </w:rPr>
            </w:pPr>
            <w:r>
              <w:rPr>
                <w:sz w:val="24"/>
              </w:rPr>
              <w:t>综上所述，本项目产生的固</w:t>
            </w:r>
            <w:r>
              <w:rPr>
                <w:rFonts w:hint="eastAsia"/>
                <w:sz w:val="24"/>
              </w:rPr>
              <w:t>体废物处置措施体现了综合利用、安全处置的宗旨，处置方式合理可行。</w:t>
            </w:r>
          </w:p>
          <w:p>
            <w:pPr>
              <w:spacing w:line="360" w:lineRule="auto"/>
              <w:rPr>
                <w:b/>
                <w:sz w:val="24"/>
              </w:rPr>
            </w:pPr>
            <w:r>
              <w:rPr>
                <w:rFonts w:hint="eastAsia"/>
                <w:b/>
                <w:sz w:val="24"/>
              </w:rPr>
              <w:t>5</w:t>
            </w:r>
            <w:r>
              <w:rPr>
                <w:b/>
                <w:sz w:val="24"/>
              </w:rPr>
              <w:t>地下水、土壤</w:t>
            </w:r>
          </w:p>
          <w:p>
            <w:pPr>
              <w:spacing w:line="360" w:lineRule="auto"/>
              <w:ind w:firstLine="480" w:firstLineChars="200"/>
              <w:rPr>
                <w:sz w:val="24"/>
              </w:rPr>
            </w:pPr>
            <w:r>
              <w:rPr>
                <w:rFonts w:hint="eastAsia"/>
                <w:sz w:val="24"/>
              </w:rPr>
              <w:t>本项目危废暂存间内存放危险废物主要为废活性炭、</w:t>
            </w:r>
            <w:r>
              <w:rPr>
                <w:rFonts w:hint="eastAsia"/>
                <w:kern w:val="0"/>
                <w:sz w:val="24"/>
              </w:rPr>
              <w:t>废光氧灯管、废润滑油</w:t>
            </w:r>
            <w:r>
              <w:rPr>
                <w:rFonts w:hint="eastAsia"/>
                <w:sz w:val="24"/>
              </w:rPr>
              <w:t>，均存放在危废暂存间专用容器内，并采取相应的防渗措施，车间地面硬化。本项目不会对区域的地下水和土壤造成影响。</w:t>
            </w:r>
          </w:p>
          <w:p>
            <w:pPr>
              <w:spacing w:line="360" w:lineRule="auto"/>
              <w:rPr>
                <w:b/>
                <w:sz w:val="24"/>
                <w:u w:val="single"/>
              </w:rPr>
            </w:pPr>
            <w:r>
              <w:rPr>
                <w:rFonts w:hint="eastAsia"/>
                <w:b/>
                <w:sz w:val="24"/>
                <w:u w:val="single"/>
              </w:rPr>
              <w:t>6环境风险分析</w:t>
            </w:r>
          </w:p>
          <w:p>
            <w:pPr>
              <w:adjustRightInd w:val="0"/>
              <w:snapToGrid w:val="0"/>
              <w:spacing w:line="360" w:lineRule="auto"/>
              <w:ind w:firstLine="480" w:firstLineChars="200"/>
              <w:rPr>
                <w:sz w:val="24"/>
                <w:u w:val="single"/>
              </w:rPr>
            </w:pPr>
            <w:r>
              <w:rPr>
                <w:rFonts w:hint="eastAsia"/>
                <w:sz w:val="24"/>
                <w:u w:val="single"/>
              </w:rPr>
              <w:t>本项目生产过程使用原料为聚丙烯、聚乙烯和填充母料，使用能源为电能，拉丝机、覆膜机使用冷却水，冷却水循环使用。本项目产生一般工业固体废物主要为废丝、边角料、废包装袋等，外售综合利用。产生危险废物主要为废活性炭、废光氧灯管、废润滑油，分类在危废暂存间密封暂存，交有资质单位处理处置。本项目危险废物产生量较小，对照《建设项目环境风险评价技术导则》（HJ/T169-2018）附录B：表B.1、表B.2，本项目涉及的突发环境事件风险物质主要为废润滑油和废光氧灯管，废光氧灯管含有汞蒸气，物质临界量对照汞，本项目风险物质存储情况见下表。</w:t>
            </w:r>
          </w:p>
          <w:p>
            <w:pPr>
              <w:pStyle w:val="53"/>
              <w:numPr>
                <w:ilvl w:val="0"/>
                <w:numId w:val="2"/>
              </w:numPr>
              <w:ind w:left="0" w:firstLine="0"/>
            </w:pPr>
            <w:r>
              <w:rPr>
                <w:rFonts w:hint="eastAsia"/>
              </w:rPr>
              <w:t>本项目风险物质存储情况</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598"/>
              <w:gridCol w:w="1214"/>
              <w:gridCol w:w="3027"/>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5" w:type="dxa"/>
                  <w:vAlign w:val="center"/>
                </w:tcPr>
                <w:p>
                  <w:pPr>
                    <w:pStyle w:val="58"/>
                    <w:rPr>
                      <w:rFonts w:eastAsia="黑体"/>
                    </w:rPr>
                  </w:pPr>
                  <w:r>
                    <w:rPr>
                      <w:rFonts w:hAnsi="黑体" w:eastAsia="黑体"/>
                    </w:rPr>
                    <w:t>序号</w:t>
                  </w:r>
                </w:p>
              </w:tc>
              <w:tc>
                <w:tcPr>
                  <w:tcW w:w="1701" w:type="dxa"/>
                  <w:vAlign w:val="center"/>
                </w:tcPr>
                <w:p>
                  <w:pPr>
                    <w:pStyle w:val="58"/>
                    <w:rPr>
                      <w:rFonts w:eastAsia="黑体"/>
                    </w:rPr>
                  </w:pPr>
                  <w:r>
                    <w:rPr>
                      <w:rFonts w:hAnsi="黑体" w:eastAsia="黑体"/>
                    </w:rPr>
                    <w:t>物质名称</w:t>
                  </w:r>
                </w:p>
              </w:tc>
              <w:tc>
                <w:tcPr>
                  <w:tcW w:w="1276" w:type="dxa"/>
                  <w:vAlign w:val="center"/>
                </w:tcPr>
                <w:p>
                  <w:pPr>
                    <w:pStyle w:val="58"/>
                    <w:rPr>
                      <w:rFonts w:eastAsia="黑体"/>
                    </w:rPr>
                  </w:pPr>
                  <w:r>
                    <w:rPr>
                      <w:rFonts w:hAnsi="黑体" w:eastAsia="黑体"/>
                    </w:rPr>
                    <w:t>临界量</w:t>
                  </w:r>
                  <w:r>
                    <w:rPr>
                      <w:rFonts w:eastAsia="黑体"/>
                    </w:rPr>
                    <w:t>t</w:t>
                  </w:r>
                </w:p>
              </w:tc>
              <w:tc>
                <w:tcPr>
                  <w:tcW w:w="3260" w:type="dxa"/>
                  <w:vAlign w:val="center"/>
                </w:tcPr>
                <w:p>
                  <w:pPr>
                    <w:pStyle w:val="58"/>
                    <w:rPr>
                      <w:rFonts w:eastAsia="黑体"/>
                    </w:rPr>
                  </w:pPr>
                  <w:r>
                    <w:rPr>
                      <w:rFonts w:hAnsi="黑体" w:eastAsia="黑体"/>
                    </w:rPr>
                    <w:t>单元实际存储量</w:t>
                  </w:r>
                  <w:r>
                    <w:rPr>
                      <w:rFonts w:eastAsia="黑体"/>
                    </w:rPr>
                    <w:t>t</w:t>
                  </w:r>
                </w:p>
              </w:tc>
              <w:tc>
                <w:tcPr>
                  <w:tcW w:w="1327" w:type="dxa"/>
                  <w:vAlign w:val="center"/>
                </w:tcPr>
                <w:p>
                  <w:pPr>
                    <w:pStyle w:val="58"/>
                    <w:rPr>
                      <w:rFonts w:eastAsia="黑体"/>
                    </w:rPr>
                  </w:pPr>
                  <w:r>
                    <w:rPr>
                      <w:rFonts w:eastAsia="黑体"/>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5" w:type="dxa"/>
                  <w:vAlign w:val="center"/>
                </w:tcPr>
                <w:p>
                  <w:pPr>
                    <w:pStyle w:val="58"/>
                  </w:pPr>
                  <w:r>
                    <w:t>1</w:t>
                  </w:r>
                </w:p>
              </w:tc>
              <w:tc>
                <w:tcPr>
                  <w:tcW w:w="1701" w:type="dxa"/>
                  <w:vAlign w:val="center"/>
                </w:tcPr>
                <w:p>
                  <w:pPr>
                    <w:adjustRightInd w:val="0"/>
                    <w:snapToGrid w:val="0"/>
                    <w:jc w:val="center"/>
                    <w:rPr>
                      <w:bCs/>
                      <w:szCs w:val="21"/>
                    </w:rPr>
                  </w:pPr>
                  <w:r>
                    <w:rPr>
                      <w:bCs/>
                      <w:szCs w:val="21"/>
                    </w:rPr>
                    <w:t>废</w:t>
                  </w:r>
                  <w:r>
                    <w:rPr>
                      <w:rFonts w:hint="eastAsia"/>
                      <w:bCs/>
                      <w:szCs w:val="21"/>
                    </w:rPr>
                    <w:t>润滑油</w:t>
                  </w:r>
                </w:p>
              </w:tc>
              <w:tc>
                <w:tcPr>
                  <w:tcW w:w="1276" w:type="dxa"/>
                  <w:vAlign w:val="center"/>
                </w:tcPr>
                <w:p>
                  <w:pPr>
                    <w:adjustRightInd w:val="0"/>
                    <w:snapToGrid w:val="0"/>
                    <w:jc w:val="center"/>
                    <w:rPr>
                      <w:bCs/>
                      <w:szCs w:val="21"/>
                    </w:rPr>
                  </w:pPr>
                  <w:r>
                    <w:rPr>
                      <w:bCs/>
                      <w:szCs w:val="21"/>
                    </w:rPr>
                    <w:t>2500</w:t>
                  </w:r>
                </w:p>
              </w:tc>
              <w:tc>
                <w:tcPr>
                  <w:tcW w:w="3260" w:type="dxa"/>
                  <w:vAlign w:val="center"/>
                </w:tcPr>
                <w:p>
                  <w:pPr>
                    <w:adjustRightInd w:val="0"/>
                    <w:snapToGrid w:val="0"/>
                    <w:jc w:val="center"/>
                    <w:rPr>
                      <w:bCs/>
                      <w:szCs w:val="21"/>
                    </w:rPr>
                  </w:pPr>
                  <w:r>
                    <w:rPr>
                      <w:bCs/>
                      <w:szCs w:val="21"/>
                    </w:rPr>
                    <w:t>0.</w:t>
                  </w:r>
                  <w:r>
                    <w:rPr>
                      <w:rFonts w:hint="eastAsia"/>
                      <w:bCs/>
                      <w:szCs w:val="21"/>
                    </w:rPr>
                    <w:t>2</w:t>
                  </w:r>
                  <w:r>
                    <w:rPr>
                      <w:bCs/>
                      <w:szCs w:val="21"/>
                    </w:rPr>
                    <w:t>t，金属桶装</w:t>
                  </w:r>
                </w:p>
              </w:tc>
              <w:tc>
                <w:tcPr>
                  <w:tcW w:w="1327" w:type="dxa"/>
                  <w:vAlign w:val="center"/>
                </w:tcPr>
                <w:p>
                  <w:pPr>
                    <w:pStyle w:val="58"/>
                  </w:pPr>
                  <w:r>
                    <w:t>0.0000</w:t>
                  </w: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5" w:type="dxa"/>
                  <w:vAlign w:val="center"/>
                </w:tcPr>
                <w:p>
                  <w:pPr>
                    <w:pStyle w:val="58"/>
                  </w:pPr>
                  <w:r>
                    <w:t>2</w:t>
                  </w:r>
                </w:p>
              </w:tc>
              <w:tc>
                <w:tcPr>
                  <w:tcW w:w="1701" w:type="dxa"/>
                  <w:vAlign w:val="center"/>
                </w:tcPr>
                <w:p>
                  <w:pPr>
                    <w:spacing w:line="360" w:lineRule="exact"/>
                    <w:jc w:val="center"/>
                    <w:rPr>
                      <w:bCs/>
                    </w:rPr>
                  </w:pPr>
                  <w:r>
                    <w:rPr>
                      <w:rFonts w:hint="eastAsia"/>
                      <w:bCs/>
                    </w:rPr>
                    <w:t>废光氧灯管</w:t>
                  </w:r>
                </w:p>
                <w:p>
                  <w:pPr>
                    <w:spacing w:line="360" w:lineRule="exact"/>
                    <w:jc w:val="center"/>
                    <w:rPr>
                      <w:bCs/>
                    </w:rPr>
                  </w:pPr>
                  <w:r>
                    <w:rPr>
                      <w:rFonts w:hint="eastAsia"/>
                      <w:bCs/>
                    </w:rPr>
                    <w:t>（含汞蒸气）</w:t>
                  </w:r>
                </w:p>
              </w:tc>
              <w:tc>
                <w:tcPr>
                  <w:tcW w:w="1276" w:type="dxa"/>
                  <w:vAlign w:val="center"/>
                </w:tcPr>
                <w:p>
                  <w:pPr>
                    <w:pStyle w:val="58"/>
                  </w:pPr>
                  <w:r>
                    <w:rPr>
                      <w:rFonts w:hint="eastAsia"/>
                    </w:rPr>
                    <w:t>汞0.5</w:t>
                  </w:r>
                </w:p>
              </w:tc>
              <w:tc>
                <w:tcPr>
                  <w:tcW w:w="3260" w:type="dxa"/>
                  <w:vAlign w:val="center"/>
                </w:tcPr>
                <w:p>
                  <w:pPr>
                    <w:pStyle w:val="58"/>
                    <w:jc w:val="both"/>
                  </w:pPr>
                  <w:r>
                    <w:rPr>
                      <w:rFonts w:hint="eastAsia"/>
                    </w:rPr>
                    <w:t>本项目</w:t>
                  </w:r>
                  <w:r>
                    <w:rPr>
                      <w:rFonts w:hint="eastAsia"/>
                      <w:bCs/>
                    </w:rPr>
                    <w:t>废光氧灯管最大储量</w:t>
                  </w:r>
                  <w:r>
                    <w:rPr>
                      <w:rFonts w:hint="eastAsia"/>
                    </w:rPr>
                    <w:t>0.02t，密封塑料收纳箱，直接参考汞临界量对照</w:t>
                  </w:r>
                </w:p>
              </w:tc>
              <w:tc>
                <w:tcPr>
                  <w:tcW w:w="1327" w:type="dxa"/>
                  <w:vAlign w:val="center"/>
                </w:tcPr>
                <w:p>
                  <w:pPr>
                    <w:pStyle w:val="58"/>
                  </w:pPr>
                  <w:r>
                    <w:rPr>
                      <w:rFonts w:hint="eastAsia"/>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82" w:type="dxa"/>
                  <w:gridSpan w:val="4"/>
                  <w:vAlign w:val="center"/>
                </w:tcPr>
                <w:p>
                  <w:pPr>
                    <w:adjustRightInd w:val="0"/>
                    <w:snapToGrid w:val="0"/>
                    <w:jc w:val="center"/>
                    <w:rPr>
                      <w:bCs/>
                      <w:szCs w:val="21"/>
                    </w:rPr>
                  </w:pPr>
                  <w:r>
                    <w:rPr>
                      <w:bCs/>
                      <w:szCs w:val="21"/>
                    </w:rPr>
                    <w:t>合计</w:t>
                  </w:r>
                </w:p>
              </w:tc>
              <w:tc>
                <w:tcPr>
                  <w:tcW w:w="1327" w:type="dxa"/>
                  <w:vAlign w:val="center"/>
                </w:tcPr>
                <w:p>
                  <w:pPr>
                    <w:pStyle w:val="58"/>
                  </w:pPr>
                  <w:r>
                    <w:rPr>
                      <w:rFonts w:hint="eastAsia"/>
                    </w:rPr>
                    <w:t>0.04008</w:t>
                  </w:r>
                </w:p>
              </w:tc>
            </w:tr>
          </w:tbl>
          <w:p>
            <w:pPr>
              <w:spacing w:line="360" w:lineRule="auto"/>
              <w:ind w:firstLine="480" w:firstLineChars="200"/>
              <w:rPr>
                <w:kern w:val="0"/>
                <w:sz w:val="24"/>
                <w:u w:val="single"/>
              </w:rPr>
            </w:pPr>
            <w:r>
              <w:rPr>
                <w:rFonts w:hint="eastAsia"/>
                <w:sz w:val="24"/>
                <w:u w:val="single"/>
              </w:rPr>
              <w:t>根据以上分析，本项目危险物质数量与临界量比值Q</w:t>
            </w:r>
            <w:r>
              <w:rPr>
                <w:sz w:val="24"/>
                <w:u w:val="single"/>
              </w:rPr>
              <w:t>˂</w:t>
            </w:r>
            <w:r>
              <w:rPr>
                <w:rFonts w:hint="eastAsia"/>
                <w:sz w:val="24"/>
                <w:u w:val="single"/>
              </w:rPr>
              <w:t>1范围。</w:t>
            </w:r>
            <w:r>
              <w:rPr>
                <w:rFonts w:hint="eastAsia"/>
                <w:kern w:val="0"/>
                <w:sz w:val="24"/>
                <w:u w:val="single"/>
              </w:rPr>
              <w:t>项目环境风险潜势为Ⅰ。</w:t>
            </w:r>
            <w:r>
              <w:rPr>
                <w:sz w:val="24"/>
                <w:u w:val="single"/>
              </w:rPr>
              <w:t>仅对风险</w:t>
            </w:r>
            <w:r>
              <w:rPr>
                <w:rFonts w:hint="eastAsia"/>
                <w:sz w:val="24"/>
                <w:u w:val="single"/>
              </w:rPr>
              <w:t>措施</w:t>
            </w:r>
            <w:r>
              <w:rPr>
                <w:sz w:val="24"/>
                <w:u w:val="single"/>
              </w:rPr>
              <w:t>进行简单分析。</w:t>
            </w:r>
            <w:r>
              <w:rPr>
                <w:rFonts w:hint="eastAsia"/>
                <w:sz w:val="24"/>
                <w:u w:val="single"/>
              </w:rPr>
              <w:t>危废储存间环境风险防范措施主要为：</w:t>
            </w:r>
          </w:p>
          <w:p>
            <w:pPr>
              <w:adjustRightInd w:val="0"/>
              <w:snapToGrid w:val="0"/>
              <w:spacing w:line="360" w:lineRule="auto"/>
              <w:ind w:firstLine="480"/>
              <w:rPr>
                <w:bCs/>
                <w:sz w:val="24"/>
                <w:u w:val="single"/>
              </w:rPr>
            </w:pPr>
            <w:r>
              <w:rPr>
                <w:rFonts w:hint="eastAsia"/>
                <w:bCs/>
                <w:sz w:val="24"/>
                <w:u w:val="single"/>
              </w:rPr>
              <w:t>（1）按要求</w:t>
            </w:r>
            <w:r>
              <w:rPr>
                <w:bCs/>
                <w:sz w:val="24"/>
                <w:u w:val="single"/>
              </w:rPr>
              <w:t>设置</w:t>
            </w:r>
            <w:r>
              <w:rPr>
                <w:rFonts w:hint="eastAsia"/>
                <w:bCs/>
                <w:sz w:val="24"/>
                <w:u w:val="single"/>
              </w:rPr>
              <w:t>危废暂存间</w:t>
            </w:r>
            <w:r>
              <w:rPr>
                <w:bCs/>
                <w:sz w:val="24"/>
                <w:u w:val="single"/>
              </w:rPr>
              <w:t>和危废暂存装置，危险废物贮存设施根据贮存的废物种类和特性按照《危险废物贮存污染控制标准》（GB18597-20</w:t>
            </w:r>
            <w:r>
              <w:rPr>
                <w:rFonts w:hint="eastAsia"/>
                <w:bCs/>
                <w:sz w:val="24"/>
                <w:u w:val="single"/>
              </w:rPr>
              <w:t>23</w:t>
            </w:r>
            <w:r>
              <w:rPr>
                <w:bCs/>
                <w:sz w:val="24"/>
                <w:u w:val="single"/>
              </w:rPr>
              <w:t>）</w:t>
            </w:r>
            <w:r>
              <w:rPr>
                <w:rFonts w:hint="eastAsia"/>
                <w:bCs/>
                <w:sz w:val="24"/>
                <w:u w:val="single"/>
              </w:rPr>
              <w:t>要求</w:t>
            </w:r>
            <w:r>
              <w:rPr>
                <w:bCs/>
                <w:sz w:val="24"/>
                <w:u w:val="single"/>
              </w:rPr>
              <w:t>设置标志，且将标签粘贴于盛装危险废物的容器上</w:t>
            </w:r>
            <w:r>
              <w:rPr>
                <w:rFonts w:hint="eastAsia"/>
                <w:bCs/>
                <w:sz w:val="24"/>
                <w:u w:val="single"/>
              </w:rPr>
              <w:t>。</w:t>
            </w:r>
          </w:p>
          <w:p>
            <w:pPr>
              <w:adjustRightInd w:val="0"/>
              <w:snapToGrid w:val="0"/>
              <w:spacing w:line="360" w:lineRule="auto"/>
              <w:ind w:firstLine="480"/>
              <w:rPr>
                <w:bCs/>
                <w:sz w:val="24"/>
                <w:u w:val="single"/>
              </w:rPr>
            </w:pPr>
            <w:r>
              <w:rPr>
                <w:rFonts w:hint="eastAsia"/>
                <w:bCs/>
                <w:sz w:val="24"/>
                <w:u w:val="single"/>
              </w:rPr>
              <w:t>（2）</w:t>
            </w:r>
            <w:r>
              <w:rPr>
                <w:rFonts w:hint="eastAsia"/>
                <w:sz w:val="24"/>
                <w:u w:val="single"/>
              </w:rPr>
              <w:t>废活性炭、废光氧灯管、废润滑油分别使用容器密封包装暂存，</w:t>
            </w:r>
            <w:r>
              <w:rPr>
                <w:bCs/>
                <w:sz w:val="24"/>
                <w:u w:val="single"/>
              </w:rPr>
              <w:t>危废暂存间按照相关要求做好严格的防渗措施</w:t>
            </w:r>
            <w:r>
              <w:rPr>
                <w:rFonts w:hint="eastAsia"/>
                <w:bCs/>
                <w:sz w:val="24"/>
                <w:u w:val="single"/>
              </w:rPr>
              <w:t>。</w:t>
            </w:r>
          </w:p>
          <w:p>
            <w:pPr>
              <w:adjustRightInd w:val="0"/>
              <w:snapToGrid w:val="0"/>
              <w:spacing w:line="360" w:lineRule="auto"/>
              <w:ind w:firstLine="480"/>
              <w:rPr>
                <w:bCs/>
                <w:sz w:val="24"/>
                <w:u w:val="single"/>
              </w:rPr>
            </w:pPr>
            <w:r>
              <w:rPr>
                <w:rFonts w:hint="eastAsia"/>
                <w:bCs/>
                <w:sz w:val="24"/>
                <w:u w:val="single"/>
              </w:rPr>
              <w:t>（3）</w:t>
            </w:r>
            <w:r>
              <w:rPr>
                <w:bCs/>
                <w:sz w:val="24"/>
                <w:u w:val="single"/>
              </w:rPr>
              <w:t>按照危废清运周期，及时清运厂区暂存的危险废物，交与有资质的单位处理</w:t>
            </w:r>
            <w:r>
              <w:rPr>
                <w:rFonts w:hint="eastAsia"/>
                <w:bCs/>
                <w:sz w:val="24"/>
                <w:u w:val="single"/>
              </w:rPr>
              <w:t>。</w:t>
            </w:r>
          </w:p>
          <w:p>
            <w:pPr>
              <w:adjustRightInd w:val="0"/>
              <w:snapToGrid w:val="0"/>
              <w:spacing w:line="360" w:lineRule="auto"/>
              <w:ind w:firstLine="480"/>
              <w:rPr>
                <w:bCs/>
                <w:sz w:val="24"/>
                <w:u w:val="single"/>
              </w:rPr>
            </w:pPr>
            <w:r>
              <w:rPr>
                <w:rFonts w:hint="eastAsia"/>
                <w:bCs/>
                <w:sz w:val="24"/>
                <w:u w:val="single"/>
              </w:rPr>
              <w:t>（4）</w:t>
            </w:r>
            <w:r>
              <w:rPr>
                <w:bCs/>
                <w:sz w:val="24"/>
                <w:u w:val="single"/>
              </w:rPr>
              <w:t>危险废物暂存场所专人负责管理，定期对所暂存的危险废物容器进行检查，发现破损，及时采取措施清理更换。严禁随意处置危险废物。</w:t>
            </w:r>
          </w:p>
          <w:p>
            <w:pPr>
              <w:pStyle w:val="62"/>
              <w:spacing w:line="360" w:lineRule="auto"/>
              <w:rPr>
                <w:u w:val="single"/>
              </w:rPr>
            </w:pPr>
            <w:r>
              <w:rPr>
                <w:u w:val="single"/>
              </w:rPr>
              <w:t>综上所述，本项目</w:t>
            </w:r>
            <w:r>
              <w:rPr>
                <w:rFonts w:hint="eastAsia"/>
                <w:u w:val="single"/>
              </w:rPr>
              <w:t>在采取有效的风险防范措施，</w:t>
            </w:r>
            <w:r>
              <w:rPr>
                <w:rFonts w:hint="eastAsia" w:hAnsi="宋体"/>
                <w:bCs/>
                <w:u w:val="single"/>
              </w:rPr>
              <w:t>加强环境管理的情况下，发生风险事故的可能性较低，风险处于可接受水平。</w:t>
            </w:r>
          </w:p>
          <w:p>
            <w:pPr>
              <w:spacing w:line="360" w:lineRule="auto"/>
              <w:rPr>
                <w:sz w:val="24"/>
              </w:rPr>
            </w:pPr>
            <w:r>
              <w:rPr>
                <w:rFonts w:hint="eastAsia"/>
                <w:b/>
                <w:sz w:val="24"/>
              </w:rPr>
              <w:t>7自行监测计划</w:t>
            </w:r>
          </w:p>
          <w:p>
            <w:pPr>
              <w:spacing w:line="360" w:lineRule="auto"/>
              <w:ind w:firstLine="480" w:firstLineChars="200"/>
              <w:rPr>
                <w:rFonts w:hAnsi="宋体"/>
                <w:sz w:val="24"/>
              </w:rPr>
            </w:pPr>
            <w:r>
              <w:rPr>
                <w:rFonts w:hint="eastAsia" w:hAnsi="宋体"/>
                <w:sz w:val="24"/>
              </w:rPr>
              <w:t>本项目环境监测任务外委环境监测站完成，企业不设环境监测机构。参考《排污单位自行监测技术指南橡胶和塑料制品》（HJ1207-2021）中相关内容，结合本项目</w:t>
            </w:r>
            <w:r>
              <w:rPr>
                <w:rFonts w:hint="eastAsia"/>
                <w:sz w:val="24"/>
              </w:rPr>
              <w:t>排污特点</w:t>
            </w:r>
            <w:r>
              <w:rPr>
                <w:rFonts w:hint="eastAsia" w:hAnsi="宋体"/>
                <w:sz w:val="24"/>
              </w:rPr>
              <w:t>，项目监测计划见下表。</w:t>
            </w:r>
          </w:p>
          <w:p>
            <w:pPr>
              <w:pStyle w:val="53"/>
              <w:numPr>
                <w:ilvl w:val="0"/>
                <w:numId w:val="2"/>
              </w:numPr>
              <w:ind w:left="0" w:firstLine="0"/>
            </w:pPr>
            <w:r>
              <w:rPr>
                <w:rFonts w:hint="eastAsia"/>
              </w:rPr>
              <w:t>污染源监测计划表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801"/>
              <w:gridCol w:w="1202"/>
              <w:gridCol w:w="926"/>
              <w:gridCol w:w="1052"/>
              <w:gridCol w:w="3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2" w:type="dxa"/>
                  <w:gridSpan w:val="2"/>
                  <w:shd w:val="clear" w:color="auto" w:fill="auto"/>
                  <w:vAlign w:val="center"/>
                </w:tcPr>
                <w:p>
                  <w:pPr>
                    <w:spacing w:line="320" w:lineRule="exact"/>
                    <w:jc w:val="center"/>
                    <w:rPr>
                      <w:rFonts w:ascii="黑体" w:hAnsi="黑体" w:eastAsia="黑体"/>
                      <w:szCs w:val="21"/>
                    </w:rPr>
                  </w:pPr>
                  <w:r>
                    <w:rPr>
                      <w:rFonts w:ascii="黑体" w:hAnsi="黑体" w:eastAsia="黑体"/>
                      <w:szCs w:val="21"/>
                    </w:rPr>
                    <w:t>监测点位</w:t>
                  </w:r>
                </w:p>
              </w:tc>
              <w:tc>
                <w:tcPr>
                  <w:tcW w:w="1276" w:type="dxa"/>
                  <w:vAlign w:val="center"/>
                </w:tcPr>
                <w:p>
                  <w:pPr>
                    <w:spacing w:line="320" w:lineRule="exact"/>
                    <w:jc w:val="center"/>
                    <w:rPr>
                      <w:rFonts w:ascii="黑体" w:hAnsi="黑体" w:eastAsia="黑体"/>
                      <w:szCs w:val="21"/>
                    </w:rPr>
                  </w:pPr>
                  <w:r>
                    <w:rPr>
                      <w:rFonts w:hint="eastAsia" w:ascii="黑体" w:hAnsi="黑体" w:eastAsia="黑体"/>
                      <w:szCs w:val="21"/>
                    </w:rPr>
                    <w:t>监测内容</w:t>
                  </w:r>
                </w:p>
              </w:tc>
              <w:tc>
                <w:tcPr>
                  <w:tcW w:w="992" w:type="dxa"/>
                  <w:shd w:val="clear" w:color="auto" w:fill="auto"/>
                  <w:vAlign w:val="center"/>
                </w:tcPr>
                <w:p>
                  <w:pPr>
                    <w:spacing w:line="320" w:lineRule="exact"/>
                    <w:jc w:val="center"/>
                    <w:rPr>
                      <w:rFonts w:ascii="黑体" w:hAnsi="黑体" w:eastAsia="黑体"/>
                      <w:szCs w:val="21"/>
                    </w:rPr>
                  </w:pPr>
                  <w:r>
                    <w:rPr>
                      <w:rFonts w:hint="eastAsia" w:ascii="黑体" w:hAnsi="黑体" w:eastAsia="黑体"/>
                      <w:szCs w:val="21"/>
                    </w:rPr>
                    <w:t>污染物</w:t>
                  </w:r>
                </w:p>
              </w:tc>
              <w:tc>
                <w:tcPr>
                  <w:tcW w:w="1134" w:type="dxa"/>
                  <w:vAlign w:val="center"/>
                </w:tcPr>
                <w:p>
                  <w:pPr>
                    <w:spacing w:line="320" w:lineRule="exact"/>
                    <w:jc w:val="center"/>
                    <w:rPr>
                      <w:rFonts w:ascii="黑体" w:hAnsi="黑体" w:eastAsia="黑体"/>
                      <w:szCs w:val="21"/>
                    </w:rPr>
                  </w:pPr>
                  <w:r>
                    <w:rPr>
                      <w:rFonts w:ascii="黑体" w:hAnsi="黑体" w:eastAsia="黑体"/>
                      <w:szCs w:val="21"/>
                    </w:rPr>
                    <w:t>监测频次</w:t>
                  </w:r>
                </w:p>
              </w:tc>
              <w:tc>
                <w:tcPr>
                  <w:tcW w:w="3595" w:type="dxa"/>
                  <w:shd w:val="clear" w:color="auto" w:fill="auto"/>
                  <w:vAlign w:val="center"/>
                </w:tcPr>
                <w:p>
                  <w:pPr>
                    <w:spacing w:line="320" w:lineRule="exact"/>
                    <w:jc w:val="center"/>
                    <w:rPr>
                      <w:rFonts w:ascii="黑体" w:hAnsi="黑体" w:eastAsia="黑体"/>
                      <w:szCs w:val="21"/>
                    </w:rPr>
                  </w:pPr>
                  <w:r>
                    <w:rPr>
                      <w:rFonts w:ascii="黑体" w:hAnsi="黑体" w:eastAsia="黑体"/>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2" w:type="dxa"/>
                  <w:gridSpan w:val="2"/>
                  <w:shd w:val="clear" w:color="auto" w:fill="auto"/>
                  <w:vAlign w:val="center"/>
                </w:tcPr>
                <w:p>
                  <w:pPr>
                    <w:pStyle w:val="58"/>
                    <w:spacing w:line="320" w:lineRule="exact"/>
                  </w:pPr>
                  <w:r>
                    <w:rPr>
                      <w:rFonts w:hint="eastAsia"/>
                    </w:rPr>
                    <w:t>2#车间</w:t>
                  </w:r>
                  <w:r>
                    <w:rPr>
                      <w:rFonts w:hint="eastAsia"/>
                      <w:spacing w:val="-2"/>
                      <w:szCs w:val="21"/>
                    </w:rPr>
                    <w:t>光氧催化+活性炭吸附装置</w:t>
                  </w:r>
                  <w:r>
                    <w:rPr>
                      <w:rFonts w:hint="eastAsia"/>
                    </w:rPr>
                    <w:t>排气筒DA001</w:t>
                  </w:r>
                </w:p>
              </w:tc>
              <w:tc>
                <w:tcPr>
                  <w:tcW w:w="1276" w:type="dxa"/>
                  <w:vAlign w:val="center"/>
                </w:tcPr>
                <w:p>
                  <w:pPr>
                    <w:spacing w:line="320" w:lineRule="exact"/>
                    <w:jc w:val="center"/>
                    <w:rPr>
                      <w:rFonts w:ascii="宋体" w:hAnsi="宋体"/>
                      <w:szCs w:val="21"/>
                    </w:rPr>
                  </w:pPr>
                  <w:r>
                    <w:rPr>
                      <w:rFonts w:hint="eastAsia" w:ascii="宋体" w:hAnsi="宋体"/>
                      <w:szCs w:val="21"/>
                    </w:rPr>
                    <w:t>烟气量,烟气流速</w:t>
                  </w:r>
                </w:p>
              </w:tc>
              <w:tc>
                <w:tcPr>
                  <w:tcW w:w="992" w:type="dxa"/>
                  <w:shd w:val="clear" w:color="auto" w:fill="auto"/>
                  <w:vAlign w:val="center"/>
                </w:tcPr>
                <w:p>
                  <w:pPr>
                    <w:spacing w:line="320" w:lineRule="exact"/>
                    <w:jc w:val="center"/>
                    <w:rPr>
                      <w:szCs w:val="21"/>
                    </w:rPr>
                  </w:pPr>
                  <w:r>
                    <w:rPr>
                      <w:rFonts w:hAnsi="宋体"/>
                      <w:szCs w:val="21"/>
                    </w:rPr>
                    <w:t>非甲烷总烃</w:t>
                  </w:r>
                </w:p>
              </w:tc>
              <w:tc>
                <w:tcPr>
                  <w:tcW w:w="1134" w:type="dxa"/>
                  <w:vAlign w:val="center"/>
                </w:tcPr>
                <w:p>
                  <w:pPr>
                    <w:spacing w:line="320" w:lineRule="exact"/>
                    <w:jc w:val="center"/>
                    <w:rPr>
                      <w:szCs w:val="21"/>
                    </w:rPr>
                  </w:pPr>
                  <w:r>
                    <w:rPr>
                      <w:bCs/>
                      <w:szCs w:val="21"/>
                    </w:rPr>
                    <w:t>1</w:t>
                  </w:r>
                  <w:r>
                    <w:rPr>
                      <w:rFonts w:hAnsi="宋体"/>
                      <w:bCs/>
                      <w:szCs w:val="21"/>
                    </w:rPr>
                    <w:t>次</w:t>
                  </w:r>
                  <w:r>
                    <w:rPr>
                      <w:bCs/>
                      <w:szCs w:val="21"/>
                    </w:rPr>
                    <w:t>/</w:t>
                  </w:r>
                  <w:r>
                    <w:rPr>
                      <w:rFonts w:hint="eastAsia"/>
                      <w:bCs/>
                      <w:szCs w:val="21"/>
                    </w:rPr>
                    <w:t>半</w:t>
                  </w:r>
                  <w:r>
                    <w:rPr>
                      <w:rFonts w:hAnsi="宋体"/>
                      <w:bCs/>
                      <w:szCs w:val="21"/>
                    </w:rPr>
                    <w:t>年</w:t>
                  </w:r>
                </w:p>
              </w:tc>
              <w:tc>
                <w:tcPr>
                  <w:tcW w:w="3595" w:type="dxa"/>
                  <w:vMerge w:val="restart"/>
                  <w:shd w:val="clear" w:color="auto" w:fill="auto"/>
                  <w:vAlign w:val="center"/>
                </w:tcPr>
                <w:p>
                  <w:pPr>
                    <w:spacing w:line="320" w:lineRule="exact"/>
                    <w:rPr>
                      <w:szCs w:val="21"/>
                    </w:rPr>
                  </w:pPr>
                  <w:r>
                    <w:rPr>
                      <w:szCs w:val="21"/>
                    </w:rPr>
                    <w:t>《合成树脂工业污染物排放标准》（GB31572-2015）表5大气污染物特别排放限值</w:t>
                  </w:r>
                  <w:r>
                    <w:rPr>
                      <w:rFonts w:hint="eastAsia"/>
                      <w:szCs w:val="21"/>
                    </w:rPr>
                    <w:t>—</w:t>
                  </w:r>
                  <w:r>
                    <w:rPr>
                      <w:szCs w:val="21"/>
                    </w:rPr>
                    <w:t>非甲烷总烃60mg/m</w:t>
                  </w:r>
                  <w:r>
                    <w:rPr>
                      <w:szCs w:val="21"/>
                      <w:vertAlign w:val="superscript"/>
                    </w:rPr>
                    <w:t>3</w:t>
                  </w:r>
                  <w:r>
                    <w:rPr>
                      <w:rFonts w:hint="eastAsia"/>
                      <w:szCs w:val="21"/>
                    </w:rPr>
                    <w:t>，颗粒物</w:t>
                  </w:r>
                  <w:r>
                    <w:rPr>
                      <w:szCs w:val="21"/>
                    </w:rPr>
                    <w:t>20mg/m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2" w:type="dxa"/>
                  <w:gridSpan w:val="2"/>
                  <w:shd w:val="clear" w:color="auto" w:fill="auto"/>
                  <w:vAlign w:val="center"/>
                </w:tcPr>
                <w:p>
                  <w:pPr>
                    <w:pStyle w:val="58"/>
                    <w:spacing w:line="320" w:lineRule="exact"/>
                  </w:pPr>
                  <w:r>
                    <w:rPr>
                      <w:rFonts w:hint="eastAsia"/>
                    </w:rPr>
                    <w:t>2#车间袋式除尘器排气筒DA002</w:t>
                  </w:r>
                </w:p>
              </w:tc>
              <w:tc>
                <w:tcPr>
                  <w:tcW w:w="1276" w:type="dxa"/>
                  <w:vAlign w:val="center"/>
                </w:tcPr>
                <w:p>
                  <w:pPr>
                    <w:spacing w:line="320" w:lineRule="exact"/>
                    <w:jc w:val="center"/>
                    <w:rPr>
                      <w:rFonts w:hAnsi="宋体"/>
                      <w:szCs w:val="21"/>
                    </w:rPr>
                  </w:pPr>
                  <w:r>
                    <w:rPr>
                      <w:rFonts w:hint="eastAsia" w:ascii="宋体" w:hAnsi="宋体"/>
                      <w:szCs w:val="21"/>
                    </w:rPr>
                    <w:t>烟气量,烟气流速</w:t>
                  </w:r>
                </w:p>
              </w:tc>
              <w:tc>
                <w:tcPr>
                  <w:tcW w:w="992" w:type="dxa"/>
                  <w:shd w:val="clear" w:color="auto" w:fill="auto"/>
                  <w:vAlign w:val="center"/>
                </w:tcPr>
                <w:p>
                  <w:pPr>
                    <w:spacing w:line="320" w:lineRule="exact"/>
                    <w:jc w:val="center"/>
                    <w:rPr>
                      <w:rFonts w:hAnsi="宋体"/>
                      <w:szCs w:val="21"/>
                    </w:rPr>
                  </w:pPr>
                  <w:r>
                    <w:rPr>
                      <w:rFonts w:hint="eastAsia" w:hAnsi="宋体"/>
                      <w:szCs w:val="21"/>
                    </w:rPr>
                    <w:t>颗粒物</w:t>
                  </w:r>
                </w:p>
              </w:tc>
              <w:tc>
                <w:tcPr>
                  <w:tcW w:w="1134" w:type="dxa"/>
                  <w:vAlign w:val="center"/>
                </w:tcPr>
                <w:p>
                  <w:pPr>
                    <w:spacing w:line="320" w:lineRule="exact"/>
                    <w:jc w:val="center"/>
                    <w:rPr>
                      <w:bCs/>
                      <w:szCs w:val="21"/>
                      <w:u w:val="single"/>
                    </w:rPr>
                  </w:pPr>
                  <w:r>
                    <w:rPr>
                      <w:bCs/>
                      <w:szCs w:val="21"/>
                    </w:rPr>
                    <w:t>1</w:t>
                  </w:r>
                  <w:r>
                    <w:rPr>
                      <w:rFonts w:hAnsi="宋体"/>
                      <w:bCs/>
                      <w:szCs w:val="21"/>
                    </w:rPr>
                    <w:t>次</w:t>
                  </w:r>
                  <w:r>
                    <w:rPr>
                      <w:bCs/>
                      <w:szCs w:val="21"/>
                    </w:rPr>
                    <w:t>/</w:t>
                  </w:r>
                  <w:r>
                    <w:rPr>
                      <w:rFonts w:hAnsi="宋体"/>
                      <w:bCs/>
                      <w:szCs w:val="21"/>
                    </w:rPr>
                    <w:t>年</w:t>
                  </w:r>
                </w:p>
              </w:tc>
              <w:tc>
                <w:tcPr>
                  <w:tcW w:w="3595" w:type="dxa"/>
                  <w:vMerge w:val="continue"/>
                  <w:shd w:val="clear" w:color="auto" w:fill="auto"/>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2" w:type="dxa"/>
                  <w:gridSpan w:val="2"/>
                  <w:shd w:val="clear" w:color="auto" w:fill="auto"/>
                  <w:vAlign w:val="center"/>
                </w:tcPr>
                <w:p>
                  <w:pPr>
                    <w:pStyle w:val="58"/>
                    <w:spacing w:line="320" w:lineRule="exact"/>
                  </w:pPr>
                  <w:r>
                    <w:rPr>
                      <w:rFonts w:hint="eastAsia"/>
                    </w:rPr>
                    <w:t>3#车间</w:t>
                  </w:r>
                  <w:r>
                    <w:rPr>
                      <w:rFonts w:hint="eastAsia"/>
                      <w:spacing w:val="-2"/>
                      <w:szCs w:val="21"/>
                    </w:rPr>
                    <w:t>光氧催化+活性炭吸附装置</w:t>
                  </w:r>
                  <w:r>
                    <w:rPr>
                      <w:rFonts w:hint="eastAsia"/>
                    </w:rPr>
                    <w:t>排气筒DA003</w:t>
                  </w:r>
                </w:p>
              </w:tc>
              <w:tc>
                <w:tcPr>
                  <w:tcW w:w="1276" w:type="dxa"/>
                  <w:vAlign w:val="center"/>
                </w:tcPr>
                <w:p>
                  <w:pPr>
                    <w:spacing w:line="320" w:lineRule="exact"/>
                    <w:jc w:val="center"/>
                    <w:rPr>
                      <w:rFonts w:ascii="宋体" w:hAnsi="宋体"/>
                      <w:szCs w:val="21"/>
                    </w:rPr>
                  </w:pPr>
                  <w:r>
                    <w:rPr>
                      <w:rFonts w:hint="eastAsia" w:ascii="宋体" w:hAnsi="宋体"/>
                      <w:szCs w:val="21"/>
                    </w:rPr>
                    <w:t>烟气量,烟气流速</w:t>
                  </w:r>
                </w:p>
              </w:tc>
              <w:tc>
                <w:tcPr>
                  <w:tcW w:w="992" w:type="dxa"/>
                  <w:shd w:val="clear" w:color="auto" w:fill="auto"/>
                  <w:vAlign w:val="center"/>
                </w:tcPr>
                <w:p>
                  <w:pPr>
                    <w:spacing w:line="320" w:lineRule="exact"/>
                    <w:jc w:val="center"/>
                    <w:rPr>
                      <w:szCs w:val="21"/>
                    </w:rPr>
                  </w:pPr>
                  <w:r>
                    <w:rPr>
                      <w:rFonts w:hAnsi="宋体"/>
                      <w:szCs w:val="21"/>
                    </w:rPr>
                    <w:t>非甲烷总烃</w:t>
                  </w:r>
                </w:p>
              </w:tc>
              <w:tc>
                <w:tcPr>
                  <w:tcW w:w="1134" w:type="dxa"/>
                  <w:vAlign w:val="center"/>
                </w:tcPr>
                <w:p>
                  <w:pPr>
                    <w:spacing w:line="320" w:lineRule="exact"/>
                    <w:jc w:val="center"/>
                    <w:rPr>
                      <w:szCs w:val="21"/>
                    </w:rPr>
                  </w:pPr>
                  <w:r>
                    <w:rPr>
                      <w:bCs/>
                      <w:szCs w:val="21"/>
                    </w:rPr>
                    <w:t>1</w:t>
                  </w:r>
                  <w:r>
                    <w:rPr>
                      <w:rFonts w:hAnsi="宋体"/>
                      <w:bCs/>
                      <w:szCs w:val="21"/>
                    </w:rPr>
                    <w:t>次</w:t>
                  </w:r>
                  <w:r>
                    <w:rPr>
                      <w:bCs/>
                      <w:szCs w:val="21"/>
                    </w:rPr>
                    <w:t>/</w:t>
                  </w:r>
                  <w:r>
                    <w:rPr>
                      <w:rFonts w:hint="eastAsia"/>
                      <w:bCs/>
                      <w:szCs w:val="21"/>
                    </w:rPr>
                    <w:t>半</w:t>
                  </w:r>
                  <w:r>
                    <w:rPr>
                      <w:rFonts w:hAnsi="宋体"/>
                      <w:bCs/>
                      <w:szCs w:val="21"/>
                    </w:rPr>
                    <w:t>年</w:t>
                  </w:r>
                </w:p>
              </w:tc>
              <w:tc>
                <w:tcPr>
                  <w:tcW w:w="3595" w:type="dxa"/>
                  <w:vMerge w:val="continue"/>
                  <w:shd w:val="clear" w:color="auto" w:fill="auto"/>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2" w:type="dxa"/>
                  <w:gridSpan w:val="2"/>
                  <w:shd w:val="clear" w:color="auto" w:fill="auto"/>
                  <w:vAlign w:val="center"/>
                </w:tcPr>
                <w:p>
                  <w:pPr>
                    <w:pStyle w:val="58"/>
                    <w:spacing w:line="320" w:lineRule="exact"/>
                  </w:pPr>
                  <w:r>
                    <w:rPr>
                      <w:rFonts w:hint="eastAsia"/>
                    </w:rPr>
                    <w:t>3#车间袋式除尘器排气筒DA004</w:t>
                  </w:r>
                </w:p>
              </w:tc>
              <w:tc>
                <w:tcPr>
                  <w:tcW w:w="1276" w:type="dxa"/>
                  <w:vAlign w:val="center"/>
                </w:tcPr>
                <w:p>
                  <w:pPr>
                    <w:spacing w:line="320" w:lineRule="exact"/>
                    <w:jc w:val="center"/>
                    <w:rPr>
                      <w:rFonts w:ascii="宋体" w:hAnsi="宋体"/>
                      <w:szCs w:val="21"/>
                    </w:rPr>
                  </w:pPr>
                  <w:r>
                    <w:rPr>
                      <w:rFonts w:hint="eastAsia" w:ascii="宋体" w:hAnsi="宋体"/>
                      <w:szCs w:val="21"/>
                    </w:rPr>
                    <w:t>烟气量,烟气流速</w:t>
                  </w:r>
                </w:p>
              </w:tc>
              <w:tc>
                <w:tcPr>
                  <w:tcW w:w="992" w:type="dxa"/>
                  <w:shd w:val="clear" w:color="auto" w:fill="auto"/>
                  <w:vAlign w:val="center"/>
                </w:tcPr>
                <w:p>
                  <w:pPr>
                    <w:spacing w:line="320" w:lineRule="exact"/>
                    <w:jc w:val="center"/>
                    <w:rPr>
                      <w:rFonts w:hAnsi="宋体"/>
                      <w:szCs w:val="21"/>
                    </w:rPr>
                  </w:pPr>
                  <w:r>
                    <w:rPr>
                      <w:rFonts w:hint="eastAsia" w:hAnsi="宋体"/>
                      <w:szCs w:val="21"/>
                    </w:rPr>
                    <w:t>颗粒物</w:t>
                  </w:r>
                </w:p>
              </w:tc>
              <w:tc>
                <w:tcPr>
                  <w:tcW w:w="1134" w:type="dxa"/>
                  <w:vAlign w:val="center"/>
                </w:tcPr>
                <w:p>
                  <w:pPr>
                    <w:spacing w:line="320" w:lineRule="exact"/>
                    <w:jc w:val="center"/>
                    <w:rPr>
                      <w:bCs/>
                      <w:szCs w:val="21"/>
                      <w:u w:val="single"/>
                    </w:rPr>
                  </w:pPr>
                  <w:r>
                    <w:rPr>
                      <w:bCs/>
                      <w:szCs w:val="21"/>
                    </w:rPr>
                    <w:t>1</w:t>
                  </w:r>
                  <w:r>
                    <w:rPr>
                      <w:rFonts w:hAnsi="宋体"/>
                      <w:bCs/>
                      <w:szCs w:val="21"/>
                    </w:rPr>
                    <w:t>次</w:t>
                  </w:r>
                  <w:r>
                    <w:rPr>
                      <w:bCs/>
                      <w:szCs w:val="21"/>
                    </w:rPr>
                    <w:t>/</w:t>
                  </w:r>
                  <w:r>
                    <w:rPr>
                      <w:rFonts w:hAnsi="宋体"/>
                      <w:bCs/>
                      <w:szCs w:val="21"/>
                    </w:rPr>
                    <w:t>年</w:t>
                  </w:r>
                </w:p>
              </w:tc>
              <w:tc>
                <w:tcPr>
                  <w:tcW w:w="3595" w:type="dxa"/>
                  <w:vMerge w:val="continue"/>
                  <w:shd w:val="clear" w:color="auto" w:fill="auto"/>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62" w:type="dxa"/>
                  <w:shd w:val="clear" w:color="auto" w:fill="auto"/>
                  <w:vAlign w:val="center"/>
                </w:tcPr>
                <w:p>
                  <w:pPr>
                    <w:spacing w:line="320" w:lineRule="exact"/>
                    <w:jc w:val="center"/>
                    <w:rPr>
                      <w:szCs w:val="21"/>
                    </w:rPr>
                  </w:pPr>
                  <w:r>
                    <w:rPr>
                      <w:rFonts w:hAnsi="宋体"/>
                      <w:szCs w:val="21"/>
                    </w:rPr>
                    <w:t>无组织监测</w:t>
                  </w:r>
                </w:p>
              </w:tc>
              <w:tc>
                <w:tcPr>
                  <w:tcW w:w="850" w:type="dxa"/>
                  <w:shd w:val="clear" w:color="auto" w:fill="auto"/>
                  <w:vAlign w:val="center"/>
                </w:tcPr>
                <w:p>
                  <w:pPr>
                    <w:spacing w:line="320" w:lineRule="exact"/>
                    <w:jc w:val="center"/>
                    <w:rPr>
                      <w:szCs w:val="21"/>
                    </w:rPr>
                  </w:pPr>
                  <w:r>
                    <w:rPr>
                      <w:rFonts w:hAnsi="宋体"/>
                      <w:szCs w:val="21"/>
                    </w:rPr>
                    <w:t>厂界</w:t>
                  </w:r>
                </w:p>
              </w:tc>
              <w:tc>
                <w:tcPr>
                  <w:tcW w:w="1276" w:type="dxa"/>
                  <w:vAlign w:val="center"/>
                </w:tcPr>
                <w:p>
                  <w:pPr>
                    <w:spacing w:line="320" w:lineRule="exact"/>
                    <w:jc w:val="center"/>
                    <w:rPr>
                      <w:rFonts w:hAnsi="宋体"/>
                      <w:szCs w:val="21"/>
                    </w:rPr>
                  </w:pPr>
                  <w:r>
                    <w:rPr>
                      <w:rFonts w:hint="eastAsia" w:ascii="宋体" w:hAnsi="宋体"/>
                      <w:szCs w:val="21"/>
                    </w:rPr>
                    <w:t>湿度,温度,气压,风速,风向</w:t>
                  </w:r>
                </w:p>
              </w:tc>
              <w:tc>
                <w:tcPr>
                  <w:tcW w:w="992" w:type="dxa"/>
                  <w:shd w:val="clear" w:color="auto" w:fill="auto"/>
                  <w:vAlign w:val="center"/>
                </w:tcPr>
                <w:p>
                  <w:pPr>
                    <w:spacing w:line="320" w:lineRule="exact"/>
                    <w:jc w:val="center"/>
                    <w:rPr>
                      <w:szCs w:val="21"/>
                    </w:rPr>
                  </w:pPr>
                  <w:r>
                    <w:rPr>
                      <w:rFonts w:hAnsi="宋体"/>
                      <w:szCs w:val="21"/>
                    </w:rPr>
                    <w:t>非甲烷总烃</w:t>
                  </w:r>
                </w:p>
              </w:tc>
              <w:tc>
                <w:tcPr>
                  <w:tcW w:w="1134" w:type="dxa"/>
                  <w:vAlign w:val="center"/>
                </w:tcPr>
                <w:p>
                  <w:pPr>
                    <w:spacing w:line="320" w:lineRule="exact"/>
                    <w:jc w:val="center"/>
                    <w:rPr>
                      <w:bCs/>
                      <w:szCs w:val="21"/>
                    </w:rPr>
                  </w:pPr>
                  <w:r>
                    <w:rPr>
                      <w:bCs/>
                      <w:szCs w:val="21"/>
                    </w:rPr>
                    <w:t>1</w:t>
                  </w:r>
                  <w:r>
                    <w:rPr>
                      <w:rFonts w:hAnsi="宋体"/>
                      <w:bCs/>
                      <w:szCs w:val="21"/>
                    </w:rPr>
                    <w:t>次</w:t>
                  </w:r>
                  <w:r>
                    <w:rPr>
                      <w:bCs/>
                      <w:szCs w:val="21"/>
                    </w:rPr>
                    <w:t>/</w:t>
                  </w:r>
                  <w:r>
                    <w:rPr>
                      <w:rFonts w:hAnsi="宋体"/>
                      <w:bCs/>
                      <w:szCs w:val="21"/>
                    </w:rPr>
                    <w:t>年</w:t>
                  </w:r>
                </w:p>
              </w:tc>
              <w:tc>
                <w:tcPr>
                  <w:tcW w:w="3595" w:type="dxa"/>
                  <w:shd w:val="clear" w:color="auto" w:fill="auto"/>
                  <w:vAlign w:val="center"/>
                </w:tcPr>
                <w:p>
                  <w:pPr>
                    <w:spacing w:line="320" w:lineRule="exact"/>
                    <w:rPr>
                      <w:rFonts w:hAnsi="宋体"/>
                      <w:szCs w:val="21"/>
                    </w:rPr>
                  </w:pPr>
                  <w:r>
                    <w:rPr>
                      <w:bCs/>
                      <w:szCs w:val="21"/>
                    </w:rPr>
                    <w:t>《合成树脂工业污染物排放标准》（GB31572-2015）</w:t>
                  </w:r>
                  <w:r>
                    <w:rPr>
                      <w:rFonts w:hint="eastAsia"/>
                      <w:bCs/>
                      <w:szCs w:val="21"/>
                    </w:rPr>
                    <w:t>表9</w:t>
                  </w:r>
                  <w:r>
                    <w:rPr>
                      <w:rFonts w:hint="eastAsia"/>
                      <w:szCs w:val="21"/>
                    </w:rPr>
                    <w:t>；</w:t>
                  </w:r>
                  <w:r>
                    <w:rPr>
                      <w:szCs w:val="21"/>
                    </w:rPr>
                    <w:t>《关于全省开展工业企业挥发性有机物专项治理工作中排放建议值的通知》（豫环攻坚办〔2017〕162号）—工业企业边界挥发性有机物排放建议值：其他企业非甲烷总烃2</w:t>
                  </w:r>
                  <w:r>
                    <w:rPr>
                      <w:bCs/>
                      <w:szCs w:val="21"/>
                    </w:rPr>
                    <w:t>mg/m</w:t>
                  </w:r>
                  <w:r>
                    <w:rPr>
                      <w:bCs/>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2" w:type="dxa"/>
                  <w:gridSpan w:val="2"/>
                  <w:tcBorders>
                    <w:bottom w:val="single" w:color="auto" w:sz="4" w:space="0"/>
                  </w:tcBorders>
                  <w:shd w:val="clear" w:color="auto" w:fill="auto"/>
                  <w:vAlign w:val="center"/>
                </w:tcPr>
                <w:p>
                  <w:pPr>
                    <w:spacing w:line="320" w:lineRule="exact"/>
                    <w:jc w:val="center"/>
                    <w:rPr>
                      <w:rFonts w:hAnsi="宋体"/>
                      <w:szCs w:val="21"/>
                    </w:rPr>
                  </w:pPr>
                  <w:r>
                    <w:rPr>
                      <w:rFonts w:hint="eastAsia" w:hAnsi="宋体"/>
                      <w:szCs w:val="21"/>
                    </w:rPr>
                    <w:t>东、西、南厂界</w:t>
                  </w:r>
                </w:p>
              </w:tc>
              <w:tc>
                <w:tcPr>
                  <w:tcW w:w="1276" w:type="dxa"/>
                  <w:tcBorders>
                    <w:bottom w:val="single" w:color="auto" w:sz="4" w:space="0"/>
                  </w:tcBorders>
                  <w:vAlign w:val="center"/>
                </w:tcPr>
                <w:p>
                  <w:pPr>
                    <w:spacing w:line="320" w:lineRule="exact"/>
                    <w:jc w:val="center"/>
                    <w:rPr>
                      <w:rFonts w:hAnsi="宋体"/>
                      <w:szCs w:val="21"/>
                    </w:rPr>
                  </w:pPr>
                  <w:r>
                    <w:rPr>
                      <w:rFonts w:hint="eastAsia" w:hAnsi="宋体"/>
                      <w:szCs w:val="21"/>
                    </w:rPr>
                    <w:t>昼、夜间噪声</w:t>
                  </w:r>
                </w:p>
              </w:tc>
              <w:tc>
                <w:tcPr>
                  <w:tcW w:w="992" w:type="dxa"/>
                  <w:tcBorders>
                    <w:bottom w:val="single" w:color="auto" w:sz="4" w:space="0"/>
                  </w:tcBorders>
                  <w:shd w:val="clear" w:color="auto" w:fill="auto"/>
                  <w:vAlign w:val="center"/>
                </w:tcPr>
                <w:p>
                  <w:pPr>
                    <w:spacing w:line="320" w:lineRule="exact"/>
                    <w:jc w:val="center"/>
                    <w:rPr>
                      <w:rFonts w:hAnsi="宋体"/>
                      <w:szCs w:val="21"/>
                    </w:rPr>
                  </w:pPr>
                  <w:r>
                    <w:rPr>
                      <w:rFonts w:hint="eastAsia" w:hAnsi="宋体"/>
                      <w:szCs w:val="21"/>
                    </w:rPr>
                    <w:t>噪声</w:t>
                  </w:r>
                </w:p>
              </w:tc>
              <w:tc>
                <w:tcPr>
                  <w:tcW w:w="1134" w:type="dxa"/>
                  <w:tcBorders>
                    <w:bottom w:val="single" w:color="auto" w:sz="4" w:space="0"/>
                  </w:tcBorders>
                  <w:vAlign w:val="center"/>
                </w:tcPr>
                <w:p>
                  <w:pPr>
                    <w:spacing w:line="320" w:lineRule="exact"/>
                    <w:jc w:val="center"/>
                    <w:rPr>
                      <w:bCs/>
                      <w:szCs w:val="21"/>
                    </w:rPr>
                  </w:pPr>
                  <w:r>
                    <w:rPr>
                      <w:rFonts w:hint="eastAsia"/>
                      <w:bCs/>
                      <w:szCs w:val="21"/>
                    </w:rPr>
                    <w:t>1次/季度</w:t>
                  </w:r>
                </w:p>
              </w:tc>
              <w:tc>
                <w:tcPr>
                  <w:tcW w:w="3595" w:type="dxa"/>
                  <w:vMerge w:val="restart"/>
                  <w:shd w:val="clear" w:color="auto" w:fill="auto"/>
                  <w:vAlign w:val="center"/>
                </w:tcPr>
                <w:p>
                  <w:pPr>
                    <w:spacing w:line="320" w:lineRule="exact"/>
                    <w:rPr>
                      <w:szCs w:val="21"/>
                    </w:rPr>
                  </w:pPr>
                  <w:r>
                    <w:rPr>
                      <w:rFonts w:hAnsi="宋体"/>
                      <w:szCs w:val="21"/>
                    </w:rPr>
                    <w:t>《工业企业厂界环境噪声排放标准》（</w:t>
                  </w:r>
                  <w:r>
                    <w:rPr>
                      <w:szCs w:val="21"/>
                    </w:rPr>
                    <w:t>GB12348-2008</w:t>
                  </w:r>
                  <w:r>
                    <w:rPr>
                      <w:rFonts w:hAnsi="宋体"/>
                      <w:szCs w:val="21"/>
                    </w:rPr>
                    <w:t>）</w:t>
                  </w:r>
                  <w:r>
                    <w:rPr>
                      <w:rFonts w:hint="eastAsia"/>
                      <w:szCs w:val="21"/>
                    </w:rPr>
                    <w:t>3</w:t>
                  </w:r>
                  <w:r>
                    <w:rPr>
                      <w:rFonts w:hAnsi="宋体"/>
                      <w:szCs w:val="21"/>
                    </w:rPr>
                    <w:t>类</w:t>
                  </w:r>
                  <w:r>
                    <w:rPr>
                      <w:rFonts w:hint="eastAsia" w:hAnsi="宋体"/>
                      <w:szCs w:val="21"/>
                    </w:rPr>
                    <w:t>、4类</w:t>
                  </w:r>
                  <w:r>
                    <w:rPr>
                      <w:rFonts w:hAnsi="宋体"/>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2" w:type="dxa"/>
                  <w:gridSpan w:val="2"/>
                  <w:tcBorders>
                    <w:bottom w:val="single" w:color="auto" w:sz="4" w:space="0"/>
                  </w:tcBorders>
                  <w:shd w:val="clear" w:color="auto" w:fill="auto"/>
                  <w:vAlign w:val="center"/>
                </w:tcPr>
                <w:p>
                  <w:pPr>
                    <w:spacing w:line="320" w:lineRule="exact"/>
                    <w:jc w:val="center"/>
                    <w:rPr>
                      <w:rFonts w:hAnsi="宋体"/>
                      <w:szCs w:val="21"/>
                    </w:rPr>
                  </w:pPr>
                  <w:r>
                    <w:rPr>
                      <w:rFonts w:hint="eastAsia" w:hAnsi="宋体"/>
                      <w:szCs w:val="21"/>
                    </w:rPr>
                    <w:t>北厂界</w:t>
                  </w:r>
                </w:p>
              </w:tc>
              <w:tc>
                <w:tcPr>
                  <w:tcW w:w="1276" w:type="dxa"/>
                  <w:tcBorders>
                    <w:bottom w:val="single" w:color="auto" w:sz="4" w:space="0"/>
                  </w:tcBorders>
                  <w:vAlign w:val="center"/>
                </w:tcPr>
                <w:p>
                  <w:pPr>
                    <w:spacing w:line="320" w:lineRule="exact"/>
                    <w:jc w:val="center"/>
                    <w:rPr>
                      <w:rFonts w:hAnsi="宋体"/>
                      <w:szCs w:val="21"/>
                    </w:rPr>
                  </w:pPr>
                  <w:r>
                    <w:rPr>
                      <w:rFonts w:hint="eastAsia" w:hAnsi="宋体"/>
                      <w:szCs w:val="21"/>
                    </w:rPr>
                    <w:t>昼、夜间噪声</w:t>
                  </w:r>
                </w:p>
              </w:tc>
              <w:tc>
                <w:tcPr>
                  <w:tcW w:w="992" w:type="dxa"/>
                  <w:tcBorders>
                    <w:bottom w:val="single" w:color="auto" w:sz="4" w:space="0"/>
                  </w:tcBorders>
                  <w:shd w:val="clear" w:color="auto" w:fill="auto"/>
                  <w:vAlign w:val="center"/>
                </w:tcPr>
                <w:p>
                  <w:pPr>
                    <w:spacing w:line="320" w:lineRule="exact"/>
                    <w:jc w:val="center"/>
                    <w:rPr>
                      <w:rFonts w:hAnsi="宋体"/>
                      <w:szCs w:val="21"/>
                    </w:rPr>
                  </w:pPr>
                  <w:r>
                    <w:rPr>
                      <w:rFonts w:hint="eastAsia" w:hAnsi="宋体"/>
                      <w:szCs w:val="21"/>
                    </w:rPr>
                    <w:t>噪声</w:t>
                  </w:r>
                </w:p>
              </w:tc>
              <w:tc>
                <w:tcPr>
                  <w:tcW w:w="1134" w:type="dxa"/>
                  <w:tcBorders>
                    <w:bottom w:val="single" w:color="auto" w:sz="4" w:space="0"/>
                  </w:tcBorders>
                  <w:vAlign w:val="center"/>
                </w:tcPr>
                <w:p>
                  <w:pPr>
                    <w:spacing w:line="320" w:lineRule="exact"/>
                    <w:jc w:val="center"/>
                    <w:rPr>
                      <w:bCs/>
                      <w:szCs w:val="21"/>
                    </w:rPr>
                  </w:pPr>
                  <w:r>
                    <w:rPr>
                      <w:rFonts w:hint="eastAsia"/>
                      <w:bCs/>
                      <w:szCs w:val="21"/>
                    </w:rPr>
                    <w:t>1次/季度</w:t>
                  </w:r>
                </w:p>
              </w:tc>
              <w:tc>
                <w:tcPr>
                  <w:tcW w:w="3595" w:type="dxa"/>
                  <w:vMerge w:val="continue"/>
                  <w:tcBorders>
                    <w:bottom w:val="single" w:color="auto" w:sz="4" w:space="0"/>
                  </w:tcBorders>
                  <w:shd w:val="clear" w:color="auto" w:fill="auto"/>
                  <w:vAlign w:val="center"/>
                </w:tcPr>
                <w:p>
                  <w:pPr>
                    <w:spacing w:line="320" w:lineRule="exac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09" w:type="dxa"/>
                  <w:gridSpan w:val="6"/>
                  <w:tcBorders>
                    <w:left w:val="nil"/>
                    <w:bottom w:val="nil"/>
                    <w:right w:val="nil"/>
                  </w:tcBorders>
                  <w:shd w:val="clear" w:color="auto" w:fill="auto"/>
                  <w:vAlign w:val="center"/>
                </w:tcPr>
                <w:p>
                  <w:pPr>
                    <w:spacing w:line="320" w:lineRule="exact"/>
                    <w:rPr>
                      <w:rFonts w:hAnsi="宋体"/>
                      <w:szCs w:val="21"/>
                    </w:rPr>
                  </w:pPr>
                  <w:r>
                    <w:rPr>
                      <w:rFonts w:hint="eastAsia"/>
                      <w:szCs w:val="21"/>
                    </w:rPr>
                    <w:t>注：</w:t>
                  </w:r>
                  <w:r>
                    <w:rPr>
                      <w:rFonts w:hint="eastAsia" w:hAnsi="宋体"/>
                      <w:szCs w:val="21"/>
                    </w:rPr>
                    <w:t>《排污单位自行监测技术指南橡胶和塑料制品》（HJ1207-2021）塑料制品类别：使用除聚氯乙烯以外的树脂生产的塑料丝绳及编织品制造</w:t>
                  </w:r>
                  <w:r>
                    <w:rPr>
                      <w:rFonts w:hint="eastAsia"/>
                      <w:szCs w:val="21"/>
                    </w:rPr>
                    <w:t>。</w:t>
                  </w:r>
                </w:p>
              </w:tc>
            </w:tr>
          </w:tbl>
          <w:p>
            <w:pPr>
              <w:spacing w:line="360" w:lineRule="auto"/>
              <w:rPr>
                <w:b/>
                <w:sz w:val="24"/>
              </w:rPr>
            </w:pPr>
            <w:r>
              <w:rPr>
                <w:rFonts w:hint="eastAsia"/>
                <w:b/>
                <w:sz w:val="24"/>
              </w:rPr>
              <w:t>8污染物排放“三本账”核算</w:t>
            </w:r>
          </w:p>
          <w:p>
            <w:pPr>
              <w:widowControl/>
              <w:spacing w:line="360" w:lineRule="auto"/>
              <w:ind w:firstLine="480" w:firstLineChars="200"/>
              <w:rPr>
                <w:bCs/>
                <w:sz w:val="24"/>
              </w:rPr>
            </w:pPr>
            <w:r>
              <w:rPr>
                <w:rFonts w:hint="eastAsia"/>
                <w:sz w:val="24"/>
              </w:rPr>
              <w:t>本项目属于异地扩建项目，</w:t>
            </w:r>
            <w:r>
              <w:rPr>
                <w:rFonts w:hint="eastAsia"/>
                <w:bCs/>
                <w:sz w:val="24"/>
              </w:rPr>
              <w:t>本项目扩建完成后，洛阳东资实业有限公司污染物“三本账”核算情况见下表。</w:t>
            </w:r>
          </w:p>
          <w:p>
            <w:pPr>
              <w:pStyle w:val="53"/>
              <w:numPr>
                <w:ilvl w:val="0"/>
                <w:numId w:val="2"/>
              </w:numPr>
              <w:ind w:left="0" w:firstLine="0"/>
            </w:pPr>
            <w:r>
              <w:rPr>
                <w:rFonts w:hint="eastAsia"/>
              </w:rPr>
              <w:t>本项目建成后东资公司“三本账”核算</w:t>
            </w:r>
            <w:r>
              <w:t>一览表</w:t>
            </w:r>
            <w:r>
              <w:rPr>
                <w:rFonts w:hint="eastAsia"/>
              </w:rPr>
              <w:t xml:space="preserve">  单位：t/a</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663"/>
              <w:gridCol w:w="1691"/>
              <w:gridCol w:w="1525"/>
              <w:gridCol w:w="18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4" w:type="dxa"/>
                  <w:tcBorders>
                    <w:tl2br w:val="single" w:color="auto" w:sz="4" w:space="0"/>
                  </w:tcBorders>
                  <w:tcMar>
                    <w:left w:w="28" w:type="dxa"/>
                    <w:right w:w="28" w:type="dxa"/>
                  </w:tcMar>
                  <w:vAlign w:val="center"/>
                </w:tcPr>
                <w:p>
                  <w:pPr>
                    <w:pStyle w:val="43"/>
                    <w:spacing w:beforeLines="0" w:afterLines="0" w:line="320" w:lineRule="exact"/>
                    <w:jc w:val="right"/>
                    <w:rPr>
                      <w:rFonts w:ascii="黑体" w:hAnsi="黑体" w:eastAsia="黑体" w:cs="宋体"/>
                      <w:snapToGrid w:val="0"/>
                      <w:spacing w:val="-6"/>
                      <w:kern w:val="21"/>
                      <w:szCs w:val="21"/>
                    </w:rPr>
                  </w:pPr>
                  <w:r>
                    <w:rPr>
                      <w:rFonts w:hint="eastAsia" w:ascii="黑体" w:hAnsi="黑体" w:eastAsia="黑体" w:cs="宋体"/>
                      <w:snapToGrid w:val="0"/>
                      <w:spacing w:val="-6"/>
                      <w:kern w:val="21"/>
                      <w:szCs w:val="21"/>
                    </w:rPr>
                    <w:t>项目</w:t>
                  </w:r>
                </w:p>
                <w:p>
                  <w:pPr>
                    <w:pStyle w:val="43"/>
                    <w:spacing w:beforeLines="0" w:afterLines="0" w:line="320" w:lineRule="exact"/>
                    <w:jc w:val="left"/>
                    <w:rPr>
                      <w:rFonts w:ascii="黑体" w:hAnsi="黑体" w:eastAsia="黑体" w:cs="宋体"/>
                      <w:snapToGrid w:val="0"/>
                      <w:spacing w:val="-6"/>
                      <w:kern w:val="21"/>
                      <w:szCs w:val="21"/>
                    </w:rPr>
                  </w:pPr>
                  <w:r>
                    <w:rPr>
                      <w:rFonts w:hint="eastAsia" w:ascii="黑体" w:hAnsi="黑体" w:eastAsia="黑体" w:cs="宋体"/>
                      <w:snapToGrid w:val="0"/>
                      <w:spacing w:val="-6"/>
                      <w:kern w:val="21"/>
                      <w:szCs w:val="21"/>
                    </w:rPr>
                    <w:t>分类</w:t>
                  </w:r>
                </w:p>
              </w:tc>
              <w:tc>
                <w:tcPr>
                  <w:tcW w:w="1546" w:type="dxa"/>
                  <w:tcMar>
                    <w:left w:w="28" w:type="dxa"/>
                    <w:right w:w="28" w:type="dxa"/>
                  </w:tcMar>
                  <w:vAlign w:val="center"/>
                </w:tcPr>
                <w:p>
                  <w:pPr>
                    <w:pStyle w:val="43"/>
                    <w:spacing w:beforeLines="0" w:afterLines="0" w:line="320" w:lineRule="exact"/>
                    <w:rPr>
                      <w:rFonts w:ascii="黑体" w:hAnsi="黑体" w:eastAsia="黑体" w:cs="宋体"/>
                      <w:snapToGrid w:val="0"/>
                      <w:spacing w:val="-6"/>
                      <w:kern w:val="21"/>
                      <w:sz w:val="18"/>
                      <w:szCs w:val="18"/>
                    </w:rPr>
                  </w:pPr>
                  <w:r>
                    <w:rPr>
                      <w:rFonts w:hint="eastAsia" w:ascii="黑体" w:hAnsi="黑体" w:eastAsia="黑体" w:cs="宋体"/>
                      <w:snapToGrid w:val="0"/>
                      <w:spacing w:val="-6"/>
                      <w:kern w:val="21"/>
                      <w:sz w:val="18"/>
                      <w:szCs w:val="18"/>
                    </w:rPr>
                    <w:t>污染物名称</w:t>
                  </w:r>
                </w:p>
              </w:tc>
              <w:tc>
                <w:tcPr>
                  <w:tcW w:w="1572" w:type="dxa"/>
                  <w:tcMar>
                    <w:left w:w="28" w:type="dxa"/>
                    <w:right w:w="28" w:type="dxa"/>
                  </w:tcMar>
                  <w:vAlign w:val="center"/>
                </w:tcPr>
                <w:p>
                  <w:pPr>
                    <w:pStyle w:val="43"/>
                    <w:spacing w:beforeLines="0" w:afterLines="0" w:line="320" w:lineRule="exact"/>
                    <w:rPr>
                      <w:rFonts w:ascii="黑体" w:hAnsi="黑体" w:eastAsia="黑体"/>
                      <w:snapToGrid w:val="0"/>
                      <w:spacing w:val="-6"/>
                      <w:kern w:val="21"/>
                      <w:sz w:val="18"/>
                      <w:szCs w:val="18"/>
                    </w:rPr>
                  </w:pPr>
                  <w:r>
                    <w:rPr>
                      <w:rFonts w:ascii="黑体" w:hAnsi="黑体" w:eastAsia="黑体"/>
                      <w:snapToGrid w:val="0"/>
                      <w:spacing w:val="-6"/>
                      <w:kern w:val="21"/>
                      <w:sz w:val="18"/>
                      <w:szCs w:val="18"/>
                    </w:rPr>
                    <w:t>现有工程排放量（固</w:t>
                  </w:r>
                  <w:r>
                    <w:rPr>
                      <w:rFonts w:hint="eastAsia" w:ascii="黑体" w:hAnsi="黑体" w:eastAsia="黑体"/>
                      <w:snapToGrid w:val="0"/>
                      <w:spacing w:val="-6"/>
                      <w:kern w:val="21"/>
                      <w:sz w:val="18"/>
                      <w:szCs w:val="18"/>
                    </w:rPr>
                    <w:t>体</w:t>
                  </w:r>
                  <w:r>
                    <w:rPr>
                      <w:rFonts w:ascii="黑体" w:hAnsi="黑体" w:eastAsia="黑体"/>
                      <w:snapToGrid w:val="0"/>
                      <w:spacing w:val="-6"/>
                      <w:kern w:val="21"/>
                      <w:sz w:val="18"/>
                      <w:szCs w:val="18"/>
                    </w:rPr>
                    <w:t>废</w:t>
                  </w:r>
                  <w:r>
                    <w:rPr>
                      <w:rFonts w:hint="eastAsia" w:ascii="黑体" w:hAnsi="黑体" w:eastAsia="黑体"/>
                      <w:snapToGrid w:val="0"/>
                      <w:spacing w:val="-6"/>
                      <w:kern w:val="21"/>
                      <w:sz w:val="18"/>
                      <w:szCs w:val="18"/>
                    </w:rPr>
                    <w:t>物</w:t>
                  </w:r>
                  <w:r>
                    <w:rPr>
                      <w:rFonts w:ascii="黑体" w:hAnsi="黑体" w:eastAsia="黑体"/>
                      <w:snapToGrid w:val="0"/>
                      <w:spacing w:val="-6"/>
                      <w:kern w:val="21"/>
                      <w:sz w:val="18"/>
                      <w:szCs w:val="18"/>
                    </w:rPr>
                    <w:t>产生量）</w:t>
                  </w:r>
                </w:p>
              </w:tc>
              <w:tc>
                <w:tcPr>
                  <w:tcW w:w="1418" w:type="dxa"/>
                  <w:tcMar>
                    <w:left w:w="28" w:type="dxa"/>
                    <w:right w:w="28" w:type="dxa"/>
                  </w:tcMar>
                  <w:vAlign w:val="center"/>
                </w:tcPr>
                <w:p>
                  <w:pPr>
                    <w:pStyle w:val="43"/>
                    <w:spacing w:beforeLines="0" w:afterLines="0" w:line="320" w:lineRule="exact"/>
                    <w:rPr>
                      <w:rFonts w:ascii="黑体" w:hAnsi="黑体" w:eastAsia="黑体"/>
                      <w:snapToGrid w:val="0"/>
                      <w:spacing w:val="-6"/>
                      <w:kern w:val="21"/>
                      <w:sz w:val="18"/>
                      <w:szCs w:val="18"/>
                    </w:rPr>
                  </w:pPr>
                  <w:r>
                    <w:rPr>
                      <w:rFonts w:ascii="黑体" w:hAnsi="黑体" w:eastAsia="黑体"/>
                      <w:snapToGrid w:val="0"/>
                      <w:spacing w:val="-6"/>
                      <w:kern w:val="21"/>
                      <w:sz w:val="18"/>
                      <w:szCs w:val="18"/>
                    </w:rPr>
                    <w:t>本项目排放量（固</w:t>
                  </w:r>
                  <w:r>
                    <w:rPr>
                      <w:rFonts w:hint="eastAsia" w:ascii="黑体" w:hAnsi="黑体" w:eastAsia="黑体"/>
                      <w:snapToGrid w:val="0"/>
                      <w:spacing w:val="-6"/>
                      <w:kern w:val="21"/>
                      <w:sz w:val="18"/>
                      <w:szCs w:val="18"/>
                    </w:rPr>
                    <w:t>体</w:t>
                  </w:r>
                  <w:r>
                    <w:rPr>
                      <w:rFonts w:ascii="黑体" w:hAnsi="黑体" w:eastAsia="黑体"/>
                      <w:snapToGrid w:val="0"/>
                      <w:spacing w:val="-6"/>
                      <w:kern w:val="21"/>
                      <w:sz w:val="18"/>
                      <w:szCs w:val="18"/>
                    </w:rPr>
                    <w:t>废</w:t>
                  </w:r>
                  <w:r>
                    <w:rPr>
                      <w:rFonts w:hint="eastAsia" w:ascii="黑体" w:hAnsi="黑体" w:eastAsia="黑体"/>
                      <w:snapToGrid w:val="0"/>
                      <w:spacing w:val="-6"/>
                      <w:kern w:val="21"/>
                      <w:sz w:val="18"/>
                      <w:szCs w:val="18"/>
                    </w:rPr>
                    <w:t>物</w:t>
                  </w:r>
                  <w:r>
                    <w:rPr>
                      <w:rFonts w:ascii="黑体" w:hAnsi="黑体" w:eastAsia="黑体"/>
                      <w:snapToGrid w:val="0"/>
                      <w:spacing w:val="-6"/>
                      <w:kern w:val="21"/>
                      <w:sz w:val="18"/>
                      <w:szCs w:val="18"/>
                    </w:rPr>
                    <w:t>产生量）</w:t>
                  </w:r>
                </w:p>
              </w:tc>
              <w:tc>
                <w:tcPr>
                  <w:tcW w:w="1701" w:type="dxa"/>
                  <w:tcMar>
                    <w:left w:w="28" w:type="dxa"/>
                    <w:right w:w="28" w:type="dxa"/>
                  </w:tcMar>
                  <w:vAlign w:val="center"/>
                </w:tcPr>
                <w:p>
                  <w:pPr>
                    <w:pStyle w:val="43"/>
                    <w:spacing w:beforeLines="0" w:afterLines="0" w:line="320" w:lineRule="exact"/>
                    <w:rPr>
                      <w:rFonts w:ascii="黑体" w:hAnsi="黑体" w:eastAsia="黑体"/>
                      <w:snapToGrid w:val="0"/>
                      <w:spacing w:val="-16"/>
                      <w:kern w:val="21"/>
                      <w:sz w:val="18"/>
                      <w:szCs w:val="18"/>
                    </w:rPr>
                  </w:pPr>
                  <w:r>
                    <w:rPr>
                      <w:rFonts w:ascii="黑体" w:hAnsi="黑体" w:eastAsia="黑体"/>
                      <w:snapToGrid w:val="0"/>
                      <w:spacing w:val="-16"/>
                      <w:kern w:val="21"/>
                      <w:sz w:val="18"/>
                      <w:szCs w:val="18"/>
                    </w:rPr>
                    <w:t>本项目建成后</w:t>
                  </w:r>
                  <w:r>
                    <w:rPr>
                      <w:rFonts w:hint="eastAsia" w:ascii="黑体" w:hAnsi="黑体" w:eastAsia="黑体"/>
                      <w:snapToGrid w:val="0"/>
                      <w:spacing w:val="-16"/>
                      <w:kern w:val="21"/>
                      <w:sz w:val="18"/>
                      <w:szCs w:val="18"/>
                    </w:rPr>
                    <w:t>企业</w:t>
                  </w:r>
                  <w:r>
                    <w:rPr>
                      <w:rFonts w:ascii="黑体" w:hAnsi="黑体" w:eastAsia="黑体"/>
                      <w:snapToGrid w:val="0"/>
                      <w:spacing w:val="-16"/>
                      <w:kern w:val="21"/>
                      <w:sz w:val="18"/>
                      <w:szCs w:val="18"/>
                    </w:rPr>
                    <w:t>排放量</w:t>
                  </w:r>
                  <w:r>
                    <w:rPr>
                      <w:rFonts w:ascii="黑体" w:hAnsi="黑体" w:eastAsia="黑体"/>
                      <w:snapToGrid w:val="0"/>
                      <w:spacing w:val="-6"/>
                      <w:kern w:val="21"/>
                      <w:sz w:val="18"/>
                      <w:szCs w:val="18"/>
                    </w:rPr>
                    <w:t>（固</w:t>
                  </w:r>
                  <w:r>
                    <w:rPr>
                      <w:rFonts w:hint="eastAsia" w:ascii="黑体" w:hAnsi="黑体" w:eastAsia="黑体"/>
                      <w:snapToGrid w:val="0"/>
                      <w:spacing w:val="-6"/>
                      <w:kern w:val="21"/>
                      <w:sz w:val="18"/>
                      <w:szCs w:val="18"/>
                    </w:rPr>
                    <w:t>体</w:t>
                  </w:r>
                  <w:r>
                    <w:rPr>
                      <w:rFonts w:ascii="黑体" w:hAnsi="黑体" w:eastAsia="黑体"/>
                      <w:snapToGrid w:val="0"/>
                      <w:spacing w:val="-6"/>
                      <w:kern w:val="21"/>
                      <w:sz w:val="18"/>
                      <w:szCs w:val="18"/>
                    </w:rPr>
                    <w:t>废</w:t>
                  </w:r>
                  <w:r>
                    <w:rPr>
                      <w:rFonts w:hint="eastAsia" w:ascii="黑体" w:hAnsi="黑体" w:eastAsia="黑体"/>
                      <w:snapToGrid w:val="0"/>
                      <w:spacing w:val="-6"/>
                      <w:kern w:val="21"/>
                      <w:sz w:val="18"/>
                      <w:szCs w:val="18"/>
                    </w:rPr>
                    <w:t>物</w:t>
                  </w:r>
                  <w:r>
                    <w:rPr>
                      <w:rFonts w:ascii="黑体" w:hAnsi="黑体" w:eastAsia="黑体"/>
                      <w:snapToGrid w:val="0"/>
                      <w:spacing w:val="-6"/>
                      <w:kern w:val="21"/>
                      <w:sz w:val="18"/>
                      <w:szCs w:val="18"/>
                    </w:rPr>
                    <w:t>产生量）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4" w:type="dxa"/>
                  <w:vMerge w:val="restart"/>
                  <w:vAlign w:val="center"/>
                </w:tcPr>
                <w:p>
                  <w:pPr>
                    <w:pStyle w:val="43"/>
                    <w:spacing w:beforeLines="0" w:afterLines="0" w:line="320" w:lineRule="exact"/>
                    <w:rPr>
                      <w:rFonts w:hAnsi="宋体" w:cs="宋体"/>
                      <w:snapToGrid w:val="0"/>
                      <w:kern w:val="21"/>
                      <w:szCs w:val="21"/>
                    </w:rPr>
                  </w:pPr>
                  <w:r>
                    <w:rPr>
                      <w:rFonts w:hint="eastAsia" w:hAnsi="宋体" w:cs="宋体"/>
                      <w:snapToGrid w:val="0"/>
                      <w:kern w:val="21"/>
                      <w:szCs w:val="21"/>
                    </w:rPr>
                    <w:t>废气</w:t>
                  </w:r>
                </w:p>
              </w:tc>
              <w:tc>
                <w:tcPr>
                  <w:tcW w:w="1546" w:type="dxa"/>
                  <w:vAlign w:val="center"/>
                </w:tcPr>
                <w:p>
                  <w:pPr>
                    <w:widowControl/>
                    <w:spacing w:line="320" w:lineRule="exact"/>
                    <w:jc w:val="center"/>
                    <w:rPr>
                      <w:kern w:val="0"/>
                      <w:szCs w:val="21"/>
                    </w:rPr>
                  </w:pPr>
                  <w:r>
                    <w:rPr>
                      <w:kern w:val="0"/>
                      <w:szCs w:val="21"/>
                    </w:rPr>
                    <w:t>颗粒物</w:t>
                  </w:r>
                </w:p>
              </w:tc>
              <w:tc>
                <w:tcPr>
                  <w:tcW w:w="1572" w:type="dxa"/>
                  <w:vAlign w:val="center"/>
                </w:tcPr>
                <w:p>
                  <w:pPr>
                    <w:spacing w:line="320" w:lineRule="exact"/>
                    <w:jc w:val="center"/>
                    <w:rPr>
                      <w:szCs w:val="21"/>
                    </w:rPr>
                  </w:pPr>
                  <w:r>
                    <w:rPr>
                      <w:rFonts w:hint="eastAsia"/>
                      <w:szCs w:val="21"/>
                    </w:rPr>
                    <w:t>0.4047</w:t>
                  </w:r>
                </w:p>
              </w:tc>
              <w:tc>
                <w:tcPr>
                  <w:tcW w:w="1418" w:type="dxa"/>
                  <w:vAlign w:val="center"/>
                </w:tcPr>
                <w:p>
                  <w:pPr>
                    <w:pStyle w:val="43"/>
                    <w:spacing w:beforeLines="0" w:afterLines="0" w:line="320" w:lineRule="exact"/>
                    <w:rPr>
                      <w:rFonts w:ascii="Times New Roman"/>
                      <w:snapToGrid w:val="0"/>
                      <w:kern w:val="21"/>
                      <w:szCs w:val="21"/>
                      <w:u w:val="single"/>
                    </w:rPr>
                  </w:pPr>
                  <w:r>
                    <w:rPr>
                      <w:rFonts w:hint="eastAsia" w:ascii="Times New Roman"/>
                      <w:snapToGrid w:val="0"/>
                      <w:kern w:val="21"/>
                      <w:szCs w:val="21"/>
                      <w:u w:val="single"/>
                    </w:rPr>
                    <w:t>0.0928</w:t>
                  </w:r>
                </w:p>
              </w:tc>
              <w:tc>
                <w:tcPr>
                  <w:tcW w:w="1701" w:type="dxa"/>
                  <w:vAlign w:val="center"/>
                </w:tcPr>
                <w:p>
                  <w:pPr>
                    <w:spacing w:line="320" w:lineRule="exact"/>
                    <w:jc w:val="center"/>
                    <w:rPr>
                      <w:rFonts w:ascii="宋体" w:hAnsi="宋体" w:cs="宋体"/>
                      <w:szCs w:val="21"/>
                    </w:rPr>
                  </w:pPr>
                  <w:r>
                    <w:rPr>
                      <w:rFonts w:hint="eastAsia"/>
                      <w:szCs w:val="21"/>
                    </w:rPr>
                    <w:t>0.4975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4" w:type="dxa"/>
                  <w:vMerge w:val="continue"/>
                  <w:vAlign w:val="center"/>
                </w:tcPr>
                <w:p>
                  <w:pPr>
                    <w:pStyle w:val="43"/>
                    <w:spacing w:beforeLines="0" w:afterLines="0" w:line="320" w:lineRule="exact"/>
                    <w:rPr>
                      <w:rFonts w:hAnsi="宋体" w:cs="宋体"/>
                      <w:snapToGrid w:val="0"/>
                      <w:kern w:val="21"/>
                      <w:szCs w:val="21"/>
                    </w:rPr>
                  </w:pPr>
                </w:p>
              </w:tc>
              <w:tc>
                <w:tcPr>
                  <w:tcW w:w="1546" w:type="dxa"/>
                  <w:vAlign w:val="center"/>
                </w:tcPr>
                <w:p>
                  <w:pPr>
                    <w:widowControl/>
                    <w:spacing w:line="320" w:lineRule="exact"/>
                    <w:jc w:val="center"/>
                    <w:rPr>
                      <w:kern w:val="0"/>
                      <w:szCs w:val="21"/>
                    </w:rPr>
                  </w:pPr>
                  <w:r>
                    <w:rPr>
                      <w:rFonts w:hint="eastAsia"/>
                      <w:kern w:val="0"/>
                      <w:szCs w:val="21"/>
                    </w:rPr>
                    <w:t>非甲烷总烃</w:t>
                  </w:r>
                </w:p>
              </w:tc>
              <w:tc>
                <w:tcPr>
                  <w:tcW w:w="1572" w:type="dxa"/>
                  <w:vAlign w:val="center"/>
                </w:tcPr>
                <w:p>
                  <w:pPr>
                    <w:spacing w:line="320" w:lineRule="exact"/>
                    <w:jc w:val="center"/>
                    <w:rPr>
                      <w:szCs w:val="21"/>
                    </w:rPr>
                  </w:pPr>
                  <w:r>
                    <w:rPr>
                      <w:rFonts w:hint="eastAsia"/>
                      <w:szCs w:val="21"/>
                    </w:rPr>
                    <w:t>0.5211</w:t>
                  </w:r>
                </w:p>
              </w:tc>
              <w:tc>
                <w:tcPr>
                  <w:tcW w:w="1418" w:type="dxa"/>
                  <w:vAlign w:val="center"/>
                </w:tcPr>
                <w:p>
                  <w:pPr>
                    <w:spacing w:line="320" w:lineRule="exact"/>
                    <w:jc w:val="center"/>
                    <w:rPr>
                      <w:szCs w:val="21"/>
                      <w:u w:val="single"/>
                    </w:rPr>
                  </w:pPr>
                  <w:r>
                    <w:rPr>
                      <w:rFonts w:hint="eastAsia"/>
                      <w:szCs w:val="21"/>
                      <w:u w:val="single"/>
                    </w:rPr>
                    <w:t>0.6673</w:t>
                  </w:r>
                </w:p>
              </w:tc>
              <w:tc>
                <w:tcPr>
                  <w:tcW w:w="1701" w:type="dxa"/>
                  <w:vAlign w:val="center"/>
                </w:tcPr>
                <w:p>
                  <w:pPr>
                    <w:spacing w:line="320" w:lineRule="exact"/>
                    <w:jc w:val="center"/>
                    <w:rPr>
                      <w:rFonts w:ascii="宋体" w:hAnsi="宋体" w:cs="宋体"/>
                      <w:szCs w:val="21"/>
                    </w:rPr>
                  </w:pPr>
                  <w:r>
                    <w:rPr>
                      <w:rFonts w:hint="eastAsia"/>
                      <w:szCs w:val="21"/>
                    </w:rPr>
                    <w:t>1.1884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4" w:type="dxa"/>
                  <w:vMerge w:val="restart"/>
                  <w:vAlign w:val="center"/>
                </w:tcPr>
                <w:p>
                  <w:pPr>
                    <w:pStyle w:val="43"/>
                    <w:spacing w:beforeLines="0" w:afterLines="0" w:line="320" w:lineRule="exact"/>
                    <w:rPr>
                      <w:rFonts w:hAnsi="宋体" w:cs="宋体"/>
                      <w:snapToGrid w:val="0"/>
                      <w:kern w:val="21"/>
                      <w:szCs w:val="21"/>
                    </w:rPr>
                  </w:pPr>
                  <w:r>
                    <w:rPr>
                      <w:rFonts w:hint="eastAsia" w:hAnsi="宋体" w:cs="宋体"/>
                      <w:snapToGrid w:val="0"/>
                      <w:kern w:val="21"/>
                      <w:szCs w:val="21"/>
                    </w:rPr>
                    <w:t>废水</w:t>
                  </w:r>
                </w:p>
              </w:tc>
              <w:tc>
                <w:tcPr>
                  <w:tcW w:w="1546" w:type="dxa"/>
                  <w:vAlign w:val="center"/>
                </w:tcPr>
                <w:p>
                  <w:pPr>
                    <w:pStyle w:val="43"/>
                    <w:spacing w:beforeLines="0" w:afterLines="0" w:line="320" w:lineRule="exact"/>
                    <w:rPr>
                      <w:rFonts w:ascii="Times New Roman"/>
                      <w:snapToGrid w:val="0"/>
                      <w:kern w:val="21"/>
                      <w:szCs w:val="21"/>
                    </w:rPr>
                  </w:pPr>
                  <w:r>
                    <w:rPr>
                      <w:rFonts w:hint="eastAsia" w:ascii="Times New Roman"/>
                      <w:snapToGrid w:val="0"/>
                      <w:kern w:val="21"/>
                      <w:szCs w:val="21"/>
                    </w:rPr>
                    <w:t>COD</w:t>
                  </w:r>
                </w:p>
              </w:tc>
              <w:tc>
                <w:tcPr>
                  <w:tcW w:w="1572" w:type="dxa"/>
                  <w:vAlign w:val="center"/>
                </w:tcPr>
                <w:p>
                  <w:pPr>
                    <w:spacing w:line="320" w:lineRule="exact"/>
                    <w:jc w:val="center"/>
                    <w:rPr>
                      <w:szCs w:val="21"/>
                    </w:rPr>
                  </w:pPr>
                  <w:r>
                    <w:rPr>
                      <w:szCs w:val="21"/>
                    </w:rPr>
                    <w:t>0.1438</w:t>
                  </w:r>
                </w:p>
              </w:tc>
              <w:tc>
                <w:tcPr>
                  <w:tcW w:w="1418" w:type="dxa"/>
                  <w:vAlign w:val="center"/>
                </w:tcPr>
                <w:p>
                  <w:pPr>
                    <w:pStyle w:val="58"/>
                    <w:spacing w:line="320" w:lineRule="exact"/>
                    <w:rPr>
                      <w:szCs w:val="21"/>
                    </w:rPr>
                  </w:pPr>
                  <w:r>
                    <w:rPr>
                      <w:rFonts w:hint="eastAsia"/>
                      <w:szCs w:val="21"/>
                    </w:rPr>
                    <w:t>0.0144</w:t>
                  </w:r>
                </w:p>
              </w:tc>
              <w:tc>
                <w:tcPr>
                  <w:tcW w:w="1701" w:type="dxa"/>
                  <w:vAlign w:val="center"/>
                </w:tcPr>
                <w:p>
                  <w:pPr>
                    <w:spacing w:line="320" w:lineRule="exact"/>
                    <w:jc w:val="center"/>
                    <w:rPr>
                      <w:rFonts w:ascii="宋体" w:hAnsi="宋体" w:cs="宋体"/>
                      <w:szCs w:val="21"/>
                    </w:rPr>
                  </w:pPr>
                  <w:r>
                    <w:rPr>
                      <w:rFonts w:hint="eastAsia"/>
                      <w:szCs w:val="21"/>
                    </w:rPr>
                    <w:t>0.1582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4" w:type="dxa"/>
                  <w:vMerge w:val="continue"/>
                  <w:vAlign w:val="center"/>
                </w:tcPr>
                <w:p>
                  <w:pPr>
                    <w:pStyle w:val="43"/>
                    <w:spacing w:beforeLines="0" w:afterLines="0" w:line="320" w:lineRule="exact"/>
                    <w:rPr>
                      <w:rFonts w:hAnsi="宋体" w:cs="宋体"/>
                      <w:snapToGrid w:val="0"/>
                      <w:kern w:val="21"/>
                      <w:szCs w:val="21"/>
                    </w:rPr>
                  </w:pPr>
                </w:p>
              </w:tc>
              <w:tc>
                <w:tcPr>
                  <w:tcW w:w="1546" w:type="dxa"/>
                  <w:vAlign w:val="center"/>
                </w:tcPr>
                <w:p>
                  <w:pPr>
                    <w:pStyle w:val="43"/>
                    <w:spacing w:beforeLines="0" w:afterLines="0" w:line="320" w:lineRule="exact"/>
                    <w:rPr>
                      <w:rFonts w:ascii="Times New Roman"/>
                      <w:snapToGrid w:val="0"/>
                      <w:kern w:val="21"/>
                      <w:szCs w:val="21"/>
                    </w:rPr>
                  </w:pPr>
                  <w:r>
                    <w:rPr>
                      <w:rFonts w:hint="eastAsia" w:ascii="Times New Roman"/>
                      <w:snapToGrid w:val="0"/>
                      <w:kern w:val="21"/>
                      <w:szCs w:val="21"/>
                    </w:rPr>
                    <w:t>氨氮</w:t>
                  </w:r>
                </w:p>
              </w:tc>
              <w:tc>
                <w:tcPr>
                  <w:tcW w:w="1572" w:type="dxa"/>
                  <w:vAlign w:val="center"/>
                </w:tcPr>
                <w:p>
                  <w:pPr>
                    <w:spacing w:line="320" w:lineRule="exact"/>
                    <w:jc w:val="center"/>
                    <w:rPr>
                      <w:szCs w:val="21"/>
                    </w:rPr>
                  </w:pPr>
                  <w:r>
                    <w:rPr>
                      <w:szCs w:val="21"/>
                    </w:rPr>
                    <w:t>0.0174</w:t>
                  </w:r>
                </w:p>
              </w:tc>
              <w:tc>
                <w:tcPr>
                  <w:tcW w:w="1418" w:type="dxa"/>
                  <w:vAlign w:val="center"/>
                </w:tcPr>
                <w:p>
                  <w:pPr>
                    <w:pStyle w:val="58"/>
                    <w:spacing w:line="320" w:lineRule="exact"/>
                    <w:rPr>
                      <w:szCs w:val="21"/>
                    </w:rPr>
                  </w:pPr>
                  <w:r>
                    <w:rPr>
                      <w:rFonts w:hint="eastAsia"/>
                      <w:szCs w:val="21"/>
                    </w:rPr>
                    <w:t>0.0015</w:t>
                  </w:r>
                </w:p>
              </w:tc>
              <w:tc>
                <w:tcPr>
                  <w:tcW w:w="1701" w:type="dxa"/>
                  <w:vAlign w:val="center"/>
                </w:tcPr>
                <w:p>
                  <w:pPr>
                    <w:spacing w:line="320" w:lineRule="exact"/>
                    <w:jc w:val="center"/>
                    <w:rPr>
                      <w:rFonts w:ascii="宋体" w:hAnsi="宋体" w:cs="宋体"/>
                      <w:szCs w:val="21"/>
                    </w:rPr>
                  </w:pPr>
                  <w:r>
                    <w:rPr>
                      <w:rFonts w:hint="eastAsia"/>
                      <w:szCs w:val="21"/>
                    </w:rPr>
                    <w:t>0.0189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4" w:type="dxa"/>
                  <w:vMerge w:val="restart"/>
                  <w:vAlign w:val="center"/>
                </w:tcPr>
                <w:p>
                  <w:pPr>
                    <w:pStyle w:val="43"/>
                    <w:spacing w:beforeLines="0" w:afterLines="0" w:line="320" w:lineRule="exact"/>
                    <w:rPr>
                      <w:rFonts w:hAnsi="宋体" w:cs="宋体"/>
                      <w:snapToGrid w:val="0"/>
                      <w:kern w:val="21"/>
                      <w:szCs w:val="21"/>
                    </w:rPr>
                  </w:pPr>
                  <w:r>
                    <w:rPr>
                      <w:rFonts w:hint="eastAsia" w:hAnsi="宋体" w:cs="宋体"/>
                      <w:snapToGrid w:val="0"/>
                      <w:kern w:val="21"/>
                      <w:szCs w:val="21"/>
                    </w:rPr>
                    <w:t>一般工业固体废物</w:t>
                  </w:r>
                </w:p>
              </w:tc>
              <w:tc>
                <w:tcPr>
                  <w:tcW w:w="1546" w:type="dxa"/>
                  <w:vAlign w:val="center"/>
                </w:tcPr>
                <w:p>
                  <w:pPr>
                    <w:widowControl/>
                    <w:spacing w:line="320" w:lineRule="exact"/>
                    <w:jc w:val="center"/>
                    <w:rPr>
                      <w:bCs/>
                      <w:szCs w:val="21"/>
                    </w:rPr>
                  </w:pPr>
                  <w:r>
                    <w:rPr>
                      <w:rFonts w:hint="eastAsia"/>
                      <w:bCs/>
                      <w:szCs w:val="21"/>
                    </w:rPr>
                    <w:t>废丝、边角料</w:t>
                  </w:r>
                </w:p>
              </w:tc>
              <w:tc>
                <w:tcPr>
                  <w:tcW w:w="1572" w:type="dxa"/>
                  <w:vAlign w:val="center"/>
                </w:tcPr>
                <w:p>
                  <w:pPr>
                    <w:spacing w:line="320" w:lineRule="exact"/>
                    <w:jc w:val="center"/>
                    <w:rPr>
                      <w:szCs w:val="21"/>
                    </w:rPr>
                  </w:pPr>
                  <w:r>
                    <w:rPr>
                      <w:rFonts w:hint="eastAsia"/>
                      <w:szCs w:val="21"/>
                    </w:rPr>
                    <w:t>7.6</w:t>
                  </w:r>
                </w:p>
              </w:tc>
              <w:tc>
                <w:tcPr>
                  <w:tcW w:w="1418" w:type="dxa"/>
                  <w:vAlign w:val="center"/>
                </w:tcPr>
                <w:p>
                  <w:pPr>
                    <w:widowControl/>
                    <w:spacing w:line="320" w:lineRule="exact"/>
                    <w:jc w:val="center"/>
                    <w:rPr>
                      <w:bCs/>
                      <w:szCs w:val="21"/>
                    </w:rPr>
                  </w:pPr>
                  <w:r>
                    <w:rPr>
                      <w:rFonts w:hint="eastAsia"/>
                      <w:bCs/>
                      <w:szCs w:val="21"/>
                    </w:rPr>
                    <w:t>6.2</w:t>
                  </w:r>
                </w:p>
              </w:tc>
              <w:tc>
                <w:tcPr>
                  <w:tcW w:w="1701" w:type="dxa"/>
                  <w:vAlign w:val="center"/>
                </w:tcPr>
                <w:p>
                  <w:pPr>
                    <w:spacing w:line="320" w:lineRule="exact"/>
                    <w:jc w:val="center"/>
                    <w:rPr>
                      <w:rFonts w:ascii="宋体" w:hAnsi="宋体" w:cs="宋体"/>
                      <w:szCs w:val="21"/>
                    </w:rPr>
                  </w:pPr>
                  <w:r>
                    <w:rPr>
                      <w:rFonts w:hint="eastAsia"/>
                      <w:szCs w:val="21"/>
                    </w:rPr>
                    <w:t>13.8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4" w:type="dxa"/>
                  <w:vMerge w:val="continue"/>
                  <w:vAlign w:val="center"/>
                </w:tcPr>
                <w:p>
                  <w:pPr>
                    <w:pStyle w:val="43"/>
                    <w:spacing w:beforeLines="0" w:afterLines="0" w:line="320" w:lineRule="exact"/>
                    <w:rPr>
                      <w:rFonts w:hAnsi="宋体" w:cs="宋体"/>
                      <w:snapToGrid w:val="0"/>
                      <w:kern w:val="21"/>
                      <w:szCs w:val="21"/>
                    </w:rPr>
                  </w:pPr>
                </w:p>
              </w:tc>
              <w:tc>
                <w:tcPr>
                  <w:tcW w:w="1546" w:type="dxa"/>
                  <w:vAlign w:val="center"/>
                </w:tcPr>
                <w:p>
                  <w:pPr>
                    <w:widowControl/>
                    <w:spacing w:line="320" w:lineRule="exact"/>
                    <w:jc w:val="center"/>
                    <w:rPr>
                      <w:bCs/>
                      <w:szCs w:val="21"/>
                    </w:rPr>
                  </w:pPr>
                  <w:r>
                    <w:rPr>
                      <w:rFonts w:hint="eastAsia"/>
                      <w:bCs/>
                      <w:szCs w:val="21"/>
                    </w:rPr>
                    <w:t>原材料包装袋</w:t>
                  </w:r>
                </w:p>
              </w:tc>
              <w:tc>
                <w:tcPr>
                  <w:tcW w:w="1572" w:type="dxa"/>
                  <w:vAlign w:val="center"/>
                </w:tcPr>
                <w:p>
                  <w:pPr>
                    <w:spacing w:line="320" w:lineRule="exact"/>
                    <w:jc w:val="center"/>
                    <w:rPr>
                      <w:szCs w:val="21"/>
                    </w:rPr>
                  </w:pPr>
                  <w:r>
                    <w:rPr>
                      <w:rFonts w:hint="eastAsia"/>
                      <w:szCs w:val="21"/>
                    </w:rPr>
                    <w:t>10</w:t>
                  </w:r>
                </w:p>
              </w:tc>
              <w:tc>
                <w:tcPr>
                  <w:tcW w:w="1418" w:type="dxa"/>
                  <w:vAlign w:val="center"/>
                </w:tcPr>
                <w:p>
                  <w:pPr>
                    <w:widowControl/>
                    <w:spacing w:line="320" w:lineRule="exact"/>
                    <w:jc w:val="center"/>
                    <w:rPr>
                      <w:bCs/>
                      <w:szCs w:val="21"/>
                    </w:rPr>
                  </w:pPr>
                  <w:r>
                    <w:rPr>
                      <w:rFonts w:hint="eastAsia"/>
                      <w:bCs/>
                      <w:szCs w:val="21"/>
                    </w:rPr>
                    <w:t>5</w:t>
                  </w:r>
                </w:p>
              </w:tc>
              <w:tc>
                <w:tcPr>
                  <w:tcW w:w="1701" w:type="dxa"/>
                  <w:vAlign w:val="center"/>
                </w:tcPr>
                <w:p>
                  <w:pPr>
                    <w:spacing w:line="320" w:lineRule="exact"/>
                    <w:jc w:val="center"/>
                    <w:rPr>
                      <w:rFonts w:ascii="宋体" w:hAnsi="宋体" w:cs="宋体"/>
                      <w:szCs w:val="21"/>
                    </w:rPr>
                  </w:pPr>
                  <w:r>
                    <w:rPr>
                      <w:rFonts w:hint="eastAsia"/>
                      <w:szCs w:val="21"/>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4" w:type="dxa"/>
                  <w:vMerge w:val="continue"/>
                  <w:vAlign w:val="center"/>
                </w:tcPr>
                <w:p>
                  <w:pPr>
                    <w:pStyle w:val="43"/>
                    <w:spacing w:beforeLines="0" w:afterLines="0" w:line="320" w:lineRule="exact"/>
                    <w:rPr>
                      <w:rFonts w:hAnsi="宋体" w:cs="宋体"/>
                      <w:snapToGrid w:val="0"/>
                      <w:kern w:val="21"/>
                      <w:szCs w:val="21"/>
                    </w:rPr>
                  </w:pPr>
                </w:p>
              </w:tc>
              <w:tc>
                <w:tcPr>
                  <w:tcW w:w="1546" w:type="dxa"/>
                  <w:vAlign w:val="center"/>
                </w:tcPr>
                <w:p>
                  <w:pPr>
                    <w:widowControl/>
                    <w:spacing w:line="320" w:lineRule="exact"/>
                    <w:jc w:val="center"/>
                    <w:rPr>
                      <w:bCs/>
                      <w:szCs w:val="21"/>
                    </w:rPr>
                  </w:pPr>
                  <w:r>
                    <w:rPr>
                      <w:rFonts w:hint="eastAsia"/>
                      <w:bCs/>
                      <w:szCs w:val="21"/>
                    </w:rPr>
                    <w:t>浮渣</w:t>
                  </w:r>
                </w:p>
              </w:tc>
              <w:tc>
                <w:tcPr>
                  <w:tcW w:w="1572" w:type="dxa"/>
                  <w:vAlign w:val="center"/>
                </w:tcPr>
                <w:p>
                  <w:pPr>
                    <w:spacing w:line="320" w:lineRule="exact"/>
                    <w:jc w:val="center"/>
                    <w:rPr>
                      <w:szCs w:val="21"/>
                    </w:rPr>
                  </w:pPr>
                  <w:r>
                    <w:rPr>
                      <w:rFonts w:hint="eastAsia"/>
                      <w:szCs w:val="21"/>
                    </w:rPr>
                    <w:t>0.08</w:t>
                  </w:r>
                </w:p>
              </w:tc>
              <w:tc>
                <w:tcPr>
                  <w:tcW w:w="1418" w:type="dxa"/>
                  <w:vAlign w:val="center"/>
                </w:tcPr>
                <w:p>
                  <w:pPr>
                    <w:widowControl/>
                    <w:spacing w:line="320" w:lineRule="exact"/>
                    <w:jc w:val="center"/>
                    <w:rPr>
                      <w:bCs/>
                      <w:szCs w:val="21"/>
                    </w:rPr>
                  </w:pPr>
                  <w:r>
                    <w:rPr>
                      <w:rFonts w:hint="eastAsia"/>
                      <w:bCs/>
                      <w:szCs w:val="21"/>
                    </w:rPr>
                    <w:t>0.05</w:t>
                  </w:r>
                </w:p>
              </w:tc>
              <w:tc>
                <w:tcPr>
                  <w:tcW w:w="1701" w:type="dxa"/>
                  <w:vAlign w:val="center"/>
                </w:tcPr>
                <w:p>
                  <w:pPr>
                    <w:spacing w:line="320" w:lineRule="exact"/>
                    <w:jc w:val="center"/>
                    <w:rPr>
                      <w:rFonts w:ascii="宋体" w:hAnsi="宋体" w:cs="宋体"/>
                      <w:szCs w:val="21"/>
                    </w:rPr>
                  </w:pPr>
                  <w:r>
                    <w:rPr>
                      <w:rFonts w:hint="eastAsia"/>
                      <w:szCs w:val="21"/>
                    </w:rPr>
                    <w:t>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4" w:type="dxa"/>
                  <w:vMerge w:val="continue"/>
                  <w:vAlign w:val="center"/>
                </w:tcPr>
                <w:p>
                  <w:pPr>
                    <w:pStyle w:val="43"/>
                    <w:spacing w:beforeLines="0" w:afterLines="0" w:line="320" w:lineRule="exact"/>
                    <w:rPr>
                      <w:rFonts w:hAnsi="宋体" w:cs="宋体"/>
                      <w:snapToGrid w:val="0"/>
                      <w:kern w:val="21"/>
                      <w:szCs w:val="21"/>
                    </w:rPr>
                  </w:pPr>
                </w:p>
              </w:tc>
              <w:tc>
                <w:tcPr>
                  <w:tcW w:w="1546" w:type="dxa"/>
                  <w:vAlign w:val="center"/>
                </w:tcPr>
                <w:p>
                  <w:pPr>
                    <w:widowControl/>
                    <w:spacing w:line="320" w:lineRule="exact"/>
                    <w:jc w:val="center"/>
                    <w:rPr>
                      <w:bCs/>
                      <w:szCs w:val="21"/>
                    </w:rPr>
                  </w:pPr>
                  <w:r>
                    <w:rPr>
                      <w:rFonts w:hint="eastAsia"/>
                      <w:bCs/>
                      <w:szCs w:val="21"/>
                    </w:rPr>
                    <w:t>除尘灰</w:t>
                  </w:r>
                </w:p>
              </w:tc>
              <w:tc>
                <w:tcPr>
                  <w:tcW w:w="1572" w:type="dxa"/>
                  <w:vAlign w:val="center"/>
                </w:tcPr>
                <w:p>
                  <w:pPr>
                    <w:spacing w:line="320" w:lineRule="exact"/>
                    <w:jc w:val="center"/>
                    <w:rPr>
                      <w:szCs w:val="21"/>
                    </w:rPr>
                  </w:pPr>
                  <w:r>
                    <w:rPr>
                      <w:rFonts w:hint="eastAsia"/>
                      <w:szCs w:val="21"/>
                    </w:rPr>
                    <w:t>5</w:t>
                  </w:r>
                </w:p>
              </w:tc>
              <w:tc>
                <w:tcPr>
                  <w:tcW w:w="1418" w:type="dxa"/>
                  <w:vAlign w:val="center"/>
                </w:tcPr>
                <w:p>
                  <w:pPr>
                    <w:widowControl/>
                    <w:spacing w:line="320" w:lineRule="exact"/>
                    <w:jc w:val="center"/>
                    <w:rPr>
                      <w:bCs/>
                      <w:szCs w:val="21"/>
                      <w:u w:val="single"/>
                    </w:rPr>
                  </w:pPr>
                  <w:r>
                    <w:rPr>
                      <w:rFonts w:hint="eastAsia"/>
                      <w:bCs/>
                      <w:szCs w:val="21"/>
                      <w:u w:val="single"/>
                    </w:rPr>
                    <w:t>4.55</w:t>
                  </w:r>
                </w:p>
              </w:tc>
              <w:tc>
                <w:tcPr>
                  <w:tcW w:w="1701" w:type="dxa"/>
                  <w:vAlign w:val="center"/>
                </w:tcPr>
                <w:p>
                  <w:pPr>
                    <w:spacing w:line="320" w:lineRule="exact"/>
                    <w:jc w:val="center"/>
                    <w:rPr>
                      <w:rFonts w:ascii="宋体" w:hAnsi="宋体" w:cs="宋体"/>
                      <w:szCs w:val="21"/>
                    </w:rPr>
                  </w:pPr>
                  <w:r>
                    <w:rPr>
                      <w:rFonts w:hint="eastAsia"/>
                      <w:szCs w:val="21"/>
                    </w:rPr>
                    <w:t>9.55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4" w:type="dxa"/>
                  <w:vMerge w:val="restart"/>
                  <w:vAlign w:val="center"/>
                </w:tcPr>
                <w:p>
                  <w:pPr>
                    <w:pStyle w:val="43"/>
                    <w:spacing w:beforeLines="0" w:afterLines="0" w:line="320" w:lineRule="exact"/>
                    <w:rPr>
                      <w:rFonts w:hAnsi="宋体" w:cs="宋体"/>
                      <w:snapToGrid w:val="0"/>
                      <w:kern w:val="21"/>
                      <w:szCs w:val="21"/>
                    </w:rPr>
                  </w:pPr>
                  <w:r>
                    <w:rPr>
                      <w:rFonts w:hint="eastAsia" w:hAnsi="宋体" w:cs="宋体"/>
                      <w:snapToGrid w:val="0"/>
                      <w:kern w:val="21"/>
                      <w:szCs w:val="21"/>
                    </w:rPr>
                    <w:t>危险废物</w:t>
                  </w:r>
                </w:p>
              </w:tc>
              <w:tc>
                <w:tcPr>
                  <w:tcW w:w="1546" w:type="dxa"/>
                  <w:vAlign w:val="center"/>
                </w:tcPr>
                <w:p>
                  <w:pPr>
                    <w:widowControl/>
                    <w:spacing w:line="320" w:lineRule="exact"/>
                    <w:jc w:val="center"/>
                    <w:rPr>
                      <w:bCs/>
                      <w:szCs w:val="21"/>
                    </w:rPr>
                  </w:pPr>
                  <w:r>
                    <w:rPr>
                      <w:rFonts w:hint="eastAsia"/>
                      <w:bCs/>
                      <w:szCs w:val="21"/>
                    </w:rPr>
                    <w:t>废润滑油</w:t>
                  </w:r>
                </w:p>
              </w:tc>
              <w:tc>
                <w:tcPr>
                  <w:tcW w:w="1572" w:type="dxa"/>
                  <w:vAlign w:val="center"/>
                </w:tcPr>
                <w:p>
                  <w:pPr>
                    <w:spacing w:line="320" w:lineRule="exact"/>
                    <w:jc w:val="center"/>
                    <w:rPr>
                      <w:szCs w:val="21"/>
                    </w:rPr>
                  </w:pPr>
                  <w:r>
                    <w:rPr>
                      <w:rFonts w:hint="eastAsia"/>
                      <w:szCs w:val="21"/>
                    </w:rPr>
                    <w:t>0.05</w:t>
                  </w:r>
                </w:p>
              </w:tc>
              <w:tc>
                <w:tcPr>
                  <w:tcW w:w="1418" w:type="dxa"/>
                  <w:vAlign w:val="center"/>
                </w:tcPr>
                <w:p>
                  <w:pPr>
                    <w:widowControl/>
                    <w:spacing w:line="320" w:lineRule="exact"/>
                    <w:jc w:val="center"/>
                    <w:rPr>
                      <w:bCs/>
                      <w:szCs w:val="21"/>
                      <w:u w:val="single"/>
                    </w:rPr>
                  </w:pPr>
                  <w:r>
                    <w:rPr>
                      <w:rFonts w:hint="eastAsia"/>
                      <w:bCs/>
                      <w:szCs w:val="21"/>
                      <w:u w:val="single"/>
                    </w:rPr>
                    <w:t>0.05</w:t>
                  </w:r>
                </w:p>
              </w:tc>
              <w:tc>
                <w:tcPr>
                  <w:tcW w:w="1701" w:type="dxa"/>
                  <w:vAlign w:val="center"/>
                </w:tcPr>
                <w:p>
                  <w:pPr>
                    <w:spacing w:line="320" w:lineRule="exact"/>
                    <w:jc w:val="center"/>
                    <w:rPr>
                      <w:rFonts w:ascii="宋体" w:hAnsi="宋体" w:cs="宋体"/>
                      <w:szCs w:val="21"/>
                    </w:rPr>
                  </w:pPr>
                  <w:r>
                    <w:rPr>
                      <w:rFonts w:hint="eastAsia"/>
                      <w:szCs w:val="21"/>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4" w:type="dxa"/>
                  <w:vMerge w:val="continue"/>
                  <w:vAlign w:val="center"/>
                </w:tcPr>
                <w:p>
                  <w:pPr>
                    <w:pStyle w:val="43"/>
                    <w:spacing w:beforeLines="0" w:afterLines="0" w:line="320" w:lineRule="exact"/>
                    <w:rPr>
                      <w:rFonts w:hAnsi="宋体" w:cs="宋体"/>
                      <w:snapToGrid w:val="0"/>
                      <w:kern w:val="21"/>
                      <w:szCs w:val="21"/>
                    </w:rPr>
                  </w:pPr>
                </w:p>
              </w:tc>
              <w:tc>
                <w:tcPr>
                  <w:tcW w:w="1546" w:type="dxa"/>
                  <w:vAlign w:val="center"/>
                </w:tcPr>
                <w:p>
                  <w:pPr>
                    <w:widowControl/>
                    <w:spacing w:line="320" w:lineRule="exact"/>
                    <w:jc w:val="center"/>
                    <w:rPr>
                      <w:bCs/>
                      <w:szCs w:val="21"/>
                    </w:rPr>
                  </w:pPr>
                  <w:r>
                    <w:rPr>
                      <w:rFonts w:hint="eastAsia"/>
                      <w:bCs/>
                      <w:szCs w:val="21"/>
                    </w:rPr>
                    <w:t>废灯管</w:t>
                  </w:r>
                </w:p>
              </w:tc>
              <w:tc>
                <w:tcPr>
                  <w:tcW w:w="1572" w:type="dxa"/>
                  <w:vAlign w:val="center"/>
                </w:tcPr>
                <w:p>
                  <w:pPr>
                    <w:spacing w:line="320" w:lineRule="exact"/>
                    <w:jc w:val="center"/>
                    <w:rPr>
                      <w:szCs w:val="21"/>
                    </w:rPr>
                  </w:pPr>
                  <w:r>
                    <w:rPr>
                      <w:rFonts w:hint="eastAsia"/>
                      <w:szCs w:val="21"/>
                    </w:rPr>
                    <w:t>/</w:t>
                  </w:r>
                </w:p>
              </w:tc>
              <w:tc>
                <w:tcPr>
                  <w:tcW w:w="1418" w:type="dxa"/>
                  <w:vAlign w:val="center"/>
                </w:tcPr>
                <w:p>
                  <w:pPr>
                    <w:widowControl/>
                    <w:spacing w:line="320" w:lineRule="exact"/>
                    <w:jc w:val="center"/>
                    <w:rPr>
                      <w:bCs/>
                      <w:szCs w:val="21"/>
                      <w:u w:val="single"/>
                    </w:rPr>
                  </w:pPr>
                  <w:r>
                    <w:rPr>
                      <w:rFonts w:hint="eastAsia"/>
                      <w:bCs/>
                      <w:szCs w:val="21"/>
                      <w:u w:val="single"/>
                    </w:rPr>
                    <w:t>0.04</w:t>
                  </w:r>
                </w:p>
              </w:tc>
              <w:tc>
                <w:tcPr>
                  <w:tcW w:w="1701" w:type="dxa"/>
                  <w:vAlign w:val="center"/>
                </w:tcPr>
                <w:p>
                  <w:pPr>
                    <w:spacing w:line="320" w:lineRule="exact"/>
                    <w:jc w:val="center"/>
                    <w:rPr>
                      <w:rFonts w:ascii="宋体" w:hAnsi="宋体" w:cs="宋体"/>
                      <w:szCs w:val="21"/>
                    </w:rPr>
                  </w:pPr>
                  <w:r>
                    <w:rPr>
                      <w:rFonts w:hint="eastAsia"/>
                      <w:szCs w:val="21"/>
                    </w:rPr>
                    <w:t>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4" w:type="dxa"/>
                  <w:vMerge w:val="continue"/>
                  <w:vAlign w:val="center"/>
                </w:tcPr>
                <w:p>
                  <w:pPr>
                    <w:pStyle w:val="43"/>
                    <w:spacing w:beforeLines="0" w:afterLines="0" w:line="320" w:lineRule="exact"/>
                    <w:rPr>
                      <w:rFonts w:hAnsi="宋体" w:cs="宋体"/>
                      <w:snapToGrid w:val="0"/>
                      <w:kern w:val="21"/>
                      <w:szCs w:val="21"/>
                    </w:rPr>
                  </w:pPr>
                </w:p>
              </w:tc>
              <w:tc>
                <w:tcPr>
                  <w:tcW w:w="1546" w:type="dxa"/>
                  <w:vAlign w:val="center"/>
                </w:tcPr>
                <w:p>
                  <w:pPr>
                    <w:widowControl/>
                    <w:spacing w:line="320" w:lineRule="exact"/>
                    <w:jc w:val="center"/>
                    <w:rPr>
                      <w:bCs/>
                      <w:szCs w:val="21"/>
                    </w:rPr>
                  </w:pPr>
                  <w:r>
                    <w:rPr>
                      <w:rFonts w:hint="eastAsia"/>
                      <w:bCs/>
                      <w:szCs w:val="21"/>
                    </w:rPr>
                    <w:t>废活性炭</w:t>
                  </w:r>
                </w:p>
              </w:tc>
              <w:tc>
                <w:tcPr>
                  <w:tcW w:w="1572" w:type="dxa"/>
                  <w:vAlign w:val="center"/>
                </w:tcPr>
                <w:p>
                  <w:pPr>
                    <w:spacing w:line="320" w:lineRule="exact"/>
                    <w:jc w:val="center"/>
                    <w:rPr>
                      <w:szCs w:val="21"/>
                    </w:rPr>
                  </w:pPr>
                  <w:r>
                    <w:rPr>
                      <w:rFonts w:hint="eastAsia"/>
                      <w:szCs w:val="21"/>
                    </w:rPr>
                    <w:t>0.3</w:t>
                  </w:r>
                </w:p>
              </w:tc>
              <w:tc>
                <w:tcPr>
                  <w:tcW w:w="1418" w:type="dxa"/>
                  <w:vAlign w:val="center"/>
                </w:tcPr>
                <w:p>
                  <w:pPr>
                    <w:widowControl/>
                    <w:spacing w:line="320" w:lineRule="exact"/>
                    <w:jc w:val="center"/>
                    <w:rPr>
                      <w:bCs/>
                      <w:szCs w:val="21"/>
                      <w:u w:val="single"/>
                    </w:rPr>
                  </w:pPr>
                  <w:r>
                    <w:rPr>
                      <w:rFonts w:hint="eastAsia"/>
                      <w:bCs/>
                      <w:szCs w:val="21"/>
                      <w:u w:val="single"/>
                    </w:rPr>
                    <w:t>5.24</w:t>
                  </w:r>
                </w:p>
              </w:tc>
              <w:tc>
                <w:tcPr>
                  <w:tcW w:w="1701" w:type="dxa"/>
                  <w:vAlign w:val="center"/>
                </w:tcPr>
                <w:p>
                  <w:pPr>
                    <w:spacing w:line="320" w:lineRule="exact"/>
                    <w:jc w:val="center"/>
                    <w:rPr>
                      <w:rFonts w:ascii="宋体" w:hAnsi="宋体" w:cs="宋体"/>
                      <w:szCs w:val="21"/>
                    </w:rPr>
                  </w:pPr>
                  <w:r>
                    <w:rPr>
                      <w:rFonts w:hint="eastAsia"/>
                      <w:szCs w:val="21"/>
                    </w:rPr>
                    <w:t>5.54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4" w:type="dxa"/>
                  <w:vAlign w:val="center"/>
                </w:tcPr>
                <w:p>
                  <w:pPr>
                    <w:pStyle w:val="43"/>
                    <w:spacing w:beforeLines="0" w:afterLines="0" w:line="320" w:lineRule="exact"/>
                    <w:rPr>
                      <w:rFonts w:hAnsi="宋体" w:cs="宋体"/>
                      <w:snapToGrid w:val="0"/>
                      <w:kern w:val="21"/>
                      <w:szCs w:val="21"/>
                    </w:rPr>
                  </w:pPr>
                  <w:r>
                    <w:rPr>
                      <w:rFonts w:hint="eastAsia" w:hAnsi="宋体" w:cs="宋体"/>
                      <w:snapToGrid w:val="0"/>
                      <w:kern w:val="21"/>
                      <w:szCs w:val="21"/>
                    </w:rPr>
                    <w:t>一般固废</w:t>
                  </w:r>
                </w:p>
              </w:tc>
              <w:tc>
                <w:tcPr>
                  <w:tcW w:w="1546" w:type="dxa"/>
                  <w:vAlign w:val="center"/>
                </w:tcPr>
                <w:p>
                  <w:pPr>
                    <w:widowControl/>
                    <w:spacing w:line="320" w:lineRule="exact"/>
                    <w:jc w:val="center"/>
                    <w:rPr>
                      <w:bCs/>
                      <w:szCs w:val="21"/>
                    </w:rPr>
                  </w:pPr>
                  <w:r>
                    <w:rPr>
                      <w:rFonts w:hint="eastAsia"/>
                      <w:bCs/>
                      <w:szCs w:val="21"/>
                    </w:rPr>
                    <w:t>生活垃圾</w:t>
                  </w:r>
                </w:p>
              </w:tc>
              <w:tc>
                <w:tcPr>
                  <w:tcW w:w="1572" w:type="dxa"/>
                  <w:vAlign w:val="center"/>
                </w:tcPr>
                <w:p>
                  <w:pPr>
                    <w:spacing w:line="320" w:lineRule="exact"/>
                    <w:jc w:val="center"/>
                    <w:rPr>
                      <w:szCs w:val="21"/>
                    </w:rPr>
                  </w:pPr>
                  <w:r>
                    <w:rPr>
                      <w:rFonts w:hint="eastAsia"/>
                      <w:szCs w:val="21"/>
                    </w:rPr>
                    <w:t>9.36</w:t>
                  </w:r>
                </w:p>
              </w:tc>
              <w:tc>
                <w:tcPr>
                  <w:tcW w:w="1418" w:type="dxa"/>
                  <w:vAlign w:val="center"/>
                </w:tcPr>
                <w:p>
                  <w:pPr>
                    <w:widowControl/>
                    <w:spacing w:line="320" w:lineRule="exact"/>
                    <w:jc w:val="center"/>
                    <w:rPr>
                      <w:bCs/>
                      <w:szCs w:val="21"/>
                    </w:rPr>
                  </w:pPr>
                  <w:r>
                    <w:rPr>
                      <w:rFonts w:hint="eastAsia"/>
                      <w:bCs/>
                      <w:szCs w:val="21"/>
                    </w:rPr>
                    <w:t>4.68</w:t>
                  </w:r>
                </w:p>
              </w:tc>
              <w:tc>
                <w:tcPr>
                  <w:tcW w:w="1701" w:type="dxa"/>
                  <w:vAlign w:val="center"/>
                </w:tcPr>
                <w:p>
                  <w:pPr>
                    <w:spacing w:line="320" w:lineRule="exact"/>
                    <w:jc w:val="center"/>
                    <w:rPr>
                      <w:rFonts w:ascii="宋体" w:hAnsi="宋体" w:cs="宋体"/>
                      <w:szCs w:val="21"/>
                    </w:rPr>
                  </w:pPr>
                  <w:r>
                    <w:rPr>
                      <w:rFonts w:hint="eastAsia"/>
                      <w:szCs w:val="21"/>
                    </w:rPr>
                    <w:t>14.04</w:t>
                  </w:r>
                </w:p>
              </w:tc>
            </w:tr>
          </w:tbl>
          <w:p>
            <w:pPr>
              <w:spacing w:line="360" w:lineRule="auto"/>
              <w:rPr>
                <w:b/>
                <w:sz w:val="24"/>
              </w:rPr>
            </w:pPr>
            <w:r>
              <w:rPr>
                <w:rFonts w:hint="eastAsia"/>
                <w:b/>
                <w:sz w:val="24"/>
              </w:rPr>
              <w:t>9</w:t>
            </w:r>
            <w:r>
              <w:rPr>
                <w:b/>
                <w:sz w:val="24"/>
              </w:rPr>
              <w:t>环保投资估算</w:t>
            </w:r>
          </w:p>
          <w:p>
            <w:pPr>
              <w:widowControl/>
              <w:spacing w:line="360" w:lineRule="auto"/>
              <w:ind w:firstLine="480" w:firstLineChars="200"/>
              <w:rPr>
                <w:bCs/>
                <w:sz w:val="24"/>
              </w:rPr>
            </w:pPr>
            <w:r>
              <w:rPr>
                <w:bCs/>
                <w:sz w:val="24"/>
              </w:rPr>
              <w:t>本项目总投资为</w:t>
            </w:r>
            <w:r>
              <w:rPr>
                <w:rFonts w:hint="eastAsia"/>
                <w:bCs/>
                <w:sz w:val="24"/>
              </w:rPr>
              <w:t>900</w:t>
            </w:r>
            <w:r>
              <w:rPr>
                <w:bCs/>
                <w:sz w:val="24"/>
              </w:rPr>
              <w:t>万元，</w:t>
            </w:r>
            <w:r>
              <w:rPr>
                <w:bCs/>
                <w:sz w:val="24"/>
                <w:u w:val="single"/>
              </w:rPr>
              <w:t>环保投资为</w:t>
            </w:r>
            <w:r>
              <w:rPr>
                <w:rFonts w:hint="eastAsia"/>
                <w:bCs/>
                <w:sz w:val="24"/>
                <w:u w:val="single"/>
              </w:rPr>
              <w:t>27</w:t>
            </w:r>
            <w:r>
              <w:rPr>
                <w:bCs/>
                <w:sz w:val="24"/>
                <w:u w:val="single"/>
              </w:rPr>
              <w:t>万元，占总投资的</w:t>
            </w:r>
            <w:r>
              <w:rPr>
                <w:rFonts w:hint="eastAsia"/>
                <w:bCs/>
                <w:sz w:val="24"/>
                <w:u w:val="single"/>
              </w:rPr>
              <w:t>3</w:t>
            </w:r>
            <w:r>
              <w:rPr>
                <w:bCs/>
                <w:sz w:val="24"/>
                <w:u w:val="single"/>
              </w:rPr>
              <w:t>%。</w:t>
            </w:r>
            <w:r>
              <w:rPr>
                <w:bCs/>
                <w:sz w:val="24"/>
              </w:rPr>
              <w:t>环保投资估算见</w:t>
            </w:r>
            <w:r>
              <w:rPr>
                <w:rFonts w:hint="eastAsia"/>
                <w:bCs/>
                <w:sz w:val="24"/>
              </w:rPr>
              <w:t>下表</w:t>
            </w:r>
            <w:r>
              <w:rPr>
                <w:bCs/>
                <w:sz w:val="24"/>
              </w:rPr>
              <w:t>。</w:t>
            </w:r>
          </w:p>
          <w:p>
            <w:pPr>
              <w:pStyle w:val="53"/>
              <w:numPr>
                <w:ilvl w:val="0"/>
                <w:numId w:val="2"/>
              </w:numPr>
              <w:ind w:left="0" w:firstLine="0"/>
            </w:pPr>
            <w:r>
              <w:rPr>
                <w:rFonts w:hint="eastAsia"/>
              </w:rPr>
              <w:t>环保投资估算一览表</w:t>
            </w:r>
          </w:p>
          <w:tbl>
            <w:tblPr>
              <w:tblStyle w:val="28"/>
              <w:tblW w:w="498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85"/>
              <w:gridCol w:w="4812"/>
              <w:gridCol w:w="1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130" w:type="pct"/>
                  <w:vAlign w:val="center"/>
                </w:tcPr>
                <w:p>
                  <w:pPr>
                    <w:snapToGrid w:val="0"/>
                    <w:spacing w:line="320" w:lineRule="exact"/>
                    <w:jc w:val="center"/>
                    <w:rPr>
                      <w:kern w:val="0"/>
                      <w:szCs w:val="21"/>
                    </w:rPr>
                  </w:pPr>
                  <w:r>
                    <w:rPr>
                      <w:rFonts w:hint="eastAsia"/>
                      <w:kern w:val="0"/>
                      <w:szCs w:val="21"/>
                    </w:rPr>
                    <w:t>污染源</w:t>
                  </w:r>
                </w:p>
              </w:tc>
              <w:tc>
                <w:tcPr>
                  <w:tcW w:w="3046" w:type="pct"/>
                  <w:vAlign w:val="center"/>
                </w:tcPr>
                <w:p>
                  <w:pPr>
                    <w:snapToGrid w:val="0"/>
                    <w:spacing w:line="320" w:lineRule="exact"/>
                    <w:jc w:val="center"/>
                    <w:rPr>
                      <w:kern w:val="0"/>
                      <w:szCs w:val="21"/>
                    </w:rPr>
                  </w:pPr>
                  <w:r>
                    <w:rPr>
                      <w:kern w:val="0"/>
                      <w:szCs w:val="21"/>
                    </w:rPr>
                    <w:t>环保设施</w:t>
                  </w:r>
                </w:p>
              </w:tc>
              <w:tc>
                <w:tcPr>
                  <w:tcW w:w="824" w:type="pct"/>
                  <w:vAlign w:val="center"/>
                </w:tcPr>
                <w:p>
                  <w:pPr>
                    <w:snapToGrid w:val="0"/>
                    <w:spacing w:line="320" w:lineRule="exact"/>
                    <w:jc w:val="center"/>
                    <w:rPr>
                      <w:kern w:val="0"/>
                      <w:szCs w:val="21"/>
                    </w:rPr>
                  </w:pPr>
                  <w:r>
                    <w:rPr>
                      <w:kern w:val="0"/>
                      <w:szCs w:val="21"/>
                    </w:rPr>
                    <w:t>投资（万元）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130" w:type="pct"/>
                  <w:vMerge w:val="restart"/>
                  <w:vAlign w:val="center"/>
                </w:tcPr>
                <w:p>
                  <w:pPr>
                    <w:snapToGrid w:val="0"/>
                    <w:spacing w:line="320" w:lineRule="exact"/>
                    <w:jc w:val="center"/>
                    <w:rPr>
                      <w:kern w:val="0"/>
                      <w:szCs w:val="21"/>
                    </w:rPr>
                  </w:pPr>
                  <w:r>
                    <w:rPr>
                      <w:rFonts w:hint="eastAsia"/>
                      <w:kern w:val="0"/>
                      <w:szCs w:val="21"/>
                    </w:rPr>
                    <w:t>拉丝机、覆膜机</w:t>
                  </w:r>
                </w:p>
                <w:p>
                  <w:pPr>
                    <w:snapToGrid w:val="0"/>
                    <w:spacing w:line="320" w:lineRule="exact"/>
                    <w:jc w:val="center"/>
                    <w:rPr>
                      <w:kern w:val="0"/>
                      <w:szCs w:val="21"/>
                    </w:rPr>
                  </w:pPr>
                  <w:r>
                    <w:rPr>
                      <w:rFonts w:hint="eastAsia"/>
                      <w:kern w:val="0"/>
                      <w:szCs w:val="21"/>
                    </w:rPr>
                    <w:t>有机废气</w:t>
                  </w:r>
                </w:p>
              </w:tc>
              <w:tc>
                <w:tcPr>
                  <w:tcW w:w="3046" w:type="pct"/>
                  <w:vAlign w:val="center"/>
                </w:tcPr>
                <w:p>
                  <w:pPr>
                    <w:adjustRightInd w:val="0"/>
                    <w:snapToGrid w:val="0"/>
                    <w:spacing w:line="320" w:lineRule="exact"/>
                    <w:rPr>
                      <w:kern w:val="0"/>
                      <w:szCs w:val="21"/>
                    </w:rPr>
                  </w:pPr>
                  <w:r>
                    <w:rPr>
                      <w:rFonts w:hint="eastAsia"/>
                      <w:kern w:val="0"/>
                      <w:szCs w:val="21"/>
                    </w:rPr>
                    <w:t>2#车间2组拉丝机挤出工序、烘干工序进出口设集气罩，集气罩+光氧催化+活性炭吸附装置（1套）+15m高排气筒（1根）</w:t>
                  </w:r>
                </w:p>
              </w:tc>
              <w:tc>
                <w:tcPr>
                  <w:tcW w:w="824" w:type="pct"/>
                  <w:vAlign w:val="center"/>
                </w:tcPr>
                <w:p>
                  <w:pPr>
                    <w:adjustRightInd w:val="0"/>
                    <w:snapToGrid w:val="0"/>
                    <w:spacing w:line="320" w:lineRule="exact"/>
                    <w:jc w:val="center"/>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130" w:type="pct"/>
                  <w:vMerge w:val="continue"/>
                  <w:vAlign w:val="center"/>
                </w:tcPr>
                <w:p>
                  <w:pPr>
                    <w:snapToGrid w:val="0"/>
                    <w:spacing w:line="320" w:lineRule="exact"/>
                    <w:jc w:val="center"/>
                    <w:rPr>
                      <w:kern w:val="0"/>
                      <w:szCs w:val="21"/>
                    </w:rPr>
                  </w:pPr>
                </w:p>
              </w:tc>
              <w:tc>
                <w:tcPr>
                  <w:tcW w:w="3046" w:type="pct"/>
                  <w:vAlign w:val="center"/>
                </w:tcPr>
                <w:p>
                  <w:pPr>
                    <w:adjustRightInd w:val="0"/>
                    <w:snapToGrid w:val="0"/>
                    <w:spacing w:line="320" w:lineRule="exact"/>
                    <w:rPr>
                      <w:kern w:val="0"/>
                      <w:szCs w:val="21"/>
                    </w:rPr>
                  </w:pPr>
                  <w:r>
                    <w:rPr>
                      <w:rFonts w:hint="eastAsia"/>
                      <w:kern w:val="0"/>
                      <w:szCs w:val="21"/>
                    </w:rPr>
                    <w:t>3#车间4组拉丝机挤出工序、烘干工序进出口设集气罩，2组覆膜机挤出工序设集气罩，集气罩+光氧催化+活性炭吸附装置（1套）+15m高排气筒（1根）</w:t>
                  </w:r>
                </w:p>
              </w:tc>
              <w:tc>
                <w:tcPr>
                  <w:tcW w:w="824" w:type="pct"/>
                  <w:vAlign w:val="center"/>
                </w:tcPr>
                <w:p>
                  <w:pPr>
                    <w:adjustRightInd w:val="0"/>
                    <w:snapToGrid w:val="0"/>
                    <w:spacing w:line="320" w:lineRule="exact"/>
                    <w:jc w:val="center"/>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130" w:type="pct"/>
                  <w:vMerge w:val="restart"/>
                  <w:vAlign w:val="center"/>
                </w:tcPr>
                <w:p>
                  <w:pPr>
                    <w:snapToGrid w:val="0"/>
                    <w:spacing w:line="320" w:lineRule="exact"/>
                    <w:jc w:val="center"/>
                    <w:rPr>
                      <w:kern w:val="0"/>
                      <w:szCs w:val="21"/>
                    </w:rPr>
                  </w:pPr>
                  <w:r>
                    <w:rPr>
                      <w:rFonts w:hint="eastAsia"/>
                      <w:kern w:val="0"/>
                      <w:szCs w:val="21"/>
                    </w:rPr>
                    <w:t>拉丝机、覆膜机</w:t>
                  </w:r>
                </w:p>
                <w:p>
                  <w:pPr>
                    <w:snapToGrid w:val="0"/>
                    <w:spacing w:line="320" w:lineRule="exact"/>
                    <w:jc w:val="center"/>
                    <w:rPr>
                      <w:kern w:val="0"/>
                      <w:szCs w:val="21"/>
                    </w:rPr>
                  </w:pPr>
                  <w:r>
                    <w:rPr>
                      <w:rFonts w:hint="eastAsia"/>
                      <w:kern w:val="0"/>
                      <w:szCs w:val="21"/>
                    </w:rPr>
                    <w:t>产生颗粒物</w:t>
                  </w:r>
                </w:p>
              </w:tc>
              <w:tc>
                <w:tcPr>
                  <w:tcW w:w="3046" w:type="pct"/>
                  <w:vAlign w:val="center"/>
                </w:tcPr>
                <w:p>
                  <w:pPr>
                    <w:spacing w:line="320" w:lineRule="exact"/>
                    <w:rPr>
                      <w:szCs w:val="21"/>
                      <w:u w:val="single"/>
                    </w:rPr>
                  </w:pPr>
                  <w:r>
                    <w:rPr>
                      <w:rFonts w:hint="eastAsia"/>
                      <w:kern w:val="0"/>
                      <w:szCs w:val="21"/>
                      <w:u w:val="single"/>
                    </w:rPr>
                    <w:t>2#车间2组</w:t>
                  </w:r>
                  <w:r>
                    <w:rPr>
                      <w:rFonts w:hint="eastAsia"/>
                      <w:szCs w:val="21"/>
                      <w:u w:val="single"/>
                    </w:rPr>
                    <w:t>拉丝机组搅拌机设密闭集气罩，密闭集气罩</w:t>
                  </w:r>
                  <w:r>
                    <w:rPr>
                      <w:szCs w:val="21"/>
                      <w:u w:val="single"/>
                    </w:rPr>
                    <w:t>+</w:t>
                  </w:r>
                  <w:r>
                    <w:rPr>
                      <w:rFonts w:hint="eastAsia"/>
                      <w:szCs w:val="21"/>
                      <w:u w:val="single"/>
                    </w:rPr>
                    <w:t>袋式除尘器</w:t>
                  </w:r>
                  <w:r>
                    <w:rPr>
                      <w:rFonts w:hint="eastAsia"/>
                      <w:kern w:val="0"/>
                      <w:szCs w:val="21"/>
                      <w:u w:val="single"/>
                    </w:rPr>
                    <w:t>（1套）</w:t>
                  </w:r>
                  <w:r>
                    <w:rPr>
                      <w:rFonts w:hint="eastAsia"/>
                      <w:szCs w:val="21"/>
                      <w:u w:val="single"/>
                    </w:rPr>
                    <w:t>+</w:t>
                  </w:r>
                  <w:r>
                    <w:rPr>
                      <w:szCs w:val="21"/>
                      <w:u w:val="single"/>
                    </w:rPr>
                    <w:t>15m排气筒</w:t>
                  </w:r>
                  <w:r>
                    <w:rPr>
                      <w:rFonts w:hint="eastAsia"/>
                      <w:kern w:val="0"/>
                      <w:szCs w:val="21"/>
                      <w:u w:val="single"/>
                    </w:rPr>
                    <w:t>（1根）</w:t>
                  </w:r>
                </w:p>
              </w:tc>
              <w:tc>
                <w:tcPr>
                  <w:tcW w:w="824" w:type="pct"/>
                  <w:vAlign w:val="center"/>
                </w:tcPr>
                <w:p>
                  <w:pPr>
                    <w:adjustRightInd w:val="0"/>
                    <w:snapToGrid w:val="0"/>
                    <w:spacing w:line="320" w:lineRule="exact"/>
                    <w:jc w:val="center"/>
                    <w:rPr>
                      <w:szCs w:val="21"/>
                    </w:rPr>
                  </w:pPr>
                  <w:r>
                    <w:rPr>
                      <w:rFonts w:hint="eastAsia"/>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jc w:val="center"/>
              </w:trPr>
              <w:tc>
                <w:tcPr>
                  <w:tcW w:w="1130" w:type="pct"/>
                  <w:vMerge w:val="continue"/>
                  <w:vAlign w:val="center"/>
                </w:tcPr>
                <w:p>
                  <w:pPr>
                    <w:snapToGrid w:val="0"/>
                    <w:spacing w:line="320" w:lineRule="exact"/>
                    <w:jc w:val="center"/>
                    <w:rPr>
                      <w:kern w:val="0"/>
                      <w:szCs w:val="21"/>
                    </w:rPr>
                  </w:pPr>
                </w:p>
              </w:tc>
              <w:tc>
                <w:tcPr>
                  <w:tcW w:w="3046" w:type="pct"/>
                  <w:vAlign w:val="center"/>
                </w:tcPr>
                <w:p>
                  <w:pPr>
                    <w:spacing w:line="320" w:lineRule="exact"/>
                    <w:rPr>
                      <w:kern w:val="0"/>
                      <w:szCs w:val="21"/>
                      <w:u w:val="single"/>
                    </w:rPr>
                  </w:pPr>
                  <w:r>
                    <w:rPr>
                      <w:rFonts w:hint="eastAsia"/>
                      <w:kern w:val="0"/>
                      <w:szCs w:val="21"/>
                      <w:u w:val="single"/>
                    </w:rPr>
                    <w:t>3#车间4组</w:t>
                  </w:r>
                  <w:r>
                    <w:rPr>
                      <w:rFonts w:hint="eastAsia"/>
                      <w:szCs w:val="21"/>
                      <w:u w:val="single"/>
                    </w:rPr>
                    <w:t>拉丝机组、2组覆膜机搅拌机设密闭集气罩，密闭集气罩</w:t>
                  </w:r>
                  <w:r>
                    <w:rPr>
                      <w:szCs w:val="21"/>
                      <w:u w:val="single"/>
                    </w:rPr>
                    <w:t>+</w:t>
                  </w:r>
                  <w:r>
                    <w:rPr>
                      <w:rFonts w:hint="eastAsia"/>
                      <w:szCs w:val="21"/>
                      <w:u w:val="single"/>
                    </w:rPr>
                    <w:t>袋式除尘器</w:t>
                  </w:r>
                  <w:r>
                    <w:rPr>
                      <w:rFonts w:hint="eastAsia"/>
                      <w:kern w:val="0"/>
                      <w:szCs w:val="21"/>
                      <w:u w:val="single"/>
                    </w:rPr>
                    <w:t>（1套）</w:t>
                  </w:r>
                  <w:r>
                    <w:rPr>
                      <w:rFonts w:hint="eastAsia"/>
                      <w:szCs w:val="21"/>
                      <w:u w:val="single"/>
                    </w:rPr>
                    <w:t>+</w:t>
                  </w:r>
                  <w:r>
                    <w:rPr>
                      <w:szCs w:val="21"/>
                      <w:u w:val="single"/>
                    </w:rPr>
                    <w:t>15m排气筒</w:t>
                  </w:r>
                  <w:r>
                    <w:rPr>
                      <w:rFonts w:hint="eastAsia"/>
                      <w:kern w:val="0"/>
                      <w:szCs w:val="21"/>
                      <w:u w:val="single"/>
                    </w:rPr>
                    <w:t>（1根）</w:t>
                  </w:r>
                </w:p>
              </w:tc>
              <w:tc>
                <w:tcPr>
                  <w:tcW w:w="824" w:type="pct"/>
                  <w:vAlign w:val="center"/>
                </w:tcPr>
                <w:p>
                  <w:pPr>
                    <w:adjustRightInd w:val="0"/>
                    <w:snapToGrid w:val="0"/>
                    <w:spacing w:line="320" w:lineRule="exact"/>
                    <w:jc w:val="center"/>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jc w:val="center"/>
              </w:trPr>
              <w:tc>
                <w:tcPr>
                  <w:tcW w:w="1130" w:type="pct"/>
                  <w:vAlign w:val="center"/>
                </w:tcPr>
                <w:p>
                  <w:pPr>
                    <w:snapToGrid w:val="0"/>
                    <w:spacing w:line="320" w:lineRule="exact"/>
                    <w:jc w:val="center"/>
                    <w:rPr>
                      <w:kern w:val="0"/>
                      <w:szCs w:val="21"/>
                    </w:rPr>
                  </w:pPr>
                  <w:r>
                    <w:rPr>
                      <w:rFonts w:hint="eastAsia"/>
                      <w:kern w:val="0"/>
                      <w:szCs w:val="21"/>
                    </w:rPr>
                    <w:t>生活污水</w:t>
                  </w:r>
                </w:p>
              </w:tc>
              <w:tc>
                <w:tcPr>
                  <w:tcW w:w="3046" w:type="pct"/>
                  <w:vAlign w:val="center"/>
                </w:tcPr>
                <w:p>
                  <w:pPr>
                    <w:adjustRightInd w:val="0"/>
                    <w:snapToGrid w:val="0"/>
                    <w:spacing w:line="320" w:lineRule="exact"/>
                    <w:jc w:val="center"/>
                    <w:rPr>
                      <w:kern w:val="0"/>
                      <w:szCs w:val="21"/>
                    </w:rPr>
                  </w:pPr>
                  <w:r>
                    <w:rPr>
                      <w:rFonts w:hint="eastAsia"/>
                      <w:kern w:val="0"/>
                      <w:szCs w:val="21"/>
                    </w:rPr>
                    <w:t>依托现有化粪池+一体化污水处理设施</w:t>
                  </w:r>
                </w:p>
              </w:tc>
              <w:tc>
                <w:tcPr>
                  <w:tcW w:w="824" w:type="pct"/>
                  <w:vAlign w:val="center"/>
                </w:tcPr>
                <w:p>
                  <w:pPr>
                    <w:adjustRightInd w:val="0"/>
                    <w:snapToGrid w:val="0"/>
                    <w:spacing w:line="320" w:lineRule="exact"/>
                    <w:jc w:val="center"/>
                    <w:rPr>
                      <w:szCs w:val="21"/>
                    </w:rPr>
                  </w:pPr>
                  <w:r>
                    <w:rPr>
                      <w:rFonts w:hint="eastAsia"/>
                      <w:szCs w:val="21"/>
                    </w:rPr>
                    <w:t>依托现有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130" w:type="pct"/>
                  <w:vAlign w:val="center"/>
                </w:tcPr>
                <w:p>
                  <w:pPr>
                    <w:snapToGrid w:val="0"/>
                    <w:spacing w:line="320" w:lineRule="exact"/>
                    <w:jc w:val="center"/>
                    <w:rPr>
                      <w:kern w:val="0"/>
                      <w:szCs w:val="21"/>
                    </w:rPr>
                  </w:pPr>
                  <w:r>
                    <w:rPr>
                      <w:rFonts w:hint="eastAsia"/>
                      <w:kern w:val="0"/>
                      <w:szCs w:val="21"/>
                    </w:rPr>
                    <w:t>一般固废暂存间</w:t>
                  </w:r>
                </w:p>
              </w:tc>
              <w:tc>
                <w:tcPr>
                  <w:tcW w:w="3046" w:type="pct"/>
                  <w:vAlign w:val="center"/>
                </w:tcPr>
                <w:p>
                  <w:pPr>
                    <w:adjustRightInd w:val="0"/>
                    <w:snapToGrid w:val="0"/>
                    <w:spacing w:line="320" w:lineRule="exact"/>
                    <w:jc w:val="center"/>
                    <w:rPr>
                      <w:szCs w:val="21"/>
                    </w:rPr>
                  </w:pPr>
                  <w:r>
                    <w:rPr>
                      <w:rFonts w:hint="eastAsia"/>
                      <w:bCs/>
                      <w:szCs w:val="21"/>
                    </w:rPr>
                    <w:t>1个32m</w:t>
                  </w:r>
                  <w:r>
                    <w:rPr>
                      <w:rFonts w:hint="eastAsia"/>
                      <w:bCs/>
                      <w:szCs w:val="21"/>
                      <w:vertAlign w:val="superscript"/>
                    </w:rPr>
                    <w:t>2</w:t>
                  </w:r>
                  <w:r>
                    <w:rPr>
                      <w:rFonts w:hint="eastAsia"/>
                      <w:bCs/>
                      <w:szCs w:val="21"/>
                    </w:rPr>
                    <w:t>一般固废暂存间</w:t>
                  </w:r>
                </w:p>
              </w:tc>
              <w:tc>
                <w:tcPr>
                  <w:tcW w:w="824" w:type="pct"/>
                  <w:vAlign w:val="center"/>
                </w:tcPr>
                <w:p>
                  <w:pPr>
                    <w:adjustRightInd w:val="0"/>
                    <w:snapToGrid w:val="0"/>
                    <w:spacing w:line="320" w:lineRule="exact"/>
                    <w:jc w:val="center"/>
                    <w:rPr>
                      <w:szCs w:val="21"/>
                    </w:rPr>
                  </w:pPr>
                  <w:r>
                    <w:rPr>
                      <w:rFonts w:hint="eastAsia"/>
                      <w:szCs w:val="21"/>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jc w:val="center"/>
              </w:trPr>
              <w:tc>
                <w:tcPr>
                  <w:tcW w:w="1130" w:type="pct"/>
                  <w:vAlign w:val="center"/>
                </w:tcPr>
                <w:p>
                  <w:pPr>
                    <w:snapToGrid w:val="0"/>
                    <w:spacing w:line="320" w:lineRule="exact"/>
                    <w:jc w:val="center"/>
                    <w:rPr>
                      <w:kern w:val="0"/>
                      <w:szCs w:val="21"/>
                    </w:rPr>
                  </w:pPr>
                  <w:r>
                    <w:rPr>
                      <w:rFonts w:hint="eastAsia"/>
                      <w:kern w:val="0"/>
                      <w:szCs w:val="21"/>
                    </w:rPr>
                    <w:t>危废暂存间</w:t>
                  </w:r>
                </w:p>
              </w:tc>
              <w:tc>
                <w:tcPr>
                  <w:tcW w:w="3046" w:type="pct"/>
                  <w:vAlign w:val="center"/>
                </w:tcPr>
                <w:p>
                  <w:pPr>
                    <w:adjustRightInd w:val="0"/>
                    <w:snapToGrid w:val="0"/>
                    <w:spacing w:line="320" w:lineRule="exact"/>
                    <w:jc w:val="center"/>
                    <w:rPr>
                      <w:bCs/>
                      <w:szCs w:val="21"/>
                    </w:rPr>
                  </w:pPr>
                  <w:r>
                    <w:rPr>
                      <w:rFonts w:hint="eastAsia"/>
                      <w:bCs/>
                      <w:szCs w:val="21"/>
                    </w:rPr>
                    <w:t>1个8m</w:t>
                  </w:r>
                  <w:r>
                    <w:rPr>
                      <w:rFonts w:hint="eastAsia"/>
                      <w:bCs/>
                      <w:szCs w:val="21"/>
                      <w:vertAlign w:val="superscript"/>
                    </w:rPr>
                    <w:t>2</w:t>
                  </w:r>
                  <w:r>
                    <w:rPr>
                      <w:rFonts w:hint="eastAsia"/>
                      <w:bCs/>
                      <w:szCs w:val="21"/>
                    </w:rPr>
                    <w:t>危险废物暂存间</w:t>
                  </w:r>
                </w:p>
              </w:tc>
              <w:tc>
                <w:tcPr>
                  <w:tcW w:w="824" w:type="pct"/>
                  <w:vAlign w:val="center"/>
                </w:tcPr>
                <w:p>
                  <w:pPr>
                    <w:adjustRightInd w:val="0"/>
                    <w:snapToGrid w:val="0"/>
                    <w:spacing w:line="320" w:lineRule="exact"/>
                    <w:jc w:val="center"/>
                    <w:rPr>
                      <w:szCs w:val="21"/>
                      <w:u w:val="single"/>
                    </w:rPr>
                  </w:pPr>
                  <w:r>
                    <w:rPr>
                      <w:rFonts w:hint="eastAsia"/>
                      <w:szCs w:val="21"/>
                      <w:u w:val="singl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jc w:val="center"/>
              </w:trPr>
              <w:tc>
                <w:tcPr>
                  <w:tcW w:w="1130" w:type="pct"/>
                  <w:vAlign w:val="center"/>
                </w:tcPr>
                <w:p>
                  <w:pPr>
                    <w:snapToGrid w:val="0"/>
                    <w:spacing w:line="320" w:lineRule="exact"/>
                    <w:jc w:val="center"/>
                    <w:rPr>
                      <w:kern w:val="0"/>
                      <w:szCs w:val="21"/>
                    </w:rPr>
                  </w:pPr>
                  <w:r>
                    <w:rPr>
                      <w:rFonts w:hint="eastAsia"/>
                      <w:kern w:val="0"/>
                      <w:szCs w:val="21"/>
                    </w:rPr>
                    <w:t>生活垃圾</w:t>
                  </w:r>
                </w:p>
              </w:tc>
              <w:tc>
                <w:tcPr>
                  <w:tcW w:w="3046" w:type="pct"/>
                  <w:vAlign w:val="center"/>
                </w:tcPr>
                <w:p>
                  <w:pPr>
                    <w:adjustRightInd w:val="0"/>
                    <w:snapToGrid w:val="0"/>
                    <w:spacing w:line="320" w:lineRule="exact"/>
                    <w:jc w:val="center"/>
                    <w:rPr>
                      <w:szCs w:val="21"/>
                    </w:rPr>
                  </w:pPr>
                  <w:r>
                    <w:rPr>
                      <w:rFonts w:hint="eastAsia"/>
                      <w:szCs w:val="21"/>
                    </w:rPr>
                    <w:t>垃圾桶</w:t>
                  </w:r>
                </w:p>
              </w:tc>
              <w:tc>
                <w:tcPr>
                  <w:tcW w:w="824" w:type="pct"/>
                  <w:vAlign w:val="center"/>
                </w:tcPr>
                <w:p>
                  <w:pPr>
                    <w:adjustRightInd w:val="0"/>
                    <w:snapToGrid w:val="0"/>
                    <w:spacing w:line="320" w:lineRule="exact"/>
                    <w:jc w:val="center"/>
                    <w:rPr>
                      <w:szCs w:val="21"/>
                    </w:rPr>
                  </w:pPr>
                  <w:r>
                    <w:rPr>
                      <w:rFonts w:hint="eastAsia"/>
                      <w:szCs w:val="21"/>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176" w:type="pct"/>
                  <w:gridSpan w:val="2"/>
                  <w:vAlign w:val="center"/>
                </w:tcPr>
                <w:p>
                  <w:pPr>
                    <w:snapToGrid w:val="0"/>
                    <w:spacing w:line="320" w:lineRule="exact"/>
                    <w:jc w:val="center"/>
                    <w:rPr>
                      <w:kern w:val="0"/>
                      <w:szCs w:val="21"/>
                    </w:rPr>
                  </w:pPr>
                  <w:r>
                    <w:rPr>
                      <w:kern w:val="0"/>
                      <w:szCs w:val="21"/>
                    </w:rPr>
                    <w:t>合计</w:t>
                  </w:r>
                </w:p>
              </w:tc>
              <w:tc>
                <w:tcPr>
                  <w:tcW w:w="824" w:type="pct"/>
                  <w:vAlign w:val="center"/>
                </w:tcPr>
                <w:p>
                  <w:pPr>
                    <w:snapToGrid w:val="0"/>
                    <w:spacing w:line="320" w:lineRule="exact"/>
                    <w:jc w:val="center"/>
                    <w:rPr>
                      <w:kern w:val="0"/>
                      <w:szCs w:val="21"/>
                      <w:u w:val="single"/>
                    </w:rPr>
                  </w:pPr>
                  <w:r>
                    <w:rPr>
                      <w:rFonts w:hint="eastAsia"/>
                      <w:kern w:val="0"/>
                      <w:szCs w:val="21"/>
                      <w:u w:val="single"/>
                    </w:rPr>
                    <w:t>27</w:t>
                  </w:r>
                </w:p>
              </w:tc>
            </w:tr>
          </w:tbl>
          <w:p>
            <w:pPr>
              <w:widowControl/>
              <w:spacing w:line="360" w:lineRule="auto"/>
              <w:ind w:firstLine="480" w:firstLineChars="200"/>
              <w:rPr>
                <w:bCs/>
                <w:sz w:val="24"/>
              </w:rPr>
            </w:pPr>
          </w:p>
          <w:p>
            <w:pPr>
              <w:widowControl/>
              <w:spacing w:line="360" w:lineRule="auto"/>
              <w:ind w:firstLine="480" w:firstLineChars="200"/>
              <w:rPr>
                <w:bCs/>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tc>
      </w:tr>
    </w:tbl>
    <w:p>
      <w:pPr>
        <w:adjustRightInd w:val="0"/>
        <w:snapToGrid w:val="0"/>
        <w:spacing w:line="360" w:lineRule="auto"/>
        <w:ind w:firstLine="562"/>
        <w:rPr>
          <w:rFonts w:ascii="宋体" w:cs="宋体"/>
          <w:b/>
          <w:kern w:val="0"/>
          <w:sz w:val="28"/>
          <w:szCs w:val="28"/>
        </w:rPr>
        <w:sectPr>
          <w:pgSz w:w="11907" w:h="16840"/>
          <w:pgMar w:top="1588" w:right="1531" w:bottom="1588" w:left="1531" w:header="851" w:footer="851" w:gutter="0"/>
          <w:cols w:space="720" w:num="1"/>
          <w:docGrid w:linePitch="312" w:charSpace="0"/>
        </w:sectPr>
      </w:pPr>
    </w:p>
    <w:p>
      <w:pPr>
        <w:pStyle w:val="24"/>
        <w:spacing w:beforeLines="0" w:line="240" w:lineRule="auto"/>
        <w:rPr>
          <w:snapToGrid w:val="0"/>
        </w:rPr>
      </w:pPr>
      <w:bookmarkStart w:id="7" w:name="_Toc114642632"/>
      <w:r>
        <w:rPr>
          <w:rFonts w:hint="eastAsia"/>
          <w:snapToGrid w:val="0"/>
        </w:rPr>
        <w:t>五、</w:t>
      </w:r>
      <w:bookmarkStart w:id="8" w:name="_Hlk54167917"/>
      <w:r>
        <w:rPr>
          <w:rFonts w:hint="eastAsia"/>
          <w:snapToGrid w:val="0"/>
        </w:rPr>
        <w:t>环境保护措施监督检查清单</w:t>
      </w:r>
      <w:bookmarkEnd w:id="7"/>
      <w:bookmarkEnd w:id="8"/>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701"/>
        <w:gridCol w:w="1276"/>
        <w:gridCol w:w="1985"/>
        <w:gridCol w:w="21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79" w:type="dxa"/>
            <w:tcBorders>
              <w:tl2br w:val="single" w:color="auto" w:sz="4" w:space="0"/>
            </w:tcBorders>
          </w:tcPr>
          <w:p>
            <w:pPr>
              <w:adjustRightInd w:val="0"/>
              <w:snapToGrid w:val="0"/>
              <w:spacing w:line="320" w:lineRule="exact"/>
              <w:jc w:val="right"/>
              <w:rPr>
                <w:rFonts w:ascii="宋体" w:hAnsi="宋体" w:cs="宋体"/>
                <w:szCs w:val="21"/>
              </w:rPr>
            </w:pPr>
            <w:r>
              <w:rPr>
                <w:rFonts w:hint="eastAsia" w:ascii="宋体" w:hAnsi="宋体" w:cs="宋体"/>
                <w:szCs w:val="21"/>
              </w:rPr>
              <w:t>内容</w:t>
            </w:r>
          </w:p>
          <w:p>
            <w:pPr>
              <w:adjustRightInd w:val="0"/>
              <w:snapToGrid w:val="0"/>
              <w:spacing w:line="320" w:lineRule="exact"/>
              <w:rPr>
                <w:rFonts w:ascii="宋体" w:hAnsi="宋体" w:cs="宋体"/>
                <w:szCs w:val="21"/>
              </w:rPr>
            </w:pPr>
            <w:r>
              <w:rPr>
                <w:rFonts w:hint="eastAsia" w:ascii="宋体" w:hAnsi="宋体" w:cs="宋体"/>
                <w:szCs w:val="21"/>
              </w:rPr>
              <w:t>要素</w:t>
            </w:r>
          </w:p>
        </w:tc>
        <w:tc>
          <w:tcPr>
            <w:tcW w:w="1701"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排放口(编号、</w:t>
            </w:r>
          </w:p>
          <w:p>
            <w:pPr>
              <w:adjustRightInd w:val="0"/>
              <w:snapToGrid w:val="0"/>
              <w:spacing w:line="320" w:lineRule="exact"/>
              <w:jc w:val="center"/>
              <w:rPr>
                <w:rFonts w:ascii="宋体" w:hAnsi="宋体" w:cs="宋体"/>
                <w:szCs w:val="21"/>
              </w:rPr>
            </w:pPr>
            <w:r>
              <w:rPr>
                <w:rFonts w:hint="eastAsia" w:ascii="宋体" w:hAnsi="宋体" w:cs="宋体"/>
                <w:szCs w:val="21"/>
              </w:rPr>
              <w:t>名称)/污染源</w:t>
            </w:r>
          </w:p>
        </w:tc>
        <w:tc>
          <w:tcPr>
            <w:tcW w:w="1276"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污染物项目</w:t>
            </w:r>
          </w:p>
        </w:tc>
        <w:tc>
          <w:tcPr>
            <w:tcW w:w="198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环境保护措施</w:t>
            </w:r>
          </w:p>
        </w:tc>
        <w:tc>
          <w:tcPr>
            <w:tcW w:w="2159"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79" w:type="dxa"/>
            <w:vMerge w:val="restart"/>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大气环境</w:t>
            </w:r>
          </w:p>
        </w:tc>
        <w:tc>
          <w:tcPr>
            <w:tcW w:w="1701" w:type="dxa"/>
            <w:vAlign w:val="center"/>
          </w:tcPr>
          <w:p>
            <w:pPr>
              <w:pStyle w:val="58"/>
              <w:spacing w:line="320" w:lineRule="exact"/>
            </w:pPr>
            <w:r>
              <w:rPr>
                <w:rFonts w:hint="eastAsia"/>
              </w:rPr>
              <w:t>2#车间</w:t>
            </w:r>
            <w:r>
              <w:rPr>
                <w:rFonts w:hint="eastAsia"/>
                <w:spacing w:val="-2"/>
                <w:szCs w:val="21"/>
              </w:rPr>
              <w:t>光氧催化+活性炭吸附装置</w:t>
            </w:r>
            <w:r>
              <w:rPr>
                <w:rFonts w:hint="eastAsia"/>
              </w:rPr>
              <w:t>排气筒DA001</w:t>
            </w:r>
          </w:p>
        </w:tc>
        <w:tc>
          <w:tcPr>
            <w:tcW w:w="1276" w:type="dxa"/>
            <w:vAlign w:val="center"/>
          </w:tcPr>
          <w:p>
            <w:pPr>
              <w:adjustRightInd w:val="0"/>
              <w:snapToGrid w:val="0"/>
              <w:spacing w:line="320" w:lineRule="exact"/>
              <w:jc w:val="center"/>
              <w:rPr>
                <w:szCs w:val="21"/>
              </w:rPr>
            </w:pPr>
            <w:r>
              <w:rPr>
                <w:rFonts w:hint="eastAsia"/>
                <w:szCs w:val="21"/>
              </w:rPr>
              <w:t>非甲烷总烃</w:t>
            </w:r>
          </w:p>
        </w:tc>
        <w:tc>
          <w:tcPr>
            <w:tcW w:w="1985" w:type="dxa"/>
            <w:vAlign w:val="center"/>
          </w:tcPr>
          <w:p>
            <w:pPr>
              <w:adjustRightInd w:val="0"/>
              <w:snapToGrid w:val="0"/>
              <w:spacing w:line="320" w:lineRule="exact"/>
              <w:rPr>
                <w:kern w:val="0"/>
                <w:szCs w:val="21"/>
              </w:rPr>
            </w:pPr>
            <w:r>
              <w:rPr>
                <w:rFonts w:hint="eastAsia"/>
                <w:kern w:val="0"/>
                <w:szCs w:val="21"/>
              </w:rPr>
              <w:t>拉丝机挤出工序、烘干工序进出口设集气罩，集气罩+光氧催化+活性炭吸附装置+15m高排气筒</w:t>
            </w:r>
          </w:p>
        </w:tc>
        <w:tc>
          <w:tcPr>
            <w:tcW w:w="2159" w:type="dxa"/>
            <w:vMerge w:val="restart"/>
            <w:vAlign w:val="center"/>
          </w:tcPr>
          <w:p>
            <w:pPr>
              <w:adjustRightInd w:val="0"/>
              <w:snapToGrid w:val="0"/>
              <w:spacing w:line="320" w:lineRule="exact"/>
              <w:rPr>
                <w:rFonts w:hAnsi="宋体"/>
                <w:szCs w:val="21"/>
              </w:rPr>
            </w:pPr>
            <w:r>
              <w:rPr>
                <w:rFonts w:hint="eastAsia" w:hAnsi="宋体"/>
                <w:szCs w:val="21"/>
              </w:rPr>
              <w:t>《合成树脂工业污染物排放标准》（GB31572-2015）表5：</w:t>
            </w:r>
            <w:r>
              <w:rPr>
                <w:rFonts w:hint="eastAsia"/>
              </w:rPr>
              <w:t>非甲烷总烃最高允许排放浓度60mg/m</w:t>
            </w:r>
            <w:r>
              <w:rPr>
                <w:rFonts w:hint="eastAsia"/>
                <w:vertAlign w:val="superscript"/>
              </w:rPr>
              <w:t>3</w:t>
            </w:r>
            <w:r>
              <w:rPr>
                <w:rFonts w:hint="eastAsia"/>
              </w:rPr>
              <w:t>，</w:t>
            </w:r>
            <w:r>
              <w:rPr>
                <w:rFonts w:hint="eastAsia"/>
                <w:szCs w:val="21"/>
              </w:rPr>
              <w:t>颗粒物</w:t>
            </w:r>
            <w:r>
              <w:rPr>
                <w:rFonts w:hint="eastAsia"/>
              </w:rPr>
              <w:t>最高允许排放浓度20/m</w:t>
            </w:r>
            <w:r>
              <w:rPr>
                <w:rFonts w:hint="eastAsia"/>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79" w:type="dxa"/>
            <w:vMerge w:val="continue"/>
            <w:vAlign w:val="center"/>
          </w:tcPr>
          <w:p>
            <w:pPr>
              <w:adjustRightInd w:val="0"/>
              <w:snapToGrid w:val="0"/>
              <w:spacing w:line="320" w:lineRule="exact"/>
              <w:jc w:val="center"/>
              <w:rPr>
                <w:rFonts w:ascii="宋体" w:hAnsi="宋体" w:cs="宋体"/>
                <w:szCs w:val="21"/>
              </w:rPr>
            </w:pPr>
          </w:p>
        </w:tc>
        <w:tc>
          <w:tcPr>
            <w:tcW w:w="1701" w:type="dxa"/>
            <w:vAlign w:val="center"/>
          </w:tcPr>
          <w:p>
            <w:pPr>
              <w:pStyle w:val="58"/>
              <w:spacing w:line="320" w:lineRule="exact"/>
            </w:pPr>
            <w:r>
              <w:rPr>
                <w:rFonts w:hint="eastAsia"/>
              </w:rPr>
              <w:t>2#车间袋式除尘器排气筒DA002</w:t>
            </w:r>
          </w:p>
        </w:tc>
        <w:tc>
          <w:tcPr>
            <w:tcW w:w="1276" w:type="dxa"/>
            <w:vAlign w:val="center"/>
          </w:tcPr>
          <w:p>
            <w:pPr>
              <w:adjustRightInd w:val="0"/>
              <w:snapToGrid w:val="0"/>
              <w:spacing w:line="320" w:lineRule="exact"/>
              <w:jc w:val="center"/>
              <w:rPr>
                <w:szCs w:val="21"/>
              </w:rPr>
            </w:pPr>
            <w:r>
              <w:rPr>
                <w:rFonts w:hint="eastAsia"/>
                <w:szCs w:val="21"/>
              </w:rPr>
              <w:t>颗粒物</w:t>
            </w:r>
          </w:p>
        </w:tc>
        <w:tc>
          <w:tcPr>
            <w:tcW w:w="1985" w:type="dxa"/>
            <w:vAlign w:val="center"/>
          </w:tcPr>
          <w:p>
            <w:pPr>
              <w:adjustRightInd w:val="0"/>
              <w:snapToGrid w:val="0"/>
              <w:spacing w:line="320" w:lineRule="exact"/>
              <w:rPr>
                <w:kern w:val="0"/>
                <w:szCs w:val="21"/>
                <w:u w:val="single"/>
              </w:rPr>
            </w:pPr>
            <w:r>
              <w:rPr>
                <w:rFonts w:hint="eastAsia"/>
                <w:szCs w:val="21"/>
                <w:u w:val="single"/>
              </w:rPr>
              <w:t>拉丝机组搅拌机设密闭集气罩</w:t>
            </w:r>
            <w:r>
              <w:rPr>
                <w:szCs w:val="21"/>
                <w:u w:val="single"/>
              </w:rPr>
              <w:t>+</w:t>
            </w:r>
            <w:r>
              <w:rPr>
                <w:rFonts w:hint="eastAsia"/>
                <w:szCs w:val="21"/>
                <w:u w:val="single"/>
              </w:rPr>
              <w:t>袋式除尘器+</w:t>
            </w:r>
            <w:r>
              <w:rPr>
                <w:szCs w:val="21"/>
                <w:u w:val="single"/>
              </w:rPr>
              <w:t>15m排气筒</w:t>
            </w:r>
          </w:p>
        </w:tc>
        <w:tc>
          <w:tcPr>
            <w:tcW w:w="2159" w:type="dxa"/>
            <w:vMerge w:val="continue"/>
            <w:vAlign w:val="center"/>
          </w:tcPr>
          <w:p>
            <w:pPr>
              <w:adjustRightInd w:val="0"/>
              <w:snapToGrid w:val="0"/>
              <w:spacing w:line="32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79" w:type="dxa"/>
            <w:vMerge w:val="continue"/>
            <w:vAlign w:val="center"/>
          </w:tcPr>
          <w:p>
            <w:pPr>
              <w:adjustRightInd w:val="0"/>
              <w:snapToGrid w:val="0"/>
              <w:spacing w:line="320" w:lineRule="exact"/>
              <w:jc w:val="center"/>
              <w:rPr>
                <w:rFonts w:ascii="宋体" w:hAnsi="宋体" w:cs="宋体"/>
                <w:szCs w:val="21"/>
              </w:rPr>
            </w:pPr>
          </w:p>
        </w:tc>
        <w:tc>
          <w:tcPr>
            <w:tcW w:w="1701" w:type="dxa"/>
            <w:vAlign w:val="center"/>
          </w:tcPr>
          <w:p>
            <w:pPr>
              <w:pStyle w:val="58"/>
              <w:spacing w:line="320" w:lineRule="exact"/>
            </w:pPr>
            <w:r>
              <w:rPr>
                <w:rFonts w:hint="eastAsia"/>
              </w:rPr>
              <w:t>3#车间</w:t>
            </w:r>
            <w:r>
              <w:rPr>
                <w:rFonts w:hint="eastAsia"/>
                <w:spacing w:val="-2"/>
                <w:szCs w:val="21"/>
              </w:rPr>
              <w:t>光氧催化+活性炭吸附装置</w:t>
            </w:r>
            <w:r>
              <w:rPr>
                <w:rFonts w:hint="eastAsia"/>
              </w:rPr>
              <w:t>排气筒DA003</w:t>
            </w:r>
          </w:p>
        </w:tc>
        <w:tc>
          <w:tcPr>
            <w:tcW w:w="1276" w:type="dxa"/>
            <w:vAlign w:val="center"/>
          </w:tcPr>
          <w:p>
            <w:pPr>
              <w:adjustRightInd w:val="0"/>
              <w:snapToGrid w:val="0"/>
              <w:spacing w:line="320" w:lineRule="exact"/>
              <w:jc w:val="center"/>
              <w:rPr>
                <w:szCs w:val="21"/>
              </w:rPr>
            </w:pPr>
            <w:r>
              <w:rPr>
                <w:rFonts w:hint="eastAsia"/>
                <w:szCs w:val="21"/>
              </w:rPr>
              <w:t>非甲烷总烃</w:t>
            </w:r>
          </w:p>
        </w:tc>
        <w:tc>
          <w:tcPr>
            <w:tcW w:w="1985" w:type="dxa"/>
            <w:vAlign w:val="center"/>
          </w:tcPr>
          <w:p>
            <w:pPr>
              <w:adjustRightInd w:val="0"/>
              <w:snapToGrid w:val="0"/>
              <w:spacing w:line="320" w:lineRule="exact"/>
              <w:rPr>
                <w:kern w:val="0"/>
                <w:szCs w:val="21"/>
              </w:rPr>
            </w:pPr>
            <w:r>
              <w:rPr>
                <w:rFonts w:hint="eastAsia"/>
                <w:kern w:val="0"/>
                <w:szCs w:val="21"/>
              </w:rPr>
              <w:t>拉丝机挤出工序、烘干工序进出口设集气罩，覆膜机挤出工序设集气罩，集气罩+光氧催化+活性炭吸附装置+15m高排气筒</w:t>
            </w:r>
          </w:p>
        </w:tc>
        <w:tc>
          <w:tcPr>
            <w:tcW w:w="2159" w:type="dxa"/>
            <w:vMerge w:val="continue"/>
            <w:vAlign w:val="center"/>
          </w:tcPr>
          <w:p>
            <w:pPr>
              <w:adjustRightInd w:val="0"/>
              <w:snapToGrid w:val="0"/>
              <w:spacing w:line="32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79" w:type="dxa"/>
            <w:vMerge w:val="continue"/>
            <w:vAlign w:val="center"/>
          </w:tcPr>
          <w:p>
            <w:pPr>
              <w:adjustRightInd w:val="0"/>
              <w:snapToGrid w:val="0"/>
              <w:spacing w:line="320" w:lineRule="exact"/>
              <w:jc w:val="center"/>
              <w:rPr>
                <w:rFonts w:ascii="宋体" w:hAnsi="宋体" w:cs="宋体"/>
                <w:szCs w:val="21"/>
              </w:rPr>
            </w:pPr>
          </w:p>
        </w:tc>
        <w:tc>
          <w:tcPr>
            <w:tcW w:w="1701" w:type="dxa"/>
            <w:vAlign w:val="center"/>
          </w:tcPr>
          <w:p>
            <w:pPr>
              <w:pStyle w:val="58"/>
              <w:spacing w:line="320" w:lineRule="exact"/>
            </w:pPr>
            <w:r>
              <w:rPr>
                <w:rFonts w:hint="eastAsia"/>
              </w:rPr>
              <w:t>3#车间袋式除尘器排气筒DA004</w:t>
            </w:r>
          </w:p>
        </w:tc>
        <w:tc>
          <w:tcPr>
            <w:tcW w:w="1276" w:type="dxa"/>
            <w:vAlign w:val="center"/>
          </w:tcPr>
          <w:p>
            <w:pPr>
              <w:adjustRightInd w:val="0"/>
              <w:snapToGrid w:val="0"/>
              <w:spacing w:line="320" w:lineRule="exact"/>
              <w:jc w:val="center"/>
              <w:rPr>
                <w:szCs w:val="21"/>
              </w:rPr>
            </w:pPr>
            <w:r>
              <w:rPr>
                <w:rFonts w:hint="eastAsia"/>
                <w:szCs w:val="21"/>
              </w:rPr>
              <w:t>颗粒物</w:t>
            </w:r>
          </w:p>
        </w:tc>
        <w:tc>
          <w:tcPr>
            <w:tcW w:w="1985" w:type="dxa"/>
            <w:vAlign w:val="center"/>
          </w:tcPr>
          <w:p>
            <w:pPr>
              <w:adjustRightInd w:val="0"/>
              <w:snapToGrid w:val="0"/>
              <w:spacing w:line="320" w:lineRule="exact"/>
              <w:rPr>
                <w:kern w:val="0"/>
                <w:szCs w:val="21"/>
                <w:u w:val="single"/>
              </w:rPr>
            </w:pPr>
            <w:r>
              <w:rPr>
                <w:rFonts w:hint="eastAsia"/>
                <w:szCs w:val="21"/>
                <w:u w:val="single"/>
              </w:rPr>
              <w:t>拉丝机组、覆膜机组搅拌机设密闭集气罩</w:t>
            </w:r>
            <w:r>
              <w:rPr>
                <w:szCs w:val="21"/>
                <w:u w:val="single"/>
              </w:rPr>
              <w:t>+</w:t>
            </w:r>
            <w:r>
              <w:rPr>
                <w:rFonts w:hint="eastAsia"/>
                <w:szCs w:val="21"/>
                <w:u w:val="single"/>
              </w:rPr>
              <w:t>袋式除尘器+</w:t>
            </w:r>
            <w:r>
              <w:rPr>
                <w:szCs w:val="21"/>
                <w:u w:val="single"/>
              </w:rPr>
              <w:t>15m排气筒</w:t>
            </w:r>
          </w:p>
        </w:tc>
        <w:tc>
          <w:tcPr>
            <w:tcW w:w="2159" w:type="dxa"/>
            <w:vMerge w:val="continue"/>
            <w:vAlign w:val="center"/>
          </w:tcPr>
          <w:p>
            <w:pPr>
              <w:adjustRightInd w:val="0"/>
              <w:snapToGrid w:val="0"/>
              <w:spacing w:line="32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79" w:type="dxa"/>
            <w:vMerge w:val="continue"/>
            <w:vAlign w:val="center"/>
          </w:tcPr>
          <w:p>
            <w:pPr>
              <w:adjustRightInd w:val="0"/>
              <w:snapToGrid w:val="0"/>
              <w:spacing w:line="320" w:lineRule="exact"/>
              <w:jc w:val="center"/>
              <w:rPr>
                <w:rFonts w:ascii="宋体" w:hAnsi="宋体" w:cs="宋体"/>
                <w:szCs w:val="21"/>
              </w:rPr>
            </w:pPr>
          </w:p>
        </w:tc>
        <w:tc>
          <w:tcPr>
            <w:tcW w:w="1701" w:type="dxa"/>
            <w:vAlign w:val="center"/>
          </w:tcPr>
          <w:p>
            <w:pPr>
              <w:adjustRightInd w:val="0"/>
              <w:snapToGrid w:val="0"/>
              <w:spacing w:line="320" w:lineRule="exact"/>
              <w:jc w:val="center"/>
              <w:rPr>
                <w:szCs w:val="21"/>
              </w:rPr>
            </w:pPr>
            <w:r>
              <w:rPr>
                <w:rFonts w:hint="eastAsia"/>
                <w:szCs w:val="21"/>
              </w:rPr>
              <w:t>车间无组织</w:t>
            </w:r>
          </w:p>
        </w:tc>
        <w:tc>
          <w:tcPr>
            <w:tcW w:w="1276" w:type="dxa"/>
            <w:vAlign w:val="center"/>
          </w:tcPr>
          <w:p>
            <w:pPr>
              <w:adjustRightInd w:val="0"/>
              <w:snapToGrid w:val="0"/>
              <w:spacing w:line="320" w:lineRule="exact"/>
              <w:jc w:val="center"/>
              <w:rPr>
                <w:szCs w:val="21"/>
              </w:rPr>
            </w:pPr>
            <w:r>
              <w:rPr>
                <w:rFonts w:hint="eastAsia"/>
                <w:szCs w:val="21"/>
              </w:rPr>
              <w:t>非甲烷总烃</w:t>
            </w:r>
          </w:p>
        </w:tc>
        <w:tc>
          <w:tcPr>
            <w:tcW w:w="1985" w:type="dxa"/>
            <w:vAlign w:val="center"/>
          </w:tcPr>
          <w:p>
            <w:pPr>
              <w:adjustRightInd w:val="0"/>
              <w:snapToGrid w:val="0"/>
              <w:spacing w:line="320" w:lineRule="exact"/>
              <w:jc w:val="center"/>
              <w:rPr>
                <w:szCs w:val="21"/>
              </w:rPr>
            </w:pPr>
            <w:r>
              <w:rPr>
                <w:rFonts w:hint="eastAsia"/>
                <w:szCs w:val="21"/>
              </w:rPr>
              <w:t>车间密闭</w:t>
            </w:r>
          </w:p>
        </w:tc>
        <w:tc>
          <w:tcPr>
            <w:tcW w:w="2159" w:type="dxa"/>
            <w:vAlign w:val="center"/>
          </w:tcPr>
          <w:p>
            <w:pPr>
              <w:adjustRightInd w:val="0"/>
              <w:snapToGrid w:val="0"/>
              <w:spacing w:line="320" w:lineRule="exact"/>
              <w:rPr>
                <w:bCs/>
                <w:szCs w:val="21"/>
              </w:rPr>
            </w:pPr>
            <w:r>
              <w:rPr>
                <w:bCs/>
                <w:szCs w:val="21"/>
              </w:rPr>
              <w:t>《合成树脂工业污染物排放标准》（GB31572-2015）</w:t>
            </w:r>
            <w:r>
              <w:rPr>
                <w:rFonts w:hint="eastAsia"/>
                <w:bCs/>
                <w:szCs w:val="21"/>
              </w:rPr>
              <w:t>表9：</w:t>
            </w:r>
            <w:r>
              <w:rPr>
                <w:rFonts w:hint="eastAsia"/>
              </w:rPr>
              <w:t>企业边界任何1小时大气污染物浓度限值，非甲烷总烃4.0mg/m</w:t>
            </w:r>
            <w:r>
              <w:rPr>
                <w:rFonts w:hint="eastAsia"/>
                <w:vertAlign w:val="superscript"/>
              </w:rPr>
              <w:t>3</w:t>
            </w:r>
            <w:r>
              <w:rPr>
                <w:rFonts w:hint="eastAsia"/>
              </w:rPr>
              <w:t>，同时满足</w:t>
            </w:r>
            <w:r>
              <w:rPr>
                <w:szCs w:val="21"/>
              </w:rPr>
              <w:t>《关于全省开展工业企业挥发性有机物专项治理工作中排放建议值的通知》（豫环攻坚办〔2017〕162号）—工业企业边界挥发性有机物排放建议值：其他企业非甲烷总烃2</w:t>
            </w:r>
            <w:r>
              <w:rPr>
                <w:bCs/>
                <w:szCs w:val="21"/>
              </w:rPr>
              <w:t>mg/m</w:t>
            </w:r>
            <w:r>
              <w:rPr>
                <w:bCs/>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79" w:type="dxa"/>
            <w:vMerge w:val="restart"/>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地表水环境</w:t>
            </w:r>
          </w:p>
        </w:tc>
        <w:tc>
          <w:tcPr>
            <w:tcW w:w="1701" w:type="dxa"/>
            <w:vAlign w:val="center"/>
          </w:tcPr>
          <w:p>
            <w:pPr>
              <w:adjustRightInd w:val="0"/>
              <w:snapToGrid w:val="0"/>
              <w:spacing w:line="320" w:lineRule="exact"/>
              <w:jc w:val="center"/>
              <w:rPr>
                <w:szCs w:val="21"/>
              </w:rPr>
            </w:pPr>
            <w:r>
              <w:rPr>
                <w:rFonts w:hint="eastAsia"/>
                <w:szCs w:val="21"/>
              </w:rPr>
              <w:t>生活污水</w:t>
            </w:r>
          </w:p>
        </w:tc>
        <w:tc>
          <w:tcPr>
            <w:tcW w:w="1276" w:type="dxa"/>
            <w:vAlign w:val="center"/>
          </w:tcPr>
          <w:p>
            <w:pPr>
              <w:adjustRightInd w:val="0"/>
              <w:snapToGrid w:val="0"/>
              <w:spacing w:line="320" w:lineRule="exact"/>
              <w:jc w:val="center"/>
              <w:rPr>
                <w:szCs w:val="21"/>
              </w:rPr>
            </w:pPr>
            <w:r>
              <w:rPr>
                <w:rFonts w:hint="eastAsia"/>
                <w:szCs w:val="21"/>
              </w:rPr>
              <w:t>COD、氨氮</w:t>
            </w:r>
          </w:p>
        </w:tc>
        <w:tc>
          <w:tcPr>
            <w:tcW w:w="1985" w:type="dxa"/>
            <w:vAlign w:val="center"/>
          </w:tcPr>
          <w:p>
            <w:pPr>
              <w:adjustRightInd w:val="0"/>
              <w:snapToGrid w:val="0"/>
              <w:spacing w:line="320" w:lineRule="exact"/>
              <w:rPr>
                <w:szCs w:val="21"/>
              </w:rPr>
            </w:pPr>
            <w:r>
              <w:rPr>
                <w:rFonts w:hint="eastAsia"/>
                <w:szCs w:val="21"/>
              </w:rPr>
              <w:t>生活污水化粪池收集，利用现有化粪池+一体化污水处理设施处理，用于厂区绿化，远期排污偃师区第二污水处理厂</w:t>
            </w:r>
          </w:p>
        </w:tc>
        <w:tc>
          <w:tcPr>
            <w:tcW w:w="2159" w:type="dxa"/>
            <w:vAlign w:val="center"/>
          </w:tcPr>
          <w:p>
            <w:pPr>
              <w:adjustRightInd w:val="0"/>
              <w:snapToGrid w:val="0"/>
              <w:spacing w:line="320" w:lineRule="exact"/>
              <w:rPr>
                <w:szCs w:val="21"/>
              </w:rPr>
            </w:pPr>
            <w:r>
              <w:rPr>
                <w:rFonts w:hint="eastAsia"/>
                <w:szCs w:val="21"/>
              </w:rPr>
              <w:t>《污水综合排放标准》（GB8978-1996）表4三级标准，同时满足偃师区第二污水处理厂进水水质要求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79" w:type="dxa"/>
            <w:vMerge w:val="continue"/>
            <w:vAlign w:val="center"/>
          </w:tcPr>
          <w:p>
            <w:pPr>
              <w:adjustRightInd w:val="0"/>
              <w:snapToGrid w:val="0"/>
              <w:spacing w:line="320" w:lineRule="exact"/>
              <w:jc w:val="center"/>
              <w:rPr>
                <w:rFonts w:ascii="宋体" w:hAnsi="宋体" w:cs="宋体"/>
                <w:szCs w:val="21"/>
              </w:rPr>
            </w:pPr>
          </w:p>
        </w:tc>
        <w:tc>
          <w:tcPr>
            <w:tcW w:w="1701" w:type="dxa"/>
            <w:vAlign w:val="center"/>
          </w:tcPr>
          <w:p>
            <w:pPr>
              <w:adjustRightInd w:val="0"/>
              <w:snapToGrid w:val="0"/>
              <w:spacing w:line="320" w:lineRule="exact"/>
              <w:jc w:val="center"/>
              <w:rPr>
                <w:szCs w:val="21"/>
              </w:rPr>
            </w:pPr>
            <w:r>
              <w:rPr>
                <w:rFonts w:hint="eastAsia"/>
                <w:szCs w:val="21"/>
              </w:rPr>
              <w:t>设备冷却水</w:t>
            </w:r>
          </w:p>
        </w:tc>
        <w:tc>
          <w:tcPr>
            <w:tcW w:w="1276" w:type="dxa"/>
            <w:vAlign w:val="center"/>
          </w:tcPr>
          <w:p>
            <w:pPr>
              <w:adjustRightInd w:val="0"/>
              <w:snapToGrid w:val="0"/>
              <w:spacing w:line="320" w:lineRule="exact"/>
              <w:jc w:val="center"/>
              <w:rPr>
                <w:szCs w:val="21"/>
              </w:rPr>
            </w:pPr>
            <w:r>
              <w:rPr>
                <w:rFonts w:hint="eastAsia"/>
                <w:szCs w:val="21"/>
              </w:rPr>
              <w:t>SS</w:t>
            </w:r>
          </w:p>
        </w:tc>
        <w:tc>
          <w:tcPr>
            <w:tcW w:w="1985" w:type="dxa"/>
            <w:vAlign w:val="center"/>
          </w:tcPr>
          <w:p>
            <w:pPr>
              <w:adjustRightInd w:val="0"/>
              <w:snapToGrid w:val="0"/>
              <w:spacing w:line="320" w:lineRule="exact"/>
              <w:rPr>
                <w:szCs w:val="21"/>
              </w:rPr>
            </w:pPr>
            <w:r>
              <w:rPr>
                <w:rFonts w:hint="eastAsia"/>
                <w:szCs w:val="21"/>
              </w:rPr>
              <w:t>冷却水循环使用，定期更换用于厂区洒水绿化降尘，不外排</w:t>
            </w:r>
          </w:p>
        </w:tc>
        <w:tc>
          <w:tcPr>
            <w:tcW w:w="2159" w:type="dxa"/>
            <w:vAlign w:val="center"/>
          </w:tcPr>
          <w:p>
            <w:pPr>
              <w:adjustRightInd w:val="0"/>
              <w:snapToGrid w:val="0"/>
              <w:spacing w:line="320" w:lineRule="exact"/>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79"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声环境</w:t>
            </w:r>
          </w:p>
        </w:tc>
        <w:tc>
          <w:tcPr>
            <w:tcW w:w="1701"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厂界</w:t>
            </w:r>
          </w:p>
        </w:tc>
        <w:tc>
          <w:tcPr>
            <w:tcW w:w="1276"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噪声</w:t>
            </w:r>
          </w:p>
        </w:tc>
        <w:tc>
          <w:tcPr>
            <w:tcW w:w="1985" w:type="dxa"/>
            <w:vAlign w:val="center"/>
          </w:tcPr>
          <w:p>
            <w:pPr>
              <w:adjustRightInd w:val="0"/>
              <w:snapToGrid w:val="0"/>
              <w:spacing w:line="320" w:lineRule="exact"/>
              <w:jc w:val="center"/>
              <w:rPr>
                <w:szCs w:val="21"/>
              </w:rPr>
            </w:pPr>
            <w:r>
              <w:rPr>
                <w:szCs w:val="21"/>
              </w:rPr>
              <w:t>/</w:t>
            </w:r>
          </w:p>
        </w:tc>
        <w:tc>
          <w:tcPr>
            <w:tcW w:w="2159" w:type="dxa"/>
            <w:vAlign w:val="center"/>
          </w:tcPr>
          <w:p>
            <w:pPr>
              <w:adjustRightInd w:val="0"/>
              <w:snapToGrid w:val="0"/>
              <w:spacing w:line="320" w:lineRule="exact"/>
              <w:rPr>
                <w:rFonts w:ascii="宋体" w:hAnsi="宋体" w:cs="宋体"/>
                <w:szCs w:val="21"/>
              </w:rPr>
            </w:pPr>
            <w:r>
              <w:rPr>
                <w:rFonts w:hAnsi="宋体"/>
                <w:szCs w:val="21"/>
              </w:rPr>
              <w:t>《工业企业厂界环境噪声排放标准》（</w:t>
            </w:r>
            <w:r>
              <w:rPr>
                <w:szCs w:val="21"/>
              </w:rPr>
              <w:t>GB12348-2008</w:t>
            </w:r>
            <w:r>
              <w:rPr>
                <w:rFonts w:hAnsi="宋体"/>
                <w:szCs w:val="21"/>
              </w:rPr>
              <w:t>）</w:t>
            </w:r>
            <w:r>
              <w:rPr>
                <w:rFonts w:hint="eastAsia"/>
                <w:szCs w:val="21"/>
              </w:rPr>
              <w:t>3类、4类</w:t>
            </w:r>
            <w:r>
              <w:rPr>
                <w:rFonts w:hint="eastAsia" w:hAnsi="宋体"/>
                <w:szCs w:val="21"/>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79"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电磁辐射</w:t>
            </w:r>
          </w:p>
        </w:tc>
        <w:tc>
          <w:tcPr>
            <w:tcW w:w="1701" w:type="dxa"/>
            <w:vAlign w:val="center"/>
          </w:tcPr>
          <w:p>
            <w:pPr>
              <w:adjustRightInd w:val="0"/>
              <w:snapToGrid w:val="0"/>
              <w:spacing w:line="320" w:lineRule="exact"/>
              <w:jc w:val="center"/>
              <w:rPr>
                <w:szCs w:val="21"/>
              </w:rPr>
            </w:pPr>
            <w:r>
              <w:rPr>
                <w:szCs w:val="21"/>
              </w:rPr>
              <w:t>/</w:t>
            </w:r>
          </w:p>
        </w:tc>
        <w:tc>
          <w:tcPr>
            <w:tcW w:w="1276" w:type="dxa"/>
            <w:vAlign w:val="center"/>
          </w:tcPr>
          <w:p>
            <w:pPr>
              <w:adjustRightInd w:val="0"/>
              <w:snapToGrid w:val="0"/>
              <w:spacing w:line="320" w:lineRule="exact"/>
              <w:jc w:val="center"/>
              <w:rPr>
                <w:szCs w:val="21"/>
              </w:rPr>
            </w:pPr>
            <w:r>
              <w:rPr>
                <w:szCs w:val="21"/>
              </w:rPr>
              <w:t>/</w:t>
            </w:r>
          </w:p>
        </w:tc>
        <w:tc>
          <w:tcPr>
            <w:tcW w:w="1985" w:type="dxa"/>
            <w:vAlign w:val="center"/>
          </w:tcPr>
          <w:p>
            <w:pPr>
              <w:adjustRightInd w:val="0"/>
              <w:snapToGrid w:val="0"/>
              <w:spacing w:line="320" w:lineRule="exact"/>
              <w:jc w:val="center"/>
              <w:rPr>
                <w:szCs w:val="21"/>
              </w:rPr>
            </w:pPr>
            <w:r>
              <w:rPr>
                <w:szCs w:val="21"/>
              </w:rPr>
              <w:t>/</w:t>
            </w:r>
          </w:p>
        </w:tc>
        <w:tc>
          <w:tcPr>
            <w:tcW w:w="2159" w:type="dxa"/>
            <w:vAlign w:val="center"/>
          </w:tcPr>
          <w:p>
            <w:pPr>
              <w:adjustRightInd w:val="0"/>
              <w:snapToGrid w:val="0"/>
              <w:spacing w:line="320" w:lineRule="exact"/>
              <w:jc w:val="center"/>
              <w:rPr>
                <w:rFonts w:ascii="宋体" w:hAnsi="宋体" w:cs="宋体"/>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9"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固体废物</w:t>
            </w:r>
          </w:p>
        </w:tc>
        <w:tc>
          <w:tcPr>
            <w:tcW w:w="7121" w:type="dxa"/>
            <w:gridSpan w:val="4"/>
            <w:vAlign w:val="center"/>
          </w:tcPr>
          <w:p>
            <w:pPr>
              <w:spacing w:line="320" w:lineRule="exact"/>
              <w:jc w:val="left"/>
              <w:rPr>
                <w:szCs w:val="21"/>
              </w:rPr>
            </w:pPr>
            <w:r>
              <w:rPr>
                <w:rFonts w:hint="eastAsia"/>
                <w:szCs w:val="21"/>
              </w:rPr>
              <w:t>（1）生活垃圾使用垃圾箱分类收集，交环卫部门处理处置；</w:t>
            </w:r>
          </w:p>
          <w:p>
            <w:pPr>
              <w:spacing w:line="320" w:lineRule="exact"/>
              <w:jc w:val="left"/>
              <w:rPr>
                <w:szCs w:val="21"/>
              </w:rPr>
            </w:pPr>
            <w:r>
              <w:rPr>
                <w:rFonts w:hint="eastAsia"/>
                <w:szCs w:val="21"/>
              </w:rPr>
              <w:t>（2）一般固体废物暂存后综合利用或合理处理处置；</w:t>
            </w:r>
          </w:p>
          <w:p>
            <w:pPr>
              <w:spacing w:line="320" w:lineRule="exact"/>
              <w:jc w:val="left"/>
              <w:rPr>
                <w:szCs w:val="21"/>
              </w:rPr>
            </w:pPr>
            <w:r>
              <w:rPr>
                <w:rFonts w:hint="eastAsia"/>
                <w:szCs w:val="21"/>
              </w:rPr>
              <w:t>（3）危险废物危废暂存间暂存，委托有资质单位处理处置。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679"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土壤及地下水</w:t>
            </w:r>
          </w:p>
          <w:p>
            <w:pPr>
              <w:adjustRightInd w:val="0"/>
              <w:snapToGrid w:val="0"/>
              <w:spacing w:line="320" w:lineRule="exact"/>
              <w:jc w:val="center"/>
              <w:rPr>
                <w:rFonts w:ascii="宋体" w:hAnsi="宋体" w:cs="宋体"/>
                <w:szCs w:val="21"/>
              </w:rPr>
            </w:pPr>
            <w:r>
              <w:rPr>
                <w:rFonts w:hint="eastAsia" w:ascii="宋体" w:hAnsi="宋体" w:cs="宋体"/>
                <w:szCs w:val="21"/>
              </w:rPr>
              <w:t>污染防治措施</w:t>
            </w:r>
          </w:p>
        </w:tc>
        <w:tc>
          <w:tcPr>
            <w:tcW w:w="7121" w:type="dxa"/>
            <w:gridSpan w:val="4"/>
            <w:vAlign w:val="center"/>
          </w:tcPr>
          <w:p>
            <w:pPr>
              <w:spacing w:line="320" w:lineRule="exact"/>
              <w:rPr>
                <w:szCs w:val="21"/>
              </w:rPr>
            </w:pPr>
            <w:r>
              <w:rPr>
                <w:rFonts w:hint="eastAsia"/>
                <w:szCs w:val="21"/>
              </w:rPr>
              <w:t>危废暂存间采取完善的防渗和管理措施，在生产过程中加强管理，制定严格的岗位责任制，保证各项污染防治措施稳定运行。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79"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生态保护措施</w:t>
            </w:r>
          </w:p>
        </w:tc>
        <w:tc>
          <w:tcPr>
            <w:tcW w:w="7121" w:type="dxa"/>
            <w:gridSpan w:val="4"/>
            <w:vAlign w:val="center"/>
          </w:tcPr>
          <w:p>
            <w:pPr>
              <w:adjustRightInd w:val="0"/>
              <w:snapToGrid w:val="0"/>
              <w:spacing w:line="320" w:lineRule="exact"/>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79"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环境风险</w:t>
            </w:r>
          </w:p>
          <w:p>
            <w:pPr>
              <w:adjustRightInd w:val="0"/>
              <w:snapToGrid w:val="0"/>
              <w:spacing w:line="320" w:lineRule="exact"/>
              <w:jc w:val="center"/>
              <w:rPr>
                <w:rFonts w:ascii="宋体" w:hAnsi="宋体" w:cs="宋体"/>
                <w:szCs w:val="21"/>
              </w:rPr>
            </w:pPr>
            <w:r>
              <w:rPr>
                <w:rFonts w:hint="eastAsia" w:ascii="宋体" w:hAnsi="宋体" w:cs="宋体"/>
                <w:szCs w:val="21"/>
              </w:rPr>
              <w:t>防范措施</w:t>
            </w:r>
          </w:p>
        </w:tc>
        <w:tc>
          <w:tcPr>
            <w:tcW w:w="7121" w:type="dxa"/>
            <w:gridSpan w:val="4"/>
            <w:vAlign w:val="center"/>
          </w:tcPr>
          <w:p>
            <w:pPr>
              <w:adjustRightInd w:val="0"/>
              <w:snapToGrid w:val="0"/>
              <w:spacing w:line="320" w:lineRule="exact"/>
              <w:rPr>
                <w:bCs/>
                <w:szCs w:val="21"/>
                <w:u w:val="single"/>
              </w:rPr>
            </w:pPr>
            <w:r>
              <w:rPr>
                <w:rFonts w:hint="eastAsia"/>
                <w:bCs/>
                <w:szCs w:val="21"/>
                <w:u w:val="single"/>
              </w:rPr>
              <w:t>（1）按要求</w:t>
            </w:r>
            <w:r>
              <w:rPr>
                <w:bCs/>
                <w:szCs w:val="21"/>
                <w:u w:val="single"/>
              </w:rPr>
              <w:t>设置</w:t>
            </w:r>
            <w:r>
              <w:rPr>
                <w:rFonts w:hint="eastAsia"/>
                <w:bCs/>
                <w:szCs w:val="21"/>
                <w:u w:val="single"/>
              </w:rPr>
              <w:t>危废暂存间</w:t>
            </w:r>
            <w:r>
              <w:rPr>
                <w:bCs/>
                <w:szCs w:val="21"/>
                <w:u w:val="single"/>
              </w:rPr>
              <w:t>和危废暂存装置，危险废物贮存设施根据贮存的废物种类和特性按照《危险废物贮存污染控制标准》（GB18597-20</w:t>
            </w:r>
            <w:r>
              <w:rPr>
                <w:rFonts w:hint="eastAsia"/>
                <w:bCs/>
                <w:szCs w:val="21"/>
                <w:u w:val="single"/>
              </w:rPr>
              <w:t>23</w:t>
            </w:r>
            <w:r>
              <w:rPr>
                <w:bCs/>
                <w:szCs w:val="21"/>
                <w:u w:val="single"/>
              </w:rPr>
              <w:t>）</w:t>
            </w:r>
            <w:r>
              <w:rPr>
                <w:rFonts w:hint="eastAsia"/>
                <w:bCs/>
                <w:szCs w:val="21"/>
                <w:u w:val="single"/>
              </w:rPr>
              <w:t>要求</w:t>
            </w:r>
            <w:r>
              <w:rPr>
                <w:bCs/>
                <w:szCs w:val="21"/>
                <w:u w:val="single"/>
              </w:rPr>
              <w:t>设置标志，且将标签粘贴于盛装危险废物的容器上</w:t>
            </w:r>
            <w:r>
              <w:rPr>
                <w:rFonts w:hint="eastAsia"/>
                <w:bCs/>
                <w:szCs w:val="21"/>
                <w:u w:val="single"/>
              </w:rPr>
              <w:t>。</w:t>
            </w:r>
          </w:p>
          <w:p>
            <w:pPr>
              <w:adjustRightInd w:val="0"/>
              <w:snapToGrid w:val="0"/>
              <w:spacing w:line="320" w:lineRule="exact"/>
              <w:rPr>
                <w:bCs/>
                <w:szCs w:val="21"/>
                <w:u w:val="single"/>
              </w:rPr>
            </w:pPr>
            <w:r>
              <w:rPr>
                <w:rFonts w:hint="eastAsia"/>
                <w:bCs/>
                <w:szCs w:val="21"/>
                <w:u w:val="single"/>
              </w:rPr>
              <w:t>（2）</w:t>
            </w:r>
            <w:r>
              <w:rPr>
                <w:rFonts w:hint="eastAsia"/>
                <w:szCs w:val="21"/>
                <w:u w:val="single"/>
              </w:rPr>
              <w:t>废活性炭、废光氧灯管、废润滑油分别使用容器密封包装暂存，</w:t>
            </w:r>
            <w:r>
              <w:rPr>
                <w:bCs/>
                <w:szCs w:val="21"/>
                <w:u w:val="single"/>
              </w:rPr>
              <w:t>危废暂存间按照相关要求做好严格的防渗措施</w:t>
            </w:r>
            <w:r>
              <w:rPr>
                <w:rFonts w:hint="eastAsia"/>
                <w:bCs/>
                <w:szCs w:val="21"/>
                <w:u w:val="single"/>
              </w:rPr>
              <w:t>。</w:t>
            </w:r>
          </w:p>
          <w:p>
            <w:pPr>
              <w:adjustRightInd w:val="0"/>
              <w:snapToGrid w:val="0"/>
              <w:spacing w:line="320" w:lineRule="exact"/>
              <w:rPr>
                <w:bCs/>
                <w:szCs w:val="21"/>
                <w:u w:val="single"/>
              </w:rPr>
            </w:pPr>
            <w:r>
              <w:rPr>
                <w:rFonts w:hint="eastAsia"/>
                <w:bCs/>
                <w:szCs w:val="21"/>
                <w:u w:val="single"/>
              </w:rPr>
              <w:t>（3）</w:t>
            </w:r>
            <w:r>
              <w:rPr>
                <w:bCs/>
                <w:szCs w:val="21"/>
                <w:u w:val="single"/>
              </w:rPr>
              <w:t>按照危废清运周期，及时清运厂区暂存的危险废物，交与有资质的单位处理</w:t>
            </w:r>
            <w:r>
              <w:rPr>
                <w:rFonts w:hint="eastAsia"/>
                <w:bCs/>
                <w:szCs w:val="21"/>
                <w:u w:val="single"/>
              </w:rPr>
              <w:t>。</w:t>
            </w:r>
          </w:p>
          <w:p>
            <w:pPr>
              <w:adjustRightInd w:val="0"/>
              <w:snapToGrid w:val="0"/>
              <w:spacing w:line="320" w:lineRule="exact"/>
              <w:rPr>
                <w:bCs/>
                <w:szCs w:val="21"/>
                <w:u w:val="single"/>
              </w:rPr>
            </w:pPr>
            <w:r>
              <w:rPr>
                <w:rFonts w:hint="eastAsia"/>
                <w:bCs/>
                <w:szCs w:val="21"/>
                <w:u w:val="single"/>
              </w:rPr>
              <w:t>（4）</w:t>
            </w:r>
            <w:r>
              <w:rPr>
                <w:bCs/>
                <w:szCs w:val="21"/>
                <w:u w:val="single"/>
              </w:rPr>
              <w:t>危险废物暂存场所专人负责管理，定期对所暂存的危险废物容器进行检查，发现破损，及时采取措施清理更换。严禁随意处置危险废物。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679"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其他环境</w:t>
            </w:r>
          </w:p>
          <w:p>
            <w:pPr>
              <w:adjustRightInd w:val="0"/>
              <w:snapToGrid w:val="0"/>
              <w:spacing w:line="320" w:lineRule="exact"/>
              <w:jc w:val="center"/>
              <w:rPr>
                <w:rFonts w:ascii="宋体" w:hAnsi="宋体" w:cs="宋体"/>
                <w:szCs w:val="21"/>
              </w:rPr>
            </w:pPr>
            <w:r>
              <w:rPr>
                <w:rFonts w:hint="eastAsia" w:ascii="宋体" w:hAnsi="宋体" w:cs="宋体"/>
                <w:szCs w:val="21"/>
              </w:rPr>
              <w:t>管理要求</w:t>
            </w:r>
          </w:p>
        </w:tc>
        <w:tc>
          <w:tcPr>
            <w:tcW w:w="7121" w:type="dxa"/>
            <w:gridSpan w:val="4"/>
            <w:vAlign w:val="center"/>
          </w:tcPr>
          <w:p>
            <w:pPr>
              <w:spacing w:line="320" w:lineRule="exact"/>
              <w:rPr>
                <w:szCs w:val="21"/>
              </w:rPr>
            </w:pPr>
            <w:r>
              <w:rPr>
                <w:rFonts w:hint="eastAsia"/>
                <w:szCs w:val="21"/>
              </w:rPr>
              <w:t>（1）加强环保设施管理，确保治理设施正常运行，污染物稳定达标排放；</w:t>
            </w:r>
          </w:p>
          <w:p>
            <w:pPr>
              <w:spacing w:line="320" w:lineRule="exact"/>
              <w:rPr>
                <w:szCs w:val="21"/>
              </w:rPr>
            </w:pPr>
            <w:r>
              <w:rPr>
                <w:rFonts w:hint="eastAsia"/>
                <w:szCs w:val="21"/>
              </w:rPr>
              <w:t>（2）项目应按照监测计划对各污染物排放情况进行监测；</w:t>
            </w:r>
          </w:p>
          <w:p>
            <w:pPr>
              <w:spacing w:line="320" w:lineRule="exact"/>
              <w:rPr>
                <w:szCs w:val="21"/>
              </w:rPr>
            </w:pPr>
            <w:r>
              <w:rPr>
                <w:rFonts w:hint="eastAsia"/>
                <w:szCs w:val="21"/>
              </w:rPr>
              <w:t>（3）建立环保管理台账，</w:t>
            </w:r>
            <w:r>
              <w:rPr>
                <w:szCs w:val="21"/>
              </w:rPr>
              <w:t>配备专</w:t>
            </w:r>
            <w:r>
              <w:rPr>
                <w:rFonts w:hint="eastAsia"/>
                <w:szCs w:val="21"/>
              </w:rPr>
              <w:t>/</w:t>
            </w:r>
            <w:r>
              <w:rPr>
                <w:szCs w:val="21"/>
              </w:rPr>
              <w:t>兼职环保人员，并具备相应环境管理能力。</w:t>
            </w: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tc>
      </w:tr>
    </w:tbl>
    <w:p>
      <w:pPr>
        <w:pStyle w:val="24"/>
        <w:spacing w:before="120"/>
        <w:rPr>
          <w:snapToGrid w:val="0"/>
        </w:rPr>
      </w:pPr>
      <w:r>
        <w:rPr>
          <w:snapToGrid w:val="0"/>
        </w:rPr>
        <w:br w:type="page"/>
      </w:r>
      <w:bookmarkStart w:id="9" w:name="_Toc114642633"/>
      <w:r>
        <w:rPr>
          <w:rFonts w:hint="eastAsia"/>
          <w:snapToGrid w:val="0"/>
        </w:rPr>
        <w:t>六、结论</w:t>
      </w:r>
      <w:bookmarkEnd w:id="9"/>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72" w:hRule="atLeast"/>
          <w:jc w:val="center"/>
        </w:trPr>
        <w:tc>
          <w:tcPr>
            <w:tcW w:w="8865" w:type="dxa"/>
          </w:tcPr>
          <w:p>
            <w:pPr>
              <w:spacing w:line="360" w:lineRule="auto"/>
              <w:ind w:firstLine="480" w:firstLineChars="200"/>
              <w:rPr>
                <w:sz w:val="24"/>
              </w:rPr>
            </w:pPr>
            <w:r>
              <w:rPr>
                <w:sz w:val="24"/>
              </w:rPr>
              <w:t>洛阳东资实业有限公司年产150万条集装袋项目的建设符合国家相关产业政策，</w:t>
            </w:r>
            <w:r>
              <w:rPr>
                <w:rFonts w:hint="eastAsia"/>
                <w:sz w:val="24"/>
              </w:rPr>
              <w:t>本</w:t>
            </w:r>
            <w:r>
              <w:rPr>
                <w:sz w:val="24"/>
              </w:rPr>
              <w:t>项目选址不存在环境制约因素，选址合理。</w:t>
            </w:r>
            <w:r>
              <w:rPr>
                <w:rFonts w:hint="eastAsia"/>
                <w:sz w:val="24"/>
              </w:rPr>
              <w:t>本</w:t>
            </w:r>
            <w:r>
              <w:rPr>
                <w:sz w:val="24"/>
              </w:rPr>
              <w:t>项目建成后，</w:t>
            </w:r>
            <w:r>
              <w:rPr>
                <w:rFonts w:hint="eastAsia"/>
                <w:sz w:val="24"/>
              </w:rPr>
              <w:t>生产过程中</w:t>
            </w:r>
            <w:r>
              <w:rPr>
                <w:sz w:val="24"/>
              </w:rPr>
              <w:t>产生的废气</w:t>
            </w:r>
            <w:r>
              <w:rPr>
                <w:rFonts w:hint="eastAsia"/>
                <w:sz w:val="24"/>
              </w:rPr>
              <w:t>和噪声经治理后达标排放；生活污水化粪池收集，利用现有化粪池+一体化污水处理设施处理，用于厂区绿化，远期排污偃师区第二污水处理厂；冷却水循环使用，不外排。产生固体废物合理处理处置。</w:t>
            </w:r>
            <w:r>
              <w:rPr>
                <w:sz w:val="24"/>
              </w:rPr>
              <w:t>从环保角度分析，</w:t>
            </w:r>
            <w:r>
              <w:rPr>
                <w:rFonts w:hint="eastAsia"/>
                <w:sz w:val="24"/>
              </w:rPr>
              <w:t>本</w:t>
            </w:r>
            <w:r>
              <w:rPr>
                <w:sz w:val="24"/>
              </w:rPr>
              <w:t>项目建设是可行的。</w:t>
            </w:r>
          </w:p>
          <w:p>
            <w:pPr>
              <w:spacing w:line="360" w:lineRule="auto"/>
              <w:ind w:firstLine="480" w:firstLineChars="200"/>
              <w:rPr>
                <w:rFonts w:ascii="宋体" w:cs="宋体"/>
                <w:sz w:val="24"/>
              </w:rPr>
            </w:pPr>
          </w:p>
        </w:tc>
      </w:tr>
    </w:tbl>
    <w:p>
      <w:pPr>
        <w:ind w:firstLine="480"/>
        <w:rPr>
          <w:rFonts w:ascii="宋体"/>
        </w:rPr>
        <w:sectPr>
          <w:pgSz w:w="11906" w:h="16838"/>
          <w:pgMar w:top="1440" w:right="1440" w:bottom="1440" w:left="1440" w:header="851" w:footer="851" w:gutter="0"/>
          <w:cols w:space="720" w:num="1"/>
          <w:docGrid w:linePitch="312" w:charSpace="0"/>
        </w:sectPr>
      </w:pPr>
    </w:p>
    <w:p>
      <w:pPr>
        <w:pStyle w:val="2"/>
        <w:spacing w:line="240" w:lineRule="auto"/>
        <w:rPr>
          <w:snapToGrid w:val="0"/>
          <w:color w:val="auto"/>
        </w:rPr>
      </w:pPr>
      <w:bookmarkStart w:id="10" w:name="_Toc114642634"/>
      <w:r>
        <w:rPr>
          <w:rFonts w:hint="eastAsia"/>
          <w:snapToGrid w:val="0"/>
          <w:color w:val="auto"/>
        </w:rPr>
        <w:t>附表</w:t>
      </w:r>
      <w:bookmarkEnd w:id="10"/>
    </w:p>
    <w:p>
      <w:pPr>
        <w:pStyle w:val="23"/>
        <w:adjustRightInd w:val="0"/>
        <w:snapToGrid w:val="0"/>
        <w:spacing w:before="0" w:beforeAutospacing="0" w:after="0" w:afterAutospacing="0"/>
        <w:ind w:firstLine="760"/>
        <w:jc w:val="center"/>
        <w:outlineLvl w:val="0"/>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28"/>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387"/>
        <w:gridCol w:w="1664"/>
        <w:gridCol w:w="1250"/>
        <w:gridCol w:w="1664"/>
        <w:gridCol w:w="1525"/>
        <w:gridCol w:w="1722"/>
        <w:gridCol w:w="1744"/>
        <w:gridCol w:w="9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3" w:type="dxa"/>
            <w:tcBorders>
              <w:tl2br w:val="single" w:color="auto" w:sz="4" w:space="0"/>
            </w:tcBorders>
            <w:tcMar>
              <w:left w:w="28" w:type="dxa"/>
              <w:right w:w="28" w:type="dxa"/>
            </w:tcMar>
            <w:vAlign w:val="center"/>
          </w:tcPr>
          <w:p>
            <w:pPr>
              <w:pStyle w:val="43"/>
              <w:spacing w:beforeLines="0" w:afterLines="0" w:line="240" w:lineRule="auto"/>
              <w:jc w:val="right"/>
              <w:rPr>
                <w:rFonts w:ascii="黑体" w:hAnsi="黑体" w:eastAsia="黑体" w:cs="宋体"/>
                <w:snapToGrid w:val="0"/>
                <w:spacing w:val="-6"/>
                <w:kern w:val="21"/>
                <w:szCs w:val="21"/>
              </w:rPr>
            </w:pPr>
            <w:r>
              <w:rPr>
                <w:rFonts w:hint="eastAsia" w:ascii="黑体" w:hAnsi="黑体" w:eastAsia="黑体" w:cs="宋体"/>
                <w:snapToGrid w:val="0"/>
                <w:spacing w:val="-6"/>
                <w:kern w:val="21"/>
                <w:szCs w:val="21"/>
              </w:rPr>
              <w:t>项目</w:t>
            </w:r>
          </w:p>
          <w:p>
            <w:pPr>
              <w:pStyle w:val="43"/>
              <w:spacing w:beforeLines="0" w:afterLines="0" w:line="240" w:lineRule="auto"/>
              <w:jc w:val="left"/>
              <w:rPr>
                <w:rFonts w:ascii="黑体" w:hAnsi="黑体" w:eastAsia="黑体" w:cs="宋体"/>
                <w:snapToGrid w:val="0"/>
                <w:spacing w:val="-6"/>
                <w:kern w:val="21"/>
                <w:szCs w:val="21"/>
              </w:rPr>
            </w:pPr>
            <w:r>
              <w:rPr>
                <w:rFonts w:hint="eastAsia" w:ascii="黑体" w:hAnsi="黑体" w:eastAsia="黑体" w:cs="宋体"/>
                <w:snapToGrid w:val="0"/>
                <w:spacing w:val="-6"/>
                <w:kern w:val="21"/>
                <w:szCs w:val="21"/>
              </w:rPr>
              <w:t>分类</w:t>
            </w:r>
          </w:p>
        </w:tc>
        <w:tc>
          <w:tcPr>
            <w:tcW w:w="1387" w:type="dxa"/>
            <w:tcMar>
              <w:left w:w="28" w:type="dxa"/>
              <w:right w:w="28" w:type="dxa"/>
            </w:tcMar>
            <w:vAlign w:val="center"/>
          </w:tcPr>
          <w:p>
            <w:pPr>
              <w:pStyle w:val="43"/>
              <w:spacing w:beforeLines="0" w:afterLines="0" w:line="240" w:lineRule="auto"/>
              <w:rPr>
                <w:rFonts w:ascii="黑体" w:hAnsi="黑体" w:eastAsia="黑体" w:cs="宋体"/>
                <w:snapToGrid w:val="0"/>
                <w:spacing w:val="-6"/>
                <w:kern w:val="21"/>
                <w:szCs w:val="21"/>
              </w:rPr>
            </w:pPr>
            <w:r>
              <w:rPr>
                <w:rFonts w:hint="eastAsia" w:ascii="黑体" w:hAnsi="黑体" w:eastAsia="黑体" w:cs="宋体"/>
                <w:snapToGrid w:val="0"/>
                <w:spacing w:val="-6"/>
                <w:kern w:val="21"/>
                <w:szCs w:val="21"/>
              </w:rPr>
              <w:t>污染物名称</w:t>
            </w:r>
          </w:p>
        </w:tc>
        <w:tc>
          <w:tcPr>
            <w:tcW w:w="1664" w:type="dxa"/>
            <w:tcMar>
              <w:left w:w="28" w:type="dxa"/>
              <w:right w:w="28" w:type="dxa"/>
            </w:tcMar>
            <w:vAlign w:val="center"/>
          </w:tcPr>
          <w:p>
            <w:pPr>
              <w:pStyle w:val="43"/>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现有工程</w:t>
            </w:r>
          </w:p>
          <w:p>
            <w:pPr>
              <w:pStyle w:val="43"/>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排放量（固</w:t>
            </w:r>
            <w:r>
              <w:rPr>
                <w:rFonts w:hint="eastAsia" w:ascii="黑体" w:hAnsi="黑体" w:eastAsia="黑体"/>
                <w:snapToGrid w:val="0"/>
                <w:spacing w:val="-6"/>
                <w:kern w:val="21"/>
                <w:szCs w:val="21"/>
              </w:rPr>
              <w:t>体</w:t>
            </w:r>
            <w:r>
              <w:rPr>
                <w:rFonts w:ascii="黑体" w:hAnsi="黑体" w:eastAsia="黑体"/>
                <w:snapToGrid w:val="0"/>
                <w:spacing w:val="-6"/>
                <w:kern w:val="21"/>
                <w:szCs w:val="21"/>
              </w:rPr>
              <w:t>废</w:t>
            </w:r>
            <w:r>
              <w:rPr>
                <w:rFonts w:hint="eastAsia" w:ascii="黑体" w:hAnsi="黑体" w:eastAsia="黑体"/>
                <w:snapToGrid w:val="0"/>
                <w:spacing w:val="-6"/>
                <w:kern w:val="21"/>
                <w:szCs w:val="21"/>
              </w:rPr>
              <w:t>物</w:t>
            </w:r>
            <w:r>
              <w:rPr>
                <w:rFonts w:ascii="黑体" w:hAnsi="黑体" w:eastAsia="黑体"/>
                <w:snapToGrid w:val="0"/>
                <w:spacing w:val="-6"/>
                <w:kern w:val="21"/>
                <w:szCs w:val="21"/>
              </w:rPr>
              <w:t>产生量）</w:t>
            </w: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1 \* GB3 \* MERGEFORMAT </w:instrText>
            </w:r>
            <w:r>
              <w:rPr>
                <w:rFonts w:ascii="黑体" w:hAnsi="黑体" w:eastAsia="黑体"/>
                <w:snapToGrid w:val="0"/>
                <w:spacing w:val="-6"/>
                <w:kern w:val="21"/>
                <w:szCs w:val="21"/>
              </w:rPr>
              <w:fldChar w:fldCharType="separate"/>
            </w:r>
            <w:r>
              <w:rPr>
                <w:rFonts w:hint="eastAsia" w:ascii="黑体" w:hAnsi="黑体" w:eastAsia="黑体" w:cs="宋体"/>
                <w:kern w:val="2"/>
                <w:szCs w:val="21"/>
              </w:rPr>
              <w:t>①</w:t>
            </w:r>
            <w:r>
              <w:rPr>
                <w:rFonts w:ascii="黑体" w:hAnsi="黑体" w:eastAsia="黑体"/>
                <w:snapToGrid w:val="0"/>
                <w:spacing w:val="-6"/>
                <w:kern w:val="21"/>
                <w:szCs w:val="21"/>
              </w:rPr>
              <w:fldChar w:fldCharType="end"/>
            </w:r>
          </w:p>
        </w:tc>
        <w:tc>
          <w:tcPr>
            <w:tcW w:w="1250" w:type="dxa"/>
            <w:tcMar>
              <w:left w:w="28" w:type="dxa"/>
              <w:right w:w="28" w:type="dxa"/>
            </w:tcMar>
            <w:vAlign w:val="center"/>
          </w:tcPr>
          <w:p>
            <w:pPr>
              <w:pStyle w:val="43"/>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现有工程</w:t>
            </w:r>
          </w:p>
          <w:p>
            <w:pPr>
              <w:pStyle w:val="43"/>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许可排放量</w:t>
            </w:r>
          </w:p>
          <w:p>
            <w:pPr>
              <w:pStyle w:val="43"/>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2 \* GB3 \* MERGEFORMAT </w:instrText>
            </w:r>
            <w:r>
              <w:rPr>
                <w:rFonts w:ascii="黑体" w:hAnsi="黑体" w:eastAsia="黑体"/>
                <w:snapToGrid w:val="0"/>
                <w:spacing w:val="-6"/>
                <w:kern w:val="21"/>
                <w:szCs w:val="21"/>
              </w:rPr>
              <w:fldChar w:fldCharType="separate"/>
            </w:r>
            <w:r>
              <w:rPr>
                <w:rFonts w:hint="eastAsia" w:ascii="黑体" w:hAnsi="黑体" w:eastAsia="黑体" w:cs="宋体"/>
                <w:snapToGrid w:val="0"/>
                <w:spacing w:val="-6"/>
                <w:kern w:val="21"/>
                <w:szCs w:val="21"/>
              </w:rPr>
              <w:t>②</w:t>
            </w:r>
            <w:r>
              <w:rPr>
                <w:rFonts w:ascii="黑体" w:hAnsi="黑体" w:eastAsia="黑体"/>
                <w:snapToGrid w:val="0"/>
                <w:spacing w:val="-6"/>
                <w:kern w:val="21"/>
                <w:szCs w:val="21"/>
              </w:rPr>
              <w:fldChar w:fldCharType="end"/>
            </w:r>
          </w:p>
        </w:tc>
        <w:tc>
          <w:tcPr>
            <w:tcW w:w="1664" w:type="dxa"/>
            <w:tcMar>
              <w:left w:w="28" w:type="dxa"/>
              <w:right w:w="28" w:type="dxa"/>
            </w:tcMar>
            <w:vAlign w:val="center"/>
          </w:tcPr>
          <w:p>
            <w:pPr>
              <w:pStyle w:val="43"/>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在建工程</w:t>
            </w:r>
          </w:p>
          <w:p>
            <w:pPr>
              <w:pStyle w:val="43"/>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排放量（固</w:t>
            </w:r>
            <w:r>
              <w:rPr>
                <w:rFonts w:hint="eastAsia" w:ascii="黑体" w:hAnsi="黑体" w:eastAsia="黑体"/>
                <w:snapToGrid w:val="0"/>
                <w:spacing w:val="-6"/>
                <w:kern w:val="21"/>
                <w:szCs w:val="21"/>
              </w:rPr>
              <w:t>体</w:t>
            </w:r>
            <w:r>
              <w:rPr>
                <w:rFonts w:ascii="黑体" w:hAnsi="黑体" w:eastAsia="黑体"/>
                <w:snapToGrid w:val="0"/>
                <w:spacing w:val="-6"/>
                <w:kern w:val="21"/>
                <w:szCs w:val="21"/>
              </w:rPr>
              <w:t>废</w:t>
            </w:r>
            <w:r>
              <w:rPr>
                <w:rFonts w:hint="eastAsia" w:ascii="黑体" w:hAnsi="黑体" w:eastAsia="黑体"/>
                <w:snapToGrid w:val="0"/>
                <w:spacing w:val="-6"/>
                <w:kern w:val="21"/>
                <w:szCs w:val="21"/>
              </w:rPr>
              <w:t>物</w:t>
            </w:r>
            <w:r>
              <w:rPr>
                <w:rFonts w:ascii="黑体" w:hAnsi="黑体" w:eastAsia="黑体"/>
                <w:snapToGrid w:val="0"/>
                <w:spacing w:val="-6"/>
                <w:kern w:val="21"/>
                <w:szCs w:val="21"/>
              </w:rPr>
              <w:t>产生量）</w:t>
            </w: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3 \* GB3 \* MERGEFORMAT </w:instrText>
            </w:r>
            <w:r>
              <w:rPr>
                <w:rFonts w:ascii="黑体" w:hAnsi="黑体" w:eastAsia="黑体"/>
                <w:snapToGrid w:val="0"/>
                <w:spacing w:val="-6"/>
                <w:kern w:val="21"/>
                <w:szCs w:val="21"/>
              </w:rPr>
              <w:fldChar w:fldCharType="separate"/>
            </w:r>
            <w:r>
              <w:rPr>
                <w:rFonts w:hint="eastAsia" w:ascii="黑体" w:hAnsi="黑体" w:eastAsia="黑体" w:cs="宋体"/>
                <w:kern w:val="2"/>
                <w:szCs w:val="21"/>
              </w:rPr>
              <w:t>③</w:t>
            </w:r>
            <w:r>
              <w:rPr>
                <w:rFonts w:ascii="黑体" w:hAnsi="黑体" w:eastAsia="黑体"/>
                <w:snapToGrid w:val="0"/>
                <w:spacing w:val="-6"/>
                <w:kern w:val="21"/>
                <w:szCs w:val="21"/>
              </w:rPr>
              <w:fldChar w:fldCharType="end"/>
            </w:r>
          </w:p>
        </w:tc>
        <w:tc>
          <w:tcPr>
            <w:tcW w:w="1525" w:type="dxa"/>
            <w:tcMar>
              <w:left w:w="28" w:type="dxa"/>
              <w:right w:w="28" w:type="dxa"/>
            </w:tcMar>
            <w:vAlign w:val="center"/>
          </w:tcPr>
          <w:p>
            <w:pPr>
              <w:pStyle w:val="43"/>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本项目</w:t>
            </w:r>
          </w:p>
          <w:p>
            <w:pPr>
              <w:pStyle w:val="43"/>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排放量（固</w:t>
            </w:r>
            <w:r>
              <w:rPr>
                <w:rFonts w:hint="eastAsia" w:ascii="黑体" w:hAnsi="黑体" w:eastAsia="黑体"/>
                <w:snapToGrid w:val="0"/>
                <w:spacing w:val="-6"/>
                <w:kern w:val="21"/>
                <w:szCs w:val="21"/>
              </w:rPr>
              <w:t>体</w:t>
            </w:r>
            <w:r>
              <w:rPr>
                <w:rFonts w:ascii="黑体" w:hAnsi="黑体" w:eastAsia="黑体"/>
                <w:snapToGrid w:val="0"/>
                <w:spacing w:val="-6"/>
                <w:kern w:val="21"/>
                <w:szCs w:val="21"/>
              </w:rPr>
              <w:t>废</w:t>
            </w:r>
            <w:r>
              <w:rPr>
                <w:rFonts w:hint="eastAsia" w:ascii="黑体" w:hAnsi="黑体" w:eastAsia="黑体"/>
                <w:snapToGrid w:val="0"/>
                <w:spacing w:val="-6"/>
                <w:kern w:val="21"/>
                <w:szCs w:val="21"/>
              </w:rPr>
              <w:t>物</w:t>
            </w:r>
            <w:r>
              <w:rPr>
                <w:rFonts w:ascii="黑体" w:hAnsi="黑体" w:eastAsia="黑体"/>
                <w:snapToGrid w:val="0"/>
                <w:spacing w:val="-6"/>
                <w:kern w:val="21"/>
                <w:szCs w:val="21"/>
              </w:rPr>
              <w:t>产生量）</w:t>
            </w: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4 \* GB3 \* MERGEFORMAT </w:instrText>
            </w:r>
            <w:r>
              <w:rPr>
                <w:rFonts w:ascii="黑体" w:hAnsi="黑体" w:eastAsia="黑体"/>
                <w:snapToGrid w:val="0"/>
                <w:spacing w:val="-6"/>
                <w:kern w:val="21"/>
                <w:szCs w:val="21"/>
              </w:rPr>
              <w:fldChar w:fldCharType="separate"/>
            </w:r>
            <w:r>
              <w:rPr>
                <w:rFonts w:hint="eastAsia" w:ascii="黑体" w:hAnsi="黑体" w:eastAsia="黑体" w:cs="宋体"/>
                <w:kern w:val="2"/>
                <w:szCs w:val="21"/>
              </w:rPr>
              <w:t>④</w:t>
            </w:r>
            <w:r>
              <w:rPr>
                <w:rFonts w:ascii="黑体" w:hAnsi="黑体" w:eastAsia="黑体"/>
                <w:snapToGrid w:val="0"/>
                <w:spacing w:val="-6"/>
                <w:kern w:val="21"/>
                <w:szCs w:val="21"/>
              </w:rPr>
              <w:fldChar w:fldCharType="end"/>
            </w:r>
          </w:p>
        </w:tc>
        <w:tc>
          <w:tcPr>
            <w:tcW w:w="1722" w:type="dxa"/>
            <w:tcMar>
              <w:left w:w="28" w:type="dxa"/>
              <w:right w:w="28" w:type="dxa"/>
            </w:tcMar>
            <w:vAlign w:val="center"/>
          </w:tcPr>
          <w:p>
            <w:pPr>
              <w:pStyle w:val="43"/>
              <w:spacing w:beforeLines="0" w:afterLines="0" w:line="240" w:lineRule="auto"/>
              <w:rPr>
                <w:rFonts w:ascii="黑体" w:hAnsi="黑体" w:eastAsia="黑体"/>
                <w:snapToGrid w:val="0"/>
                <w:spacing w:val="-16"/>
                <w:kern w:val="21"/>
                <w:szCs w:val="21"/>
              </w:rPr>
            </w:pPr>
            <w:r>
              <w:rPr>
                <w:rFonts w:ascii="黑体" w:hAnsi="黑体" w:eastAsia="黑体"/>
                <w:snapToGrid w:val="0"/>
                <w:spacing w:val="-16"/>
                <w:kern w:val="21"/>
                <w:szCs w:val="21"/>
              </w:rPr>
              <w:t>以新带老削减量</w:t>
            </w:r>
          </w:p>
          <w:p>
            <w:pPr>
              <w:pStyle w:val="43"/>
              <w:spacing w:beforeLines="0" w:afterLines="0" w:line="240" w:lineRule="auto"/>
              <w:rPr>
                <w:rFonts w:ascii="黑体" w:hAnsi="黑体" w:eastAsia="黑体"/>
                <w:snapToGrid w:val="0"/>
                <w:spacing w:val="-16"/>
                <w:kern w:val="21"/>
                <w:szCs w:val="21"/>
              </w:rPr>
            </w:pPr>
            <w:r>
              <w:rPr>
                <w:rFonts w:ascii="黑体" w:hAnsi="黑体" w:eastAsia="黑体"/>
                <w:snapToGrid w:val="0"/>
                <w:spacing w:val="-16"/>
                <w:kern w:val="21"/>
                <w:szCs w:val="21"/>
              </w:rPr>
              <w:t>（新建项目不填）</w:t>
            </w:r>
            <w:r>
              <w:rPr>
                <w:rFonts w:ascii="黑体" w:hAnsi="黑体" w:eastAsia="黑体"/>
                <w:snapToGrid w:val="0"/>
                <w:spacing w:val="-16"/>
                <w:kern w:val="21"/>
                <w:szCs w:val="21"/>
              </w:rPr>
              <w:fldChar w:fldCharType="begin"/>
            </w:r>
            <w:r>
              <w:rPr>
                <w:rFonts w:ascii="黑体" w:hAnsi="黑体" w:eastAsia="黑体"/>
                <w:snapToGrid w:val="0"/>
                <w:spacing w:val="-16"/>
                <w:kern w:val="21"/>
                <w:szCs w:val="21"/>
              </w:rPr>
              <w:instrText xml:space="preserve"> = 5 \* GB3 \* MERGEFORMAT </w:instrText>
            </w:r>
            <w:r>
              <w:rPr>
                <w:rFonts w:ascii="黑体" w:hAnsi="黑体" w:eastAsia="黑体"/>
                <w:snapToGrid w:val="0"/>
                <w:spacing w:val="-16"/>
                <w:kern w:val="21"/>
                <w:szCs w:val="21"/>
              </w:rPr>
              <w:fldChar w:fldCharType="separate"/>
            </w:r>
            <w:r>
              <w:rPr>
                <w:rFonts w:hint="eastAsia" w:ascii="黑体" w:hAnsi="黑体" w:eastAsia="黑体" w:cs="宋体"/>
                <w:kern w:val="2"/>
                <w:szCs w:val="21"/>
              </w:rPr>
              <w:t>⑤</w:t>
            </w:r>
            <w:r>
              <w:rPr>
                <w:rFonts w:ascii="黑体" w:hAnsi="黑体" w:eastAsia="黑体"/>
                <w:snapToGrid w:val="0"/>
                <w:spacing w:val="-16"/>
                <w:kern w:val="21"/>
                <w:szCs w:val="21"/>
              </w:rPr>
              <w:fldChar w:fldCharType="end"/>
            </w:r>
          </w:p>
        </w:tc>
        <w:tc>
          <w:tcPr>
            <w:tcW w:w="1744" w:type="dxa"/>
            <w:tcMar>
              <w:left w:w="28" w:type="dxa"/>
              <w:right w:w="28" w:type="dxa"/>
            </w:tcMar>
            <w:vAlign w:val="center"/>
          </w:tcPr>
          <w:p>
            <w:pPr>
              <w:pStyle w:val="43"/>
              <w:spacing w:beforeLines="0" w:afterLines="0" w:line="240" w:lineRule="auto"/>
              <w:rPr>
                <w:rFonts w:ascii="黑体" w:hAnsi="黑体" w:eastAsia="黑体"/>
                <w:snapToGrid w:val="0"/>
                <w:spacing w:val="-16"/>
                <w:kern w:val="21"/>
                <w:szCs w:val="21"/>
              </w:rPr>
            </w:pPr>
            <w:r>
              <w:rPr>
                <w:rFonts w:ascii="黑体" w:hAnsi="黑体" w:eastAsia="黑体"/>
                <w:snapToGrid w:val="0"/>
                <w:spacing w:val="-16"/>
                <w:kern w:val="21"/>
                <w:szCs w:val="21"/>
              </w:rPr>
              <w:t>本项目建成后</w:t>
            </w:r>
          </w:p>
          <w:p>
            <w:pPr>
              <w:pStyle w:val="43"/>
              <w:spacing w:beforeLines="0" w:afterLines="0" w:line="240" w:lineRule="auto"/>
              <w:rPr>
                <w:rFonts w:ascii="黑体" w:hAnsi="黑体" w:eastAsia="黑体"/>
                <w:snapToGrid w:val="0"/>
                <w:spacing w:val="-16"/>
                <w:kern w:val="21"/>
                <w:szCs w:val="21"/>
              </w:rPr>
            </w:pPr>
            <w:r>
              <w:rPr>
                <w:rFonts w:hint="eastAsia" w:ascii="黑体" w:hAnsi="黑体" w:eastAsia="黑体"/>
                <w:snapToGrid w:val="0"/>
                <w:spacing w:val="-16"/>
                <w:kern w:val="21"/>
                <w:szCs w:val="21"/>
              </w:rPr>
              <w:t>全厂</w:t>
            </w:r>
            <w:r>
              <w:rPr>
                <w:rFonts w:ascii="黑体" w:hAnsi="黑体" w:eastAsia="黑体"/>
                <w:snapToGrid w:val="0"/>
                <w:spacing w:val="-16"/>
                <w:kern w:val="21"/>
                <w:szCs w:val="21"/>
              </w:rPr>
              <w:t>排放量（固</w:t>
            </w:r>
            <w:r>
              <w:rPr>
                <w:rFonts w:hint="eastAsia" w:ascii="黑体" w:hAnsi="黑体" w:eastAsia="黑体"/>
                <w:snapToGrid w:val="0"/>
                <w:spacing w:val="-16"/>
                <w:kern w:val="21"/>
                <w:szCs w:val="21"/>
              </w:rPr>
              <w:t>体</w:t>
            </w:r>
            <w:r>
              <w:rPr>
                <w:rFonts w:ascii="黑体" w:hAnsi="黑体" w:eastAsia="黑体"/>
                <w:snapToGrid w:val="0"/>
                <w:spacing w:val="-16"/>
                <w:kern w:val="21"/>
                <w:szCs w:val="21"/>
              </w:rPr>
              <w:t>废</w:t>
            </w:r>
            <w:r>
              <w:rPr>
                <w:rFonts w:hint="eastAsia" w:ascii="黑体" w:hAnsi="黑体" w:eastAsia="黑体"/>
                <w:snapToGrid w:val="0"/>
                <w:spacing w:val="-16"/>
                <w:kern w:val="21"/>
                <w:szCs w:val="21"/>
              </w:rPr>
              <w:t>物</w:t>
            </w:r>
            <w:r>
              <w:rPr>
                <w:rFonts w:ascii="黑体" w:hAnsi="黑体" w:eastAsia="黑体"/>
                <w:snapToGrid w:val="0"/>
                <w:spacing w:val="-16"/>
                <w:kern w:val="21"/>
                <w:szCs w:val="21"/>
              </w:rPr>
              <w:t>产生量）</w:t>
            </w:r>
            <w:r>
              <w:rPr>
                <w:rFonts w:ascii="黑体" w:hAnsi="黑体" w:eastAsia="黑体"/>
                <w:snapToGrid w:val="0"/>
                <w:spacing w:val="-16"/>
                <w:kern w:val="21"/>
                <w:szCs w:val="21"/>
              </w:rPr>
              <w:fldChar w:fldCharType="begin"/>
            </w:r>
            <w:r>
              <w:rPr>
                <w:rFonts w:ascii="黑体" w:hAnsi="黑体" w:eastAsia="黑体"/>
                <w:snapToGrid w:val="0"/>
                <w:spacing w:val="-16"/>
                <w:kern w:val="21"/>
                <w:szCs w:val="21"/>
              </w:rPr>
              <w:instrText xml:space="preserve"> = 6 \* GB3 \* MERGEFORMAT </w:instrText>
            </w:r>
            <w:r>
              <w:rPr>
                <w:rFonts w:ascii="黑体" w:hAnsi="黑体" w:eastAsia="黑体"/>
                <w:snapToGrid w:val="0"/>
                <w:spacing w:val="-16"/>
                <w:kern w:val="21"/>
                <w:szCs w:val="21"/>
              </w:rPr>
              <w:fldChar w:fldCharType="separate"/>
            </w:r>
            <w:r>
              <w:rPr>
                <w:rFonts w:hint="eastAsia" w:ascii="黑体" w:hAnsi="黑体" w:eastAsia="黑体" w:cs="宋体"/>
                <w:kern w:val="2"/>
                <w:szCs w:val="21"/>
              </w:rPr>
              <w:t>⑥</w:t>
            </w:r>
            <w:r>
              <w:rPr>
                <w:rFonts w:ascii="黑体" w:hAnsi="黑体" w:eastAsia="黑体"/>
                <w:snapToGrid w:val="0"/>
                <w:spacing w:val="-16"/>
                <w:kern w:val="21"/>
                <w:szCs w:val="21"/>
              </w:rPr>
              <w:fldChar w:fldCharType="end"/>
            </w:r>
          </w:p>
        </w:tc>
        <w:tc>
          <w:tcPr>
            <w:tcW w:w="983" w:type="dxa"/>
            <w:tcMar>
              <w:left w:w="28" w:type="dxa"/>
              <w:right w:w="28" w:type="dxa"/>
            </w:tcMar>
            <w:vAlign w:val="center"/>
          </w:tcPr>
          <w:p>
            <w:pPr>
              <w:pStyle w:val="43"/>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变化量</w:t>
            </w:r>
          </w:p>
          <w:p>
            <w:pPr>
              <w:pStyle w:val="43"/>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7 \* GB3 \* MERGEFORMAT </w:instrText>
            </w:r>
            <w:r>
              <w:rPr>
                <w:rFonts w:ascii="黑体" w:hAnsi="黑体" w:eastAsia="黑体"/>
                <w:snapToGrid w:val="0"/>
                <w:spacing w:val="-6"/>
                <w:kern w:val="21"/>
                <w:szCs w:val="21"/>
              </w:rPr>
              <w:fldChar w:fldCharType="separate"/>
            </w:r>
            <w:r>
              <w:rPr>
                <w:rFonts w:hint="eastAsia" w:ascii="黑体" w:hAnsi="黑体" w:eastAsia="黑体" w:cs="宋体"/>
                <w:kern w:val="2"/>
                <w:szCs w:val="21"/>
              </w:rPr>
              <w:t>⑦</w:t>
            </w:r>
            <w:r>
              <w:rPr>
                <w:rFonts w:ascii="黑体" w:hAnsi="黑体" w:eastAsia="黑体"/>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3" w:type="dxa"/>
            <w:vMerge w:val="restart"/>
            <w:vAlign w:val="center"/>
          </w:tcPr>
          <w:p>
            <w:pPr>
              <w:pStyle w:val="43"/>
              <w:spacing w:beforeLines="0" w:afterLines="0" w:line="240" w:lineRule="auto"/>
              <w:rPr>
                <w:rFonts w:hAnsi="宋体" w:cs="宋体"/>
                <w:snapToGrid w:val="0"/>
                <w:kern w:val="21"/>
                <w:szCs w:val="21"/>
              </w:rPr>
            </w:pPr>
            <w:r>
              <w:rPr>
                <w:rFonts w:hint="eastAsia" w:hAnsi="宋体" w:cs="宋体"/>
                <w:snapToGrid w:val="0"/>
                <w:kern w:val="21"/>
                <w:szCs w:val="21"/>
              </w:rPr>
              <w:t>废气</w:t>
            </w:r>
          </w:p>
        </w:tc>
        <w:tc>
          <w:tcPr>
            <w:tcW w:w="1387"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颗粒物</w:t>
            </w:r>
          </w:p>
        </w:tc>
        <w:tc>
          <w:tcPr>
            <w:tcW w:w="1664" w:type="dxa"/>
            <w:vAlign w:val="center"/>
          </w:tcPr>
          <w:p>
            <w:pPr>
              <w:spacing w:line="320" w:lineRule="exact"/>
              <w:jc w:val="center"/>
              <w:rPr>
                <w:szCs w:val="21"/>
              </w:rPr>
            </w:pPr>
            <w:r>
              <w:rPr>
                <w:rFonts w:hint="eastAsia"/>
                <w:szCs w:val="21"/>
              </w:rPr>
              <w:t>0.4047</w:t>
            </w:r>
          </w:p>
        </w:tc>
        <w:tc>
          <w:tcPr>
            <w:tcW w:w="1250" w:type="dxa"/>
            <w:vAlign w:val="center"/>
          </w:tcPr>
          <w:p>
            <w:pPr>
              <w:spacing w:line="320" w:lineRule="exact"/>
              <w:jc w:val="center"/>
              <w:rPr>
                <w:rFonts w:ascii="宋体" w:hAnsi="宋体" w:cs="宋体"/>
                <w:szCs w:val="21"/>
              </w:rPr>
            </w:pPr>
            <w:r>
              <w:rPr>
                <w:rFonts w:hint="eastAsia"/>
                <w:szCs w:val="21"/>
              </w:rPr>
              <w:t>0.6997</w:t>
            </w:r>
          </w:p>
        </w:tc>
        <w:tc>
          <w:tcPr>
            <w:tcW w:w="1664"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25" w:type="dxa"/>
            <w:vAlign w:val="center"/>
          </w:tcPr>
          <w:p>
            <w:pPr>
              <w:pStyle w:val="43"/>
              <w:spacing w:beforeLines="0" w:afterLines="0" w:line="320" w:lineRule="exact"/>
              <w:rPr>
                <w:rFonts w:ascii="Times New Roman"/>
                <w:snapToGrid w:val="0"/>
                <w:kern w:val="21"/>
                <w:szCs w:val="21"/>
                <w:u w:val="single"/>
              </w:rPr>
            </w:pPr>
            <w:r>
              <w:rPr>
                <w:rFonts w:hint="eastAsia" w:ascii="Times New Roman"/>
                <w:snapToGrid w:val="0"/>
                <w:kern w:val="21"/>
                <w:szCs w:val="21"/>
                <w:u w:val="single"/>
              </w:rPr>
              <w:t>0.0928</w:t>
            </w:r>
          </w:p>
        </w:tc>
        <w:tc>
          <w:tcPr>
            <w:tcW w:w="1722"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44" w:type="dxa"/>
            <w:vAlign w:val="center"/>
          </w:tcPr>
          <w:p>
            <w:pPr>
              <w:spacing w:line="320" w:lineRule="exact"/>
              <w:jc w:val="center"/>
              <w:rPr>
                <w:rFonts w:ascii="宋体" w:hAnsi="宋体" w:cs="宋体"/>
                <w:szCs w:val="21"/>
              </w:rPr>
            </w:pPr>
            <w:r>
              <w:rPr>
                <w:rFonts w:hint="eastAsia"/>
                <w:szCs w:val="21"/>
              </w:rPr>
              <w:t>0.4975</w:t>
            </w:r>
          </w:p>
        </w:tc>
        <w:tc>
          <w:tcPr>
            <w:tcW w:w="983" w:type="dxa"/>
            <w:vAlign w:val="center"/>
          </w:tcPr>
          <w:p>
            <w:pPr>
              <w:pStyle w:val="43"/>
              <w:spacing w:beforeLines="0" w:afterLines="0" w:line="320" w:lineRule="exact"/>
              <w:rPr>
                <w:rFonts w:ascii="Times New Roman"/>
                <w:snapToGrid w:val="0"/>
                <w:kern w:val="21"/>
                <w:szCs w:val="21"/>
                <w:u w:val="single"/>
              </w:rPr>
            </w:pPr>
            <w:r>
              <w:rPr>
                <w:rFonts w:hint="eastAsia" w:ascii="Times New Roman"/>
                <w:snapToGrid w:val="0"/>
                <w:kern w:val="21"/>
                <w:szCs w:val="21"/>
                <w:u w:val="single"/>
              </w:rPr>
              <w:t>+0.0928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3" w:type="dxa"/>
            <w:vMerge w:val="continue"/>
            <w:vAlign w:val="center"/>
          </w:tcPr>
          <w:p>
            <w:pPr>
              <w:pStyle w:val="43"/>
              <w:spacing w:beforeLines="0" w:afterLines="0" w:line="240" w:lineRule="auto"/>
              <w:rPr>
                <w:rFonts w:hAnsi="宋体" w:cs="宋体"/>
                <w:snapToGrid w:val="0"/>
                <w:kern w:val="21"/>
                <w:szCs w:val="21"/>
              </w:rPr>
            </w:pPr>
          </w:p>
        </w:tc>
        <w:tc>
          <w:tcPr>
            <w:tcW w:w="1387" w:type="dxa"/>
            <w:vAlign w:val="center"/>
          </w:tcPr>
          <w:p>
            <w:pPr>
              <w:pStyle w:val="43"/>
              <w:spacing w:beforeLines="0" w:afterLines="0" w:line="240" w:lineRule="auto"/>
              <w:rPr>
                <w:rFonts w:ascii="Times New Roman" w:hAnsi="宋体"/>
                <w:snapToGrid w:val="0"/>
                <w:kern w:val="21"/>
                <w:szCs w:val="21"/>
              </w:rPr>
            </w:pPr>
            <w:r>
              <w:rPr>
                <w:rFonts w:ascii="Times New Roman" w:hAnsi="宋体"/>
                <w:snapToGrid w:val="0"/>
                <w:kern w:val="21"/>
                <w:szCs w:val="21"/>
              </w:rPr>
              <w:t>非甲烷总烃</w:t>
            </w:r>
          </w:p>
        </w:tc>
        <w:tc>
          <w:tcPr>
            <w:tcW w:w="1664" w:type="dxa"/>
            <w:vAlign w:val="center"/>
          </w:tcPr>
          <w:p>
            <w:pPr>
              <w:spacing w:line="320" w:lineRule="exact"/>
              <w:jc w:val="center"/>
              <w:rPr>
                <w:szCs w:val="21"/>
              </w:rPr>
            </w:pPr>
            <w:r>
              <w:rPr>
                <w:rFonts w:hint="eastAsia"/>
                <w:szCs w:val="21"/>
              </w:rPr>
              <w:t>0.5211</w:t>
            </w:r>
          </w:p>
        </w:tc>
        <w:tc>
          <w:tcPr>
            <w:tcW w:w="1250" w:type="dxa"/>
            <w:vAlign w:val="center"/>
          </w:tcPr>
          <w:p>
            <w:pPr>
              <w:spacing w:line="320" w:lineRule="exact"/>
              <w:jc w:val="center"/>
              <w:rPr>
                <w:rFonts w:ascii="宋体" w:hAnsi="宋体" w:cs="宋体"/>
                <w:szCs w:val="21"/>
              </w:rPr>
            </w:pPr>
            <w:r>
              <w:rPr>
                <w:rFonts w:hint="eastAsia"/>
                <w:szCs w:val="21"/>
              </w:rPr>
              <w:t>0.8688</w:t>
            </w:r>
          </w:p>
        </w:tc>
        <w:tc>
          <w:tcPr>
            <w:tcW w:w="1664"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25" w:type="dxa"/>
            <w:vAlign w:val="center"/>
          </w:tcPr>
          <w:p>
            <w:pPr>
              <w:spacing w:line="320" w:lineRule="exact"/>
              <w:jc w:val="center"/>
              <w:rPr>
                <w:szCs w:val="21"/>
                <w:u w:val="single"/>
              </w:rPr>
            </w:pPr>
            <w:r>
              <w:rPr>
                <w:rFonts w:hint="eastAsia"/>
                <w:szCs w:val="21"/>
                <w:u w:val="single"/>
              </w:rPr>
              <w:t>0.6673</w:t>
            </w:r>
          </w:p>
        </w:tc>
        <w:tc>
          <w:tcPr>
            <w:tcW w:w="1722"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44" w:type="dxa"/>
            <w:vAlign w:val="center"/>
          </w:tcPr>
          <w:p>
            <w:pPr>
              <w:spacing w:line="320" w:lineRule="exact"/>
              <w:jc w:val="center"/>
              <w:rPr>
                <w:rFonts w:ascii="宋体" w:hAnsi="宋体" w:cs="宋体"/>
                <w:szCs w:val="21"/>
              </w:rPr>
            </w:pPr>
            <w:r>
              <w:rPr>
                <w:rFonts w:hint="eastAsia"/>
                <w:szCs w:val="21"/>
              </w:rPr>
              <w:t>1.1884</w:t>
            </w:r>
          </w:p>
        </w:tc>
        <w:tc>
          <w:tcPr>
            <w:tcW w:w="983" w:type="dxa"/>
            <w:vAlign w:val="center"/>
          </w:tcPr>
          <w:p>
            <w:pPr>
              <w:spacing w:line="320" w:lineRule="exact"/>
              <w:jc w:val="center"/>
              <w:rPr>
                <w:szCs w:val="21"/>
                <w:u w:val="single"/>
              </w:rPr>
            </w:pPr>
            <w:r>
              <w:rPr>
                <w:rFonts w:hint="eastAsia"/>
                <w:szCs w:val="21"/>
                <w:u w:val="single"/>
              </w:rPr>
              <w:t>+0.6673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3" w:type="dxa"/>
            <w:vMerge w:val="restart"/>
            <w:vAlign w:val="center"/>
          </w:tcPr>
          <w:p>
            <w:pPr>
              <w:pStyle w:val="43"/>
              <w:spacing w:beforeLines="0" w:afterLines="0" w:line="240" w:lineRule="auto"/>
              <w:rPr>
                <w:rFonts w:hAnsi="宋体" w:cs="宋体"/>
                <w:snapToGrid w:val="0"/>
                <w:kern w:val="21"/>
                <w:szCs w:val="21"/>
              </w:rPr>
            </w:pPr>
            <w:r>
              <w:rPr>
                <w:rFonts w:hint="eastAsia" w:hAnsi="宋体" w:cs="宋体"/>
                <w:snapToGrid w:val="0"/>
                <w:kern w:val="21"/>
                <w:szCs w:val="21"/>
              </w:rPr>
              <w:t>废水</w:t>
            </w:r>
          </w:p>
        </w:tc>
        <w:tc>
          <w:tcPr>
            <w:tcW w:w="1387"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COD</w:t>
            </w:r>
          </w:p>
        </w:tc>
        <w:tc>
          <w:tcPr>
            <w:tcW w:w="1664" w:type="dxa"/>
            <w:vAlign w:val="center"/>
          </w:tcPr>
          <w:p>
            <w:pPr>
              <w:spacing w:line="320" w:lineRule="exact"/>
              <w:jc w:val="center"/>
              <w:rPr>
                <w:szCs w:val="21"/>
              </w:rPr>
            </w:pPr>
            <w:r>
              <w:rPr>
                <w:szCs w:val="21"/>
              </w:rPr>
              <w:t>0.1438</w:t>
            </w:r>
          </w:p>
        </w:tc>
        <w:tc>
          <w:tcPr>
            <w:tcW w:w="1250" w:type="dxa"/>
            <w:vAlign w:val="center"/>
          </w:tcPr>
          <w:p>
            <w:pPr>
              <w:spacing w:line="320" w:lineRule="exact"/>
              <w:jc w:val="center"/>
              <w:rPr>
                <w:szCs w:val="21"/>
              </w:rPr>
            </w:pPr>
            <w:r>
              <w:rPr>
                <w:szCs w:val="21"/>
              </w:rPr>
              <w:t>0.1438</w:t>
            </w:r>
          </w:p>
        </w:tc>
        <w:tc>
          <w:tcPr>
            <w:tcW w:w="1664"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25" w:type="dxa"/>
            <w:vAlign w:val="center"/>
          </w:tcPr>
          <w:p>
            <w:pPr>
              <w:pStyle w:val="58"/>
              <w:spacing w:line="320" w:lineRule="exact"/>
              <w:rPr>
                <w:szCs w:val="21"/>
              </w:rPr>
            </w:pPr>
            <w:r>
              <w:rPr>
                <w:rFonts w:hint="eastAsia"/>
                <w:szCs w:val="21"/>
              </w:rPr>
              <w:t>0.0144</w:t>
            </w:r>
          </w:p>
        </w:tc>
        <w:tc>
          <w:tcPr>
            <w:tcW w:w="1722"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44" w:type="dxa"/>
            <w:vAlign w:val="center"/>
          </w:tcPr>
          <w:p>
            <w:pPr>
              <w:spacing w:line="320" w:lineRule="exact"/>
              <w:jc w:val="center"/>
              <w:rPr>
                <w:rFonts w:ascii="宋体" w:hAnsi="宋体" w:cs="宋体"/>
                <w:szCs w:val="21"/>
              </w:rPr>
            </w:pPr>
            <w:r>
              <w:rPr>
                <w:rFonts w:hint="eastAsia"/>
                <w:szCs w:val="21"/>
              </w:rPr>
              <w:t>0.1582</w:t>
            </w:r>
          </w:p>
        </w:tc>
        <w:tc>
          <w:tcPr>
            <w:tcW w:w="983" w:type="dxa"/>
            <w:vAlign w:val="center"/>
          </w:tcPr>
          <w:p>
            <w:pPr>
              <w:pStyle w:val="58"/>
              <w:spacing w:line="320" w:lineRule="exact"/>
              <w:rPr>
                <w:szCs w:val="21"/>
              </w:rPr>
            </w:pPr>
            <w:r>
              <w:rPr>
                <w:rFonts w:hint="eastAsia"/>
                <w:szCs w:val="21"/>
              </w:rPr>
              <w:t>+0.0144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3" w:type="dxa"/>
            <w:vMerge w:val="continue"/>
            <w:vAlign w:val="center"/>
          </w:tcPr>
          <w:p>
            <w:pPr>
              <w:pStyle w:val="43"/>
              <w:spacing w:beforeLines="0" w:afterLines="0" w:line="240" w:lineRule="auto"/>
              <w:rPr>
                <w:rFonts w:hAnsi="宋体" w:cs="宋体"/>
                <w:snapToGrid w:val="0"/>
                <w:kern w:val="21"/>
                <w:szCs w:val="21"/>
              </w:rPr>
            </w:pPr>
          </w:p>
        </w:tc>
        <w:tc>
          <w:tcPr>
            <w:tcW w:w="1387"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氨氮</w:t>
            </w:r>
          </w:p>
        </w:tc>
        <w:tc>
          <w:tcPr>
            <w:tcW w:w="1664" w:type="dxa"/>
            <w:vAlign w:val="center"/>
          </w:tcPr>
          <w:p>
            <w:pPr>
              <w:spacing w:line="320" w:lineRule="exact"/>
              <w:jc w:val="center"/>
              <w:rPr>
                <w:szCs w:val="21"/>
              </w:rPr>
            </w:pPr>
            <w:r>
              <w:rPr>
                <w:szCs w:val="21"/>
              </w:rPr>
              <w:t>0.0174</w:t>
            </w:r>
          </w:p>
        </w:tc>
        <w:tc>
          <w:tcPr>
            <w:tcW w:w="1250" w:type="dxa"/>
            <w:vAlign w:val="center"/>
          </w:tcPr>
          <w:p>
            <w:pPr>
              <w:spacing w:line="320" w:lineRule="exact"/>
              <w:jc w:val="center"/>
              <w:rPr>
                <w:szCs w:val="21"/>
              </w:rPr>
            </w:pPr>
            <w:r>
              <w:rPr>
                <w:szCs w:val="21"/>
              </w:rPr>
              <w:t>0.0174</w:t>
            </w:r>
          </w:p>
        </w:tc>
        <w:tc>
          <w:tcPr>
            <w:tcW w:w="1664"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25" w:type="dxa"/>
            <w:vAlign w:val="center"/>
          </w:tcPr>
          <w:p>
            <w:pPr>
              <w:pStyle w:val="58"/>
              <w:spacing w:line="320" w:lineRule="exact"/>
              <w:rPr>
                <w:szCs w:val="21"/>
              </w:rPr>
            </w:pPr>
            <w:r>
              <w:rPr>
                <w:rFonts w:hint="eastAsia"/>
                <w:szCs w:val="21"/>
              </w:rPr>
              <w:t>0.0015</w:t>
            </w:r>
          </w:p>
        </w:tc>
        <w:tc>
          <w:tcPr>
            <w:tcW w:w="1722"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44" w:type="dxa"/>
            <w:vAlign w:val="center"/>
          </w:tcPr>
          <w:p>
            <w:pPr>
              <w:spacing w:line="320" w:lineRule="exact"/>
              <w:jc w:val="center"/>
              <w:rPr>
                <w:rFonts w:ascii="宋体" w:hAnsi="宋体" w:cs="宋体"/>
                <w:szCs w:val="21"/>
              </w:rPr>
            </w:pPr>
            <w:r>
              <w:rPr>
                <w:rFonts w:hint="eastAsia"/>
                <w:szCs w:val="21"/>
              </w:rPr>
              <w:t>0.0189</w:t>
            </w:r>
          </w:p>
        </w:tc>
        <w:tc>
          <w:tcPr>
            <w:tcW w:w="983" w:type="dxa"/>
            <w:vAlign w:val="center"/>
          </w:tcPr>
          <w:p>
            <w:pPr>
              <w:pStyle w:val="58"/>
              <w:spacing w:line="320" w:lineRule="exact"/>
              <w:rPr>
                <w:szCs w:val="21"/>
              </w:rPr>
            </w:pPr>
            <w:r>
              <w:rPr>
                <w:rFonts w:hint="eastAsia"/>
                <w:szCs w:val="21"/>
              </w:rPr>
              <w:t>+0.0015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3" w:type="dxa"/>
            <w:vMerge w:val="restart"/>
            <w:vAlign w:val="center"/>
          </w:tcPr>
          <w:p>
            <w:pPr>
              <w:pStyle w:val="43"/>
              <w:spacing w:beforeLines="0" w:afterLines="0" w:line="240" w:lineRule="auto"/>
              <w:rPr>
                <w:rFonts w:hAnsi="宋体" w:cs="宋体"/>
                <w:snapToGrid w:val="0"/>
                <w:kern w:val="21"/>
                <w:szCs w:val="21"/>
              </w:rPr>
            </w:pPr>
            <w:r>
              <w:rPr>
                <w:rFonts w:hint="eastAsia" w:hAnsi="宋体" w:cs="宋体"/>
                <w:snapToGrid w:val="0"/>
                <w:kern w:val="21"/>
                <w:szCs w:val="21"/>
              </w:rPr>
              <w:t>一般工业</w:t>
            </w:r>
          </w:p>
          <w:p>
            <w:pPr>
              <w:pStyle w:val="43"/>
              <w:spacing w:beforeLines="0" w:afterLines="0" w:line="240" w:lineRule="auto"/>
              <w:rPr>
                <w:rFonts w:hAnsi="宋体" w:cs="宋体"/>
                <w:snapToGrid w:val="0"/>
                <w:kern w:val="21"/>
                <w:szCs w:val="21"/>
              </w:rPr>
            </w:pPr>
            <w:r>
              <w:rPr>
                <w:rFonts w:hint="eastAsia" w:hAnsi="宋体" w:cs="宋体"/>
                <w:snapToGrid w:val="0"/>
                <w:kern w:val="21"/>
                <w:szCs w:val="21"/>
              </w:rPr>
              <w:t>固体废物</w:t>
            </w:r>
          </w:p>
        </w:tc>
        <w:tc>
          <w:tcPr>
            <w:tcW w:w="1387" w:type="dxa"/>
            <w:vAlign w:val="center"/>
          </w:tcPr>
          <w:p>
            <w:pPr>
              <w:widowControl/>
              <w:jc w:val="center"/>
              <w:rPr>
                <w:bCs/>
                <w:szCs w:val="21"/>
              </w:rPr>
            </w:pPr>
            <w:r>
              <w:rPr>
                <w:rFonts w:hint="eastAsia"/>
                <w:bCs/>
                <w:szCs w:val="21"/>
              </w:rPr>
              <w:t>废丝、边角料</w:t>
            </w:r>
          </w:p>
        </w:tc>
        <w:tc>
          <w:tcPr>
            <w:tcW w:w="1664" w:type="dxa"/>
            <w:vAlign w:val="center"/>
          </w:tcPr>
          <w:p>
            <w:pPr>
              <w:spacing w:line="320" w:lineRule="exact"/>
              <w:jc w:val="center"/>
              <w:rPr>
                <w:szCs w:val="21"/>
              </w:rPr>
            </w:pPr>
            <w:r>
              <w:rPr>
                <w:rFonts w:hint="eastAsia"/>
                <w:szCs w:val="21"/>
              </w:rPr>
              <w:t>7.6</w:t>
            </w:r>
          </w:p>
        </w:tc>
        <w:tc>
          <w:tcPr>
            <w:tcW w:w="1250"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664"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25" w:type="dxa"/>
            <w:vAlign w:val="center"/>
          </w:tcPr>
          <w:p>
            <w:pPr>
              <w:widowControl/>
              <w:spacing w:line="320" w:lineRule="exact"/>
              <w:jc w:val="center"/>
              <w:rPr>
                <w:bCs/>
                <w:szCs w:val="21"/>
              </w:rPr>
            </w:pPr>
            <w:r>
              <w:rPr>
                <w:rFonts w:hint="eastAsia"/>
                <w:bCs/>
                <w:szCs w:val="21"/>
              </w:rPr>
              <w:t>6.2</w:t>
            </w:r>
          </w:p>
        </w:tc>
        <w:tc>
          <w:tcPr>
            <w:tcW w:w="1722"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44" w:type="dxa"/>
            <w:vAlign w:val="center"/>
          </w:tcPr>
          <w:p>
            <w:pPr>
              <w:spacing w:line="320" w:lineRule="exact"/>
              <w:jc w:val="center"/>
              <w:rPr>
                <w:rFonts w:ascii="宋体" w:hAnsi="宋体" w:cs="宋体"/>
                <w:szCs w:val="21"/>
              </w:rPr>
            </w:pPr>
            <w:r>
              <w:rPr>
                <w:rFonts w:hint="eastAsia"/>
                <w:szCs w:val="21"/>
              </w:rPr>
              <w:t>13.8</w:t>
            </w:r>
          </w:p>
        </w:tc>
        <w:tc>
          <w:tcPr>
            <w:tcW w:w="983" w:type="dxa"/>
            <w:vAlign w:val="center"/>
          </w:tcPr>
          <w:p>
            <w:pPr>
              <w:widowControl/>
              <w:spacing w:line="320" w:lineRule="exact"/>
              <w:jc w:val="center"/>
              <w:rPr>
                <w:bCs/>
                <w:szCs w:val="21"/>
              </w:rPr>
            </w:pPr>
            <w:r>
              <w:rPr>
                <w:rFonts w:hint="eastAsia"/>
                <w:bCs/>
                <w:szCs w:val="21"/>
              </w:rPr>
              <w:t>+6.2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3" w:type="dxa"/>
            <w:vMerge w:val="continue"/>
            <w:vAlign w:val="center"/>
          </w:tcPr>
          <w:p>
            <w:pPr>
              <w:pStyle w:val="43"/>
              <w:spacing w:beforeLines="0" w:afterLines="0" w:line="240" w:lineRule="auto"/>
              <w:rPr>
                <w:rFonts w:hAnsi="宋体" w:cs="宋体"/>
                <w:snapToGrid w:val="0"/>
                <w:kern w:val="21"/>
                <w:szCs w:val="21"/>
              </w:rPr>
            </w:pPr>
          </w:p>
        </w:tc>
        <w:tc>
          <w:tcPr>
            <w:tcW w:w="1387" w:type="dxa"/>
            <w:vAlign w:val="center"/>
          </w:tcPr>
          <w:p>
            <w:pPr>
              <w:widowControl/>
              <w:jc w:val="center"/>
              <w:rPr>
                <w:bCs/>
                <w:szCs w:val="21"/>
              </w:rPr>
            </w:pPr>
            <w:r>
              <w:rPr>
                <w:rFonts w:hint="eastAsia"/>
                <w:bCs/>
                <w:szCs w:val="21"/>
              </w:rPr>
              <w:t>废包装袋</w:t>
            </w:r>
          </w:p>
        </w:tc>
        <w:tc>
          <w:tcPr>
            <w:tcW w:w="1664" w:type="dxa"/>
            <w:vAlign w:val="center"/>
          </w:tcPr>
          <w:p>
            <w:pPr>
              <w:spacing w:line="320" w:lineRule="exact"/>
              <w:jc w:val="center"/>
              <w:rPr>
                <w:szCs w:val="21"/>
              </w:rPr>
            </w:pPr>
            <w:r>
              <w:rPr>
                <w:rFonts w:hint="eastAsia"/>
                <w:szCs w:val="21"/>
              </w:rPr>
              <w:t>10</w:t>
            </w:r>
          </w:p>
        </w:tc>
        <w:tc>
          <w:tcPr>
            <w:tcW w:w="1250"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664"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25" w:type="dxa"/>
            <w:vAlign w:val="center"/>
          </w:tcPr>
          <w:p>
            <w:pPr>
              <w:widowControl/>
              <w:spacing w:line="320" w:lineRule="exact"/>
              <w:jc w:val="center"/>
              <w:rPr>
                <w:bCs/>
                <w:szCs w:val="21"/>
              </w:rPr>
            </w:pPr>
            <w:r>
              <w:rPr>
                <w:rFonts w:hint="eastAsia"/>
                <w:bCs/>
                <w:szCs w:val="21"/>
              </w:rPr>
              <w:t>5</w:t>
            </w:r>
          </w:p>
        </w:tc>
        <w:tc>
          <w:tcPr>
            <w:tcW w:w="1722"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44" w:type="dxa"/>
            <w:vAlign w:val="center"/>
          </w:tcPr>
          <w:p>
            <w:pPr>
              <w:spacing w:line="320" w:lineRule="exact"/>
              <w:jc w:val="center"/>
              <w:rPr>
                <w:rFonts w:ascii="宋体" w:hAnsi="宋体" w:cs="宋体"/>
                <w:szCs w:val="21"/>
              </w:rPr>
            </w:pPr>
            <w:r>
              <w:rPr>
                <w:rFonts w:hint="eastAsia"/>
                <w:szCs w:val="21"/>
              </w:rPr>
              <w:t>15</w:t>
            </w:r>
          </w:p>
        </w:tc>
        <w:tc>
          <w:tcPr>
            <w:tcW w:w="983" w:type="dxa"/>
            <w:vAlign w:val="center"/>
          </w:tcPr>
          <w:p>
            <w:pPr>
              <w:widowControl/>
              <w:spacing w:line="320" w:lineRule="exact"/>
              <w:jc w:val="center"/>
              <w:rPr>
                <w:bCs/>
                <w:szCs w:val="21"/>
              </w:rPr>
            </w:pPr>
            <w:r>
              <w:rPr>
                <w:rFonts w:hint="eastAsia"/>
                <w:bCs/>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3" w:type="dxa"/>
            <w:vMerge w:val="continue"/>
            <w:vAlign w:val="center"/>
          </w:tcPr>
          <w:p>
            <w:pPr>
              <w:pStyle w:val="43"/>
              <w:spacing w:beforeLines="0" w:afterLines="0" w:line="240" w:lineRule="auto"/>
              <w:rPr>
                <w:rFonts w:hAnsi="宋体" w:cs="宋体"/>
                <w:snapToGrid w:val="0"/>
                <w:kern w:val="21"/>
                <w:szCs w:val="21"/>
              </w:rPr>
            </w:pPr>
          </w:p>
        </w:tc>
        <w:tc>
          <w:tcPr>
            <w:tcW w:w="1387" w:type="dxa"/>
            <w:vAlign w:val="center"/>
          </w:tcPr>
          <w:p>
            <w:pPr>
              <w:widowControl/>
              <w:jc w:val="center"/>
              <w:rPr>
                <w:bCs/>
                <w:szCs w:val="21"/>
              </w:rPr>
            </w:pPr>
            <w:r>
              <w:rPr>
                <w:rFonts w:hint="eastAsia"/>
                <w:bCs/>
                <w:szCs w:val="21"/>
              </w:rPr>
              <w:t>浮渣</w:t>
            </w:r>
          </w:p>
        </w:tc>
        <w:tc>
          <w:tcPr>
            <w:tcW w:w="1664" w:type="dxa"/>
            <w:vAlign w:val="center"/>
          </w:tcPr>
          <w:p>
            <w:pPr>
              <w:spacing w:line="320" w:lineRule="exact"/>
              <w:jc w:val="center"/>
              <w:rPr>
                <w:szCs w:val="21"/>
              </w:rPr>
            </w:pPr>
            <w:r>
              <w:rPr>
                <w:rFonts w:hint="eastAsia"/>
                <w:szCs w:val="21"/>
              </w:rPr>
              <w:t>0.08</w:t>
            </w:r>
          </w:p>
        </w:tc>
        <w:tc>
          <w:tcPr>
            <w:tcW w:w="1250"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664"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25" w:type="dxa"/>
            <w:vAlign w:val="center"/>
          </w:tcPr>
          <w:p>
            <w:pPr>
              <w:widowControl/>
              <w:spacing w:line="320" w:lineRule="exact"/>
              <w:jc w:val="center"/>
              <w:rPr>
                <w:bCs/>
                <w:szCs w:val="21"/>
              </w:rPr>
            </w:pPr>
            <w:r>
              <w:rPr>
                <w:rFonts w:hint="eastAsia"/>
                <w:bCs/>
                <w:szCs w:val="21"/>
              </w:rPr>
              <w:t>0.05</w:t>
            </w:r>
          </w:p>
        </w:tc>
        <w:tc>
          <w:tcPr>
            <w:tcW w:w="1722"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44" w:type="dxa"/>
            <w:vAlign w:val="center"/>
          </w:tcPr>
          <w:p>
            <w:pPr>
              <w:spacing w:line="320" w:lineRule="exact"/>
              <w:jc w:val="center"/>
              <w:rPr>
                <w:rFonts w:ascii="宋体" w:hAnsi="宋体" w:cs="宋体"/>
                <w:szCs w:val="21"/>
              </w:rPr>
            </w:pPr>
            <w:r>
              <w:rPr>
                <w:rFonts w:hint="eastAsia"/>
                <w:szCs w:val="21"/>
              </w:rPr>
              <w:t>0.13</w:t>
            </w:r>
          </w:p>
        </w:tc>
        <w:tc>
          <w:tcPr>
            <w:tcW w:w="983" w:type="dxa"/>
            <w:vAlign w:val="center"/>
          </w:tcPr>
          <w:p>
            <w:pPr>
              <w:widowControl/>
              <w:spacing w:line="320" w:lineRule="exact"/>
              <w:jc w:val="center"/>
              <w:rPr>
                <w:bCs/>
                <w:szCs w:val="21"/>
              </w:rPr>
            </w:pPr>
            <w:r>
              <w:rPr>
                <w:rFonts w:hint="eastAsia"/>
                <w:bCs/>
                <w:szCs w:val="21"/>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3" w:type="dxa"/>
            <w:vMerge w:val="continue"/>
            <w:vAlign w:val="center"/>
          </w:tcPr>
          <w:p>
            <w:pPr>
              <w:pStyle w:val="43"/>
              <w:spacing w:beforeLines="0" w:afterLines="0" w:line="240" w:lineRule="auto"/>
              <w:rPr>
                <w:rFonts w:hAnsi="宋体" w:cs="宋体"/>
                <w:snapToGrid w:val="0"/>
                <w:kern w:val="21"/>
                <w:szCs w:val="21"/>
              </w:rPr>
            </w:pPr>
          </w:p>
        </w:tc>
        <w:tc>
          <w:tcPr>
            <w:tcW w:w="1387" w:type="dxa"/>
            <w:vAlign w:val="center"/>
          </w:tcPr>
          <w:p>
            <w:pPr>
              <w:widowControl/>
              <w:jc w:val="center"/>
              <w:rPr>
                <w:bCs/>
                <w:szCs w:val="21"/>
              </w:rPr>
            </w:pPr>
            <w:r>
              <w:rPr>
                <w:rFonts w:hint="eastAsia"/>
                <w:bCs/>
                <w:szCs w:val="21"/>
              </w:rPr>
              <w:t>除尘灰</w:t>
            </w:r>
          </w:p>
        </w:tc>
        <w:tc>
          <w:tcPr>
            <w:tcW w:w="1664" w:type="dxa"/>
            <w:vAlign w:val="center"/>
          </w:tcPr>
          <w:p>
            <w:pPr>
              <w:spacing w:line="320" w:lineRule="exact"/>
              <w:jc w:val="center"/>
              <w:rPr>
                <w:szCs w:val="21"/>
              </w:rPr>
            </w:pPr>
            <w:r>
              <w:rPr>
                <w:rFonts w:hint="eastAsia"/>
                <w:szCs w:val="21"/>
              </w:rPr>
              <w:t>5</w:t>
            </w:r>
          </w:p>
        </w:tc>
        <w:tc>
          <w:tcPr>
            <w:tcW w:w="1250"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664"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25" w:type="dxa"/>
            <w:vAlign w:val="center"/>
          </w:tcPr>
          <w:p>
            <w:pPr>
              <w:widowControl/>
              <w:spacing w:line="320" w:lineRule="exact"/>
              <w:jc w:val="center"/>
              <w:rPr>
                <w:bCs/>
                <w:szCs w:val="21"/>
                <w:u w:val="single"/>
              </w:rPr>
            </w:pPr>
            <w:r>
              <w:rPr>
                <w:rFonts w:hint="eastAsia"/>
                <w:bCs/>
                <w:szCs w:val="21"/>
                <w:u w:val="single"/>
              </w:rPr>
              <w:t>4.55</w:t>
            </w:r>
          </w:p>
        </w:tc>
        <w:tc>
          <w:tcPr>
            <w:tcW w:w="1722"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44" w:type="dxa"/>
            <w:vAlign w:val="center"/>
          </w:tcPr>
          <w:p>
            <w:pPr>
              <w:spacing w:line="320" w:lineRule="exact"/>
              <w:jc w:val="center"/>
              <w:rPr>
                <w:rFonts w:ascii="宋体" w:hAnsi="宋体" w:cs="宋体"/>
                <w:szCs w:val="21"/>
              </w:rPr>
            </w:pPr>
            <w:r>
              <w:rPr>
                <w:rFonts w:hint="eastAsia"/>
                <w:szCs w:val="21"/>
              </w:rPr>
              <w:t>9.55</w:t>
            </w:r>
          </w:p>
        </w:tc>
        <w:tc>
          <w:tcPr>
            <w:tcW w:w="983" w:type="dxa"/>
            <w:vAlign w:val="center"/>
          </w:tcPr>
          <w:p>
            <w:pPr>
              <w:widowControl/>
              <w:spacing w:line="320" w:lineRule="exact"/>
              <w:jc w:val="center"/>
              <w:rPr>
                <w:bCs/>
                <w:szCs w:val="21"/>
                <w:u w:val="single"/>
              </w:rPr>
            </w:pPr>
            <w:r>
              <w:rPr>
                <w:rFonts w:hint="eastAsia"/>
                <w:bCs/>
                <w:szCs w:val="21"/>
                <w:u w:val="single"/>
              </w:rPr>
              <w:t>+4.55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3" w:type="dxa"/>
            <w:vMerge w:val="restart"/>
            <w:vAlign w:val="center"/>
          </w:tcPr>
          <w:p>
            <w:pPr>
              <w:pStyle w:val="43"/>
              <w:spacing w:beforeLines="0" w:afterLines="0" w:line="240" w:lineRule="auto"/>
              <w:rPr>
                <w:rFonts w:hAnsi="宋体" w:cs="宋体"/>
                <w:snapToGrid w:val="0"/>
                <w:kern w:val="21"/>
                <w:szCs w:val="21"/>
              </w:rPr>
            </w:pPr>
            <w:r>
              <w:rPr>
                <w:rFonts w:hint="eastAsia" w:hAnsi="宋体" w:cs="宋体"/>
                <w:snapToGrid w:val="0"/>
                <w:kern w:val="21"/>
                <w:szCs w:val="21"/>
              </w:rPr>
              <w:t>危险废物</w:t>
            </w:r>
          </w:p>
        </w:tc>
        <w:tc>
          <w:tcPr>
            <w:tcW w:w="1387" w:type="dxa"/>
            <w:vAlign w:val="center"/>
          </w:tcPr>
          <w:p>
            <w:pPr>
              <w:widowControl/>
              <w:jc w:val="center"/>
              <w:rPr>
                <w:bCs/>
                <w:szCs w:val="21"/>
              </w:rPr>
            </w:pPr>
            <w:r>
              <w:rPr>
                <w:rFonts w:hint="eastAsia"/>
                <w:bCs/>
                <w:szCs w:val="21"/>
              </w:rPr>
              <w:t>废润滑油</w:t>
            </w:r>
          </w:p>
        </w:tc>
        <w:tc>
          <w:tcPr>
            <w:tcW w:w="1664" w:type="dxa"/>
            <w:vAlign w:val="center"/>
          </w:tcPr>
          <w:p>
            <w:pPr>
              <w:spacing w:line="320" w:lineRule="exact"/>
              <w:jc w:val="center"/>
              <w:rPr>
                <w:szCs w:val="21"/>
              </w:rPr>
            </w:pPr>
            <w:r>
              <w:rPr>
                <w:rFonts w:hint="eastAsia"/>
                <w:szCs w:val="21"/>
              </w:rPr>
              <w:t>0.05</w:t>
            </w:r>
          </w:p>
        </w:tc>
        <w:tc>
          <w:tcPr>
            <w:tcW w:w="1250"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664"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25" w:type="dxa"/>
            <w:vAlign w:val="center"/>
          </w:tcPr>
          <w:p>
            <w:pPr>
              <w:widowControl/>
              <w:spacing w:line="320" w:lineRule="exact"/>
              <w:jc w:val="center"/>
              <w:rPr>
                <w:bCs/>
                <w:szCs w:val="21"/>
                <w:u w:val="single"/>
              </w:rPr>
            </w:pPr>
            <w:r>
              <w:rPr>
                <w:rFonts w:hint="eastAsia"/>
                <w:bCs/>
                <w:szCs w:val="21"/>
                <w:u w:val="single"/>
              </w:rPr>
              <w:t>0.05</w:t>
            </w:r>
          </w:p>
        </w:tc>
        <w:tc>
          <w:tcPr>
            <w:tcW w:w="1722"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44" w:type="dxa"/>
            <w:vAlign w:val="center"/>
          </w:tcPr>
          <w:p>
            <w:pPr>
              <w:spacing w:line="320" w:lineRule="exact"/>
              <w:jc w:val="center"/>
              <w:rPr>
                <w:rFonts w:ascii="宋体" w:hAnsi="宋体" w:cs="宋体"/>
                <w:szCs w:val="21"/>
              </w:rPr>
            </w:pPr>
            <w:r>
              <w:rPr>
                <w:rFonts w:hint="eastAsia"/>
                <w:szCs w:val="21"/>
              </w:rPr>
              <w:t>0.1</w:t>
            </w:r>
          </w:p>
        </w:tc>
        <w:tc>
          <w:tcPr>
            <w:tcW w:w="983" w:type="dxa"/>
            <w:vAlign w:val="center"/>
          </w:tcPr>
          <w:p>
            <w:pPr>
              <w:widowControl/>
              <w:spacing w:line="320" w:lineRule="exact"/>
              <w:jc w:val="center"/>
              <w:rPr>
                <w:bCs/>
                <w:szCs w:val="21"/>
                <w:u w:val="single"/>
              </w:rPr>
            </w:pPr>
            <w:r>
              <w:rPr>
                <w:rFonts w:hint="eastAsia"/>
                <w:bCs/>
                <w:szCs w:val="21"/>
                <w:u w:val="single"/>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3" w:type="dxa"/>
            <w:vMerge w:val="continue"/>
            <w:vAlign w:val="center"/>
          </w:tcPr>
          <w:p>
            <w:pPr>
              <w:pStyle w:val="43"/>
              <w:spacing w:beforeLines="0" w:afterLines="0" w:line="240" w:lineRule="auto"/>
              <w:rPr>
                <w:rFonts w:hAnsi="宋体" w:cs="宋体"/>
                <w:snapToGrid w:val="0"/>
                <w:kern w:val="21"/>
                <w:szCs w:val="21"/>
              </w:rPr>
            </w:pPr>
          </w:p>
        </w:tc>
        <w:tc>
          <w:tcPr>
            <w:tcW w:w="1387" w:type="dxa"/>
            <w:vAlign w:val="center"/>
          </w:tcPr>
          <w:p>
            <w:pPr>
              <w:widowControl/>
              <w:jc w:val="center"/>
              <w:rPr>
                <w:bCs/>
                <w:szCs w:val="21"/>
              </w:rPr>
            </w:pPr>
            <w:r>
              <w:rPr>
                <w:rFonts w:hint="eastAsia"/>
                <w:bCs/>
                <w:szCs w:val="21"/>
              </w:rPr>
              <w:t>废灯管</w:t>
            </w:r>
          </w:p>
        </w:tc>
        <w:tc>
          <w:tcPr>
            <w:tcW w:w="1664" w:type="dxa"/>
            <w:vAlign w:val="center"/>
          </w:tcPr>
          <w:p>
            <w:pPr>
              <w:spacing w:line="320" w:lineRule="exact"/>
              <w:jc w:val="center"/>
              <w:rPr>
                <w:szCs w:val="21"/>
              </w:rPr>
            </w:pPr>
            <w:r>
              <w:rPr>
                <w:rFonts w:hint="eastAsia"/>
                <w:szCs w:val="21"/>
              </w:rPr>
              <w:t>/</w:t>
            </w:r>
          </w:p>
        </w:tc>
        <w:tc>
          <w:tcPr>
            <w:tcW w:w="1250"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664"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25" w:type="dxa"/>
            <w:vAlign w:val="center"/>
          </w:tcPr>
          <w:p>
            <w:pPr>
              <w:widowControl/>
              <w:spacing w:line="320" w:lineRule="exact"/>
              <w:jc w:val="center"/>
              <w:rPr>
                <w:bCs/>
                <w:szCs w:val="21"/>
                <w:u w:val="single"/>
              </w:rPr>
            </w:pPr>
            <w:r>
              <w:rPr>
                <w:rFonts w:hint="eastAsia"/>
                <w:bCs/>
                <w:szCs w:val="21"/>
                <w:u w:val="single"/>
              </w:rPr>
              <w:t>0.04</w:t>
            </w:r>
          </w:p>
        </w:tc>
        <w:tc>
          <w:tcPr>
            <w:tcW w:w="1722"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44" w:type="dxa"/>
            <w:vAlign w:val="center"/>
          </w:tcPr>
          <w:p>
            <w:pPr>
              <w:spacing w:line="320" w:lineRule="exact"/>
              <w:jc w:val="center"/>
              <w:rPr>
                <w:rFonts w:ascii="宋体" w:hAnsi="宋体" w:cs="宋体"/>
                <w:szCs w:val="21"/>
              </w:rPr>
            </w:pPr>
            <w:r>
              <w:rPr>
                <w:rFonts w:hint="eastAsia"/>
                <w:szCs w:val="21"/>
              </w:rPr>
              <w:t>0.04</w:t>
            </w:r>
          </w:p>
        </w:tc>
        <w:tc>
          <w:tcPr>
            <w:tcW w:w="983" w:type="dxa"/>
            <w:vAlign w:val="center"/>
          </w:tcPr>
          <w:p>
            <w:pPr>
              <w:widowControl/>
              <w:spacing w:line="320" w:lineRule="exact"/>
              <w:jc w:val="center"/>
              <w:rPr>
                <w:bCs/>
                <w:szCs w:val="21"/>
                <w:u w:val="single"/>
              </w:rPr>
            </w:pPr>
            <w:r>
              <w:rPr>
                <w:rFonts w:hint="eastAsia"/>
                <w:bCs/>
                <w:szCs w:val="21"/>
                <w:u w:val="single"/>
              </w:rPr>
              <w:t>+0.04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3" w:type="dxa"/>
            <w:vMerge w:val="continue"/>
            <w:vAlign w:val="center"/>
          </w:tcPr>
          <w:p>
            <w:pPr>
              <w:pStyle w:val="43"/>
              <w:spacing w:beforeLines="0" w:afterLines="0" w:line="240" w:lineRule="auto"/>
              <w:rPr>
                <w:rFonts w:hAnsi="宋体" w:cs="宋体"/>
                <w:snapToGrid w:val="0"/>
                <w:kern w:val="21"/>
                <w:szCs w:val="21"/>
              </w:rPr>
            </w:pPr>
          </w:p>
        </w:tc>
        <w:tc>
          <w:tcPr>
            <w:tcW w:w="1387" w:type="dxa"/>
            <w:vAlign w:val="center"/>
          </w:tcPr>
          <w:p>
            <w:pPr>
              <w:widowControl/>
              <w:jc w:val="center"/>
              <w:rPr>
                <w:bCs/>
                <w:szCs w:val="21"/>
              </w:rPr>
            </w:pPr>
            <w:r>
              <w:rPr>
                <w:rFonts w:hint="eastAsia"/>
                <w:bCs/>
                <w:szCs w:val="21"/>
              </w:rPr>
              <w:t>废活性炭</w:t>
            </w:r>
          </w:p>
        </w:tc>
        <w:tc>
          <w:tcPr>
            <w:tcW w:w="1664" w:type="dxa"/>
            <w:vAlign w:val="center"/>
          </w:tcPr>
          <w:p>
            <w:pPr>
              <w:spacing w:line="320" w:lineRule="exact"/>
              <w:jc w:val="center"/>
              <w:rPr>
                <w:szCs w:val="21"/>
              </w:rPr>
            </w:pPr>
            <w:r>
              <w:rPr>
                <w:rFonts w:hint="eastAsia"/>
                <w:szCs w:val="21"/>
              </w:rPr>
              <w:t>0.3</w:t>
            </w:r>
          </w:p>
        </w:tc>
        <w:tc>
          <w:tcPr>
            <w:tcW w:w="1250"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664"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25" w:type="dxa"/>
            <w:vAlign w:val="center"/>
          </w:tcPr>
          <w:p>
            <w:pPr>
              <w:widowControl/>
              <w:spacing w:line="320" w:lineRule="exact"/>
              <w:jc w:val="center"/>
              <w:rPr>
                <w:bCs/>
                <w:szCs w:val="21"/>
                <w:u w:val="single"/>
              </w:rPr>
            </w:pPr>
            <w:r>
              <w:rPr>
                <w:rFonts w:hint="eastAsia"/>
                <w:bCs/>
                <w:szCs w:val="21"/>
                <w:u w:val="single"/>
              </w:rPr>
              <w:t>5.24</w:t>
            </w:r>
          </w:p>
        </w:tc>
        <w:tc>
          <w:tcPr>
            <w:tcW w:w="1722" w:type="dxa"/>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44" w:type="dxa"/>
            <w:vAlign w:val="center"/>
          </w:tcPr>
          <w:p>
            <w:pPr>
              <w:spacing w:line="320" w:lineRule="exact"/>
              <w:jc w:val="center"/>
              <w:rPr>
                <w:rFonts w:ascii="宋体" w:hAnsi="宋体" w:cs="宋体"/>
                <w:szCs w:val="21"/>
              </w:rPr>
            </w:pPr>
            <w:r>
              <w:rPr>
                <w:rFonts w:hint="eastAsia"/>
                <w:szCs w:val="21"/>
              </w:rPr>
              <w:t>5.54</w:t>
            </w:r>
          </w:p>
        </w:tc>
        <w:tc>
          <w:tcPr>
            <w:tcW w:w="983" w:type="dxa"/>
            <w:vAlign w:val="center"/>
          </w:tcPr>
          <w:p>
            <w:pPr>
              <w:widowControl/>
              <w:spacing w:line="320" w:lineRule="exact"/>
              <w:jc w:val="center"/>
              <w:rPr>
                <w:bCs/>
                <w:szCs w:val="21"/>
                <w:u w:val="single"/>
              </w:rPr>
            </w:pPr>
            <w:r>
              <w:rPr>
                <w:rFonts w:hint="eastAsia"/>
                <w:bCs/>
                <w:szCs w:val="21"/>
                <w:u w:val="single"/>
              </w:rPr>
              <w:t>+5.24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3" w:type="dxa"/>
            <w:tcBorders>
              <w:bottom w:val="single" w:color="auto" w:sz="4" w:space="0"/>
            </w:tcBorders>
            <w:vAlign w:val="center"/>
          </w:tcPr>
          <w:p>
            <w:pPr>
              <w:pStyle w:val="43"/>
              <w:spacing w:beforeLines="0" w:afterLines="0" w:line="240" w:lineRule="auto"/>
              <w:rPr>
                <w:rFonts w:hAnsi="宋体" w:cs="宋体"/>
                <w:snapToGrid w:val="0"/>
                <w:kern w:val="21"/>
                <w:szCs w:val="21"/>
              </w:rPr>
            </w:pPr>
            <w:r>
              <w:rPr>
                <w:rFonts w:hint="eastAsia" w:hAnsi="宋体" w:cs="宋体"/>
                <w:snapToGrid w:val="0"/>
                <w:kern w:val="21"/>
                <w:szCs w:val="21"/>
              </w:rPr>
              <w:t>一般固体废物</w:t>
            </w:r>
          </w:p>
        </w:tc>
        <w:tc>
          <w:tcPr>
            <w:tcW w:w="1387" w:type="dxa"/>
            <w:tcBorders>
              <w:bottom w:val="single" w:color="auto" w:sz="4" w:space="0"/>
            </w:tcBorders>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生活垃圾</w:t>
            </w:r>
          </w:p>
        </w:tc>
        <w:tc>
          <w:tcPr>
            <w:tcW w:w="1664" w:type="dxa"/>
            <w:tcBorders>
              <w:bottom w:val="single" w:color="auto" w:sz="4" w:space="0"/>
            </w:tcBorders>
            <w:vAlign w:val="center"/>
          </w:tcPr>
          <w:p>
            <w:pPr>
              <w:spacing w:line="320" w:lineRule="exact"/>
              <w:jc w:val="center"/>
              <w:rPr>
                <w:szCs w:val="21"/>
              </w:rPr>
            </w:pPr>
            <w:r>
              <w:rPr>
                <w:rFonts w:hint="eastAsia"/>
                <w:szCs w:val="21"/>
              </w:rPr>
              <w:t>9.36</w:t>
            </w:r>
          </w:p>
        </w:tc>
        <w:tc>
          <w:tcPr>
            <w:tcW w:w="1250" w:type="dxa"/>
            <w:tcBorders>
              <w:bottom w:val="single" w:color="auto" w:sz="4" w:space="0"/>
            </w:tcBorders>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664" w:type="dxa"/>
            <w:tcBorders>
              <w:bottom w:val="single" w:color="auto" w:sz="4" w:space="0"/>
            </w:tcBorders>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25" w:type="dxa"/>
            <w:tcBorders>
              <w:bottom w:val="single" w:color="auto" w:sz="4" w:space="0"/>
            </w:tcBorders>
            <w:vAlign w:val="center"/>
          </w:tcPr>
          <w:p>
            <w:pPr>
              <w:widowControl/>
              <w:spacing w:line="320" w:lineRule="exact"/>
              <w:jc w:val="center"/>
              <w:rPr>
                <w:bCs/>
                <w:szCs w:val="21"/>
              </w:rPr>
            </w:pPr>
            <w:r>
              <w:rPr>
                <w:rFonts w:hint="eastAsia"/>
                <w:bCs/>
                <w:szCs w:val="21"/>
              </w:rPr>
              <w:t>4.68</w:t>
            </w:r>
          </w:p>
        </w:tc>
        <w:tc>
          <w:tcPr>
            <w:tcW w:w="1722" w:type="dxa"/>
            <w:tcBorders>
              <w:bottom w:val="single" w:color="auto" w:sz="4" w:space="0"/>
            </w:tcBorders>
            <w:vAlign w:val="center"/>
          </w:tcPr>
          <w:p>
            <w:pPr>
              <w:pStyle w:val="43"/>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744" w:type="dxa"/>
            <w:tcBorders>
              <w:bottom w:val="single" w:color="auto" w:sz="4" w:space="0"/>
            </w:tcBorders>
            <w:vAlign w:val="center"/>
          </w:tcPr>
          <w:p>
            <w:pPr>
              <w:spacing w:line="320" w:lineRule="exact"/>
              <w:jc w:val="center"/>
              <w:rPr>
                <w:rFonts w:ascii="宋体" w:hAnsi="宋体" w:cs="宋体"/>
                <w:szCs w:val="21"/>
              </w:rPr>
            </w:pPr>
            <w:r>
              <w:rPr>
                <w:rFonts w:hint="eastAsia"/>
                <w:szCs w:val="21"/>
              </w:rPr>
              <w:t>14.04</w:t>
            </w:r>
          </w:p>
        </w:tc>
        <w:tc>
          <w:tcPr>
            <w:tcW w:w="983" w:type="dxa"/>
            <w:tcBorders>
              <w:bottom w:val="single" w:color="auto" w:sz="4" w:space="0"/>
            </w:tcBorders>
            <w:vAlign w:val="center"/>
          </w:tcPr>
          <w:p>
            <w:pPr>
              <w:widowControl/>
              <w:spacing w:line="320" w:lineRule="exact"/>
              <w:jc w:val="center"/>
              <w:rPr>
                <w:bCs/>
                <w:szCs w:val="21"/>
              </w:rPr>
            </w:pPr>
            <w:r>
              <w:rPr>
                <w:rFonts w:hint="eastAsia"/>
                <w:bCs/>
                <w:szCs w:val="21"/>
              </w:rPr>
              <w:t>+4.68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492" w:type="dxa"/>
            <w:gridSpan w:val="9"/>
            <w:tcBorders>
              <w:top w:val="single" w:color="auto" w:sz="4" w:space="0"/>
              <w:left w:val="nil"/>
              <w:bottom w:val="nil"/>
              <w:right w:val="nil"/>
            </w:tcBorders>
            <w:vAlign w:val="center"/>
          </w:tcPr>
          <w:p>
            <w:pPr>
              <w:pStyle w:val="43"/>
              <w:spacing w:beforeLines="0" w:afterLines="0" w:line="240" w:lineRule="auto"/>
              <w:jc w:val="left"/>
              <w:rPr>
                <w:rFonts w:hAnsi="宋体"/>
                <w:snapToGrid w:val="0"/>
                <w:spacing w:val="-6"/>
                <w:kern w:val="21"/>
                <w:szCs w:val="21"/>
              </w:rPr>
            </w:pPr>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p>
        </w:tc>
      </w:tr>
    </w:tbl>
    <w:p>
      <w:pPr>
        <w:pStyle w:val="43"/>
        <w:spacing w:beforeLines="80" w:after="24"/>
        <w:jc w:val="left"/>
        <w:rPr>
          <w:rFonts w:hAnsi="宋体"/>
          <w:snapToGrid w:val="0"/>
          <w:spacing w:val="-6"/>
          <w:kern w:val="21"/>
          <w:szCs w:val="21"/>
        </w:rPr>
      </w:pPr>
    </w:p>
    <w:sectPr>
      <w:pgSz w:w="16838" w:h="11906" w:orient="landscape"/>
      <w:pgMar w:top="1588" w:right="1701" w:bottom="158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imesNewRomanPSMT">
    <w:altName w:val="方正粗黑宋简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560"/>
      <w:rPr>
        <w:sz w:val="26"/>
        <w:szCs w:val="26"/>
      </w:rPr>
    </w:pPr>
    <w:r>
      <w:rPr>
        <w:rStyle w:val="32"/>
        <w:rFonts w:hint="eastAsia" w:ascii="宋体" w:hAnsi="宋体"/>
        <w:sz w:val="28"/>
        <w:szCs w:val="28"/>
      </w:rPr>
      <w:t>—</w:t>
    </w:r>
    <w:r>
      <w:rPr>
        <w:sz w:val="26"/>
        <w:szCs w:val="26"/>
      </w:rPr>
      <w:fldChar w:fldCharType="begin"/>
    </w:r>
    <w:r>
      <w:rPr>
        <w:sz w:val="26"/>
        <w:szCs w:val="26"/>
      </w:rPr>
      <w:instrText xml:space="preserve"> PAGE   \* MERGEFORMAT </w:instrText>
    </w:r>
    <w:r>
      <w:rPr>
        <w:sz w:val="26"/>
        <w:szCs w:val="26"/>
      </w:rPr>
      <w:fldChar w:fldCharType="separate"/>
    </w:r>
    <w:r>
      <w:rPr>
        <w:sz w:val="26"/>
        <w:szCs w:val="26"/>
        <w:lang w:val="zh-CN"/>
      </w:rPr>
      <w:t>2</w:t>
    </w:r>
    <w:r>
      <w:rPr>
        <w:sz w:val="26"/>
        <w:szCs w:val="26"/>
      </w:rPr>
      <w:fldChar w:fldCharType="end"/>
    </w:r>
    <w:r>
      <w:rPr>
        <w:rStyle w:val="32"/>
        <w:rFonts w:hint="eastAsia" w:ascii="宋体" w:hAnsi="宋体"/>
        <w:sz w:val="28"/>
        <w:szCs w:val="28"/>
      </w:rPr>
      <w:t>—</w:t>
    </w:r>
  </w:p>
  <w:p>
    <w:pPr>
      <w:pStyle w:val="18"/>
      <w:ind w:right="360" w:firstLine="360"/>
    </w:pP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560"/>
      <w:jc w:val="right"/>
      <w:rPr>
        <w:sz w:val="26"/>
        <w:szCs w:val="26"/>
      </w:rPr>
    </w:pPr>
    <w:r>
      <w:rPr>
        <w:rStyle w:val="32"/>
        <w:rFonts w:hint="eastAsia" w:ascii="宋体" w:hAnsi="宋体"/>
        <w:sz w:val="28"/>
        <w:szCs w:val="28"/>
      </w:rPr>
      <w:t>—</w:t>
    </w:r>
    <w:r>
      <w:rPr>
        <w:sz w:val="26"/>
        <w:szCs w:val="26"/>
      </w:rPr>
      <w:fldChar w:fldCharType="begin"/>
    </w:r>
    <w:r>
      <w:rPr>
        <w:sz w:val="26"/>
        <w:szCs w:val="26"/>
      </w:rPr>
      <w:instrText xml:space="preserve"> PAGE   \* MERGEFORMAT </w:instrText>
    </w:r>
    <w:r>
      <w:rPr>
        <w:sz w:val="26"/>
        <w:szCs w:val="26"/>
      </w:rPr>
      <w:fldChar w:fldCharType="separate"/>
    </w:r>
    <w:r>
      <w:rPr>
        <w:sz w:val="26"/>
        <w:szCs w:val="26"/>
        <w:lang w:val="zh-CN"/>
      </w:rPr>
      <w:t>1</w:t>
    </w:r>
    <w:r>
      <w:rPr>
        <w:sz w:val="26"/>
        <w:szCs w:val="26"/>
      </w:rPr>
      <w:fldChar w:fldCharType="end"/>
    </w:r>
    <w:r>
      <w:rPr>
        <w:rStyle w:val="32"/>
        <w:rFonts w:hint="eastAsia" w:ascii="宋体" w:hAnsi="宋体"/>
        <w:sz w:val="28"/>
        <w:szCs w:val="28"/>
      </w:rPr>
      <w:t>—</w:t>
    </w:r>
  </w:p>
  <w:p>
    <w:pPr>
      <w:pStyle w:val="18"/>
      <w:ind w:right="360" w:firstLine="360"/>
      <w:jc w:val="center"/>
    </w:pPr>
  </w:p>
  <w:p>
    <w:pPr>
      <w:pStyle w:val="18"/>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B7415"/>
    <w:multiLevelType w:val="multilevel"/>
    <w:tmpl w:val="585B7415"/>
    <w:lvl w:ilvl="0" w:tentative="0">
      <w:start w:val="1"/>
      <w:numFmt w:val="decimal"/>
      <w:suff w:val="space"/>
      <w:lvlText w:val="表%1"/>
      <w:lvlJc w:val="left"/>
      <w:pPr>
        <w:ind w:left="1838" w:hanging="420"/>
      </w:pPr>
      <w:rPr>
        <w:rFonts w:hint="eastAsia"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3F4198"/>
    <w:multiLevelType w:val="multilevel"/>
    <w:tmpl w:val="713F4198"/>
    <w:lvl w:ilvl="0" w:tentative="0">
      <w:start w:val="1"/>
      <w:numFmt w:val="decimal"/>
      <w:pStyle w:val="53"/>
      <w:lvlText w:val="表%1"/>
      <w:lvlJc w:val="center"/>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attachedTemplate r:id="rId1"/>
  <w:documentProtection w:edit="trackedChanges"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RhMTgyNzM1ZjhjNzcwNjE3NDM5NDUxOWI5YTQzNDMifQ=="/>
    <w:docVar w:name="KSO_WPS_MARK_KEY" w:val="c8d93dea-9b7e-49d8-b103-ca4de2c9ca02"/>
  </w:docVars>
  <w:rsids>
    <w:rsidRoot w:val="00A14947"/>
    <w:rsid w:val="00000937"/>
    <w:rsid w:val="00000E5A"/>
    <w:rsid w:val="00002C1F"/>
    <w:rsid w:val="0000316F"/>
    <w:rsid w:val="0000379D"/>
    <w:rsid w:val="000059E8"/>
    <w:rsid w:val="000060B3"/>
    <w:rsid w:val="000069F2"/>
    <w:rsid w:val="00011592"/>
    <w:rsid w:val="00011E11"/>
    <w:rsid w:val="00012143"/>
    <w:rsid w:val="00013D71"/>
    <w:rsid w:val="00016271"/>
    <w:rsid w:val="00017CDE"/>
    <w:rsid w:val="00020CA1"/>
    <w:rsid w:val="00021883"/>
    <w:rsid w:val="00021FF0"/>
    <w:rsid w:val="00023ACC"/>
    <w:rsid w:val="00024134"/>
    <w:rsid w:val="000242FB"/>
    <w:rsid w:val="00024523"/>
    <w:rsid w:val="000260EF"/>
    <w:rsid w:val="000261CA"/>
    <w:rsid w:val="00030501"/>
    <w:rsid w:val="00031609"/>
    <w:rsid w:val="0003165A"/>
    <w:rsid w:val="0003180D"/>
    <w:rsid w:val="00031879"/>
    <w:rsid w:val="000323C9"/>
    <w:rsid w:val="000336D4"/>
    <w:rsid w:val="00033C81"/>
    <w:rsid w:val="0003485F"/>
    <w:rsid w:val="000350F4"/>
    <w:rsid w:val="0003529D"/>
    <w:rsid w:val="000363AC"/>
    <w:rsid w:val="00036851"/>
    <w:rsid w:val="00036AFA"/>
    <w:rsid w:val="000370C9"/>
    <w:rsid w:val="000370FF"/>
    <w:rsid w:val="00037DB3"/>
    <w:rsid w:val="0004121D"/>
    <w:rsid w:val="000414EB"/>
    <w:rsid w:val="00041623"/>
    <w:rsid w:val="00041D59"/>
    <w:rsid w:val="000427D7"/>
    <w:rsid w:val="000428E1"/>
    <w:rsid w:val="000434D5"/>
    <w:rsid w:val="0004364B"/>
    <w:rsid w:val="00043AE7"/>
    <w:rsid w:val="00044501"/>
    <w:rsid w:val="0004595E"/>
    <w:rsid w:val="00045DD3"/>
    <w:rsid w:val="0005018F"/>
    <w:rsid w:val="00050880"/>
    <w:rsid w:val="00051448"/>
    <w:rsid w:val="00051967"/>
    <w:rsid w:val="00052EB0"/>
    <w:rsid w:val="00052ED7"/>
    <w:rsid w:val="00052EF7"/>
    <w:rsid w:val="00054689"/>
    <w:rsid w:val="00054715"/>
    <w:rsid w:val="000548AA"/>
    <w:rsid w:val="0005490A"/>
    <w:rsid w:val="00055BF4"/>
    <w:rsid w:val="000560AE"/>
    <w:rsid w:val="00057591"/>
    <w:rsid w:val="0006070B"/>
    <w:rsid w:val="000619B5"/>
    <w:rsid w:val="00061B1F"/>
    <w:rsid w:val="00061B95"/>
    <w:rsid w:val="0006282F"/>
    <w:rsid w:val="00062F57"/>
    <w:rsid w:val="00064B38"/>
    <w:rsid w:val="000666F2"/>
    <w:rsid w:val="00067806"/>
    <w:rsid w:val="00070924"/>
    <w:rsid w:val="000716E9"/>
    <w:rsid w:val="00072EE0"/>
    <w:rsid w:val="00073178"/>
    <w:rsid w:val="000733C4"/>
    <w:rsid w:val="00073D46"/>
    <w:rsid w:val="00074783"/>
    <w:rsid w:val="00074FFA"/>
    <w:rsid w:val="00076265"/>
    <w:rsid w:val="000769DC"/>
    <w:rsid w:val="00076D9B"/>
    <w:rsid w:val="00077053"/>
    <w:rsid w:val="0008070B"/>
    <w:rsid w:val="000810AC"/>
    <w:rsid w:val="000812A9"/>
    <w:rsid w:val="00081901"/>
    <w:rsid w:val="00081A02"/>
    <w:rsid w:val="00081C88"/>
    <w:rsid w:val="00082231"/>
    <w:rsid w:val="0008277D"/>
    <w:rsid w:val="000839F5"/>
    <w:rsid w:val="000840AB"/>
    <w:rsid w:val="00085282"/>
    <w:rsid w:val="00087C18"/>
    <w:rsid w:val="000916E8"/>
    <w:rsid w:val="00091B17"/>
    <w:rsid w:val="00092D38"/>
    <w:rsid w:val="00092F60"/>
    <w:rsid w:val="0009377B"/>
    <w:rsid w:val="00093C98"/>
    <w:rsid w:val="00094525"/>
    <w:rsid w:val="0009469F"/>
    <w:rsid w:val="0009533C"/>
    <w:rsid w:val="000955F0"/>
    <w:rsid w:val="00095644"/>
    <w:rsid w:val="000965CB"/>
    <w:rsid w:val="0009672A"/>
    <w:rsid w:val="00096DE0"/>
    <w:rsid w:val="00096EFD"/>
    <w:rsid w:val="00097A5E"/>
    <w:rsid w:val="000A04CF"/>
    <w:rsid w:val="000A09B0"/>
    <w:rsid w:val="000A0A07"/>
    <w:rsid w:val="000A0BA6"/>
    <w:rsid w:val="000A1AEC"/>
    <w:rsid w:val="000A20C9"/>
    <w:rsid w:val="000A2802"/>
    <w:rsid w:val="000A2D85"/>
    <w:rsid w:val="000A2EA7"/>
    <w:rsid w:val="000A3647"/>
    <w:rsid w:val="000A3911"/>
    <w:rsid w:val="000A41D7"/>
    <w:rsid w:val="000A4540"/>
    <w:rsid w:val="000A65EB"/>
    <w:rsid w:val="000A69AD"/>
    <w:rsid w:val="000A6CAB"/>
    <w:rsid w:val="000A6E5D"/>
    <w:rsid w:val="000A78B7"/>
    <w:rsid w:val="000B0001"/>
    <w:rsid w:val="000B058F"/>
    <w:rsid w:val="000B3A22"/>
    <w:rsid w:val="000B3E38"/>
    <w:rsid w:val="000B4467"/>
    <w:rsid w:val="000B4DB9"/>
    <w:rsid w:val="000B6106"/>
    <w:rsid w:val="000B6473"/>
    <w:rsid w:val="000B6BA6"/>
    <w:rsid w:val="000B6D28"/>
    <w:rsid w:val="000B70F2"/>
    <w:rsid w:val="000C00FB"/>
    <w:rsid w:val="000C09AC"/>
    <w:rsid w:val="000C1BAD"/>
    <w:rsid w:val="000C21DB"/>
    <w:rsid w:val="000C2223"/>
    <w:rsid w:val="000C25FC"/>
    <w:rsid w:val="000C2DAB"/>
    <w:rsid w:val="000C4262"/>
    <w:rsid w:val="000C487E"/>
    <w:rsid w:val="000C4B03"/>
    <w:rsid w:val="000C4B6D"/>
    <w:rsid w:val="000C598C"/>
    <w:rsid w:val="000C62A7"/>
    <w:rsid w:val="000C767F"/>
    <w:rsid w:val="000C771F"/>
    <w:rsid w:val="000C79F4"/>
    <w:rsid w:val="000C7FAE"/>
    <w:rsid w:val="000D0B9D"/>
    <w:rsid w:val="000D1600"/>
    <w:rsid w:val="000D2D3B"/>
    <w:rsid w:val="000D2FCB"/>
    <w:rsid w:val="000D3212"/>
    <w:rsid w:val="000D409F"/>
    <w:rsid w:val="000D4422"/>
    <w:rsid w:val="000D4712"/>
    <w:rsid w:val="000D48B7"/>
    <w:rsid w:val="000D58A8"/>
    <w:rsid w:val="000D5A44"/>
    <w:rsid w:val="000D5E06"/>
    <w:rsid w:val="000D6B71"/>
    <w:rsid w:val="000E0D13"/>
    <w:rsid w:val="000E10FC"/>
    <w:rsid w:val="000E19A7"/>
    <w:rsid w:val="000E2A7E"/>
    <w:rsid w:val="000E3ED2"/>
    <w:rsid w:val="000E414E"/>
    <w:rsid w:val="000E5420"/>
    <w:rsid w:val="000E5B1E"/>
    <w:rsid w:val="000F02A0"/>
    <w:rsid w:val="000F09E3"/>
    <w:rsid w:val="000F1BD1"/>
    <w:rsid w:val="000F283E"/>
    <w:rsid w:val="000F2AA1"/>
    <w:rsid w:val="000F43FC"/>
    <w:rsid w:val="000F4BE7"/>
    <w:rsid w:val="000F5064"/>
    <w:rsid w:val="000F5E1D"/>
    <w:rsid w:val="000F5E6F"/>
    <w:rsid w:val="001002F0"/>
    <w:rsid w:val="00100833"/>
    <w:rsid w:val="0010147C"/>
    <w:rsid w:val="00101AD7"/>
    <w:rsid w:val="001033FA"/>
    <w:rsid w:val="0010499D"/>
    <w:rsid w:val="001060EE"/>
    <w:rsid w:val="00106A25"/>
    <w:rsid w:val="00107311"/>
    <w:rsid w:val="00107423"/>
    <w:rsid w:val="00110011"/>
    <w:rsid w:val="00110022"/>
    <w:rsid w:val="00110B79"/>
    <w:rsid w:val="00110C19"/>
    <w:rsid w:val="0011214E"/>
    <w:rsid w:val="00113287"/>
    <w:rsid w:val="001134C0"/>
    <w:rsid w:val="001141CA"/>
    <w:rsid w:val="0011425A"/>
    <w:rsid w:val="001143F5"/>
    <w:rsid w:val="00114C64"/>
    <w:rsid w:val="00114EC2"/>
    <w:rsid w:val="0011578C"/>
    <w:rsid w:val="00115A0F"/>
    <w:rsid w:val="0011606A"/>
    <w:rsid w:val="001202AA"/>
    <w:rsid w:val="001218FC"/>
    <w:rsid w:val="001219FF"/>
    <w:rsid w:val="001238FE"/>
    <w:rsid w:val="001241CE"/>
    <w:rsid w:val="001245D5"/>
    <w:rsid w:val="00124B63"/>
    <w:rsid w:val="00125BD4"/>
    <w:rsid w:val="00125C6B"/>
    <w:rsid w:val="001308B8"/>
    <w:rsid w:val="001309CF"/>
    <w:rsid w:val="0013134E"/>
    <w:rsid w:val="001313AA"/>
    <w:rsid w:val="00131AC4"/>
    <w:rsid w:val="00131ACD"/>
    <w:rsid w:val="00131B62"/>
    <w:rsid w:val="00131CD6"/>
    <w:rsid w:val="00131F42"/>
    <w:rsid w:val="00132652"/>
    <w:rsid w:val="001334A0"/>
    <w:rsid w:val="00133774"/>
    <w:rsid w:val="00133972"/>
    <w:rsid w:val="00134368"/>
    <w:rsid w:val="00134447"/>
    <w:rsid w:val="00135311"/>
    <w:rsid w:val="001357F1"/>
    <w:rsid w:val="00135FBD"/>
    <w:rsid w:val="00136895"/>
    <w:rsid w:val="001372A9"/>
    <w:rsid w:val="001405E7"/>
    <w:rsid w:val="00140FA8"/>
    <w:rsid w:val="001416DF"/>
    <w:rsid w:val="00142FEB"/>
    <w:rsid w:val="00143397"/>
    <w:rsid w:val="00143A2D"/>
    <w:rsid w:val="0014406D"/>
    <w:rsid w:val="00144DF8"/>
    <w:rsid w:val="00145066"/>
    <w:rsid w:val="00145A41"/>
    <w:rsid w:val="00145AF5"/>
    <w:rsid w:val="00145F59"/>
    <w:rsid w:val="00146C68"/>
    <w:rsid w:val="00147E46"/>
    <w:rsid w:val="00147FC6"/>
    <w:rsid w:val="00150756"/>
    <w:rsid w:val="00151675"/>
    <w:rsid w:val="00151BB8"/>
    <w:rsid w:val="001529B3"/>
    <w:rsid w:val="00153BBA"/>
    <w:rsid w:val="00153DE5"/>
    <w:rsid w:val="00154608"/>
    <w:rsid w:val="001546FF"/>
    <w:rsid w:val="0015563B"/>
    <w:rsid w:val="00155766"/>
    <w:rsid w:val="00155FAB"/>
    <w:rsid w:val="00156658"/>
    <w:rsid w:val="00157435"/>
    <w:rsid w:val="001574AE"/>
    <w:rsid w:val="00157CF1"/>
    <w:rsid w:val="001614D8"/>
    <w:rsid w:val="00162D0B"/>
    <w:rsid w:val="00162E62"/>
    <w:rsid w:val="00164777"/>
    <w:rsid w:val="00166723"/>
    <w:rsid w:val="00166859"/>
    <w:rsid w:val="00167597"/>
    <w:rsid w:val="001714FC"/>
    <w:rsid w:val="001720BE"/>
    <w:rsid w:val="00172367"/>
    <w:rsid w:val="00173C02"/>
    <w:rsid w:val="00174434"/>
    <w:rsid w:val="0017504D"/>
    <w:rsid w:val="00175057"/>
    <w:rsid w:val="00175FEE"/>
    <w:rsid w:val="0017671A"/>
    <w:rsid w:val="00177422"/>
    <w:rsid w:val="001776D6"/>
    <w:rsid w:val="0017779E"/>
    <w:rsid w:val="00177D23"/>
    <w:rsid w:val="00180FB4"/>
    <w:rsid w:val="001817B7"/>
    <w:rsid w:val="00182302"/>
    <w:rsid w:val="00182E96"/>
    <w:rsid w:val="00182EA0"/>
    <w:rsid w:val="001844BF"/>
    <w:rsid w:val="00184590"/>
    <w:rsid w:val="00185A94"/>
    <w:rsid w:val="001869EB"/>
    <w:rsid w:val="001870D1"/>
    <w:rsid w:val="0018737B"/>
    <w:rsid w:val="00187638"/>
    <w:rsid w:val="0018781E"/>
    <w:rsid w:val="0019053D"/>
    <w:rsid w:val="00190771"/>
    <w:rsid w:val="00190BA2"/>
    <w:rsid w:val="0019248F"/>
    <w:rsid w:val="0019262D"/>
    <w:rsid w:val="0019476C"/>
    <w:rsid w:val="00194D9D"/>
    <w:rsid w:val="00195A87"/>
    <w:rsid w:val="00195B06"/>
    <w:rsid w:val="00195DFC"/>
    <w:rsid w:val="00196AD7"/>
    <w:rsid w:val="001A1B35"/>
    <w:rsid w:val="001A266C"/>
    <w:rsid w:val="001A2B49"/>
    <w:rsid w:val="001A2CCF"/>
    <w:rsid w:val="001A48A2"/>
    <w:rsid w:val="001A4BA5"/>
    <w:rsid w:val="001A51D9"/>
    <w:rsid w:val="001A54EA"/>
    <w:rsid w:val="001A5939"/>
    <w:rsid w:val="001A69F3"/>
    <w:rsid w:val="001A6BBA"/>
    <w:rsid w:val="001A6F61"/>
    <w:rsid w:val="001A76EE"/>
    <w:rsid w:val="001A7888"/>
    <w:rsid w:val="001B13AA"/>
    <w:rsid w:val="001B16CD"/>
    <w:rsid w:val="001B1766"/>
    <w:rsid w:val="001B205B"/>
    <w:rsid w:val="001B2661"/>
    <w:rsid w:val="001B27BB"/>
    <w:rsid w:val="001B521E"/>
    <w:rsid w:val="001B53B3"/>
    <w:rsid w:val="001B6B50"/>
    <w:rsid w:val="001B6EE1"/>
    <w:rsid w:val="001B72B8"/>
    <w:rsid w:val="001B7D45"/>
    <w:rsid w:val="001C2B65"/>
    <w:rsid w:val="001C3789"/>
    <w:rsid w:val="001C39B1"/>
    <w:rsid w:val="001C433D"/>
    <w:rsid w:val="001C44C2"/>
    <w:rsid w:val="001C6108"/>
    <w:rsid w:val="001C69B3"/>
    <w:rsid w:val="001D0788"/>
    <w:rsid w:val="001D124A"/>
    <w:rsid w:val="001D3A94"/>
    <w:rsid w:val="001D429C"/>
    <w:rsid w:val="001D4F8D"/>
    <w:rsid w:val="001D5595"/>
    <w:rsid w:val="001D631B"/>
    <w:rsid w:val="001D750E"/>
    <w:rsid w:val="001D7874"/>
    <w:rsid w:val="001D79E0"/>
    <w:rsid w:val="001D7F22"/>
    <w:rsid w:val="001E10AE"/>
    <w:rsid w:val="001E117B"/>
    <w:rsid w:val="001E13BF"/>
    <w:rsid w:val="001E17D4"/>
    <w:rsid w:val="001E197A"/>
    <w:rsid w:val="001E372A"/>
    <w:rsid w:val="001E5725"/>
    <w:rsid w:val="001E64CE"/>
    <w:rsid w:val="001E6672"/>
    <w:rsid w:val="001E6BE1"/>
    <w:rsid w:val="001E7BEC"/>
    <w:rsid w:val="001E7FBC"/>
    <w:rsid w:val="001F07A5"/>
    <w:rsid w:val="001F0DCD"/>
    <w:rsid w:val="001F0F17"/>
    <w:rsid w:val="001F104F"/>
    <w:rsid w:val="001F1648"/>
    <w:rsid w:val="001F1B2B"/>
    <w:rsid w:val="001F1F6E"/>
    <w:rsid w:val="001F27EE"/>
    <w:rsid w:val="001F3347"/>
    <w:rsid w:val="001F4849"/>
    <w:rsid w:val="001F484C"/>
    <w:rsid w:val="001F590E"/>
    <w:rsid w:val="001F69E4"/>
    <w:rsid w:val="001F7EBB"/>
    <w:rsid w:val="00201939"/>
    <w:rsid w:val="00202C1B"/>
    <w:rsid w:val="0020331E"/>
    <w:rsid w:val="00203528"/>
    <w:rsid w:val="00203B90"/>
    <w:rsid w:val="00203D2B"/>
    <w:rsid w:val="00204662"/>
    <w:rsid w:val="0020536F"/>
    <w:rsid w:val="002054C2"/>
    <w:rsid w:val="00205CDA"/>
    <w:rsid w:val="00207514"/>
    <w:rsid w:val="002107D7"/>
    <w:rsid w:val="002125B4"/>
    <w:rsid w:val="00212888"/>
    <w:rsid w:val="002129C9"/>
    <w:rsid w:val="0021343B"/>
    <w:rsid w:val="0021384E"/>
    <w:rsid w:val="002155B8"/>
    <w:rsid w:val="00216186"/>
    <w:rsid w:val="0021732F"/>
    <w:rsid w:val="00217E35"/>
    <w:rsid w:val="002203FB"/>
    <w:rsid w:val="00220A3A"/>
    <w:rsid w:val="00222D45"/>
    <w:rsid w:val="00223033"/>
    <w:rsid w:val="00223437"/>
    <w:rsid w:val="0022354C"/>
    <w:rsid w:val="0022452F"/>
    <w:rsid w:val="00224839"/>
    <w:rsid w:val="002249B2"/>
    <w:rsid w:val="00224E80"/>
    <w:rsid w:val="00225147"/>
    <w:rsid w:val="002252A9"/>
    <w:rsid w:val="0022631F"/>
    <w:rsid w:val="00226574"/>
    <w:rsid w:val="002269D7"/>
    <w:rsid w:val="00226B79"/>
    <w:rsid w:val="002270D5"/>
    <w:rsid w:val="002271D8"/>
    <w:rsid w:val="00227354"/>
    <w:rsid w:val="00227674"/>
    <w:rsid w:val="002278EC"/>
    <w:rsid w:val="00227A6B"/>
    <w:rsid w:val="0023000A"/>
    <w:rsid w:val="0023088A"/>
    <w:rsid w:val="0023135D"/>
    <w:rsid w:val="00231DA5"/>
    <w:rsid w:val="002320E8"/>
    <w:rsid w:val="0023280E"/>
    <w:rsid w:val="0023292D"/>
    <w:rsid w:val="00232D40"/>
    <w:rsid w:val="0023377F"/>
    <w:rsid w:val="00233DAE"/>
    <w:rsid w:val="00236BAC"/>
    <w:rsid w:val="002377D1"/>
    <w:rsid w:val="0024023C"/>
    <w:rsid w:val="00240BE7"/>
    <w:rsid w:val="002415C2"/>
    <w:rsid w:val="00241CA3"/>
    <w:rsid w:val="00241CC9"/>
    <w:rsid w:val="00242B22"/>
    <w:rsid w:val="00244669"/>
    <w:rsid w:val="00244A8A"/>
    <w:rsid w:val="00244BE3"/>
    <w:rsid w:val="00244E03"/>
    <w:rsid w:val="0024526F"/>
    <w:rsid w:val="00245421"/>
    <w:rsid w:val="0024542C"/>
    <w:rsid w:val="00246065"/>
    <w:rsid w:val="00246731"/>
    <w:rsid w:val="002473AA"/>
    <w:rsid w:val="0024749E"/>
    <w:rsid w:val="002476BD"/>
    <w:rsid w:val="002477E5"/>
    <w:rsid w:val="00247B28"/>
    <w:rsid w:val="00247D38"/>
    <w:rsid w:val="002506BC"/>
    <w:rsid w:val="00250F6D"/>
    <w:rsid w:val="0025115C"/>
    <w:rsid w:val="00251F58"/>
    <w:rsid w:val="002520E9"/>
    <w:rsid w:val="00253696"/>
    <w:rsid w:val="002536BE"/>
    <w:rsid w:val="002536EB"/>
    <w:rsid w:val="00254345"/>
    <w:rsid w:val="002552B4"/>
    <w:rsid w:val="00255CFC"/>
    <w:rsid w:val="00256BA1"/>
    <w:rsid w:val="00256C50"/>
    <w:rsid w:val="00260DF0"/>
    <w:rsid w:val="00260FA4"/>
    <w:rsid w:val="00262427"/>
    <w:rsid w:val="0026359C"/>
    <w:rsid w:val="00263AF1"/>
    <w:rsid w:val="00263E89"/>
    <w:rsid w:val="00263ED5"/>
    <w:rsid w:val="00264557"/>
    <w:rsid w:val="00264B86"/>
    <w:rsid w:val="00266B61"/>
    <w:rsid w:val="00267033"/>
    <w:rsid w:val="0026718B"/>
    <w:rsid w:val="00271926"/>
    <w:rsid w:val="0027264F"/>
    <w:rsid w:val="00272A0D"/>
    <w:rsid w:val="00275C50"/>
    <w:rsid w:val="00276A13"/>
    <w:rsid w:val="00276A72"/>
    <w:rsid w:val="00276DF7"/>
    <w:rsid w:val="0027799F"/>
    <w:rsid w:val="002803B6"/>
    <w:rsid w:val="002805AB"/>
    <w:rsid w:val="00280C29"/>
    <w:rsid w:val="00280FE7"/>
    <w:rsid w:val="00281B47"/>
    <w:rsid w:val="00282D92"/>
    <w:rsid w:val="00283D68"/>
    <w:rsid w:val="00284204"/>
    <w:rsid w:val="002845BA"/>
    <w:rsid w:val="0028482D"/>
    <w:rsid w:val="00284F78"/>
    <w:rsid w:val="00285775"/>
    <w:rsid w:val="00285EE9"/>
    <w:rsid w:val="00287052"/>
    <w:rsid w:val="002873FE"/>
    <w:rsid w:val="00287812"/>
    <w:rsid w:val="00291773"/>
    <w:rsid w:val="002921B1"/>
    <w:rsid w:val="002927CB"/>
    <w:rsid w:val="002929F7"/>
    <w:rsid w:val="00292D48"/>
    <w:rsid w:val="0029409A"/>
    <w:rsid w:val="00296BE7"/>
    <w:rsid w:val="00297778"/>
    <w:rsid w:val="002A00A5"/>
    <w:rsid w:val="002A124C"/>
    <w:rsid w:val="002A168C"/>
    <w:rsid w:val="002A1A7A"/>
    <w:rsid w:val="002A238B"/>
    <w:rsid w:val="002A254C"/>
    <w:rsid w:val="002A2977"/>
    <w:rsid w:val="002A2D36"/>
    <w:rsid w:val="002A3B41"/>
    <w:rsid w:val="002A3DC7"/>
    <w:rsid w:val="002A3E90"/>
    <w:rsid w:val="002A45EC"/>
    <w:rsid w:val="002A461A"/>
    <w:rsid w:val="002A4FD0"/>
    <w:rsid w:val="002A55BF"/>
    <w:rsid w:val="002A7C9A"/>
    <w:rsid w:val="002B04B5"/>
    <w:rsid w:val="002B0E77"/>
    <w:rsid w:val="002B0FB6"/>
    <w:rsid w:val="002B49E2"/>
    <w:rsid w:val="002B5900"/>
    <w:rsid w:val="002B59BB"/>
    <w:rsid w:val="002B5A33"/>
    <w:rsid w:val="002B5F0D"/>
    <w:rsid w:val="002B7178"/>
    <w:rsid w:val="002B78B6"/>
    <w:rsid w:val="002B7919"/>
    <w:rsid w:val="002B7B00"/>
    <w:rsid w:val="002B7C44"/>
    <w:rsid w:val="002C083C"/>
    <w:rsid w:val="002C0841"/>
    <w:rsid w:val="002C278D"/>
    <w:rsid w:val="002C2B17"/>
    <w:rsid w:val="002C2EE6"/>
    <w:rsid w:val="002C3F5B"/>
    <w:rsid w:val="002C4683"/>
    <w:rsid w:val="002C5321"/>
    <w:rsid w:val="002C55A1"/>
    <w:rsid w:val="002C5C65"/>
    <w:rsid w:val="002C679E"/>
    <w:rsid w:val="002C6E34"/>
    <w:rsid w:val="002C7746"/>
    <w:rsid w:val="002C7CC4"/>
    <w:rsid w:val="002D0099"/>
    <w:rsid w:val="002D0263"/>
    <w:rsid w:val="002D06A5"/>
    <w:rsid w:val="002D249E"/>
    <w:rsid w:val="002D2E0F"/>
    <w:rsid w:val="002D3DD0"/>
    <w:rsid w:val="002D4184"/>
    <w:rsid w:val="002D5161"/>
    <w:rsid w:val="002D66F2"/>
    <w:rsid w:val="002E14C6"/>
    <w:rsid w:val="002E1F3A"/>
    <w:rsid w:val="002E20A1"/>
    <w:rsid w:val="002E24EF"/>
    <w:rsid w:val="002E27A1"/>
    <w:rsid w:val="002E298A"/>
    <w:rsid w:val="002E3181"/>
    <w:rsid w:val="002E421F"/>
    <w:rsid w:val="002E579F"/>
    <w:rsid w:val="002E6DFF"/>
    <w:rsid w:val="002E7116"/>
    <w:rsid w:val="002F0126"/>
    <w:rsid w:val="002F0A57"/>
    <w:rsid w:val="002F0D61"/>
    <w:rsid w:val="002F103A"/>
    <w:rsid w:val="002F36EC"/>
    <w:rsid w:val="002F3FC7"/>
    <w:rsid w:val="002F4107"/>
    <w:rsid w:val="002F4585"/>
    <w:rsid w:val="002F4BFC"/>
    <w:rsid w:val="002F56D6"/>
    <w:rsid w:val="002F6148"/>
    <w:rsid w:val="002F64AB"/>
    <w:rsid w:val="002F7B64"/>
    <w:rsid w:val="00301978"/>
    <w:rsid w:val="00301A26"/>
    <w:rsid w:val="00302254"/>
    <w:rsid w:val="00302A0C"/>
    <w:rsid w:val="00302EF4"/>
    <w:rsid w:val="00303152"/>
    <w:rsid w:val="0030332C"/>
    <w:rsid w:val="00303837"/>
    <w:rsid w:val="00303C65"/>
    <w:rsid w:val="00303C74"/>
    <w:rsid w:val="003051C2"/>
    <w:rsid w:val="003056CF"/>
    <w:rsid w:val="00305802"/>
    <w:rsid w:val="00305A03"/>
    <w:rsid w:val="00305FC5"/>
    <w:rsid w:val="003062EC"/>
    <w:rsid w:val="003120FE"/>
    <w:rsid w:val="00312296"/>
    <w:rsid w:val="00312620"/>
    <w:rsid w:val="00312C20"/>
    <w:rsid w:val="0031302A"/>
    <w:rsid w:val="0031314C"/>
    <w:rsid w:val="003133B5"/>
    <w:rsid w:val="00313943"/>
    <w:rsid w:val="00313B18"/>
    <w:rsid w:val="00314F0E"/>
    <w:rsid w:val="00315046"/>
    <w:rsid w:val="00316CF8"/>
    <w:rsid w:val="00316ED4"/>
    <w:rsid w:val="003205E1"/>
    <w:rsid w:val="00320D4A"/>
    <w:rsid w:val="00320ED1"/>
    <w:rsid w:val="00321294"/>
    <w:rsid w:val="00321D8E"/>
    <w:rsid w:val="003236AE"/>
    <w:rsid w:val="00324249"/>
    <w:rsid w:val="003247B8"/>
    <w:rsid w:val="00325923"/>
    <w:rsid w:val="00325928"/>
    <w:rsid w:val="00327252"/>
    <w:rsid w:val="0032775E"/>
    <w:rsid w:val="00327950"/>
    <w:rsid w:val="00327C48"/>
    <w:rsid w:val="00327F5D"/>
    <w:rsid w:val="003309A6"/>
    <w:rsid w:val="00330A85"/>
    <w:rsid w:val="00330AC8"/>
    <w:rsid w:val="003311DC"/>
    <w:rsid w:val="003312AE"/>
    <w:rsid w:val="00331C51"/>
    <w:rsid w:val="00332863"/>
    <w:rsid w:val="00334180"/>
    <w:rsid w:val="003350CF"/>
    <w:rsid w:val="0033599F"/>
    <w:rsid w:val="0033684D"/>
    <w:rsid w:val="00337037"/>
    <w:rsid w:val="003373C3"/>
    <w:rsid w:val="00337469"/>
    <w:rsid w:val="003376CD"/>
    <w:rsid w:val="00337B42"/>
    <w:rsid w:val="0034016E"/>
    <w:rsid w:val="00340822"/>
    <w:rsid w:val="003410B4"/>
    <w:rsid w:val="00341632"/>
    <w:rsid w:val="00341B42"/>
    <w:rsid w:val="003421C9"/>
    <w:rsid w:val="003424AD"/>
    <w:rsid w:val="0034348F"/>
    <w:rsid w:val="003452D1"/>
    <w:rsid w:val="003463BE"/>
    <w:rsid w:val="00346BE6"/>
    <w:rsid w:val="00347CBF"/>
    <w:rsid w:val="00351D0F"/>
    <w:rsid w:val="00352BBD"/>
    <w:rsid w:val="00353ED2"/>
    <w:rsid w:val="003544AC"/>
    <w:rsid w:val="0035580C"/>
    <w:rsid w:val="0035612E"/>
    <w:rsid w:val="003564E4"/>
    <w:rsid w:val="00356653"/>
    <w:rsid w:val="00356BD6"/>
    <w:rsid w:val="0035743F"/>
    <w:rsid w:val="0035777B"/>
    <w:rsid w:val="00357BE2"/>
    <w:rsid w:val="0036008C"/>
    <w:rsid w:val="003607A1"/>
    <w:rsid w:val="0036170C"/>
    <w:rsid w:val="00361BEB"/>
    <w:rsid w:val="0036351E"/>
    <w:rsid w:val="00363703"/>
    <w:rsid w:val="0036416B"/>
    <w:rsid w:val="003644F8"/>
    <w:rsid w:val="00364565"/>
    <w:rsid w:val="003653CE"/>
    <w:rsid w:val="00366E0F"/>
    <w:rsid w:val="003709F0"/>
    <w:rsid w:val="00370E4B"/>
    <w:rsid w:val="00372377"/>
    <w:rsid w:val="0037270D"/>
    <w:rsid w:val="0037271A"/>
    <w:rsid w:val="003727B7"/>
    <w:rsid w:val="0037314F"/>
    <w:rsid w:val="00373DDD"/>
    <w:rsid w:val="00373ED3"/>
    <w:rsid w:val="003745F5"/>
    <w:rsid w:val="00374D13"/>
    <w:rsid w:val="003753CC"/>
    <w:rsid w:val="00375855"/>
    <w:rsid w:val="003758BB"/>
    <w:rsid w:val="00377F30"/>
    <w:rsid w:val="003814B5"/>
    <w:rsid w:val="003819A9"/>
    <w:rsid w:val="00381A17"/>
    <w:rsid w:val="00381A72"/>
    <w:rsid w:val="00381AC5"/>
    <w:rsid w:val="0038220E"/>
    <w:rsid w:val="003829CA"/>
    <w:rsid w:val="00382C47"/>
    <w:rsid w:val="003835DD"/>
    <w:rsid w:val="0038415C"/>
    <w:rsid w:val="00384676"/>
    <w:rsid w:val="003854AB"/>
    <w:rsid w:val="00386CEF"/>
    <w:rsid w:val="00386E6F"/>
    <w:rsid w:val="00387FCB"/>
    <w:rsid w:val="00390857"/>
    <w:rsid w:val="00391F16"/>
    <w:rsid w:val="00391FC4"/>
    <w:rsid w:val="003924D2"/>
    <w:rsid w:val="00392768"/>
    <w:rsid w:val="00392AE6"/>
    <w:rsid w:val="0039362B"/>
    <w:rsid w:val="00393BDD"/>
    <w:rsid w:val="0039423C"/>
    <w:rsid w:val="003943F4"/>
    <w:rsid w:val="00395346"/>
    <w:rsid w:val="003959CB"/>
    <w:rsid w:val="00395DEA"/>
    <w:rsid w:val="00396605"/>
    <w:rsid w:val="00396E63"/>
    <w:rsid w:val="003A010D"/>
    <w:rsid w:val="003A2BD7"/>
    <w:rsid w:val="003A3237"/>
    <w:rsid w:val="003A3858"/>
    <w:rsid w:val="003A49A7"/>
    <w:rsid w:val="003A4BF3"/>
    <w:rsid w:val="003A58B2"/>
    <w:rsid w:val="003A5E23"/>
    <w:rsid w:val="003A5F14"/>
    <w:rsid w:val="003A7572"/>
    <w:rsid w:val="003B025F"/>
    <w:rsid w:val="003B1631"/>
    <w:rsid w:val="003B1929"/>
    <w:rsid w:val="003B2804"/>
    <w:rsid w:val="003B34B1"/>
    <w:rsid w:val="003B420D"/>
    <w:rsid w:val="003B4844"/>
    <w:rsid w:val="003B48AB"/>
    <w:rsid w:val="003B6379"/>
    <w:rsid w:val="003B66F5"/>
    <w:rsid w:val="003B77A6"/>
    <w:rsid w:val="003C0C81"/>
    <w:rsid w:val="003C13AC"/>
    <w:rsid w:val="003C1537"/>
    <w:rsid w:val="003C21F4"/>
    <w:rsid w:val="003C311A"/>
    <w:rsid w:val="003C34E1"/>
    <w:rsid w:val="003C3EB3"/>
    <w:rsid w:val="003C5074"/>
    <w:rsid w:val="003C5304"/>
    <w:rsid w:val="003C5B85"/>
    <w:rsid w:val="003C621D"/>
    <w:rsid w:val="003C6C16"/>
    <w:rsid w:val="003C7342"/>
    <w:rsid w:val="003C745A"/>
    <w:rsid w:val="003C7F20"/>
    <w:rsid w:val="003D0E15"/>
    <w:rsid w:val="003D1374"/>
    <w:rsid w:val="003D1F44"/>
    <w:rsid w:val="003D3259"/>
    <w:rsid w:val="003D41C6"/>
    <w:rsid w:val="003D4C00"/>
    <w:rsid w:val="003D6700"/>
    <w:rsid w:val="003D71AF"/>
    <w:rsid w:val="003D794D"/>
    <w:rsid w:val="003D7B2A"/>
    <w:rsid w:val="003D7C63"/>
    <w:rsid w:val="003E04CA"/>
    <w:rsid w:val="003E0775"/>
    <w:rsid w:val="003E18D0"/>
    <w:rsid w:val="003E2201"/>
    <w:rsid w:val="003E3058"/>
    <w:rsid w:val="003E3771"/>
    <w:rsid w:val="003E3A19"/>
    <w:rsid w:val="003E3ECD"/>
    <w:rsid w:val="003E41EB"/>
    <w:rsid w:val="003E516B"/>
    <w:rsid w:val="003E5734"/>
    <w:rsid w:val="003E6D93"/>
    <w:rsid w:val="003E7197"/>
    <w:rsid w:val="003E7586"/>
    <w:rsid w:val="003E76A9"/>
    <w:rsid w:val="003E7A1F"/>
    <w:rsid w:val="003F011D"/>
    <w:rsid w:val="003F0809"/>
    <w:rsid w:val="003F20CB"/>
    <w:rsid w:val="003F23FE"/>
    <w:rsid w:val="003F2A41"/>
    <w:rsid w:val="003F31FF"/>
    <w:rsid w:val="003F3524"/>
    <w:rsid w:val="003F3D12"/>
    <w:rsid w:val="003F4584"/>
    <w:rsid w:val="003F5220"/>
    <w:rsid w:val="003F5241"/>
    <w:rsid w:val="003F55CA"/>
    <w:rsid w:val="003F5AF6"/>
    <w:rsid w:val="003F6895"/>
    <w:rsid w:val="003F6A8C"/>
    <w:rsid w:val="003F755C"/>
    <w:rsid w:val="00400167"/>
    <w:rsid w:val="00404095"/>
    <w:rsid w:val="004058D0"/>
    <w:rsid w:val="004066AF"/>
    <w:rsid w:val="00406D3F"/>
    <w:rsid w:val="00406F01"/>
    <w:rsid w:val="00410404"/>
    <w:rsid w:val="004104CE"/>
    <w:rsid w:val="00411205"/>
    <w:rsid w:val="004112F7"/>
    <w:rsid w:val="0041162C"/>
    <w:rsid w:val="004138EB"/>
    <w:rsid w:val="004155BB"/>
    <w:rsid w:val="00415F96"/>
    <w:rsid w:val="004169D9"/>
    <w:rsid w:val="00416B11"/>
    <w:rsid w:val="00416D50"/>
    <w:rsid w:val="00416FD5"/>
    <w:rsid w:val="00417772"/>
    <w:rsid w:val="00420D69"/>
    <w:rsid w:val="00420E6A"/>
    <w:rsid w:val="00422DF6"/>
    <w:rsid w:val="00422EE1"/>
    <w:rsid w:val="00422FDE"/>
    <w:rsid w:val="00423026"/>
    <w:rsid w:val="004230CE"/>
    <w:rsid w:val="0042351B"/>
    <w:rsid w:val="00423F25"/>
    <w:rsid w:val="0042486B"/>
    <w:rsid w:val="004259F9"/>
    <w:rsid w:val="00425A9E"/>
    <w:rsid w:val="00426D6B"/>
    <w:rsid w:val="00426D85"/>
    <w:rsid w:val="0042791E"/>
    <w:rsid w:val="004300E2"/>
    <w:rsid w:val="0043012E"/>
    <w:rsid w:val="004312D7"/>
    <w:rsid w:val="0043175A"/>
    <w:rsid w:val="00431AED"/>
    <w:rsid w:val="00431E6C"/>
    <w:rsid w:val="004335EB"/>
    <w:rsid w:val="0043384B"/>
    <w:rsid w:val="00433CE7"/>
    <w:rsid w:val="00440198"/>
    <w:rsid w:val="00440D4E"/>
    <w:rsid w:val="00441871"/>
    <w:rsid w:val="00442228"/>
    <w:rsid w:val="00442756"/>
    <w:rsid w:val="00442760"/>
    <w:rsid w:val="004433FE"/>
    <w:rsid w:val="00443BD9"/>
    <w:rsid w:val="00443E75"/>
    <w:rsid w:val="0044619D"/>
    <w:rsid w:val="00446B3E"/>
    <w:rsid w:val="00446F40"/>
    <w:rsid w:val="00446F58"/>
    <w:rsid w:val="00447A71"/>
    <w:rsid w:val="00447F1D"/>
    <w:rsid w:val="00450491"/>
    <w:rsid w:val="0045103A"/>
    <w:rsid w:val="004517D2"/>
    <w:rsid w:val="00452355"/>
    <w:rsid w:val="00452738"/>
    <w:rsid w:val="004528DD"/>
    <w:rsid w:val="00453B3C"/>
    <w:rsid w:val="00454C92"/>
    <w:rsid w:val="004559F9"/>
    <w:rsid w:val="00455CC9"/>
    <w:rsid w:val="00456091"/>
    <w:rsid w:val="004565FF"/>
    <w:rsid w:val="00456FAB"/>
    <w:rsid w:val="004573B1"/>
    <w:rsid w:val="0045769F"/>
    <w:rsid w:val="00457EDC"/>
    <w:rsid w:val="0046196F"/>
    <w:rsid w:val="00463AA7"/>
    <w:rsid w:val="004644CA"/>
    <w:rsid w:val="00464886"/>
    <w:rsid w:val="004650B5"/>
    <w:rsid w:val="00465C6B"/>
    <w:rsid w:val="00465EE0"/>
    <w:rsid w:val="004660F1"/>
    <w:rsid w:val="00466321"/>
    <w:rsid w:val="00467730"/>
    <w:rsid w:val="00467F46"/>
    <w:rsid w:val="00470DC6"/>
    <w:rsid w:val="00471DB0"/>
    <w:rsid w:val="00471E0B"/>
    <w:rsid w:val="00471E4F"/>
    <w:rsid w:val="00471FD1"/>
    <w:rsid w:val="0047200C"/>
    <w:rsid w:val="00472287"/>
    <w:rsid w:val="00472CFD"/>
    <w:rsid w:val="00474007"/>
    <w:rsid w:val="0047426D"/>
    <w:rsid w:val="00475130"/>
    <w:rsid w:val="0047638C"/>
    <w:rsid w:val="00477913"/>
    <w:rsid w:val="00477F79"/>
    <w:rsid w:val="00481968"/>
    <w:rsid w:val="00482257"/>
    <w:rsid w:val="00483F54"/>
    <w:rsid w:val="00484B9B"/>
    <w:rsid w:val="004855F6"/>
    <w:rsid w:val="0048646F"/>
    <w:rsid w:val="0048661E"/>
    <w:rsid w:val="00490182"/>
    <w:rsid w:val="00490A8B"/>
    <w:rsid w:val="00490D19"/>
    <w:rsid w:val="004911FF"/>
    <w:rsid w:val="00492D40"/>
    <w:rsid w:val="004944C6"/>
    <w:rsid w:val="00494670"/>
    <w:rsid w:val="004949EB"/>
    <w:rsid w:val="00495673"/>
    <w:rsid w:val="00495684"/>
    <w:rsid w:val="00495CF5"/>
    <w:rsid w:val="00495E01"/>
    <w:rsid w:val="00495E5F"/>
    <w:rsid w:val="00496735"/>
    <w:rsid w:val="00496BD0"/>
    <w:rsid w:val="00497C6F"/>
    <w:rsid w:val="004A28C3"/>
    <w:rsid w:val="004A3823"/>
    <w:rsid w:val="004A3984"/>
    <w:rsid w:val="004A3CB6"/>
    <w:rsid w:val="004A54B5"/>
    <w:rsid w:val="004A78FC"/>
    <w:rsid w:val="004A7954"/>
    <w:rsid w:val="004A7C31"/>
    <w:rsid w:val="004A7E1F"/>
    <w:rsid w:val="004B01EA"/>
    <w:rsid w:val="004B0A09"/>
    <w:rsid w:val="004B39B9"/>
    <w:rsid w:val="004B5145"/>
    <w:rsid w:val="004B550F"/>
    <w:rsid w:val="004B5913"/>
    <w:rsid w:val="004B5A31"/>
    <w:rsid w:val="004B5DA5"/>
    <w:rsid w:val="004C0E0A"/>
    <w:rsid w:val="004C19D4"/>
    <w:rsid w:val="004C2AAE"/>
    <w:rsid w:val="004C3458"/>
    <w:rsid w:val="004C385F"/>
    <w:rsid w:val="004C48C8"/>
    <w:rsid w:val="004C4F13"/>
    <w:rsid w:val="004C626C"/>
    <w:rsid w:val="004C62A5"/>
    <w:rsid w:val="004C65F9"/>
    <w:rsid w:val="004C7715"/>
    <w:rsid w:val="004C79EA"/>
    <w:rsid w:val="004D1F88"/>
    <w:rsid w:val="004D402C"/>
    <w:rsid w:val="004D43D8"/>
    <w:rsid w:val="004D45A3"/>
    <w:rsid w:val="004D5793"/>
    <w:rsid w:val="004D5CED"/>
    <w:rsid w:val="004D5D89"/>
    <w:rsid w:val="004D6DBB"/>
    <w:rsid w:val="004D7366"/>
    <w:rsid w:val="004D7BCA"/>
    <w:rsid w:val="004D7C2A"/>
    <w:rsid w:val="004E03E2"/>
    <w:rsid w:val="004E0780"/>
    <w:rsid w:val="004E2178"/>
    <w:rsid w:val="004E2D68"/>
    <w:rsid w:val="004E58B3"/>
    <w:rsid w:val="004E6798"/>
    <w:rsid w:val="004E6946"/>
    <w:rsid w:val="004E78EA"/>
    <w:rsid w:val="004F0089"/>
    <w:rsid w:val="004F096D"/>
    <w:rsid w:val="004F1AD8"/>
    <w:rsid w:val="004F2143"/>
    <w:rsid w:val="004F31C6"/>
    <w:rsid w:val="004F321A"/>
    <w:rsid w:val="004F3944"/>
    <w:rsid w:val="004F3D26"/>
    <w:rsid w:val="004F63AE"/>
    <w:rsid w:val="004F65CD"/>
    <w:rsid w:val="004F6E8B"/>
    <w:rsid w:val="004F77B2"/>
    <w:rsid w:val="004F7AFA"/>
    <w:rsid w:val="004F7D3C"/>
    <w:rsid w:val="0050068C"/>
    <w:rsid w:val="0050189E"/>
    <w:rsid w:val="00501BCA"/>
    <w:rsid w:val="00502338"/>
    <w:rsid w:val="005039CB"/>
    <w:rsid w:val="0050407F"/>
    <w:rsid w:val="0050558F"/>
    <w:rsid w:val="00506286"/>
    <w:rsid w:val="00510379"/>
    <w:rsid w:val="0051038E"/>
    <w:rsid w:val="00510813"/>
    <w:rsid w:val="005112E7"/>
    <w:rsid w:val="00511990"/>
    <w:rsid w:val="00511DE0"/>
    <w:rsid w:val="005124C3"/>
    <w:rsid w:val="005130CD"/>
    <w:rsid w:val="0051321D"/>
    <w:rsid w:val="0051425C"/>
    <w:rsid w:val="00514870"/>
    <w:rsid w:val="00514B9B"/>
    <w:rsid w:val="0051515A"/>
    <w:rsid w:val="00516A68"/>
    <w:rsid w:val="005173E4"/>
    <w:rsid w:val="00517F02"/>
    <w:rsid w:val="005200AE"/>
    <w:rsid w:val="0052082F"/>
    <w:rsid w:val="00521095"/>
    <w:rsid w:val="00521517"/>
    <w:rsid w:val="00521C0A"/>
    <w:rsid w:val="0052389C"/>
    <w:rsid w:val="00524303"/>
    <w:rsid w:val="00524F19"/>
    <w:rsid w:val="005258A2"/>
    <w:rsid w:val="00526D45"/>
    <w:rsid w:val="0052795E"/>
    <w:rsid w:val="0053097D"/>
    <w:rsid w:val="00530EB3"/>
    <w:rsid w:val="00531E77"/>
    <w:rsid w:val="00531EF1"/>
    <w:rsid w:val="005329ED"/>
    <w:rsid w:val="00534C0F"/>
    <w:rsid w:val="00536431"/>
    <w:rsid w:val="00536489"/>
    <w:rsid w:val="005365A5"/>
    <w:rsid w:val="0053716A"/>
    <w:rsid w:val="005401AE"/>
    <w:rsid w:val="0054044D"/>
    <w:rsid w:val="0054076B"/>
    <w:rsid w:val="00540A1E"/>
    <w:rsid w:val="0054193A"/>
    <w:rsid w:val="0054239B"/>
    <w:rsid w:val="00542CD1"/>
    <w:rsid w:val="00542E07"/>
    <w:rsid w:val="00544C48"/>
    <w:rsid w:val="00544C70"/>
    <w:rsid w:val="00545424"/>
    <w:rsid w:val="005464CE"/>
    <w:rsid w:val="005477B0"/>
    <w:rsid w:val="005502EE"/>
    <w:rsid w:val="005510B6"/>
    <w:rsid w:val="005516C1"/>
    <w:rsid w:val="00552C05"/>
    <w:rsid w:val="005536AE"/>
    <w:rsid w:val="00553C83"/>
    <w:rsid w:val="00553DEB"/>
    <w:rsid w:val="00553F68"/>
    <w:rsid w:val="005540DD"/>
    <w:rsid w:val="00554A7B"/>
    <w:rsid w:val="0055572C"/>
    <w:rsid w:val="00555A39"/>
    <w:rsid w:val="00555E11"/>
    <w:rsid w:val="00555FE5"/>
    <w:rsid w:val="005577F0"/>
    <w:rsid w:val="00560F56"/>
    <w:rsid w:val="0056106A"/>
    <w:rsid w:val="00561254"/>
    <w:rsid w:val="005614AC"/>
    <w:rsid w:val="005635B4"/>
    <w:rsid w:val="00564A03"/>
    <w:rsid w:val="00564F40"/>
    <w:rsid w:val="00565976"/>
    <w:rsid w:val="005669C6"/>
    <w:rsid w:val="00566D86"/>
    <w:rsid w:val="00566FD7"/>
    <w:rsid w:val="005717DA"/>
    <w:rsid w:val="00571C9D"/>
    <w:rsid w:val="00571E2F"/>
    <w:rsid w:val="005720AE"/>
    <w:rsid w:val="00572590"/>
    <w:rsid w:val="0057290F"/>
    <w:rsid w:val="00573233"/>
    <w:rsid w:val="005735AE"/>
    <w:rsid w:val="005754AE"/>
    <w:rsid w:val="00575DBE"/>
    <w:rsid w:val="00576E5D"/>
    <w:rsid w:val="0057726E"/>
    <w:rsid w:val="0057743C"/>
    <w:rsid w:val="0057799E"/>
    <w:rsid w:val="00580FE1"/>
    <w:rsid w:val="00581696"/>
    <w:rsid w:val="005867BF"/>
    <w:rsid w:val="005872E2"/>
    <w:rsid w:val="00587429"/>
    <w:rsid w:val="00587A7E"/>
    <w:rsid w:val="00587C6C"/>
    <w:rsid w:val="00592C50"/>
    <w:rsid w:val="0059330C"/>
    <w:rsid w:val="00594D77"/>
    <w:rsid w:val="005969E4"/>
    <w:rsid w:val="00596DF3"/>
    <w:rsid w:val="005A0210"/>
    <w:rsid w:val="005A06B7"/>
    <w:rsid w:val="005A087B"/>
    <w:rsid w:val="005A0A32"/>
    <w:rsid w:val="005A13BF"/>
    <w:rsid w:val="005A1759"/>
    <w:rsid w:val="005A1777"/>
    <w:rsid w:val="005A25B6"/>
    <w:rsid w:val="005A3C47"/>
    <w:rsid w:val="005A432A"/>
    <w:rsid w:val="005A4394"/>
    <w:rsid w:val="005A5719"/>
    <w:rsid w:val="005A66AB"/>
    <w:rsid w:val="005A68A7"/>
    <w:rsid w:val="005A721E"/>
    <w:rsid w:val="005B0241"/>
    <w:rsid w:val="005B0301"/>
    <w:rsid w:val="005B1056"/>
    <w:rsid w:val="005B1B53"/>
    <w:rsid w:val="005B3278"/>
    <w:rsid w:val="005B3AF1"/>
    <w:rsid w:val="005B4968"/>
    <w:rsid w:val="005B4CFE"/>
    <w:rsid w:val="005C0383"/>
    <w:rsid w:val="005C060A"/>
    <w:rsid w:val="005C1A64"/>
    <w:rsid w:val="005C3789"/>
    <w:rsid w:val="005C407B"/>
    <w:rsid w:val="005C4A80"/>
    <w:rsid w:val="005C4B98"/>
    <w:rsid w:val="005C66B5"/>
    <w:rsid w:val="005C7C10"/>
    <w:rsid w:val="005C7C52"/>
    <w:rsid w:val="005D08EC"/>
    <w:rsid w:val="005D0A16"/>
    <w:rsid w:val="005D0BCC"/>
    <w:rsid w:val="005D2384"/>
    <w:rsid w:val="005D2EA3"/>
    <w:rsid w:val="005D36AB"/>
    <w:rsid w:val="005D379C"/>
    <w:rsid w:val="005D3C59"/>
    <w:rsid w:val="005D40B0"/>
    <w:rsid w:val="005D43AB"/>
    <w:rsid w:val="005D54E3"/>
    <w:rsid w:val="005D5502"/>
    <w:rsid w:val="005D591B"/>
    <w:rsid w:val="005D5941"/>
    <w:rsid w:val="005D649C"/>
    <w:rsid w:val="005D6899"/>
    <w:rsid w:val="005D6E03"/>
    <w:rsid w:val="005D7597"/>
    <w:rsid w:val="005E0B59"/>
    <w:rsid w:val="005E18E1"/>
    <w:rsid w:val="005E2806"/>
    <w:rsid w:val="005E2892"/>
    <w:rsid w:val="005E293F"/>
    <w:rsid w:val="005E4162"/>
    <w:rsid w:val="005E4346"/>
    <w:rsid w:val="005E4D1E"/>
    <w:rsid w:val="005E4F48"/>
    <w:rsid w:val="005E51E1"/>
    <w:rsid w:val="005E579F"/>
    <w:rsid w:val="005E68FD"/>
    <w:rsid w:val="005E6C1D"/>
    <w:rsid w:val="005E7223"/>
    <w:rsid w:val="005E74C4"/>
    <w:rsid w:val="005F0B3D"/>
    <w:rsid w:val="005F10D6"/>
    <w:rsid w:val="005F1535"/>
    <w:rsid w:val="005F1E64"/>
    <w:rsid w:val="005F2380"/>
    <w:rsid w:val="005F2BEB"/>
    <w:rsid w:val="005F3833"/>
    <w:rsid w:val="005F41B9"/>
    <w:rsid w:val="005F6EE3"/>
    <w:rsid w:val="005F77C2"/>
    <w:rsid w:val="0060010E"/>
    <w:rsid w:val="00600CC5"/>
    <w:rsid w:val="00601A9A"/>
    <w:rsid w:val="00601FF7"/>
    <w:rsid w:val="00602067"/>
    <w:rsid w:val="006025F0"/>
    <w:rsid w:val="00602B16"/>
    <w:rsid w:val="00605019"/>
    <w:rsid w:val="00605364"/>
    <w:rsid w:val="00606770"/>
    <w:rsid w:val="00607660"/>
    <w:rsid w:val="006112FE"/>
    <w:rsid w:val="006135B7"/>
    <w:rsid w:val="00614C92"/>
    <w:rsid w:val="006152D6"/>
    <w:rsid w:val="006155F0"/>
    <w:rsid w:val="006166C1"/>
    <w:rsid w:val="00616A4D"/>
    <w:rsid w:val="00616AFC"/>
    <w:rsid w:val="00616C27"/>
    <w:rsid w:val="00617746"/>
    <w:rsid w:val="00617CC3"/>
    <w:rsid w:val="006200A5"/>
    <w:rsid w:val="006204D6"/>
    <w:rsid w:val="006207CF"/>
    <w:rsid w:val="006219F0"/>
    <w:rsid w:val="00622FAD"/>
    <w:rsid w:val="00623D63"/>
    <w:rsid w:val="00624236"/>
    <w:rsid w:val="006252BA"/>
    <w:rsid w:val="0062612B"/>
    <w:rsid w:val="00626942"/>
    <w:rsid w:val="00626C39"/>
    <w:rsid w:val="006270CB"/>
    <w:rsid w:val="006272CC"/>
    <w:rsid w:val="00627DB2"/>
    <w:rsid w:val="006318A4"/>
    <w:rsid w:val="006320E5"/>
    <w:rsid w:val="00632776"/>
    <w:rsid w:val="00633687"/>
    <w:rsid w:val="00633CC8"/>
    <w:rsid w:val="00633F27"/>
    <w:rsid w:val="0063456B"/>
    <w:rsid w:val="006352FC"/>
    <w:rsid w:val="00636452"/>
    <w:rsid w:val="006377A6"/>
    <w:rsid w:val="00637A3D"/>
    <w:rsid w:val="006402F6"/>
    <w:rsid w:val="006406E9"/>
    <w:rsid w:val="006411EF"/>
    <w:rsid w:val="00641C15"/>
    <w:rsid w:val="00641E14"/>
    <w:rsid w:val="00642C99"/>
    <w:rsid w:val="00643403"/>
    <w:rsid w:val="0064340E"/>
    <w:rsid w:val="00643852"/>
    <w:rsid w:val="00644E63"/>
    <w:rsid w:val="0064543A"/>
    <w:rsid w:val="0064564A"/>
    <w:rsid w:val="00646C5E"/>
    <w:rsid w:val="006475BB"/>
    <w:rsid w:val="006478AE"/>
    <w:rsid w:val="0065144F"/>
    <w:rsid w:val="00654ED1"/>
    <w:rsid w:val="00655A5F"/>
    <w:rsid w:val="00656249"/>
    <w:rsid w:val="00656EE8"/>
    <w:rsid w:val="00657291"/>
    <w:rsid w:val="006576AA"/>
    <w:rsid w:val="00660E37"/>
    <w:rsid w:val="0066159B"/>
    <w:rsid w:val="00662F56"/>
    <w:rsid w:val="00663C4B"/>
    <w:rsid w:val="006643EE"/>
    <w:rsid w:val="006646FA"/>
    <w:rsid w:val="00664A46"/>
    <w:rsid w:val="00664BF7"/>
    <w:rsid w:val="00665894"/>
    <w:rsid w:val="00666070"/>
    <w:rsid w:val="00667834"/>
    <w:rsid w:val="00667973"/>
    <w:rsid w:val="00667D08"/>
    <w:rsid w:val="006718E1"/>
    <w:rsid w:val="00672A4E"/>
    <w:rsid w:val="00673E49"/>
    <w:rsid w:val="00674316"/>
    <w:rsid w:val="00674576"/>
    <w:rsid w:val="00674687"/>
    <w:rsid w:val="006748B8"/>
    <w:rsid w:val="00675819"/>
    <w:rsid w:val="00675C4A"/>
    <w:rsid w:val="00676467"/>
    <w:rsid w:val="006775C3"/>
    <w:rsid w:val="006800A5"/>
    <w:rsid w:val="00680520"/>
    <w:rsid w:val="00681001"/>
    <w:rsid w:val="0068103D"/>
    <w:rsid w:val="006828F7"/>
    <w:rsid w:val="00683DF1"/>
    <w:rsid w:val="00685600"/>
    <w:rsid w:val="00686A79"/>
    <w:rsid w:val="00686BAC"/>
    <w:rsid w:val="00687129"/>
    <w:rsid w:val="0068758C"/>
    <w:rsid w:val="00690043"/>
    <w:rsid w:val="00692060"/>
    <w:rsid w:val="0069290A"/>
    <w:rsid w:val="00693E35"/>
    <w:rsid w:val="0069484F"/>
    <w:rsid w:val="00694E1E"/>
    <w:rsid w:val="00695C09"/>
    <w:rsid w:val="0069775A"/>
    <w:rsid w:val="00697813"/>
    <w:rsid w:val="006A00A1"/>
    <w:rsid w:val="006A0197"/>
    <w:rsid w:val="006A0C1C"/>
    <w:rsid w:val="006A1A89"/>
    <w:rsid w:val="006A1C36"/>
    <w:rsid w:val="006A2146"/>
    <w:rsid w:val="006A284F"/>
    <w:rsid w:val="006A2BC8"/>
    <w:rsid w:val="006A392D"/>
    <w:rsid w:val="006A3EE8"/>
    <w:rsid w:val="006A484B"/>
    <w:rsid w:val="006A518A"/>
    <w:rsid w:val="006A5E24"/>
    <w:rsid w:val="006A62D0"/>
    <w:rsid w:val="006A64F9"/>
    <w:rsid w:val="006A6CC8"/>
    <w:rsid w:val="006A72BF"/>
    <w:rsid w:val="006B036D"/>
    <w:rsid w:val="006B03F2"/>
    <w:rsid w:val="006B05BC"/>
    <w:rsid w:val="006B090B"/>
    <w:rsid w:val="006B0B3E"/>
    <w:rsid w:val="006B0EC1"/>
    <w:rsid w:val="006B2FCD"/>
    <w:rsid w:val="006B2FD6"/>
    <w:rsid w:val="006B37DC"/>
    <w:rsid w:val="006B3BD0"/>
    <w:rsid w:val="006B4F68"/>
    <w:rsid w:val="006B5098"/>
    <w:rsid w:val="006B58DF"/>
    <w:rsid w:val="006B6280"/>
    <w:rsid w:val="006B69B1"/>
    <w:rsid w:val="006B6D39"/>
    <w:rsid w:val="006C02AB"/>
    <w:rsid w:val="006C0592"/>
    <w:rsid w:val="006C09A5"/>
    <w:rsid w:val="006C0BDE"/>
    <w:rsid w:val="006C1374"/>
    <w:rsid w:val="006C272E"/>
    <w:rsid w:val="006C34FE"/>
    <w:rsid w:val="006C3EA0"/>
    <w:rsid w:val="006C42A4"/>
    <w:rsid w:val="006C4B26"/>
    <w:rsid w:val="006C4F0E"/>
    <w:rsid w:val="006C5479"/>
    <w:rsid w:val="006C5480"/>
    <w:rsid w:val="006D0CD6"/>
    <w:rsid w:val="006D0F97"/>
    <w:rsid w:val="006D13B5"/>
    <w:rsid w:val="006D1783"/>
    <w:rsid w:val="006D1A7B"/>
    <w:rsid w:val="006D5DB7"/>
    <w:rsid w:val="006D6130"/>
    <w:rsid w:val="006D61AA"/>
    <w:rsid w:val="006D6FE8"/>
    <w:rsid w:val="006E0044"/>
    <w:rsid w:val="006E0C74"/>
    <w:rsid w:val="006E12FF"/>
    <w:rsid w:val="006E36DC"/>
    <w:rsid w:val="006E3AE1"/>
    <w:rsid w:val="006E3C1E"/>
    <w:rsid w:val="006E3F9B"/>
    <w:rsid w:val="006E431E"/>
    <w:rsid w:val="006E492C"/>
    <w:rsid w:val="006E5243"/>
    <w:rsid w:val="006E607E"/>
    <w:rsid w:val="006E6F0A"/>
    <w:rsid w:val="006E7139"/>
    <w:rsid w:val="006E72F5"/>
    <w:rsid w:val="006F0A30"/>
    <w:rsid w:val="006F163F"/>
    <w:rsid w:val="006F1817"/>
    <w:rsid w:val="006F2D45"/>
    <w:rsid w:val="006F2F34"/>
    <w:rsid w:val="006F3E6A"/>
    <w:rsid w:val="006F6052"/>
    <w:rsid w:val="006F7111"/>
    <w:rsid w:val="006F72E8"/>
    <w:rsid w:val="006F7C40"/>
    <w:rsid w:val="007007D8"/>
    <w:rsid w:val="007012F0"/>
    <w:rsid w:val="0070201E"/>
    <w:rsid w:val="00702F1A"/>
    <w:rsid w:val="007031BF"/>
    <w:rsid w:val="00704033"/>
    <w:rsid w:val="0070527A"/>
    <w:rsid w:val="00706501"/>
    <w:rsid w:val="00706C5D"/>
    <w:rsid w:val="00707CDA"/>
    <w:rsid w:val="0071015C"/>
    <w:rsid w:val="00711895"/>
    <w:rsid w:val="00712549"/>
    <w:rsid w:val="00713057"/>
    <w:rsid w:val="00713660"/>
    <w:rsid w:val="007136AC"/>
    <w:rsid w:val="00714320"/>
    <w:rsid w:val="0071559E"/>
    <w:rsid w:val="00715D96"/>
    <w:rsid w:val="00716B50"/>
    <w:rsid w:val="00716E1A"/>
    <w:rsid w:val="00717B6D"/>
    <w:rsid w:val="00722C75"/>
    <w:rsid w:val="00722F98"/>
    <w:rsid w:val="00723B19"/>
    <w:rsid w:val="00725726"/>
    <w:rsid w:val="007258A4"/>
    <w:rsid w:val="0072632A"/>
    <w:rsid w:val="007263F0"/>
    <w:rsid w:val="00726576"/>
    <w:rsid w:val="00730C20"/>
    <w:rsid w:val="0073138F"/>
    <w:rsid w:val="007316B7"/>
    <w:rsid w:val="00732922"/>
    <w:rsid w:val="00732AF7"/>
    <w:rsid w:val="007338AD"/>
    <w:rsid w:val="00733A73"/>
    <w:rsid w:val="00733B33"/>
    <w:rsid w:val="00735B2A"/>
    <w:rsid w:val="00736046"/>
    <w:rsid w:val="00736824"/>
    <w:rsid w:val="00736CDE"/>
    <w:rsid w:val="00736E86"/>
    <w:rsid w:val="007375CF"/>
    <w:rsid w:val="00737F93"/>
    <w:rsid w:val="00740B79"/>
    <w:rsid w:val="007416BB"/>
    <w:rsid w:val="00741857"/>
    <w:rsid w:val="007422E1"/>
    <w:rsid w:val="0074242E"/>
    <w:rsid w:val="00742871"/>
    <w:rsid w:val="00742BBC"/>
    <w:rsid w:val="007433F5"/>
    <w:rsid w:val="007442D7"/>
    <w:rsid w:val="00744FA7"/>
    <w:rsid w:val="007453EB"/>
    <w:rsid w:val="00745D5C"/>
    <w:rsid w:val="00747528"/>
    <w:rsid w:val="0075162E"/>
    <w:rsid w:val="00751C87"/>
    <w:rsid w:val="00752702"/>
    <w:rsid w:val="00752724"/>
    <w:rsid w:val="00754034"/>
    <w:rsid w:val="007549D0"/>
    <w:rsid w:val="00754AF2"/>
    <w:rsid w:val="00756556"/>
    <w:rsid w:val="00756AF2"/>
    <w:rsid w:val="00757612"/>
    <w:rsid w:val="00757809"/>
    <w:rsid w:val="00760328"/>
    <w:rsid w:val="00760A33"/>
    <w:rsid w:val="007618C4"/>
    <w:rsid w:val="00761BA1"/>
    <w:rsid w:val="007646D3"/>
    <w:rsid w:val="007654F0"/>
    <w:rsid w:val="007656CE"/>
    <w:rsid w:val="007657FA"/>
    <w:rsid w:val="00766A63"/>
    <w:rsid w:val="00766DE1"/>
    <w:rsid w:val="0076794A"/>
    <w:rsid w:val="00767980"/>
    <w:rsid w:val="0077077B"/>
    <w:rsid w:val="0077087B"/>
    <w:rsid w:val="00770B19"/>
    <w:rsid w:val="007718F1"/>
    <w:rsid w:val="0077321F"/>
    <w:rsid w:val="007735E6"/>
    <w:rsid w:val="0077463F"/>
    <w:rsid w:val="007748FA"/>
    <w:rsid w:val="00774A0C"/>
    <w:rsid w:val="00775FA4"/>
    <w:rsid w:val="00776142"/>
    <w:rsid w:val="00781DA1"/>
    <w:rsid w:val="00782BF5"/>
    <w:rsid w:val="00782FD1"/>
    <w:rsid w:val="00783115"/>
    <w:rsid w:val="007836EA"/>
    <w:rsid w:val="0078372B"/>
    <w:rsid w:val="00784CDA"/>
    <w:rsid w:val="00785D97"/>
    <w:rsid w:val="00786801"/>
    <w:rsid w:val="00787270"/>
    <w:rsid w:val="007901DE"/>
    <w:rsid w:val="007906C4"/>
    <w:rsid w:val="00790EAF"/>
    <w:rsid w:val="0079110D"/>
    <w:rsid w:val="00791718"/>
    <w:rsid w:val="00791724"/>
    <w:rsid w:val="00791738"/>
    <w:rsid w:val="007924B6"/>
    <w:rsid w:val="00792D68"/>
    <w:rsid w:val="0079347D"/>
    <w:rsid w:val="007939A5"/>
    <w:rsid w:val="007940EA"/>
    <w:rsid w:val="0079424E"/>
    <w:rsid w:val="00794FDC"/>
    <w:rsid w:val="007953D0"/>
    <w:rsid w:val="007967E8"/>
    <w:rsid w:val="007977A7"/>
    <w:rsid w:val="007979C2"/>
    <w:rsid w:val="00797D0D"/>
    <w:rsid w:val="00797E5B"/>
    <w:rsid w:val="007A0C5C"/>
    <w:rsid w:val="007A14D7"/>
    <w:rsid w:val="007A1C71"/>
    <w:rsid w:val="007A1CC9"/>
    <w:rsid w:val="007A2170"/>
    <w:rsid w:val="007A22BF"/>
    <w:rsid w:val="007A3000"/>
    <w:rsid w:val="007A3161"/>
    <w:rsid w:val="007A3323"/>
    <w:rsid w:val="007A4A8A"/>
    <w:rsid w:val="007A5C5A"/>
    <w:rsid w:val="007A5DF6"/>
    <w:rsid w:val="007A6C54"/>
    <w:rsid w:val="007A7572"/>
    <w:rsid w:val="007A785C"/>
    <w:rsid w:val="007B0132"/>
    <w:rsid w:val="007B04DC"/>
    <w:rsid w:val="007B0C65"/>
    <w:rsid w:val="007B19F9"/>
    <w:rsid w:val="007B2314"/>
    <w:rsid w:val="007B2B06"/>
    <w:rsid w:val="007B2DE6"/>
    <w:rsid w:val="007B4456"/>
    <w:rsid w:val="007B5458"/>
    <w:rsid w:val="007B72B8"/>
    <w:rsid w:val="007B7A58"/>
    <w:rsid w:val="007C0128"/>
    <w:rsid w:val="007C21B5"/>
    <w:rsid w:val="007C32AA"/>
    <w:rsid w:val="007C4312"/>
    <w:rsid w:val="007C5A1D"/>
    <w:rsid w:val="007C6E9D"/>
    <w:rsid w:val="007C78CF"/>
    <w:rsid w:val="007D0165"/>
    <w:rsid w:val="007D1F70"/>
    <w:rsid w:val="007D28A0"/>
    <w:rsid w:val="007D4913"/>
    <w:rsid w:val="007D4D09"/>
    <w:rsid w:val="007D60B3"/>
    <w:rsid w:val="007D68A7"/>
    <w:rsid w:val="007D7121"/>
    <w:rsid w:val="007E0C76"/>
    <w:rsid w:val="007E0DF1"/>
    <w:rsid w:val="007E137B"/>
    <w:rsid w:val="007E1574"/>
    <w:rsid w:val="007E1D47"/>
    <w:rsid w:val="007E2636"/>
    <w:rsid w:val="007E2CCB"/>
    <w:rsid w:val="007E3477"/>
    <w:rsid w:val="007E4006"/>
    <w:rsid w:val="007E4BD2"/>
    <w:rsid w:val="007E598E"/>
    <w:rsid w:val="007E6BD1"/>
    <w:rsid w:val="007E7B0A"/>
    <w:rsid w:val="007E7E02"/>
    <w:rsid w:val="007F0333"/>
    <w:rsid w:val="007F216D"/>
    <w:rsid w:val="007F24FB"/>
    <w:rsid w:val="007F26DC"/>
    <w:rsid w:val="007F33CD"/>
    <w:rsid w:val="007F39B1"/>
    <w:rsid w:val="007F462C"/>
    <w:rsid w:val="007F5098"/>
    <w:rsid w:val="007F6C8D"/>
    <w:rsid w:val="007F7C9F"/>
    <w:rsid w:val="00800D33"/>
    <w:rsid w:val="00800D55"/>
    <w:rsid w:val="00801393"/>
    <w:rsid w:val="0080204F"/>
    <w:rsid w:val="0080271F"/>
    <w:rsid w:val="00802F88"/>
    <w:rsid w:val="00803777"/>
    <w:rsid w:val="008039F2"/>
    <w:rsid w:val="00803E93"/>
    <w:rsid w:val="00803ED0"/>
    <w:rsid w:val="008040B2"/>
    <w:rsid w:val="0080424D"/>
    <w:rsid w:val="00805065"/>
    <w:rsid w:val="00805F5E"/>
    <w:rsid w:val="00806423"/>
    <w:rsid w:val="008068A7"/>
    <w:rsid w:val="00806BCF"/>
    <w:rsid w:val="00806E15"/>
    <w:rsid w:val="00807D35"/>
    <w:rsid w:val="00810709"/>
    <w:rsid w:val="00810CA0"/>
    <w:rsid w:val="00810FB6"/>
    <w:rsid w:val="00812322"/>
    <w:rsid w:val="0081293E"/>
    <w:rsid w:val="00812C88"/>
    <w:rsid w:val="00813067"/>
    <w:rsid w:val="008131BE"/>
    <w:rsid w:val="008132EB"/>
    <w:rsid w:val="008137A3"/>
    <w:rsid w:val="008147E0"/>
    <w:rsid w:val="00814C3D"/>
    <w:rsid w:val="00814D42"/>
    <w:rsid w:val="00815144"/>
    <w:rsid w:val="00815465"/>
    <w:rsid w:val="0081718A"/>
    <w:rsid w:val="00817993"/>
    <w:rsid w:val="00817DAC"/>
    <w:rsid w:val="00817E9A"/>
    <w:rsid w:val="008214E0"/>
    <w:rsid w:val="00821E2E"/>
    <w:rsid w:val="0082279E"/>
    <w:rsid w:val="00823491"/>
    <w:rsid w:val="00823987"/>
    <w:rsid w:val="0082408E"/>
    <w:rsid w:val="00824241"/>
    <w:rsid w:val="00824B06"/>
    <w:rsid w:val="008259DD"/>
    <w:rsid w:val="00825B30"/>
    <w:rsid w:val="00825D3C"/>
    <w:rsid w:val="00826375"/>
    <w:rsid w:val="00826510"/>
    <w:rsid w:val="00826E84"/>
    <w:rsid w:val="00827466"/>
    <w:rsid w:val="00827DA1"/>
    <w:rsid w:val="00830447"/>
    <w:rsid w:val="008306BD"/>
    <w:rsid w:val="008310C6"/>
    <w:rsid w:val="00831568"/>
    <w:rsid w:val="00831A80"/>
    <w:rsid w:val="008325F3"/>
    <w:rsid w:val="00832CDD"/>
    <w:rsid w:val="00833743"/>
    <w:rsid w:val="008340A4"/>
    <w:rsid w:val="008351BF"/>
    <w:rsid w:val="0083598A"/>
    <w:rsid w:val="00837539"/>
    <w:rsid w:val="00837753"/>
    <w:rsid w:val="00837912"/>
    <w:rsid w:val="008406C8"/>
    <w:rsid w:val="00840744"/>
    <w:rsid w:val="00841626"/>
    <w:rsid w:val="00842E6D"/>
    <w:rsid w:val="00843214"/>
    <w:rsid w:val="008443BA"/>
    <w:rsid w:val="00846726"/>
    <w:rsid w:val="008468F4"/>
    <w:rsid w:val="008506FF"/>
    <w:rsid w:val="00850AEB"/>
    <w:rsid w:val="00850B2F"/>
    <w:rsid w:val="008511FB"/>
    <w:rsid w:val="008520B8"/>
    <w:rsid w:val="008521CD"/>
    <w:rsid w:val="00852AFA"/>
    <w:rsid w:val="0085305F"/>
    <w:rsid w:val="00854853"/>
    <w:rsid w:val="00854B69"/>
    <w:rsid w:val="008552E5"/>
    <w:rsid w:val="0085537C"/>
    <w:rsid w:val="00855E0F"/>
    <w:rsid w:val="00856274"/>
    <w:rsid w:val="00856780"/>
    <w:rsid w:val="00856BCD"/>
    <w:rsid w:val="00857BC1"/>
    <w:rsid w:val="00860BE9"/>
    <w:rsid w:val="00860ED5"/>
    <w:rsid w:val="00861606"/>
    <w:rsid w:val="00861CDD"/>
    <w:rsid w:val="00863C3E"/>
    <w:rsid w:val="00864832"/>
    <w:rsid w:val="00864CAC"/>
    <w:rsid w:val="00864CDE"/>
    <w:rsid w:val="00864DBE"/>
    <w:rsid w:val="008653AD"/>
    <w:rsid w:val="00867F59"/>
    <w:rsid w:val="00870BCC"/>
    <w:rsid w:val="00870DE5"/>
    <w:rsid w:val="0087135F"/>
    <w:rsid w:val="00872D00"/>
    <w:rsid w:val="00872D94"/>
    <w:rsid w:val="0087317C"/>
    <w:rsid w:val="00873772"/>
    <w:rsid w:val="00874780"/>
    <w:rsid w:val="00876304"/>
    <w:rsid w:val="00876764"/>
    <w:rsid w:val="00880364"/>
    <w:rsid w:val="008803FB"/>
    <w:rsid w:val="0088042E"/>
    <w:rsid w:val="00880DC5"/>
    <w:rsid w:val="008834BD"/>
    <w:rsid w:val="00884E88"/>
    <w:rsid w:val="00884F97"/>
    <w:rsid w:val="00886516"/>
    <w:rsid w:val="00886758"/>
    <w:rsid w:val="00886D9E"/>
    <w:rsid w:val="00886E48"/>
    <w:rsid w:val="00887C0C"/>
    <w:rsid w:val="00887F4B"/>
    <w:rsid w:val="00890D3F"/>
    <w:rsid w:val="00891592"/>
    <w:rsid w:val="00891E9E"/>
    <w:rsid w:val="00892AF5"/>
    <w:rsid w:val="0089320D"/>
    <w:rsid w:val="008933B5"/>
    <w:rsid w:val="00893906"/>
    <w:rsid w:val="00894500"/>
    <w:rsid w:val="00894673"/>
    <w:rsid w:val="00894A94"/>
    <w:rsid w:val="00894B3B"/>
    <w:rsid w:val="00894C7F"/>
    <w:rsid w:val="00895744"/>
    <w:rsid w:val="00896A15"/>
    <w:rsid w:val="00896E1E"/>
    <w:rsid w:val="00897612"/>
    <w:rsid w:val="00897BC2"/>
    <w:rsid w:val="008A00C5"/>
    <w:rsid w:val="008A0E3D"/>
    <w:rsid w:val="008A1D81"/>
    <w:rsid w:val="008A20E9"/>
    <w:rsid w:val="008A24DF"/>
    <w:rsid w:val="008A2F68"/>
    <w:rsid w:val="008A3F7C"/>
    <w:rsid w:val="008A40C0"/>
    <w:rsid w:val="008A43E5"/>
    <w:rsid w:val="008A4DAE"/>
    <w:rsid w:val="008A5A91"/>
    <w:rsid w:val="008A606E"/>
    <w:rsid w:val="008A6C59"/>
    <w:rsid w:val="008A6CB8"/>
    <w:rsid w:val="008A7BD8"/>
    <w:rsid w:val="008A7C9E"/>
    <w:rsid w:val="008B06F7"/>
    <w:rsid w:val="008B1C3C"/>
    <w:rsid w:val="008B27B6"/>
    <w:rsid w:val="008B35E8"/>
    <w:rsid w:val="008B4BAA"/>
    <w:rsid w:val="008B4FA6"/>
    <w:rsid w:val="008B5282"/>
    <w:rsid w:val="008B5293"/>
    <w:rsid w:val="008B5437"/>
    <w:rsid w:val="008B6B92"/>
    <w:rsid w:val="008B6DE1"/>
    <w:rsid w:val="008B74C1"/>
    <w:rsid w:val="008B7C17"/>
    <w:rsid w:val="008C0589"/>
    <w:rsid w:val="008C10B4"/>
    <w:rsid w:val="008C2D01"/>
    <w:rsid w:val="008C3869"/>
    <w:rsid w:val="008C40E6"/>
    <w:rsid w:val="008C51B7"/>
    <w:rsid w:val="008C5307"/>
    <w:rsid w:val="008C58BD"/>
    <w:rsid w:val="008C5A97"/>
    <w:rsid w:val="008C6204"/>
    <w:rsid w:val="008C6CF3"/>
    <w:rsid w:val="008C7F0E"/>
    <w:rsid w:val="008D045B"/>
    <w:rsid w:val="008D073F"/>
    <w:rsid w:val="008D0D52"/>
    <w:rsid w:val="008D0F7A"/>
    <w:rsid w:val="008D125D"/>
    <w:rsid w:val="008D1962"/>
    <w:rsid w:val="008D1C60"/>
    <w:rsid w:val="008D2353"/>
    <w:rsid w:val="008D29F8"/>
    <w:rsid w:val="008D3525"/>
    <w:rsid w:val="008D3DC7"/>
    <w:rsid w:val="008D412A"/>
    <w:rsid w:val="008D5693"/>
    <w:rsid w:val="008D68E4"/>
    <w:rsid w:val="008D7C55"/>
    <w:rsid w:val="008D7E14"/>
    <w:rsid w:val="008E0506"/>
    <w:rsid w:val="008E077D"/>
    <w:rsid w:val="008E0A68"/>
    <w:rsid w:val="008E0CFF"/>
    <w:rsid w:val="008E0FE5"/>
    <w:rsid w:val="008E116E"/>
    <w:rsid w:val="008E2751"/>
    <w:rsid w:val="008E2E44"/>
    <w:rsid w:val="008E345C"/>
    <w:rsid w:val="008E405A"/>
    <w:rsid w:val="008E4088"/>
    <w:rsid w:val="008E4398"/>
    <w:rsid w:val="008E4656"/>
    <w:rsid w:val="008E5D6B"/>
    <w:rsid w:val="008E76F0"/>
    <w:rsid w:val="008F07CC"/>
    <w:rsid w:val="008F15FE"/>
    <w:rsid w:val="008F1E03"/>
    <w:rsid w:val="008F1F69"/>
    <w:rsid w:val="008F20EA"/>
    <w:rsid w:val="008F2D29"/>
    <w:rsid w:val="008F2F34"/>
    <w:rsid w:val="008F3D24"/>
    <w:rsid w:val="008F4164"/>
    <w:rsid w:val="008F44EF"/>
    <w:rsid w:val="008F4A6A"/>
    <w:rsid w:val="008F5187"/>
    <w:rsid w:val="008F5615"/>
    <w:rsid w:val="008F5A5E"/>
    <w:rsid w:val="008F60D8"/>
    <w:rsid w:val="008F7C99"/>
    <w:rsid w:val="008F7E09"/>
    <w:rsid w:val="00900375"/>
    <w:rsid w:val="00900C16"/>
    <w:rsid w:val="00901040"/>
    <w:rsid w:val="009024F9"/>
    <w:rsid w:val="00902727"/>
    <w:rsid w:val="00902F66"/>
    <w:rsid w:val="0090312B"/>
    <w:rsid w:val="0090374E"/>
    <w:rsid w:val="009038FA"/>
    <w:rsid w:val="0090394E"/>
    <w:rsid w:val="0090425E"/>
    <w:rsid w:val="009046AB"/>
    <w:rsid w:val="00904F93"/>
    <w:rsid w:val="00905F8A"/>
    <w:rsid w:val="009061AC"/>
    <w:rsid w:val="00906C62"/>
    <w:rsid w:val="00906DE1"/>
    <w:rsid w:val="00907EE7"/>
    <w:rsid w:val="00910BEE"/>
    <w:rsid w:val="00910D32"/>
    <w:rsid w:val="00911A3E"/>
    <w:rsid w:val="009124E8"/>
    <w:rsid w:val="0091322B"/>
    <w:rsid w:val="00913845"/>
    <w:rsid w:val="00913AEC"/>
    <w:rsid w:val="00916F56"/>
    <w:rsid w:val="0091736D"/>
    <w:rsid w:val="009178BA"/>
    <w:rsid w:val="00917E01"/>
    <w:rsid w:val="009218CB"/>
    <w:rsid w:val="00922141"/>
    <w:rsid w:val="00924057"/>
    <w:rsid w:val="00925377"/>
    <w:rsid w:val="00925462"/>
    <w:rsid w:val="00925784"/>
    <w:rsid w:val="00925B1E"/>
    <w:rsid w:val="00925D4E"/>
    <w:rsid w:val="00926768"/>
    <w:rsid w:val="009274C8"/>
    <w:rsid w:val="00927DC6"/>
    <w:rsid w:val="00927ED7"/>
    <w:rsid w:val="0093037A"/>
    <w:rsid w:val="00931A6D"/>
    <w:rsid w:val="00931C3B"/>
    <w:rsid w:val="00932731"/>
    <w:rsid w:val="00932A02"/>
    <w:rsid w:val="009337BF"/>
    <w:rsid w:val="00934455"/>
    <w:rsid w:val="00934B85"/>
    <w:rsid w:val="009369A6"/>
    <w:rsid w:val="0093746F"/>
    <w:rsid w:val="00937729"/>
    <w:rsid w:val="00940DC0"/>
    <w:rsid w:val="0094154D"/>
    <w:rsid w:val="00941C4A"/>
    <w:rsid w:val="0094501E"/>
    <w:rsid w:val="0094564D"/>
    <w:rsid w:val="00945B62"/>
    <w:rsid w:val="009477E9"/>
    <w:rsid w:val="00950057"/>
    <w:rsid w:val="0095155F"/>
    <w:rsid w:val="00951C80"/>
    <w:rsid w:val="00951D36"/>
    <w:rsid w:val="009529AF"/>
    <w:rsid w:val="009534AF"/>
    <w:rsid w:val="00954429"/>
    <w:rsid w:val="00955DB2"/>
    <w:rsid w:val="00955F82"/>
    <w:rsid w:val="009563CE"/>
    <w:rsid w:val="0095668A"/>
    <w:rsid w:val="009604DC"/>
    <w:rsid w:val="00960908"/>
    <w:rsid w:val="009612CE"/>
    <w:rsid w:val="009634DC"/>
    <w:rsid w:val="0096351D"/>
    <w:rsid w:val="00963B74"/>
    <w:rsid w:val="009658C8"/>
    <w:rsid w:val="00965DCB"/>
    <w:rsid w:val="00966A83"/>
    <w:rsid w:val="0096724A"/>
    <w:rsid w:val="00967452"/>
    <w:rsid w:val="0096757B"/>
    <w:rsid w:val="00967A73"/>
    <w:rsid w:val="00970525"/>
    <w:rsid w:val="009708BA"/>
    <w:rsid w:val="00970CC7"/>
    <w:rsid w:val="00971AD6"/>
    <w:rsid w:val="00973FB1"/>
    <w:rsid w:val="009748AD"/>
    <w:rsid w:val="00976328"/>
    <w:rsid w:val="0097680D"/>
    <w:rsid w:val="0097773B"/>
    <w:rsid w:val="00977FF8"/>
    <w:rsid w:val="00980390"/>
    <w:rsid w:val="00980E9A"/>
    <w:rsid w:val="00981049"/>
    <w:rsid w:val="00981610"/>
    <w:rsid w:val="00981FF5"/>
    <w:rsid w:val="009820F2"/>
    <w:rsid w:val="009821BE"/>
    <w:rsid w:val="0098230A"/>
    <w:rsid w:val="00982438"/>
    <w:rsid w:val="00982910"/>
    <w:rsid w:val="009829C0"/>
    <w:rsid w:val="00983BC3"/>
    <w:rsid w:val="00983BEB"/>
    <w:rsid w:val="00983CDA"/>
    <w:rsid w:val="0098404C"/>
    <w:rsid w:val="00984DC0"/>
    <w:rsid w:val="00985283"/>
    <w:rsid w:val="009872CD"/>
    <w:rsid w:val="009878F5"/>
    <w:rsid w:val="00991F1A"/>
    <w:rsid w:val="00992882"/>
    <w:rsid w:val="00993335"/>
    <w:rsid w:val="00994266"/>
    <w:rsid w:val="009949DC"/>
    <w:rsid w:val="00994FC9"/>
    <w:rsid w:val="00995983"/>
    <w:rsid w:val="00995992"/>
    <w:rsid w:val="0099663B"/>
    <w:rsid w:val="009A03E5"/>
    <w:rsid w:val="009A0440"/>
    <w:rsid w:val="009A0C0E"/>
    <w:rsid w:val="009A0F3B"/>
    <w:rsid w:val="009A1BB4"/>
    <w:rsid w:val="009A24A6"/>
    <w:rsid w:val="009A2628"/>
    <w:rsid w:val="009A263B"/>
    <w:rsid w:val="009A2AC0"/>
    <w:rsid w:val="009A2AEA"/>
    <w:rsid w:val="009A3200"/>
    <w:rsid w:val="009A35B0"/>
    <w:rsid w:val="009A3B6B"/>
    <w:rsid w:val="009A3D81"/>
    <w:rsid w:val="009A3F37"/>
    <w:rsid w:val="009A4113"/>
    <w:rsid w:val="009A5029"/>
    <w:rsid w:val="009A6A45"/>
    <w:rsid w:val="009A6C78"/>
    <w:rsid w:val="009A7619"/>
    <w:rsid w:val="009A7FBB"/>
    <w:rsid w:val="009B0864"/>
    <w:rsid w:val="009B0897"/>
    <w:rsid w:val="009B0979"/>
    <w:rsid w:val="009B1AF4"/>
    <w:rsid w:val="009B2C7C"/>
    <w:rsid w:val="009B2DA8"/>
    <w:rsid w:val="009B40AB"/>
    <w:rsid w:val="009B476C"/>
    <w:rsid w:val="009B56F8"/>
    <w:rsid w:val="009B68E7"/>
    <w:rsid w:val="009B72B5"/>
    <w:rsid w:val="009B7BD9"/>
    <w:rsid w:val="009C085B"/>
    <w:rsid w:val="009C0CC7"/>
    <w:rsid w:val="009C1A78"/>
    <w:rsid w:val="009C20BA"/>
    <w:rsid w:val="009C3125"/>
    <w:rsid w:val="009C34F8"/>
    <w:rsid w:val="009C3C54"/>
    <w:rsid w:val="009C7DD5"/>
    <w:rsid w:val="009D0723"/>
    <w:rsid w:val="009D1519"/>
    <w:rsid w:val="009D182C"/>
    <w:rsid w:val="009D1A4E"/>
    <w:rsid w:val="009D257E"/>
    <w:rsid w:val="009D29F4"/>
    <w:rsid w:val="009D3140"/>
    <w:rsid w:val="009D4816"/>
    <w:rsid w:val="009D49C1"/>
    <w:rsid w:val="009D4A0B"/>
    <w:rsid w:val="009D5159"/>
    <w:rsid w:val="009D63A2"/>
    <w:rsid w:val="009D6A9B"/>
    <w:rsid w:val="009D6FC4"/>
    <w:rsid w:val="009D7133"/>
    <w:rsid w:val="009D7EC8"/>
    <w:rsid w:val="009E125A"/>
    <w:rsid w:val="009E1644"/>
    <w:rsid w:val="009E1CE8"/>
    <w:rsid w:val="009E227D"/>
    <w:rsid w:val="009E28CB"/>
    <w:rsid w:val="009E2CAA"/>
    <w:rsid w:val="009E4F77"/>
    <w:rsid w:val="009E5019"/>
    <w:rsid w:val="009E5167"/>
    <w:rsid w:val="009E54D9"/>
    <w:rsid w:val="009E57AF"/>
    <w:rsid w:val="009E5FCC"/>
    <w:rsid w:val="009E77D1"/>
    <w:rsid w:val="009F0136"/>
    <w:rsid w:val="009F1A53"/>
    <w:rsid w:val="009F37D8"/>
    <w:rsid w:val="009F5BA9"/>
    <w:rsid w:val="009F6A20"/>
    <w:rsid w:val="009F72BA"/>
    <w:rsid w:val="009F7C2B"/>
    <w:rsid w:val="00A00AF5"/>
    <w:rsid w:val="00A02550"/>
    <w:rsid w:val="00A02AFD"/>
    <w:rsid w:val="00A02DF4"/>
    <w:rsid w:val="00A032E1"/>
    <w:rsid w:val="00A032FC"/>
    <w:rsid w:val="00A03958"/>
    <w:rsid w:val="00A03AED"/>
    <w:rsid w:val="00A03BC4"/>
    <w:rsid w:val="00A03C01"/>
    <w:rsid w:val="00A03CB5"/>
    <w:rsid w:val="00A03D0B"/>
    <w:rsid w:val="00A04B9C"/>
    <w:rsid w:val="00A04F1B"/>
    <w:rsid w:val="00A0501B"/>
    <w:rsid w:val="00A06B55"/>
    <w:rsid w:val="00A076A3"/>
    <w:rsid w:val="00A077BF"/>
    <w:rsid w:val="00A07F4C"/>
    <w:rsid w:val="00A10E20"/>
    <w:rsid w:val="00A11416"/>
    <w:rsid w:val="00A11B83"/>
    <w:rsid w:val="00A11E3A"/>
    <w:rsid w:val="00A11EE1"/>
    <w:rsid w:val="00A12373"/>
    <w:rsid w:val="00A123EB"/>
    <w:rsid w:val="00A127B4"/>
    <w:rsid w:val="00A13062"/>
    <w:rsid w:val="00A13338"/>
    <w:rsid w:val="00A14947"/>
    <w:rsid w:val="00A15539"/>
    <w:rsid w:val="00A158FE"/>
    <w:rsid w:val="00A17448"/>
    <w:rsid w:val="00A20650"/>
    <w:rsid w:val="00A20FA9"/>
    <w:rsid w:val="00A210EC"/>
    <w:rsid w:val="00A22C12"/>
    <w:rsid w:val="00A23290"/>
    <w:rsid w:val="00A242AD"/>
    <w:rsid w:val="00A26901"/>
    <w:rsid w:val="00A26D16"/>
    <w:rsid w:val="00A2762A"/>
    <w:rsid w:val="00A27949"/>
    <w:rsid w:val="00A27E7C"/>
    <w:rsid w:val="00A31C6B"/>
    <w:rsid w:val="00A32237"/>
    <w:rsid w:val="00A32A83"/>
    <w:rsid w:val="00A32EAC"/>
    <w:rsid w:val="00A334EB"/>
    <w:rsid w:val="00A33A98"/>
    <w:rsid w:val="00A348E7"/>
    <w:rsid w:val="00A368DB"/>
    <w:rsid w:val="00A40589"/>
    <w:rsid w:val="00A4069F"/>
    <w:rsid w:val="00A408C5"/>
    <w:rsid w:val="00A41127"/>
    <w:rsid w:val="00A411E1"/>
    <w:rsid w:val="00A423AA"/>
    <w:rsid w:val="00A42572"/>
    <w:rsid w:val="00A42ABA"/>
    <w:rsid w:val="00A42AEE"/>
    <w:rsid w:val="00A435A9"/>
    <w:rsid w:val="00A43DCF"/>
    <w:rsid w:val="00A448A1"/>
    <w:rsid w:val="00A44F67"/>
    <w:rsid w:val="00A45ACC"/>
    <w:rsid w:val="00A45C85"/>
    <w:rsid w:val="00A47947"/>
    <w:rsid w:val="00A501B2"/>
    <w:rsid w:val="00A51A9B"/>
    <w:rsid w:val="00A53344"/>
    <w:rsid w:val="00A53BDF"/>
    <w:rsid w:val="00A53EC6"/>
    <w:rsid w:val="00A55037"/>
    <w:rsid w:val="00A551A9"/>
    <w:rsid w:val="00A552C5"/>
    <w:rsid w:val="00A55C0F"/>
    <w:rsid w:val="00A55F36"/>
    <w:rsid w:val="00A574AB"/>
    <w:rsid w:val="00A579F3"/>
    <w:rsid w:val="00A57BBD"/>
    <w:rsid w:val="00A6072E"/>
    <w:rsid w:val="00A60A35"/>
    <w:rsid w:val="00A60AC6"/>
    <w:rsid w:val="00A60F34"/>
    <w:rsid w:val="00A62BFC"/>
    <w:rsid w:val="00A63402"/>
    <w:rsid w:val="00A63D68"/>
    <w:rsid w:val="00A6462B"/>
    <w:rsid w:val="00A66111"/>
    <w:rsid w:val="00A6612E"/>
    <w:rsid w:val="00A6642B"/>
    <w:rsid w:val="00A672F9"/>
    <w:rsid w:val="00A67865"/>
    <w:rsid w:val="00A70E31"/>
    <w:rsid w:val="00A711F9"/>
    <w:rsid w:val="00A712A2"/>
    <w:rsid w:val="00A715F4"/>
    <w:rsid w:val="00A71F48"/>
    <w:rsid w:val="00A726C2"/>
    <w:rsid w:val="00A736DF"/>
    <w:rsid w:val="00A7384C"/>
    <w:rsid w:val="00A73B0F"/>
    <w:rsid w:val="00A73F61"/>
    <w:rsid w:val="00A75841"/>
    <w:rsid w:val="00A777D1"/>
    <w:rsid w:val="00A77C1D"/>
    <w:rsid w:val="00A800ED"/>
    <w:rsid w:val="00A80BCC"/>
    <w:rsid w:val="00A80D76"/>
    <w:rsid w:val="00A841C4"/>
    <w:rsid w:val="00A85811"/>
    <w:rsid w:val="00A8591A"/>
    <w:rsid w:val="00A86288"/>
    <w:rsid w:val="00A86364"/>
    <w:rsid w:val="00A8686F"/>
    <w:rsid w:val="00A8713F"/>
    <w:rsid w:val="00A9021A"/>
    <w:rsid w:val="00A90926"/>
    <w:rsid w:val="00A90A4B"/>
    <w:rsid w:val="00A90BA1"/>
    <w:rsid w:val="00A90E01"/>
    <w:rsid w:val="00A91317"/>
    <w:rsid w:val="00A91777"/>
    <w:rsid w:val="00A91BDD"/>
    <w:rsid w:val="00A91C23"/>
    <w:rsid w:val="00A91F72"/>
    <w:rsid w:val="00A92562"/>
    <w:rsid w:val="00A92843"/>
    <w:rsid w:val="00A954AF"/>
    <w:rsid w:val="00A95513"/>
    <w:rsid w:val="00A95814"/>
    <w:rsid w:val="00A95F44"/>
    <w:rsid w:val="00A96A18"/>
    <w:rsid w:val="00A9740D"/>
    <w:rsid w:val="00A9766F"/>
    <w:rsid w:val="00A97A9A"/>
    <w:rsid w:val="00AA0671"/>
    <w:rsid w:val="00AA0FB4"/>
    <w:rsid w:val="00AA10BC"/>
    <w:rsid w:val="00AA1767"/>
    <w:rsid w:val="00AA1D30"/>
    <w:rsid w:val="00AA236D"/>
    <w:rsid w:val="00AA2531"/>
    <w:rsid w:val="00AA28F1"/>
    <w:rsid w:val="00AA2B4E"/>
    <w:rsid w:val="00AA3CCC"/>
    <w:rsid w:val="00AA5708"/>
    <w:rsid w:val="00AA5D4A"/>
    <w:rsid w:val="00AB09DC"/>
    <w:rsid w:val="00AB1E09"/>
    <w:rsid w:val="00AB2969"/>
    <w:rsid w:val="00AB2DE2"/>
    <w:rsid w:val="00AB5330"/>
    <w:rsid w:val="00AB57B6"/>
    <w:rsid w:val="00AB6061"/>
    <w:rsid w:val="00AB62FC"/>
    <w:rsid w:val="00AB7747"/>
    <w:rsid w:val="00AB78BE"/>
    <w:rsid w:val="00AC08F8"/>
    <w:rsid w:val="00AC0D52"/>
    <w:rsid w:val="00AC14CE"/>
    <w:rsid w:val="00AC2130"/>
    <w:rsid w:val="00AC2A56"/>
    <w:rsid w:val="00AC2A7A"/>
    <w:rsid w:val="00AC31F9"/>
    <w:rsid w:val="00AC35D0"/>
    <w:rsid w:val="00AC36F7"/>
    <w:rsid w:val="00AC394F"/>
    <w:rsid w:val="00AC54EA"/>
    <w:rsid w:val="00AC55C8"/>
    <w:rsid w:val="00AC6CF8"/>
    <w:rsid w:val="00AC6FAD"/>
    <w:rsid w:val="00AC7625"/>
    <w:rsid w:val="00AD055E"/>
    <w:rsid w:val="00AD05BD"/>
    <w:rsid w:val="00AD228B"/>
    <w:rsid w:val="00AD24BF"/>
    <w:rsid w:val="00AD3BB2"/>
    <w:rsid w:val="00AD3D36"/>
    <w:rsid w:val="00AD4395"/>
    <w:rsid w:val="00AD47A7"/>
    <w:rsid w:val="00AD4938"/>
    <w:rsid w:val="00AD4B65"/>
    <w:rsid w:val="00AD56B8"/>
    <w:rsid w:val="00AD59A0"/>
    <w:rsid w:val="00AD5F78"/>
    <w:rsid w:val="00AD69C6"/>
    <w:rsid w:val="00AD6B7D"/>
    <w:rsid w:val="00AD7273"/>
    <w:rsid w:val="00AE0415"/>
    <w:rsid w:val="00AE170A"/>
    <w:rsid w:val="00AE3877"/>
    <w:rsid w:val="00AE51AE"/>
    <w:rsid w:val="00AE635D"/>
    <w:rsid w:val="00AE7098"/>
    <w:rsid w:val="00AE76B0"/>
    <w:rsid w:val="00AE787F"/>
    <w:rsid w:val="00AE7EB0"/>
    <w:rsid w:val="00AF0CBF"/>
    <w:rsid w:val="00AF0FEA"/>
    <w:rsid w:val="00AF10B0"/>
    <w:rsid w:val="00AF257F"/>
    <w:rsid w:val="00AF33CF"/>
    <w:rsid w:val="00AF4D50"/>
    <w:rsid w:val="00AF4DEC"/>
    <w:rsid w:val="00AF4E22"/>
    <w:rsid w:val="00AF57B2"/>
    <w:rsid w:val="00AF57CB"/>
    <w:rsid w:val="00AF58D2"/>
    <w:rsid w:val="00AF5F03"/>
    <w:rsid w:val="00AF5FA5"/>
    <w:rsid w:val="00AF6151"/>
    <w:rsid w:val="00AF6179"/>
    <w:rsid w:val="00AF7A13"/>
    <w:rsid w:val="00B007F7"/>
    <w:rsid w:val="00B00859"/>
    <w:rsid w:val="00B01E0B"/>
    <w:rsid w:val="00B02561"/>
    <w:rsid w:val="00B02D4E"/>
    <w:rsid w:val="00B03268"/>
    <w:rsid w:val="00B03EDD"/>
    <w:rsid w:val="00B0422F"/>
    <w:rsid w:val="00B0549B"/>
    <w:rsid w:val="00B05F78"/>
    <w:rsid w:val="00B06854"/>
    <w:rsid w:val="00B06E35"/>
    <w:rsid w:val="00B074A4"/>
    <w:rsid w:val="00B075B6"/>
    <w:rsid w:val="00B07EB7"/>
    <w:rsid w:val="00B103F3"/>
    <w:rsid w:val="00B10599"/>
    <w:rsid w:val="00B1087A"/>
    <w:rsid w:val="00B11469"/>
    <w:rsid w:val="00B1195D"/>
    <w:rsid w:val="00B1295A"/>
    <w:rsid w:val="00B12A7E"/>
    <w:rsid w:val="00B12E86"/>
    <w:rsid w:val="00B12EE3"/>
    <w:rsid w:val="00B14515"/>
    <w:rsid w:val="00B15FD1"/>
    <w:rsid w:val="00B160AD"/>
    <w:rsid w:val="00B161AD"/>
    <w:rsid w:val="00B20A45"/>
    <w:rsid w:val="00B20F6F"/>
    <w:rsid w:val="00B212C1"/>
    <w:rsid w:val="00B22325"/>
    <w:rsid w:val="00B224C2"/>
    <w:rsid w:val="00B22969"/>
    <w:rsid w:val="00B22B3A"/>
    <w:rsid w:val="00B22C5C"/>
    <w:rsid w:val="00B22EED"/>
    <w:rsid w:val="00B230CD"/>
    <w:rsid w:val="00B23D49"/>
    <w:rsid w:val="00B24048"/>
    <w:rsid w:val="00B24B92"/>
    <w:rsid w:val="00B24CC8"/>
    <w:rsid w:val="00B24E1F"/>
    <w:rsid w:val="00B24F30"/>
    <w:rsid w:val="00B25CED"/>
    <w:rsid w:val="00B25FF1"/>
    <w:rsid w:val="00B26918"/>
    <w:rsid w:val="00B30330"/>
    <w:rsid w:val="00B304C1"/>
    <w:rsid w:val="00B30983"/>
    <w:rsid w:val="00B31ABF"/>
    <w:rsid w:val="00B320E9"/>
    <w:rsid w:val="00B32BAC"/>
    <w:rsid w:val="00B32C42"/>
    <w:rsid w:val="00B33BE3"/>
    <w:rsid w:val="00B33DD9"/>
    <w:rsid w:val="00B34C82"/>
    <w:rsid w:val="00B34E50"/>
    <w:rsid w:val="00B350F7"/>
    <w:rsid w:val="00B372DC"/>
    <w:rsid w:val="00B40127"/>
    <w:rsid w:val="00B40AA2"/>
    <w:rsid w:val="00B411A9"/>
    <w:rsid w:val="00B41609"/>
    <w:rsid w:val="00B4164C"/>
    <w:rsid w:val="00B426AC"/>
    <w:rsid w:val="00B427E8"/>
    <w:rsid w:val="00B4295A"/>
    <w:rsid w:val="00B44840"/>
    <w:rsid w:val="00B44DD2"/>
    <w:rsid w:val="00B44EA4"/>
    <w:rsid w:val="00B45820"/>
    <w:rsid w:val="00B4661F"/>
    <w:rsid w:val="00B46904"/>
    <w:rsid w:val="00B476EF"/>
    <w:rsid w:val="00B4797F"/>
    <w:rsid w:val="00B50632"/>
    <w:rsid w:val="00B5272D"/>
    <w:rsid w:val="00B53190"/>
    <w:rsid w:val="00B53428"/>
    <w:rsid w:val="00B53AC0"/>
    <w:rsid w:val="00B53B5D"/>
    <w:rsid w:val="00B53E2D"/>
    <w:rsid w:val="00B54507"/>
    <w:rsid w:val="00B54B64"/>
    <w:rsid w:val="00B559D3"/>
    <w:rsid w:val="00B57E1C"/>
    <w:rsid w:val="00B601E3"/>
    <w:rsid w:val="00B6055E"/>
    <w:rsid w:val="00B60F3F"/>
    <w:rsid w:val="00B6317D"/>
    <w:rsid w:val="00B64044"/>
    <w:rsid w:val="00B64140"/>
    <w:rsid w:val="00B66D37"/>
    <w:rsid w:val="00B6723D"/>
    <w:rsid w:val="00B67948"/>
    <w:rsid w:val="00B67CED"/>
    <w:rsid w:val="00B70DBB"/>
    <w:rsid w:val="00B71198"/>
    <w:rsid w:val="00B71B26"/>
    <w:rsid w:val="00B7414B"/>
    <w:rsid w:val="00B74793"/>
    <w:rsid w:val="00B761E2"/>
    <w:rsid w:val="00B76F28"/>
    <w:rsid w:val="00B7723F"/>
    <w:rsid w:val="00B80534"/>
    <w:rsid w:val="00B817E0"/>
    <w:rsid w:val="00B82856"/>
    <w:rsid w:val="00B836D7"/>
    <w:rsid w:val="00B8433C"/>
    <w:rsid w:val="00B84AEF"/>
    <w:rsid w:val="00B8657F"/>
    <w:rsid w:val="00B87491"/>
    <w:rsid w:val="00B879B0"/>
    <w:rsid w:val="00B87BF4"/>
    <w:rsid w:val="00B87EE8"/>
    <w:rsid w:val="00B911F1"/>
    <w:rsid w:val="00B92BB6"/>
    <w:rsid w:val="00B92E50"/>
    <w:rsid w:val="00B95422"/>
    <w:rsid w:val="00B955FC"/>
    <w:rsid w:val="00B978C8"/>
    <w:rsid w:val="00BA0B28"/>
    <w:rsid w:val="00BA167D"/>
    <w:rsid w:val="00BA1F37"/>
    <w:rsid w:val="00BA2304"/>
    <w:rsid w:val="00BA29E9"/>
    <w:rsid w:val="00BA47F8"/>
    <w:rsid w:val="00BA4AE9"/>
    <w:rsid w:val="00BA50A6"/>
    <w:rsid w:val="00BA58B5"/>
    <w:rsid w:val="00BA711A"/>
    <w:rsid w:val="00BA7142"/>
    <w:rsid w:val="00BB1F98"/>
    <w:rsid w:val="00BB2060"/>
    <w:rsid w:val="00BB237C"/>
    <w:rsid w:val="00BB23F3"/>
    <w:rsid w:val="00BB25E1"/>
    <w:rsid w:val="00BB2756"/>
    <w:rsid w:val="00BB30D4"/>
    <w:rsid w:val="00BB32DD"/>
    <w:rsid w:val="00BB3383"/>
    <w:rsid w:val="00BB3776"/>
    <w:rsid w:val="00BB3FC6"/>
    <w:rsid w:val="00BB41A3"/>
    <w:rsid w:val="00BB5872"/>
    <w:rsid w:val="00BB6158"/>
    <w:rsid w:val="00BB72AF"/>
    <w:rsid w:val="00BB7501"/>
    <w:rsid w:val="00BB771A"/>
    <w:rsid w:val="00BB775B"/>
    <w:rsid w:val="00BC109C"/>
    <w:rsid w:val="00BC133A"/>
    <w:rsid w:val="00BC1D5C"/>
    <w:rsid w:val="00BC1FB0"/>
    <w:rsid w:val="00BC293A"/>
    <w:rsid w:val="00BC32DC"/>
    <w:rsid w:val="00BC35B6"/>
    <w:rsid w:val="00BC55B2"/>
    <w:rsid w:val="00BC5822"/>
    <w:rsid w:val="00BC621B"/>
    <w:rsid w:val="00BC6BE9"/>
    <w:rsid w:val="00BC7065"/>
    <w:rsid w:val="00BD00BB"/>
    <w:rsid w:val="00BD060A"/>
    <w:rsid w:val="00BD066F"/>
    <w:rsid w:val="00BD09F1"/>
    <w:rsid w:val="00BD1B51"/>
    <w:rsid w:val="00BD261F"/>
    <w:rsid w:val="00BD2646"/>
    <w:rsid w:val="00BD2716"/>
    <w:rsid w:val="00BD2BC2"/>
    <w:rsid w:val="00BD35C0"/>
    <w:rsid w:val="00BD4263"/>
    <w:rsid w:val="00BD4596"/>
    <w:rsid w:val="00BD50FC"/>
    <w:rsid w:val="00BD5148"/>
    <w:rsid w:val="00BD6419"/>
    <w:rsid w:val="00BE1405"/>
    <w:rsid w:val="00BE1693"/>
    <w:rsid w:val="00BE199D"/>
    <w:rsid w:val="00BE1BD8"/>
    <w:rsid w:val="00BE26E4"/>
    <w:rsid w:val="00BE2ED8"/>
    <w:rsid w:val="00BE3080"/>
    <w:rsid w:val="00BE30D4"/>
    <w:rsid w:val="00BE312D"/>
    <w:rsid w:val="00BE3F4F"/>
    <w:rsid w:val="00BE401F"/>
    <w:rsid w:val="00BE473B"/>
    <w:rsid w:val="00BE4A2D"/>
    <w:rsid w:val="00BE53BD"/>
    <w:rsid w:val="00BE602E"/>
    <w:rsid w:val="00BE65C6"/>
    <w:rsid w:val="00BE70A5"/>
    <w:rsid w:val="00BE7FE2"/>
    <w:rsid w:val="00BF014B"/>
    <w:rsid w:val="00BF03A9"/>
    <w:rsid w:val="00BF0EB4"/>
    <w:rsid w:val="00BF1C20"/>
    <w:rsid w:val="00BF24D8"/>
    <w:rsid w:val="00BF42C4"/>
    <w:rsid w:val="00BF5C20"/>
    <w:rsid w:val="00BF677C"/>
    <w:rsid w:val="00BF68BE"/>
    <w:rsid w:val="00BF7E90"/>
    <w:rsid w:val="00C001C3"/>
    <w:rsid w:val="00C01BEA"/>
    <w:rsid w:val="00C01D33"/>
    <w:rsid w:val="00C02429"/>
    <w:rsid w:val="00C0259B"/>
    <w:rsid w:val="00C02C92"/>
    <w:rsid w:val="00C031FD"/>
    <w:rsid w:val="00C03B39"/>
    <w:rsid w:val="00C040F8"/>
    <w:rsid w:val="00C04DE3"/>
    <w:rsid w:val="00C04F28"/>
    <w:rsid w:val="00C0562C"/>
    <w:rsid w:val="00C05746"/>
    <w:rsid w:val="00C058CF"/>
    <w:rsid w:val="00C059D4"/>
    <w:rsid w:val="00C069F3"/>
    <w:rsid w:val="00C10578"/>
    <w:rsid w:val="00C10A76"/>
    <w:rsid w:val="00C11104"/>
    <w:rsid w:val="00C12354"/>
    <w:rsid w:val="00C1235E"/>
    <w:rsid w:val="00C13196"/>
    <w:rsid w:val="00C135BC"/>
    <w:rsid w:val="00C1442C"/>
    <w:rsid w:val="00C14B91"/>
    <w:rsid w:val="00C150DA"/>
    <w:rsid w:val="00C15C95"/>
    <w:rsid w:val="00C15E04"/>
    <w:rsid w:val="00C16270"/>
    <w:rsid w:val="00C2085E"/>
    <w:rsid w:val="00C20E83"/>
    <w:rsid w:val="00C2190F"/>
    <w:rsid w:val="00C21CF1"/>
    <w:rsid w:val="00C21EA5"/>
    <w:rsid w:val="00C22198"/>
    <w:rsid w:val="00C22756"/>
    <w:rsid w:val="00C228C7"/>
    <w:rsid w:val="00C22C68"/>
    <w:rsid w:val="00C240F5"/>
    <w:rsid w:val="00C2485C"/>
    <w:rsid w:val="00C24889"/>
    <w:rsid w:val="00C24A78"/>
    <w:rsid w:val="00C24AF0"/>
    <w:rsid w:val="00C2596A"/>
    <w:rsid w:val="00C25E75"/>
    <w:rsid w:val="00C26291"/>
    <w:rsid w:val="00C27537"/>
    <w:rsid w:val="00C279A5"/>
    <w:rsid w:val="00C27FFB"/>
    <w:rsid w:val="00C30001"/>
    <w:rsid w:val="00C319BA"/>
    <w:rsid w:val="00C3200B"/>
    <w:rsid w:val="00C328FE"/>
    <w:rsid w:val="00C32D38"/>
    <w:rsid w:val="00C32ECB"/>
    <w:rsid w:val="00C330EC"/>
    <w:rsid w:val="00C33102"/>
    <w:rsid w:val="00C33116"/>
    <w:rsid w:val="00C33302"/>
    <w:rsid w:val="00C33379"/>
    <w:rsid w:val="00C33507"/>
    <w:rsid w:val="00C355D8"/>
    <w:rsid w:val="00C35C54"/>
    <w:rsid w:val="00C35D8B"/>
    <w:rsid w:val="00C3618C"/>
    <w:rsid w:val="00C364DE"/>
    <w:rsid w:val="00C36F73"/>
    <w:rsid w:val="00C37845"/>
    <w:rsid w:val="00C40335"/>
    <w:rsid w:val="00C415F0"/>
    <w:rsid w:val="00C43101"/>
    <w:rsid w:val="00C4409D"/>
    <w:rsid w:val="00C444E5"/>
    <w:rsid w:val="00C44E72"/>
    <w:rsid w:val="00C45A06"/>
    <w:rsid w:val="00C46597"/>
    <w:rsid w:val="00C46B15"/>
    <w:rsid w:val="00C46BBB"/>
    <w:rsid w:val="00C46EF0"/>
    <w:rsid w:val="00C47E5B"/>
    <w:rsid w:val="00C5021F"/>
    <w:rsid w:val="00C504BF"/>
    <w:rsid w:val="00C508C1"/>
    <w:rsid w:val="00C517C7"/>
    <w:rsid w:val="00C51FB2"/>
    <w:rsid w:val="00C52DCD"/>
    <w:rsid w:val="00C53569"/>
    <w:rsid w:val="00C53E27"/>
    <w:rsid w:val="00C54EFA"/>
    <w:rsid w:val="00C5538B"/>
    <w:rsid w:val="00C605F4"/>
    <w:rsid w:val="00C60ECB"/>
    <w:rsid w:val="00C617BF"/>
    <w:rsid w:val="00C6191C"/>
    <w:rsid w:val="00C61E4B"/>
    <w:rsid w:val="00C6238F"/>
    <w:rsid w:val="00C62BB1"/>
    <w:rsid w:val="00C64591"/>
    <w:rsid w:val="00C645EA"/>
    <w:rsid w:val="00C64BFF"/>
    <w:rsid w:val="00C65B33"/>
    <w:rsid w:val="00C65EFB"/>
    <w:rsid w:val="00C66032"/>
    <w:rsid w:val="00C66850"/>
    <w:rsid w:val="00C66B6E"/>
    <w:rsid w:val="00C704E9"/>
    <w:rsid w:val="00C71393"/>
    <w:rsid w:val="00C72A14"/>
    <w:rsid w:val="00C72E33"/>
    <w:rsid w:val="00C737A6"/>
    <w:rsid w:val="00C73C79"/>
    <w:rsid w:val="00C74062"/>
    <w:rsid w:val="00C74274"/>
    <w:rsid w:val="00C74865"/>
    <w:rsid w:val="00C750CD"/>
    <w:rsid w:val="00C763C9"/>
    <w:rsid w:val="00C76AB8"/>
    <w:rsid w:val="00C76EE9"/>
    <w:rsid w:val="00C77FA5"/>
    <w:rsid w:val="00C80057"/>
    <w:rsid w:val="00C805CE"/>
    <w:rsid w:val="00C81B9A"/>
    <w:rsid w:val="00C82232"/>
    <w:rsid w:val="00C8241D"/>
    <w:rsid w:val="00C82913"/>
    <w:rsid w:val="00C82D4D"/>
    <w:rsid w:val="00C83424"/>
    <w:rsid w:val="00C83748"/>
    <w:rsid w:val="00C83BFB"/>
    <w:rsid w:val="00C858C4"/>
    <w:rsid w:val="00C85D00"/>
    <w:rsid w:val="00C875BE"/>
    <w:rsid w:val="00C87AD3"/>
    <w:rsid w:val="00C90055"/>
    <w:rsid w:val="00C9020E"/>
    <w:rsid w:val="00C9238F"/>
    <w:rsid w:val="00C93A47"/>
    <w:rsid w:val="00C942A2"/>
    <w:rsid w:val="00C94F35"/>
    <w:rsid w:val="00C95214"/>
    <w:rsid w:val="00C95A9E"/>
    <w:rsid w:val="00C962DF"/>
    <w:rsid w:val="00C9715C"/>
    <w:rsid w:val="00C972B1"/>
    <w:rsid w:val="00C97764"/>
    <w:rsid w:val="00C97C39"/>
    <w:rsid w:val="00C97DC6"/>
    <w:rsid w:val="00CA0E01"/>
    <w:rsid w:val="00CA13D7"/>
    <w:rsid w:val="00CA23F7"/>
    <w:rsid w:val="00CA2CCE"/>
    <w:rsid w:val="00CA2DAB"/>
    <w:rsid w:val="00CA43FD"/>
    <w:rsid w:val="00CA4467"/>
    <w:rsid w:val="00CA511D"/>
    <w:rsid w:val="00CA5224"/>
    <w:rsid w:val="00CA5A6B"/>
    <w:rsid w:val="00CA5AAB"/>
    <w:rsid w:val="00CA62B6"/>
    <w:rsid w:val="00CA6B61"/>
    <w:rsid w:val="00CA7EF8"/>
    <w:rsid w:val="00CA7F9F"/>
    <w:rsid w:val="00CB195A"/>
    <w:rsid w:val="00CB2E91"/>
    <w:rsid w:val="00CB2F42"/>
    <w:rsid w:val="00CB307B"/>
    <w:rsid w:val="00CB37C3"/>
    <w:rsid w:val="00CB406F"/>
    <w:rsid w:val="00CB40C2"/>
    <w:rsid w:val="00CB53BB"/>
    <w:rsid w:val="00CB5617"/>
    <w:rsid w:val="00CB62DA"/>
    <w:rsid w:val="00CB6593"/>
    <w:rsid w:val="00CB7C13"/>
    <w:rsid w:val="00CC2D5D"/>
    <w:rsid w:val="00CC353D"/>
    <w:rsid w:val="00CC489B"/>
    <w:rsid w:val="00CC4905"/>
    <w:rsid w:val="00CC4D86"/>
    <w:rsid w:val="00CC5AD1"/>
    <w:rsid w:val="00CC78AF"/>
    <w:rsid w:val="00CD0DEF"/>
    <w:rsid w:val="00CD1708"/>
    <w:rsid w:val="00CD225A"/>
    <w:rsid w:val="00CD2BCD"/>
    <w:rsid w:val="00CD37C0"/>
    <w:rsid w:val="00CD37D3"/>
    <w:rsid w:val="00CD3A4C"/>
    <w:rsid w:val="00CD404D"/>
    <w:rsid w:val="00CD6B89"/>
    <w:rsid w:val="00CE09AD"/>
    <w:rsid w:val="00CE0BEB"/>
    <w:rsid w:val="00CE10E9"/>
    <w:rsid w:val="00CE1D48"/>
    <w:rsid w:val="00CE2536"/>
    <w:rsid w:val="00CE2910"/>
    <w:rsid w:val="00CE2B77"/>
    <w:rsid w:val="00CE3043"/>
    <w:rsid w:val="00CE30EC"/>
    <w:rsid w:val="00CE5393"/>
    <w:rsid w:val="00CE5CCA"/>
    <w:rsid w:val="00CE669A"/>
    <w:rsid w:val="00CE6CAA"/>
    <w:rsid w:val="00CE6D86"/>
    <w:rsid w:val="00CE79B0"/>
    <w:rsid w:val="00CF0451"/>
    <w:rsid w:val="00CF06F2"/>
    <w:rsid w:val="00CF0CE8"/>
    <w:rsid w:val="00CF130E"/>
    <w:rsid w:val="00CF1496"/>
    <w:rsid w:val="00CF1D4A"/>
    <w:rsid w:val="00CF22EF"/>
    <w:rsid w:val="00CF36BE"/>
    <w:rsid w:val="00CF4146"/>
    <w:rsid w:val="00CF5F38"/>
    <w:rsid w:val="00CF6000"/>
    <w:rsid w:val="00CF6AB9"/>
    <w:rsid w:val="00D00316"/>
    <w:rsid w:val="00D003F3"/>
    <w:rsid w:val="00D00AAA"/>
    <w:rsid w:val="00D00AF5"/>
    <w:rsid w:val="00D01873"/>
    <w:rsid w:val="00D01A26"/>
    <w:rsid w:val="00D01EF1"/>
    <w:rsid w:val="00D0364F"/>
    <w:rsid w:val="00D04ABB"/>
    <w:rsid w:val="00D04B5A"/>
    <w:rsid w:val="00D061DD"/>
    <w:rsid w:val="00D0648E"/>
    <w:rsid w:val="00D06834"/>
    <w:rsid w:val="00D10930"/>
    <w:rsid w:val="00D11E11"/>
    <w:rsid w:val="00D11E6B"/>
    <w:rsid w:val="00D11E73"/>
    <w:rsid w:val="00D1225C"/>
    <w:rsid w:val="00D122B1"/>
    <w:rsid w:val="00D13A0F"/>
    <w:rsid w:val="00D13B7C"/>
    <w:rsid w:val="00D13E78"/>
    <w:rsid w:val="00D14237"/>
    <w:rsid w:val="00D14D44"/>
    <w:rsid w:val="00D153B8"/>
    <w:rsid w:val="00D1674E"/>
    <w:rsid w:val="00D16B8E"/>
    <w:rsid w:val="00D170C7"/>
    <w:rsid w:val="00D2103C"/>
    <w:rsid w:val="00D2137C"/>
    <w:rsid w:val="00D213D9"/>
    <w:rsid w:val="00D22316"/>
    <w:rsid w:val="00D24451"/>
    <w:rsid w:val="00D265F8"/>
    <w:rsid w:val="00D278B1"/>
    <w:rsid w:val="00D3018B"/>
    <w:rsid w:val="00D308ED"/>
    <w:rsid w:val="00D3118C"/>
    <w:rsid w:val="00D31DBE"/>
    <w:rsid w:val="00D32C1C"/>
    <w:rsid w:val="00D331DC"/>
    <w:rsid w:val="00D3365F"/>
    <w:rsid w:val="00D33DF4"/>
    <w:rsid w:val="00D33E19"/>
    <w:rsid w:val="00D351AE"/>
    <w:rsid w:val="00D351EC"/>
    <w:rsid w:val="00D3618F"/>
    <w:rsid w:val="00D36BCE"/>
    <w:rsid w:val="00D36D86"/>
    <w:rsid w:val="00D376C9"/>
    <w:rsid w:val="00D40E11"/>
    <w:rsid w:val="00D41321"/>
    <w:rsid w:val="00D428AA"/>
    <w:rsid w:val="00D435E9"/>
    <w:rsid w:val="00D4368C"/>
    <w:rsid w:val="00D47C57"/>
    <w:rsid w:val="00D47FF5"/>
    <w:rsid w:val="00D504DB"/>
    <w:rsid w:val="00D50A34"/>
    <w:rsid w:val="00D514E0"/>
    <w:rsid w:val="00D52760"/>
    <w:rsid w:val="00D533C5"/>
    <w:rsid w:val="00D53EFA"/>
    <w:rsid w:val="00D54217"/>
    <w:rsid w:val="00D54DD8"/>
    <w:rsid w:val="00D56A59"/>
    <w:rsid w:val="00D56FF9"/>
    <w:rsid w:val="00D5705E"/>
    <w:rsid w:val="00D57E19"/>
    <w:rsid w:val="00D60153"/>
    <w:rsid w:val="00D60391"/>
    <w:rsid w:val="00D604FD"/>
    <w:rsid w:val="00D60EE8"/>
    <w:rsid w:val="00D61407"/>
    <w:rsid w:val="00D618AD"/>
    <w:rsid w:val="00D61E49"/>
    <w:rsid w:val="00D630DB"/>
    <w:rsid w:val="00D64AB8"/>
    <w:rsid w:val="00D65042"/>
    <w:rsid w:val="00D66F49"/>
    <w:rsid w:val="00D67F81"/>
    <w:rsid w:val="00D706CD"/>
    <w:rsid w:val="00D71B54"/>
    <w:rsid w:val="00D71DE7"/>
    <w:rsid w:val="00D722D5"/>
    <w:rsid w:val="00D72EAD"/>
    <w:rsid w:val="00D7372A"/>
    <w:rsid w:val="00D73959"/>
    <w:rsid w:val="00D75229"/>
    <w:rsid w:val="00D754D0"/>
    <w:rsid w:val="00D75714"/>
    <w:rsid w:val="00D75757"/>
    <w:rsid w:val="00D76E8C"/>
    <w:rsid w:val="00D77900"/>
    <w:rsid w:val="00D802C7"/>
    <w:rsid w:val="00D821BC"/>
    <w:rsid w:val="00D834D1"/>
    <w:rsid w:val="00D83C92"/>
    <w:rsid w:val="00D84849"/>
    <w:rsid w:val="00D84D59"/>
    <w:rsid w:val="00D85452"/>
    <w:rsid w:val="00D85FA4"/>
    <w:rsid w:val="00D861F6"/>
    <w:rsid w:val="00D8620F"/>
    <w:rsid w:val="00D86576"/>
    <w:rsid w:val="00D86844"/>
    <w:rsid w:val="00D90D90"/>
    <w:rsid w:val="00D919D8"/>
    <w:rsid w:val="00D92061"/>
    <w:rsid w:val="00D931A1"/>
    <w:rsid w:val="00D94A7C"/>
    <w:rsid w:val="00D95896"/>
    <w:rsid w:val="00D95FC5"/>
    <w:rsid w:val="00D96247"/>
    <w:rsid w:val="00D9677D"/>
    <w:rsid w:val="00D96E06"/>
    <w:rsid w:val="00D971FF"/>
    <w:rsid w:val="00D97351"/>
    <w:rsid w:val="00DA1239"/>
    <w:rsid w:val="00DA12B8"/>
    <w:rsid w:val="00DA1DED"/>
    <w:rsid w:val="00DA2230"/>
    <w:rsid w:val="00DA2ECE"/>
    <w:rsid w:val="00DA36BD"/>
    <w:rsid w:val="00DA55F4"/>
    <w:rsid w:val="00DA5DD1"/>
    <w:rsid w:val="00DA705C"/>
    <w:rsid w:val="00DA73BE"/>
    <w:rsid w:val="00DA7759"/>
    <w:rsid w:val="00DA7D11"/>
    <w:rsid w:val="00DB0297"/>
    <w:rsid w:val="00DB03F0"/>
    <w:rsid w:val="00DB09E0"/>
    <w:rsid w:val="00DB2983"/>
    <w:rsid w:val="00DB2CF2"/>
    <w:rsid w:val="00DB36DA"/>
    <w:rsid w:val="00DB48E7"/>
    <w:rsid w:val="00DB4AC4"/>
    <w:rsid w:val="00DB7126"/>
    <w:rsid w:val="00DB7B57"/>
    <w:rsid w:val="00DC11F7"/>
    <w:rsid w:val="00DC1257"/>
    <w:rsid w:val="00DC1392"/>
    <w:rsid w:val="00DC1412"/>
    <w:rsid w:val="00DC1950"/>
    <w:rsid w:val="00DC26BB"/>
    <w:rsid w:val="00DC2FF9"/>
    <w:rsid w:val="00DC31FC"/>
    <w:rsid w:val="00DC328F"/>
    <w:rsid w:val="00DC3DC0"/>
    <w:rsid w:val="00DC4D5C"/>
    <w:rsid w:val="00DC5784"/>
    <w:rsid w:val="00DC5948"/>
    <w:rsid w:val="00DC5B2B"/>
    <w:rsid w:val="00DC615F"/>
    <w:rsid w:val="00DC634C"/>
    <w:rsid w:val="00DC67EB"/>
    <w:rsid w:val="00DC7A67"/>
    <w:rsid w:val="00DC7D9B"/>
    <w:rsid w:val="00DC7FB0"/>
    <w:rsid w:val="00DD0A0A"/>
    <w:rsid w:val="00DD0F5C"/>
    <w:rsid w:val="00DD22A8"/>
    <w:rsid w:val="00DD2468"/>
    <w:rsid w:val="00DD318D"/>
    <w:rsid w:val="00DD3495"/>
    <w:rsid w:val="00DD4019"/>
    <w:rsid w:val="00DD414A"/>
    <w:rsid w:val="00DD45FD"/>
    <w:rsid w:val="00DD5622"/>
    <w:rsid w:val="00DD57B5"/>
    <w:rsid w:val="00DD687F"/>
    <w:rsid w:val="00DD7257"/>
    <w:rsid w:val="00DD727B"/>
    <w:rsid w:val="00DD75AD"/>
    <w:rsid w:val="00DD7BDE"/>
    <w:rsid w:val="00DE097D"/>
    <w:rsid w:val="00DE16F7"/>
    <w:rsid w:val="00DE1709"/>
    <w:rsid w:val="00DE3484"/>
    <w:rsid w:val="00DE4148"/>
    <w:rsid w:val="00DE4E6B"/>
    <w:rsid w:val="00DE5293"/>
    <w:rsid w:val="00DE569F"/>
    <w:rsid w:val="00DE6356"/>
    <w:rsid w:val="00DE646C"/>
    <w:rsid w:val="00DE692F"/>
    <w:rsid w:val="00DE73B6"/>
    <w:rsid w:val="00DE7985"/>
    <w:rsid w:val="00DE7D67"/>
    <w:rsid w:val="00DF097B"/>
    <w:rsid w:val="00DF09E8"/>
    <w:rsid w:val="00DF125E"/>
    <w:rsid w:val="00DF12FE"/>
    <w:rsid w:val="00DF2DC5"/>
    <w:rsid w:val="00DF2E12"/>
    <w:rsid w:val="00DF514A"/>
    <w:rsid w:val="00DF5AB9"/>
    <w:rsid w:val="00DF6298"/>
    <w:rsid w:val="00DF63CB"/>
    <w:rsid w:val="00DF6690"/>
    <w:rsid w:val="00DF6804"/>
    <w:rsid w:val="00DF6D29"/>
    <w:rsid w:val="00DF70A3"/>
    <w:rsid w:val="00DF7191"/>
    <w:rsid w:val="00DF7D2B"/>
    <w:rsid w:val="00E01421"/>
    <w:rsid w:val="00E017FA"/>
    <w:rsid w:val="00E02818"/>
    <w:rsid w:val="00E03554"/>
    <w:rsid w:val="00E0358D"/>
    <w:rsid w:val="00E04323"/>
    <w:rsid w:val="00E04A52"/>
    <w:rsid w:val="00E04F3D"/>
    <w:rsid w:val="00E06CA8"/>
    <w:rsid w:val="00E070A2"/>
    <w:rsid w:val="00E10598"/>
    <w:rsid w:val="00E1116D"/>
    <w:rsid w:val="00E11550"/>
    <w:rsid w:val="00E1163E"/>
    <w:rsid w:val="00E11F6D"/>
    <w:rsid w:val="00E12668"/>
    <w:rsid w:val="00E13E45"/>
    <w:rsid w:val="00E1435B"/>
    <w:rsid w:val="00E146E0"/>
    <w:rsid w:val="00E14F12"/>
    <w:rsid w:val="00E152A5"/>
    <w:rsid w:val="00E154EC"/>
    <w:rsid w:val="00E15E57"/>
    <w:rsid w:val="00E15F05"/>
    <w:rsid w:val="00E16EA6"/>
    <w:rsid w:val="00E2045B"/>
    <w:rsid w:val="00E20479"/>
    <w:rsid w:val="00E20C6D"/>
    <w:rsid w:val="00E20EFF"/>
    <w:rsid w:val="00E221CC"/>
    <w:rsid w:val="00E22ED9"/>
    <w:rsid w:val="00E22F2F"/>
    <w:rsid w:val="00E2339C"/>
    <w:rsid w:val="00E24087"/>
    <w:rsid w:val="00E2419E"/>
    <w:rsid w:val="00E24F42"/>
    <w:rsid w:val="00E25F35"/>
    <w:rsid w:val="00E2656A"/>
    <w:rsid w:val="00E26C56"/>
    <w:rsid w:val="00E27918"/>
    <w:rsid w:val="00E27CC2"/>
    <w:rsid w:val="00E27F2F"/>
    <w:rsid w:val="00E300DD"/>
    <w:rsid w:val="00E3032A"/>
    <w:rsid w:val="00E318A1"/>
    <w:rsid w:val="00E3209C"/>
    <w:rsid w:val="00E32CE1"/>
    <w:rsid w:val="00E3373B"/>
    <w:rsid w:val="00E337DB"/>
    <w:rsid w:val="00E35325"/>
    <w:rsid w:val="00E37D99"/>
    <w:rsid w:val="00E412D0"/>
    <w:rsid w:val="00E41357"/>
    <w:rsid w:val="00E4255E"/>
    <w:rsid w:val="00E42A59"/>
    <w:rsid w:val="00E439D9"/>
    <w:rsid w:val="00E43A5E"/>
    <w:rsid w:val="00E441BC"/>
    <w:rsid w:val="00E45AE2"/>
    <w:rsid w:val="00E46077"/>
    <w:rsid w:val="00E461A4"/>
    <w:rsid w:val="00E4633D"/>
    <w:rsid w:val="00E46637"/>
    <w:rsid w:val="00E46DE4"/>
    <w:rsid w:val="00E512E3"/>
    <w:rsid w:val="00E52F0D"/>
    <w:rsid w:val="00E53539"/>
    <w:rsid w:val="00E53E27"/>
    <w:rsid w:val="00E548B5"/>
    <w:rsid w:val="00E55712"/>
    <w:rsid w:val="00E55A4A"/>
    <w:rsid w:val="00E55C9F"/>
    <w:rsid w:val="00E55CD4"/>
    <w:rsid w:val="00E56322"/>
    <w:rsid w:val="00E56782"/>
    <w:rsid w:val="00E56DC0"/>
    <w:rsid w:val="00E57049"/>
    <w:rsid w:val="00E579E5"/>
    <w:rsid w:val="00E6023C"/>
    <w:rsid w:val="00E60982"/>
    <w:rsid w:val="00E60C9B"/>
    <w:rsid w:val="00E61F1F"/>
    <w:rsid w:val="00E62C62"/>
    <w:rsid w:val="00E6319B"/>
    <w:rsid w:val="00E6333A"/>
    <w:rsid w:val="00E63714"/>
    <w:rsid w:val="00E63A53"/>
    <w:rsid w:val="00E6544A"/>
    <w:rsid w:val="00E654C1"/>
    <w:rsid w:val="00E6573D"/>
    <w:rsid w:val="00E65D97"/>
    <w:rsid w:val="00E65E07"/>
    <w:rsid w:val="00E65FB9"/>
    <w:rsid w:val="00E6657F"/>
    <w:rsid w:val="00E709A7"/>
    <w:rsid w:val="00E70A6F"/>
    <w:rsid w:val="00E70F0A"/>
    <w:rsid w:val="00E71328"/>
    <w:rsid w:val="00E715B3"/>
    <w:rsid w:val="00E71B72"/>
    <w:rsid w:val="00E7244F"/>
    <w:rsid w:val="00E725C5"/>
    <w:rsid w:val="00E72A5A"/>
    <w:rsid w:val="00E73354"/>
    <w:rsid w:val="00E735E9"/>
    <w:rsid w:val="00E749A7"/>
    <w:rsid w:val="00E74ECE"/>
    <w:rsid w:val="00E760A5"/>
    <w:rsid w:val="00E76A92"/>
    <w:rsid w:val="00E77C18"/>
    <w:rsid w:val="00E8036B"/>
    <w:rsid w:val="00E80C58"/>
    <w:rsid w:val="00E82A27"/>
    <w:rsid w:val="00E83552"/>
    <w:rsid w:val="00E84A74"/>
    <w:rsid w:val="00E85687"/>
    <w:rsid w:val="00E860DC"/>
    <w:rsid w:val="00E9077F"/>
    <w:rsid w:val="00E909CC"/>
    <w:rsid w:val="00E91515"/>
    <w:rsid w:val="00E9242D"/>
    <w:rsid w:val="00E9314F"/>
    <w:rsid w:val="00E93154"/>
    <w:rsid w:val="00E937C4"/>
    <w:rsid w:val="00E93DF1"/>
    <w:rsid w:val="00E93FB4"/>
    <w:rsid w:val="00E9575D"/>
    <w:rsid w:val="00E95EA0"/>
    <w:rsid w:val="00E96915"/>
    <w:rsid w:val="00E976C8"/>
    <w:rsid w:val="00EA0BB2"/>
    <w:rsid w:val="00EA1221"/>
    <w:rsid w:val="00EA386F"/>
    <w:rsid w:val="00EA3BDE"/>
    <w:rsid w:val="00EA4718"/>
    <w:rsid w:val="00EA4C03"/>
    <w:rsid w:val="00EA553E"/>
    <w:rsid w:val="00EA6019"/>
    <w:rsid w:val="00EA6F40"/>
    <w:rsid w:val="00EA70E9"/>
    <w:rsid w:val="00EA7652"/>
    <w:rsid w:val="00EB0137"/>
    <w:rsid w:val="00EB0387"/>
    <w:rsid w:val="00EB082D"/>
    <w:rsid w:val="00EB0E31"/>
    <w:rsid w:val="00EB2144"/>
    <w:rsid w:val="00EB3579"/>
    <w:rsid w:val="00EB446F"/>
    <w:rsid w:val="00EB504F"/>
    <w:rsid w:val="00EB5255"/>
    <w:rsid w:val="00EB5C47"/>
    <w:rsid w:val="00EB5EAF"/>
    <w:rsid w:val="00EB6636"/>
    <w:rsid w:val="00EB7503"/>
    <w:rsid w:val="00EC0011"/>
    <w:rsid w:val="00EC035C"/>
    <w:rsid w:val="00EC15B8"/>
    <w:rsid w:val="00EC1C38"/>
    <w:rsid w:val="00EC21A9"/>
    <w:rsid w:val="00EC239C"/>
    <w:rsid w:val="00EC2820"/>
    <w:rsid w:val="00EC2B6E"/>
    <w:rsid w:val="00EC2CFC"/>
    <w:rsid w:val="00EC376B"/>
    <w:rsid w:val="00EC380D"/>
    <w:rsid w:val="00EC3D59"/>
    <w:rsid w:val="00EC4608"/>
    <w:rsid w:val="00EC6CAB"/>
    <w:rsid w:val="00EC6CE6"/>
    <w:rsid w:val="00EC6D1E"/>
    <w:rsid w:val="00ED0639"/>
    <w:rsid w:val="00ED0887"/>
    <w:rsid w:val="00ED166A"/>
    <w:rsid w:val="00ED1B24"/>
    <w:rsid w:val="00ED1DFB"/>
    <w:rsid w:val="00ED3C6D"/>
    <w:rsid w:val="00ED4376"/>
    <w:rsid w:val="00ED4714"/>
    <w:rsid w:val="00ED5C49"/>
    <w:rsid w:val="00ED601E"/>
    <w:rsid w:val="00ED6651"/>
    <w:rsid w:val="00ED7200"/>
    <w:rsid w:val="00EE0977"/>
    <w:rsid w:val="00EE0E44"/>
    <w:rsid w:val="00EE2C4F"/>
    <w:rsid w:val="00EE34A9"/>
    <w:rsid w:val="00EE3990"/>
    <w:rsid w:val="00EE408F"/>
    <w:rsid w:val="00EE44C3"/>
    <w:rsid w:val="00EE4CC8"/>
    <w:rsid w:val="00EE5055"/>
    <w:rsid w:val="00EE5F25"/>
    <w:rsid w:val="00EE6CE6"/>
    <w:rsid w:val="00EE71F3"/>
    <w:rsid w:val="00EE75B8"/>
    <w:rsid w:val="00EF15FF"/>
    <w:rsid w:val="00EF171D"/>
    <w:rsid w:val="00EF1A1F"/>
    <w:rsid w:val="00EF1DB6"/>
    <w:rsid w:val="00EF22CB"/>
    <w:rsid w:val="00EF32B3"/>
    <w:rsid w:val="00EF42DA"/>
    <w:rsid w:val="00EF4555"/>
    <w:rsid w:val="00EF4755"/>
    <w:rsid w:val="00EF486B"/>
    <w:rsid w:val="00EF491F"/>
    <w:rsid w:val="00EF4DC7"/>
    <w:rsid w:val="00EF4F0A"/>
    <w:rsid w:val="00EF4F39"/>
    <w:rsid w:val="00EF5404"/>
    <w:rsid w:val="00EF55EB"/>
    <w:rsid w:val="00EF7135"/>
    <w:rsid w:val="00EF7D0D"/>
    <w:rsid w:val="00F00BBF"/>
    <w:rsid w:val="00F02095"/>
    <w:rsid w:val="00F027DB"/>
    <w:rsid w:val="00F035B3"/>
    <w:rsid w:val="00F03B0F"/>
    <w:rsid w:val="00F04BE7"/>
    <w:rsid w:val="00F050A6"/>
    <w:rsid w:val="00F05C4D"/>
    <w:rsid w:val="00F05FC1"/>
    <w:rsid w:val="00F06C58"/>
    <w:rsid w:val="00F079FF"/>
    <w:rsid w:val="00F11858"/>
    <w:rsid w:val="00F11F5F"/>
    <w:rsid w:val="00F12274"/>
    <w:rsid w:val="00F124DB"/>
    <w:rsid w:val="00F12FF2"/>
    <w:rsid w:val="00F133D3"/>
    <w:rsid w:val="00F13E8D"/>
    <w:rsid w:val="00F14586"/>
    <w:rsid w:val="00F14734"/>
    <w:rsid w:val="00F14A7A"/>
    <w:rsid w:val="00F15151"/>
    <w:rsid w:val="00F15832"/>
    <w:rsid w:val="00F15905"/>
    <w:rsid w:val="00F1680B"/>
    <w:rsid w:val="00F16D72"/>
    <w:rsid w:val="00F16F91"/>
    <w:rsid w:val="00F17D1A"/>
    <w:rsid w:val="00F17E4F"/>
    <w:rsid w:val="00F20278"/>
    <w:rsid w:val="00F20402"/>
    <w:rsid w:val="00F21CE0"/>
    <w:rsid w:val="00F2226B"/>
    <w:rsid w:val="00F227AC"/>
    <w:rsid w:val="00F22985"/>
    <w:rsid w:val="00F23EF9"/>
    <w:rsid w:val="00F25CC1"/>
    <w:rsid w:val="00F27327"/>
    <w:rsid w:val="00F30739"/>
    <w:rsid w:val="00F30B5D"/>
    <w:rsid w:val="00F317B8"/>
    <w:rsid w:val="00F317EE"/>
    <w:rsid w:val="00F32B27"/>
    <w:rsid w:val="00F3383E"/>
    <w:rsid w:val="00F3426A"/>
    <w:rsid w:val="00F35EAD"/>
    <w:rsid w:val="00F362CE"/>
    <w:rsid w:val="00F36660"/>
    <w:rsid w:val="00F3694C"/>
    <w:rsid w:val="00F36AA2"/>
    <w:rsid w:val="00F37565"/>
    <w:rsid w:val="00F40E31"/>
    <w:rsid w:val="00F41E0E"/>
    <w:rsid w:val="00F41EAE"/>
    <w:rsid w:val="00F42CDF"/>
    <w:rsid w:val="00F43DD7"/>
    <w:rsid w:val="00F465A7"/>
    <w:rsid w:val="00F46FAD"/>
    <w:rsid w:val="00F47418"/>
    <w:rsid w:val="00F477E8"/>
    <w:rsid w:val="00F47C65"/>
    <w:rsid w:val="00F50B7C"/>
    <w:rsid w:val="00F512ED"/>
    <w:rsid w:val="00F51AC3"/>
    <w:rsid w:val="00F51D1D"/>
    <w:rsid w:val="00F51E5F"/>
    <w:rsid w:val="00F538EA"/>
    <w:rsid w:val="00F5461B"/>
    <w:rsid w:val="00F54CAD"/>
    <w:rsid w:val="00F55038"/>
    <w:rsid w:val="00F550E6"/>
    <w:rsid w:val="00F55451"/>
    <w:rsid w:val="00F558B9"/>
    <w:rsid w:val="00F55B2A"/>
    <w:rsid w:val="00F55E11"/>
    <w:rsid w:val="00F55ED9"/>
    <w:rsid w:val="00F56AD8"/>
    <w:rsid w:val="00F6024C"/>
    <w:rsid w:val="00F60A05"/>
    <w:rsid w:val="00F60EB9"/>
    <w:rsid w:val="00F6107A"/>
    <w:rsid w:val="00F611DF"/>
    <w:rsid w:val="00F61429"/>
    <w:rsid w:val="00F61F25"/>
    <w:rsid w:val="00F6225A"/>
    <w:rsid w:val="00F63DE4"/>
    <w:rsid w:val="00F646A7"/>
    <w:rsid w:val="00F646F2"/>
    <w:rsid w:val="00F64A7B"/>
    <w:rsid w:val="00F64A9E"/>
    <w:rsid w:val="00F652A4"/>
    <w:rsid w:val="00F6611E"/>
    <w:rsid w:val="00F6753C"/>
    <w:rsid w:val="00F6765F"/>
    <w:rsid w:val="00F6782F"/>
    <w:rsid w:val="00F7069B"/>
    <w:rsid w:val="00F7097D"/>
    <w:rsid w:val="00F70B7A"/>
    <w:rsid w:val="00F70BB7"/>
    <w:rsid w:val="00F714DE"/>
    <w:rsid w:val="00F719DF"/>
    <w:rsid w:val="00F71BAD"/>
    <w:rsid w:val="00F72081"/>
    <w:rsid w:val="00F72E24"/>
    <w:rsid w:val="00F7320E"/>
    <w:rsid w:val="00F73310"/>
    <w:rsid w:val="00F73F1D"/>
    <w:rsid w:val="00F74345"/>
    <w:rsid w:val="00F76295"/>
    <w:rsid w:val="00F766F2"/>
    <w:rsid w:val="00F7676B"/>
    <w:rsid w:val="00F76A10"/>
    <w:rsid w:val="00F77B9E"/>
    <w:rsid w:val="00F80454"/>
    <w:rsid w:val="00F80A0A"/>
    <w:rsid w:val="00F81229"/>
    <w:rsid w:val="00F81AAE"/>
    <w:rsid w:val="00F82B19"/>
    <w:rsid w:val="00F82C7E"/>
    <w:rsid w:val="00F83D73"/>
    <w:rsid w:val="00F83DAB"/>
    <w:rsid w:val="00F853F1"/>
    <w:rsid w:val="00F85C8A"/>
    <w:rsid w:val="00F8609E"/>
    <w:rsid w:val="00F869CC"/>
    <w:rsid w:val="00F8748B"/>
    <w:rsid w:val="00F876AF"/>
    <w:rsid w:val="00F901AC"/>
    <w:rsid w:val="00F90F53"/>
    <w:rsid w:val="00F91754"/>
    <w:rsid w:val="00F9212D"/>
    <w:rsid w:val="00F92150"/>
    <w:rsid w:val="00F94068"/>
    <w:rsid w:val="00F94419"/>
    <w:rsid w:val="00F94CFD"/>
    <w:rsid w:val="00F952AB"/>
    <w:rsid w:val="00F965DA"/>
    <w:rsid w:val="00F968BE"/>
    <w:rsid w:val="00F97424"/>
    <w:rsid w:val="00F97843"/>
    <w:rsid w:val="00FA1EAF"/>
    <w:rsid w:val="00FA406A"/>
    <w:rsid w:val="00FA4127"/>
    <w:rsid w:val="00FA4342"/>
    <w:rsid w:val="00FA45A3"/>
    <w:rsid w:val="00FA495F"/>
    <w:rsid w:val="00FA6C93"/>
    <w:rsid w:val="00FA7388"/>
    <w:rsid w:val="00FB11CF"/>
    <w:rsid w:val="00FB1266"/>
    <w:rsid w:val="00FB3594"/>
    <w:rsid w:val="00FB36E8"/>
    <w:rsid w:val="00FB503A"/>
    <w:rsid w:val="00FB5132"/>
    <w:rsid w:val="00FB516C"/>
    <w:rsid w:val="00FB5AFC"/>
    <w:rsid w:val="00FB5B7B"/>
    <w:rsid w:val="00FB7215"/>
    <w:rsid w:val="00FC2180"/>
    <w:rsid w:val="00FC2FD6"/>
    <w:rsid w:val="00FC3696"/>
    <w:rsid w:val="00FC36EA"/>
    <w:rsid w:val="00FC430C"/>
    <w:rsid w:val="00FC617E"/>
    <w:rsid w:val="00FC6284"/>
    <w:rsid w:val="00FC63C9"/>
    <w:rsid w:val="00FC669B"/>
    <w:rsid w:val="00FC68BD"/>
    <w:rsid w:val="00FC6DFD"/>
    <w:rsid w:val="00FC76BD"/>
    <w:rsid w:val="00FC7A4A"/>
    <w:rsid w:val="00FD0236"/>
    <w:rsid w:val="00FD18F4"/>
    <w:rsid w:val="00FD263C"/>
    <w:rsid w:val="00FD2F1A"/>
    <w:rsid w:val="00FD37DB"/>
    <w:rsid w:val="00FD3FD2"/>
    <w:rsid w:val="00FD4819"/>
    <w:rsid w:val="00FD54DB"/>
    <w:rsid w:val="00FD619F"/>
    <w:rsid w:val="00FD6BC9"/>
    <w:rsid w:val="00FD6D3B"/>
    <w:rsid w:val="00FD71F7"/>
    <w:rsid w:val="00FD73AD"/>
    <w:rsid w:val="00FD78F7"/>
    <w:rsid w:val="00FE05D6"/>
    <w:rsid w:val="00FE0E3D"/>
    <w:rsid w:val="00FE1214"/>
    <w:rsid w:val="00FE1CD4"/>
    <w:rsid w:val="00FE2CEA"/>
    <w:rsid w:val="00FE2DD3"/>
    <w:rsid w:val="00FE34D1"/>
    <w:rsid w:val="00FE3663"/>
    <w:rsid w:val="00FE3F5F"/>
    <w:rsid w:val="00FE5CD1"/>
    <w:rsid w:val="00FE6093"/>
    <w:rsid w:val="00FE65B0"/>
    <w:rsid w:val="00FE7686"/>
    <w:rsid w:val="00FF0F18"/>
    <w:rsid w:val="00FF133E"/>
    <w:rsid w:val="00FF1DAD"/>
    <w:rsid w:val="00FF2089"/>
    <w:rsid w:val="00FF2723"/>
    <w:rsid w:val="00FF279B"/>
    <w:rsid w:val="00FF2E35"/>
    <w:rsid w:val="00FF5F11"/>
    <w:rsid w:val="00FF638F"/>
    <w:rsid w:val="00FF67D2"/>
    <w:rsid w:val="00FF7500"/>
    <w:rsid w:val="00FF7A60"/>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435D7D"/>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3"/>
        <o:r id="V:Rule2" type="connector" idref="#直接箭头连接符 140"/>
        <o:r id="V:Rule3" type="connector" idref="#直接箭头连接符 169"/>
        <o:r id="V:Rule4" type="connector" idref="#直接箭头连接符 196"/>
        <o:r id="V:Rule5" type="connector" idref="#直接箭头连接符 205"/>
        <o:r id="V:Rule6" type="connector" idref="#直接箭头连接符 196"/>
        <o:r id="V:Rule7" type="connector" idref="#直接箭头连接符 196"/>
        <o:r id="V:Rule8" type="connector" idref="#直接箭头连接符 196"/>
        <o:r id="V:Rule9" type="connector" idref="#直接箭头连接符 196"/>
        <o:r id="V:Rule10" type="connector" idref="#直接箭头连接符 169"/>
        <o:r id="V:Rule11" type="connector" idref="#_x0000_s2570"/>
        <o:r id="V:Rule12" type="connector" idref="#_x0000_s2572"/>
        <o:r id="V:Rule13" type="connector" idref="#_x0000_s2574"/>
        <o:r id="V:Rule14" type="connector" idref="#_x0000_s2575"/>
        <o:r id="V:Rule15" type="connector" idref="#_x0000_s2576"/>
        <o:r id="V:Rule16" type="connector" idref="#_x0000_s2577"/>
        <o:r id="V:Rule17" type="connector" idref="#_x0000_s2580"/>
        <o:r id="V:Rule18" type="connector" idref="#_x0000_s2581"/>
        <o:r id="V:Rule19" type="connector" idref="#_x0000_s2583"/>
        <o:r id="V:Rule20" type="connector" idref="#_x0000_s2585"/>
        <o:r id="V:Rule21" type="connector" idref="#_x0000_s2589"/>
        <o:r id="V:Rule22" type="connector" idref="#_x0000_s2592"/>
        <o:r id="V:Rule23" type="connector" idref="#_x0000_s2596"/>
        <o:r id="V:Rule24" type="connector" idref="#_x0000_s2599"/>
        <o:r id="V:Rule25" type="connector" idref="#_x0000_s2601"/>
        <o:r id="V:Rule26" type="connector" idref="#直接箭头连接符 196"/>
        <o:r id="V:Rule27" type="connector" idref="#直接箭头连接符 196"/>
        <o:r id="V:Rule28" type="connector" idref="#_x0000_s2611"/>
        <o:r id="V:Rule29" type="connector" idref="#_x0000_s2613"/>
        <o:r id="V:Rule30" type="connector" idref="#_x0000_s2616"/>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9" w:semiHidden="0" w:name="heading 3" w:locked="1"/>
    <w:lsdException w:qFormat="1" w:uiPriority="9"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ocked="1"/>
    <w:lsdException w:unhideWhenUsed="0" w:uiPriority="0" w:semiHidden="0" w:name="footnote text" w:locked="1"/>
    <w:lsdException w:qFormat="1" w:unhideWhenUsed="0" w:uiPriority="99" w:name="annotation text"/>
    <w:lsdException w:unhideWhenUsed="0" w:uiPriority="99"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99" w:name="annotation reference"/>
    <w:lsdException w:unhideWhenUsed="0" w:uiPriority="0" w:semiHidden="0" w:name="line number" w:locked="1"/>
    <w:lsdException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sdException w:qFormat="1" w:uiPriority="99" w:semiHidden="0" w:name="Body Text First Indent" w:locked="1"/>
    <w:lsdException w:qFormat="1" w:uiPriority="99" w:semiHidden="0" w:name="Body Text First Indent 2" w:locked="1"/>
    <w:lsdException w:unhideWhenUsed="0" w:uiPriority="0" w:semiHidden="0" w:name="Note Heading" w:locked="1"/>
    <w:lsdException w:qFormat="1" w:unhideWhenUsed="0" w:uiPriority="0" w:semiHidden="0" w:name="Body Text 2" w:locked="1"/>
    <w:lsdException w:qFormat="1" w:uiPriority="99"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iPriority="0" w:semiHidden="0" w:name="Hyperlink" w:locked="1"/>
    <w:lsdException w:unhideWhenUsed="0" w:uiPriority="0" w:semiHidden="0" w:name="FollowedHyperlink" w:locked="1"/>
    <w:lsdException w:qFormat="1" w:unhideWhenUsed="0" w:uiPriority="22" w:semiHidden="0" w:name="Strong" w:locked="1"/>
    <w:lsdException w:qFormat="1" w:unhideWhenUsed="0" w:uiPriority="0" w:semiHidden="0" w:name="Emphasis" w:locked="1"/>
    <w:lsdException w:qFormat="1" w:unhideWhenUsed="0" w:uiPriority="99" w:semiHidden="0" w:name="Document Map" w:locked="1"/>
    <w:lsdException w:qFormat="1" w:unhideWhenUsed="0"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59" w:semiHidden="0" w:name="Table Grid"/>
    <w:lsdException w:uiPriority="0"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line="360" w:lineRule="auto"/>
      <w:outlineLvl w:val="0"/>
    </w:pPr>
    <w:rPr>
      <w:rFonts w:eastAsia="黑体"/>
      <w:bCs/>
      <w:color w:val="000000"/>
      <w:kern w:val="44"/>
      <w:sz w:val="32"/>
      <w:szCs w:val="30"/>
    </w:rPr>
  </w:style>
  <w:style w:type="paragraph" w:styleId="3">
    <w:name w:val="heading 2"/>
    <w:basedOn w:val="1"/>
    <w:next w:val="1"/>
    <w:link w:val="85"/>
    <w:unhideWhenUsed/>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86"/>
    <w:unhideWhenUsed/>
    <w:qFormat/>
    <w:locked/>
    <w:uiPriority w:val="9"/>
    <w:pPr>
      <w:keepNext/>
      <w:keepLines/>
      <w:spacing w:before="260" w:after="260" w:line="416" w:lineRule="auto"/>
      <w:outlineLvl w:val="2"/>
    </w:pPr>
    <w:rPr>
      <w:b/>
      <w:bCs/>
      <w:sz w:val="32"/>
      <w:szCs w:val="32"/>
    </w:rPr>
  </w:style>
  <w:style w:type="paragraph" w:styleId="5">
    <w:name w:val="heading 4"/>
    <w:basedOn w:val="1"/>
    <w:next w:val="1"/>
    <w:link w:val="95"/>
    <w:semiHidden/>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7"/>
    <w:unhideWhenUsed/>
    <w:qFormat/>
    <w:locked/>
    <w:uiPriority w:val="0"/>
    <w:pPr>
      <w:adjustRightInd w:val="0"/>
      <w:spacing w:line="360" w:lineRule="auto"/>
      <w:ind w:firstLine="200" w:firstLineChars="200"/>
    </w:pPr>
    <w:rPr>
      <w:kern w:val="0"/>
      <w:sz w:val="28"/>
      <w:szCs w:val="20"/>
    </w:rPr>
  </w:style>
  <w:style w:type="paragraph" w:styleId="7">
    <w:name w:val="Document Map"/>
    <w:basedOn w:val="1"/>
    <w:link w:val="64"/>
    <w:qFormat/>
    <w:locked/>
    <w:uiPriority w:val="99"/>
    <w:rPr>
      <w:rFonts w:ascii="宋体"/>
      <w:sz w:val="18"/>
      <w:szCs w:val="18"/>
    </w:rPr>
  </w:style>
  <w:style w:type="paragraph" w:styleId="8">
    <w:name w:val="annotation text"/>
    <w:basedOn w:val="1"/>
    <w:link w:val="41"/>
    <w:semiHidden/>
    <w:qFormat/>
    <w:uiPriority w:val="99"/>
    <w:pPr>
      <w:jc w:val="left"/>
    </w:pPr>
    <w:rPr>
      <w:kern w:val="0"/>
      <w:sz w:val="24"/>
      <w:szCs w:val="20"/>
    </w:rPr>
  </w:style>
  <w:style w:type="paragraph" w:styleId="9">
    <w:name w:val="Body Text 3"/>
    <w:basedOn w:val="1"/>
    <w:link w:val="96"/>
    <w:unhideWhenUsed/>
    <w:qFormat/>
    <w:locked/>
    <w:uiPriority w:val="99"/>
    <w:pPr>
      <w:spacing w:after="120"/>
    </w:pPr>
    <w:rPr>
      <w:sz w:val="16"/>
      <w:szCs w:val="16"/>
    </w:rPr>
  </w:style>
  <w:style w:type="paragraph" w:styleId="10">
    <w:name w:val="Body Text"/>
    <w:basedOn w:val="1"/>
    <w:link w:val="40"/>
    <w:qFormat/>
    <w:uiPriority w:val="99"/>
    <w:pPr>
      <w:widowControl/>
      <w:snapToGrid w:val="0"/>
      <w:spacing w:before="60" w:after="160" w:line="259" w:lineRule="auto"/>
      <w:ind w:right="113"/>
    </w:pPr>
    <w:rPr>
      <w:kern w:val="0"/>
      <w:sz w:val="18"/>
      <w:szCs w:val="20"/>
    </w:rPr>
  </w:style>
  <w:style w:type="paragraph" w:styleId="11">
    <w:name w:val="Body Text Indent"/>
    <w:basedOn w:val="1"/>
    <w:link w:val="49"/>
    <w:qFormat/>
    <w:uiPriority w:val="0"/>
    <w:pPr>
      <w:spacing w:after="120"/>
      <w:ind w:left="420" w:leftChars="200"/>
    </w:pPr>
    <w:rPr>
      <w:kern w:val="0"/>
      <w:sz w:val="24"/>
      <w:szCs w:val="20"/>
    </w:rPr>
  </w:style>
  <w:style w:type="paragraph" w:styleId="12">
    <w:name w:val="Block Text"/>
    <w:basedOn w:val="1"/>
    <w:qFormat/>
    <w:locked/>
    <w:uiPriority w:val="0"/>
    <w:pPr>
      <w:snapToGrid w:val="0"/>
      <w:ind w:left="-108" w:right="-30"/>
      <w:jc w:val="center"/>
    </w:pPr>
    <w:rPr>
      <w:rFonts w:hint="eastAsia" w:ascii="宋体"/>
      <w:sz w:val="24"/>
      <w:szCs w:val="20"/>
    </w:rPr>
  </w:style>
  <w:style w:type="paragraph" w:styleId="13">
    <w:name w:val="Plain Text"/>
    <w:basedOn w:val="1"/>
    <w:link w:val="76"/>
    <w:qFormat/>
    <w:locked/>
    <w:uiPriority w:val="0"/>
    <w:pPr>
      <w:spacing w:line="320" w:lineRule="exact"/>
    </w:pPr>
    <w:rPr>
      <w:rFonts w:ascii="宋体" w:hAnsi="Courier New" w:eastAsia="Times New Roman"/>
      <w:kern w:val="0"/>
      <w:sz w:val="20"/>
      <w:szCs w:val="20"/>
    </w:rPr>
  </w:style>
  <w:style w:type="paragraph" w:styleId="14">
    <w:name w:val="List Bullet 5"/>
    <w:basedOn w:val="1"/>
    <w:qFormat/>
    <w:locked/>
    <w:uiPriority w:val="0"/>
    <w:pPr>
      <w:tabs>
        <w:tab w:val="left" w:pos="2040"/>
      </w:tabs>
      <w:ind w:left="2040" w:hanging="360"/>
    </w:pPr>
    <w:rPr>
      <w:rFonts w:ascii="Calibri" w:hAnsi="Calibri"/>
    </w:rPr>
  </w:style>
  <w:style w:type="paragraph" w:styleId="15">
    <w:name w:val="Date"/>
    <w:basedOn w:val="1"/>
    <w:next w:val="1"/>
    <w:link w:val="36"/>
    <w:uiPriority w:val="0"/>
    <w:pPr>
      <w:ind w:left="100" w:leftChars="2500"/>
    </w:pPr>
    <w:rPr>
      <w:kern w:val="0"/>
      <w:sz w:val="24"/>
      <w:szCs w:val="20"/>
    </w:rPr>
  </w:style>
  <w:style w:type="paragraph" w:styleId="16">
    <w:name w:val="Body Text Indent 2"/>
    <w:basedOn w:val="1"/>
    <w:link w:val="90"/>
    <w:qFormat/>
    <w:locked/>
    <w:uiPriority w:val="0"/>
    <w:pPr>
      <w:spacing w:after="120" w:line="480" w:lineRule="auto"/>
      <w:ind w:left="420" w:leftChars="200"/>
    </w:pPr>
  </w:style>
  <w:style w:type="paragraph" w:styleId="17">
    <w:name w:val="Balloon Text"/>
    <w:basedOn w:val="1"/>
    <w:link w:val="45"/>
    <w:semiHidden/>
    <w:qFormat/>
    <w:uiPriority w:val="99"/>
    <w:rPr>
      <w:kern w:val="0"/>
      <w:sz w:val="18"/>
      <w:szCs w:val="20"/>
    </w:rPr>
  </w:style>
  <w:style w:type="paragraph" w:styleId="18">
    <w:name w:val="footer"/>
    <w:basedOn w:val="1"/>
    <w:link w:val="35"/>
    <w:qFormat/>
    <w:uiPriority w:val="99"/>
    <w:pPr>
      <w:tabs>
        <w:tab w:val="center" w:pos="4153"/>
        <w:tab w:val="right" w:pos="8306"/>
      </w:tabs>
      <w:snapToGrid w:val="0"/>
      <w:jc w:val="left"/>
    </w:pPr>
    <w:rPr>
      <w:kern w:val="0"/>
      <w:sz w:val="18"/>
      <w:szCs w:val="20"/>
    </w:rPr>
  </w:style>
  <w:style w:type="paragraph" w:styleId="19">
    <w:name w:val="header"/>
    <w:basedOn w:val="1"/>
    <w:link w:val="47"/>
    <w:uiPriority w:val="99"/>
    <w:pPr>
      <w:pBdr>
        <w:bottom w:val="single" w:color="auto" w:sz="6" w:space="1"/>
      </w:pBdr>
      <w:tabs>
        <w:tab w:val="center" w:pos="4153"/>
        <w:tab w:val="right" w:pos="8306"/>
      </w:tabs>
      <w:snapToGrid w:val="0"/>
      <w:jc w:val="center"/>
    </w:pPr>
    <w:rPr>
      <w:kern w:val="0"/>
      <w:sz w:val="18"/>
      <w:szCs w:val="20"/>
    </w:rPr>
  </w:style>
  <w:style w:type="paragraph" w:styleId="20">
    <w:name w:val="toc 1"/>
    <w:basedOn w:val="1"/>
    <w:next w:val="1"/>
    <w:qFormat/>
    <w:locked/>
    <w:uiPriority w:val="0"/>
    <w:pPr>
      <w:spacing w:line="360" w:lineRule="auto"/>
    </w:pPr>
    <w:rPr>
      <w:sz w:val="24"/>
    </w:rPr>
  </w:style>
  <w:style w:type="paragraph" w:styleId="21">
    <w:name w:val="toc 2"/>
    <w:basedOn w:val="1"/>
    <w:next w:val="1"/>
    <w:unhideWhenUsed/>
    <w:qFormat/>
    <w:locked/>
    <w:uiPriority w:val="39"/>
    <w:pPr>
      <w:spacing w:line="360" w:lineRule="auto"/>
      <w:ind w:firstLine="200" w:firstLineChars="200"/>
      <w:jc w:val="left"/>
    </w:pPr>
    <w:rPr>
      <w:rFonts w:cs="Calibri"/>
      <w:smallCaps/>
      <w:sz w:val="28"/>
      <w:szCs w:val="20"/>
    </w:rPr>
  </w:style>
  <w:style w:type="paragraph" w:styleId="22">
    <w:name w:val="Body Text 2"/>
    <w:basedOn w:val="1"/>
    <w:link w:val="97"/>
    <w:qFormat/>
    <w:locked/>
    <w:uiPriority w:val="0"/>
    <w:pPr>
      <w:spacing w:after="120" w:line="480" w:lineRule="auto"/>
    </w:pPr>
  </w:style>
  <w:style w:type="paragraph" w:styleId="23">
    <w:name w:val="Normal (Web)"/>
    <w:basedOn w:val="1"/>
    <w:link w:val="38"/>
    <w:qFormat/>
    <w:uiPriority w:val="99"/>
    <w:pPr>
      <w:widowControl/>
      <w:spacing w:before="100" w:beforeAutospacing="1" w:after="100" w:afterAutospacing="1"/>
      <w:jc w:val="left"/>
    </w:pPr>
    <w:rPr>
      <w:rFonts w:ascii="宋体" w:hAnsi="宋体"/>
      <w:kern w:val="0"/>
      <w:sz w:val="24"/>
      <w:szCs w:val="20"/>
    </w:rPr>
  </w:style>
  <w:style w:type="paragraph" w:styleId="24">
    <w:name w:val="Title"/>
    <w:basedOn w:val="1"/>
    <w:next w:val="1"/>
    <w:link w:val="84"/>
    <w:qFormat/>
    <w:locked/>
    <w:uiPriority w:val="0"/>
    <w:pPr>
      <w:spacing w:beforeLines="50" w:line="360" w:lineRule="auto"/>
      <w:jc w:val="center"/>
      <w:outlineLvl w:val="0"/>
    </w:pPr>
    <w:rPr>
      <w:rFonts w:ascii="Cambria" w:hAnsi="Cambria" w:eastAsia="黑体"/>
      <w:bCs/>
      <w:sz w:val="32"/>
      <w:szCs w:val="32"/>
    </w:rPr>
  </w:style>
  <w:style w:type="paragraph" w:styleId="25">
    <w:name w:val="annotation subject"/>
    <w:basedOn w:val="8"/>
    <w:next w:val="8"/>
    <w:link w:val="46"/>
    <w:semiHidden/>
    <w:qFormat/>
    <w:uiPriority w:val="99"/>
    <w:rPr>
      <w:b/>
      <w:kern w:val="2"/>
    </w:rPr>
  </w:style>
  <w:style w:type="paragraph" w:styleId="26">
    <w:name w:val="Body Text First Indent"/>
    <w:basedOn w:val="10"/>
    <w:link w:val="110"/>
    <w:unhideWhenUsed/>
    <w:qFormat/>
    <w:locked/>
    <w:uiPriority w:val="99"/>
    <w:pPr>
      <w:widowControl w:val="0"/>
      <w:snapToGrid/>
      <w:spacing w:before="0" w:after="120" w:line="240" w:lineRule="auto"/>
      <w:ind w:right="0" w:firstLine="420" w:firstLineChars="100"/>
    </w:pPr>
    <w:rPr>
      <w:kern w:val="2"/>
      <w:sz w:val="21"/>
    </w:rPr>
  </w:style>
  <w:style w:type="paragraph" w:styleId="27">
    <w:name w:val="Body Text First Indent 2"/>
    <w:basedOn w:val="11"/>
    <w:link w:val="113"/>
    <w:unhideWhenUsed/>
    <w:qFormat/>
    <w:locked/>
    <w:uiPriority w:val="99"/>
    <w:pPr>
      <w:ind w:firstLine="420" w:firstLineChars="200"/>
    </w:pPr>
    <w:rPr>
      <w:kern w:val="2"/>
      <w:sz w:val="21"/>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locked/>
    <w:uiPriority w:val="22"/>
    <w:rPr>
      <w:b/>
      <w:bCs/>
    </w:rPr>
  </w:style>
  <w:style w:type="character" w:styleId="32">
    <w:name w:val="page number"/>
    <w:basedOn w:val="30"/>
    <w:locked/>
    <w:uiPriority w:val="0"/>
  </w:style>
  <w:style w:type="character" w:styleId="33">
    <w:name w:val="Hyperlink"/>
    <w:basedOn w:val="30"/>
    <w:unhideWhenUsed/>
    <w:qFormat/>
    <w:locked/>
    <w:uiPriority w:val="0"/>
    <w:rPr>
      <w:color w:val="0000FF"/>
      <w:u w:val="single"/>
    </w:rPr>
  </w:style>
  <w:style w:type="character" w:styleId="34">
    <w:name w:val="annotation reference"/>
    <w:semiHidden/>
    <w:qFormat/>
    <w:uiPriority w:val="99"/>
    <w:rPr>
      <w:sz w:val="21"/>
    </w:rPr>
  </w:style>
  <w:style w:type="character" w:customStyle="1" w:styleId="35">
    <w:name w:val="页脚 Char"/>
    <w:link w:val="18"/>
    <w:qFormat/>
    <w:locked/>
    <w:uiPriority w:val="99"/>
    <w:rPr>
      <w:sz w:val="18"/>
    </w:rPr>
  </w:style>
  <w:style w:type="character" w:customStyle="1" w:styleId="36">
    <w:name w:val="日期 Char"/>
    <w:link w:val="15"/>
    <w:qFormat/>
    <w:locked/>
    <w:uiPriority w:val="0"/>
    <w:rPr>
      <w:rFonts w:ascii="Times New Roman" w:hAnsi="Times New Roman" w:eastAsia="宋体"/>
      <w:sz w:val="24"/>
    </w:rPr>
  </w:style>
  <w:style w:type="character" w:customStyle="1" w:styleId="37">
    <w:name w:val="页脚 字符"/>
    <w:basedOn w:val="30"/>
    <w:uiPriority w:val="99"/>
  </w:style>
  <w:style w:type="character" w:customStyle="1" w:styleId="38">
    <w:name w:val="普通(网站) Char"/>
    <w:link w:val="23"/>
    <w:qFormat/>
    <w:locked/>
    <w:uiPriority w:val="0"/>
    <w:rPr>
      <w:rFonts w:ascii="宋体" w:hAnsi="宋体" w:eastAsia="宋体"/>
      <w:sz w:val="24"/>
    </w:rPr>
  </w:style>
  <w:style w:type="character" w:customStyle="1" w:styleId="39">
    <w:name w:val="正文文本 字符1"/>
    <w:semiHidden/>
    <w:qFormat/>
    <w:uiPriority w:val="0"/>
    <w:rPr>
      <w:rFonts w:ascii="Times New Roman" w:hAnsi="Times New Roman" w:eastAsia="宋体"/>
      <w:sz w:val="24"/>
    </w:rPr>
  </w:style>
  <w:style w:type="character" w:customStyle="1" w:styleId="40">
    <w:name w:val="正文文本 Char"/>
    <w:link w:val="10"/>
    <w:qFormat/>
    <w:locked/>
    <w:uiPriority w:val="99"/>
    <w:rPr>
      <w:sz w:val="18"/>
    </w:rPr>
  </w:style>
  <w:style w:type="character" w:customStyle="1" w:styleId="41">
    <w:name w:val="批注文字 Char"/>
    <w:link w:val="8"/>
    <w:qFormat/>
    <w:locked/>
    <w:uiPriority w:val="99"/>
    <w:rPr>
      <w:rFonts w:ascii="Times New Roman" w:hAnsi="Times New Roman" w:eastAsia="宋体"/>
      <w:sz w:val="24"/>
    </w:rPr>
  </w:style>
  <w:style w:type="character" w:customStyle="1" w:styleId="42">
    <w:name w:val="表格 Char"/>
    <w:link w:val="43"/>
    <w:qFormat/>
    <w:locked/>
    <w:uiPriority w:val="0"/>
    <w:rPr>
      <w:rFonts w:ascii="宋体"/>
      <w:sz w:val="21"/>
    </w:rPr>
  </w:style>
  <w:style w:type="paragraph" w:customStyle="1" w:styleId="43">
    <w:name w:val="表格"/>
    <w:basedOn w:val="1"/>
    <w:next w:val="1"/>
    <w:link w:val="42"/>
    <w:qFormat/>
    <w:uiPriority w:val="0"/>
    <w:pPr>
      <w:adjustRightInd w:val="0"/>
      <w:snapToGrid w:val="0"/>
      <w:spacing w:beforeLines="10" w:afterLines="10" w:line="259" w:lineRule="auto"/>
      <w:jc w:val="center"/>
    </w:pPr>
    <w:rPr>
      <w:rFonts w:ascii="宋体"/>
      <w:kern w:val="0"/>
      <w:szCs w:val="20"/>
    </w:rPr>
  </w:style>
  <w:style w:type="character" w:customStyle="1" w:styleId="44">
    <w:name w:val="日期 字符"/>
    <w:semiHidden/>
    <w:qFormat/>
    <w:uiPriority w:val="0"/>
    <w:rPr>
      <w:rFonts w:ascii="Times New Roman" w:hAnsi="Times New Roman" w:eastAsia="宋体"/>
      <w:sz w:val="24"/>
    </w:rPr>
  </w:style>
  <w:style w:type="character" w:customStyle="1" w:styleId="45">
    <w:name w:val="批注框文本 Char"/>
    <w:link w:val="17"/>
    <w:semiHidden/>
    <w:qFormat/>
    <w:locked/>
    <w:uiPriority w:val="99"/>
    <w:rPr>
      <w:rFonts w:ascii="Times New Roman" w:hAnsi="Times New Roman" w:eastAsia="宋体"/>
      <w:sz w:val="18"/>
    </w:rPr>
  </w:style>
  <w:style w:type="character" w:customStyle="1" w:styleId="46">
    <w:name w:val="批注主题 Char"/>
    <w:link w:val="25"/>
    <w:semiHidden/>
    <w:qFormat/>
    <w:locked/>
    <w:uiPriority w:val="99"/>
    <w:rPr>
      <w:rFonts w:ascii="Times New Roman" w:hAnsi="Times New Roman" w:eastAsia="宋体"/>
      <w:b/>
      <w:kern w:val="2"/>
      <w:sz w:val="24"/>
    </w:rPr>
  </w:style>
  <w:style w:type="character" w:customStyle="1" w:styleId="47">
    <w:name w:val="页眉 Char"/>
    <w:link w:val="19"/>
    <w:qFormat/>
    <w:locked/>
    <w:uiPriority w:val="99"/>
    <w:rPr>
      <w:sz w:val="18"/>
    </w:rPr>
  </w:style>
  <w:style w:type="character" w:customStyle="1" w:styleId="48">
    <w:name w:val="批注文字 字符1"/>
    <w:semiHidden/>
    <w:qFormat/>
    <w:uiPriority w:val="0"/>
    <w:rPr>
      <w:rFonts w:ascii="Times New Roman" w:hAnsi="Times New Roman" w:eastAsia="宋体"/>
      <w:sz w:val="24"/>
    </w:rPr>
  </w:style>
  <w:style w:type="character" w:customStyle="1" w:styleId="49">
    <w:name w:val="正文文本缩进 Char"/>
    <w:link w:val="11"/>
    <w:qFormat/>
    <w:locked/>
    <w:uiPriority w:val="0"/>
    <w:rPr>
      <w:rFonts w:ascii="Times New Roman" w:hAnsi="Times New Roman" w:eastAsia="宋体"/>
      <w:sz w:val="24"/>
    </w:rPr>
  </w:style>
  <w:style w:type="paragraph" w:customStyle="1" w:styleId="5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52">
    <w:name w:val="表格标题1 Char"/>
    <w:link w:val="53"/>
    <w:qFormat/>
    <w:uiPriority w:val="0"/>
    <w:rPr>
      <w:rFonts w:eastAsia="黑体"/>
      <w:kern w:val="2"/>
      <w:sz w:val="24"/>
      <w:szCs w:val="21"/>
    </w:rPr>
  </w:style>
  <w:style w:type="paragraph" w:customStyle="1" w:styleId="53">
    <w:name w:val="表格标题1"/>
    <w:basedOn w:val="1"/>
    <w:link w:val="52"/>
    <w:qFormat/>
    <w:uiPriority w:val="0"/>
    <w:pPr>
      <w:numPr>
        <w:ilvl w:val="0"/>
        <w:numId w:val="1"/>
      </w:numPr>
      <w:adjustRightInd w:val="0"/>
      <w:snapToGrid w:val="0"/>
      <w:jc w:val="center"/>
    </w:pPr>
    <w:rPr>
      <w:rFonts w:eastAsia="黑体"/>
      <w:sz w:val="24"/>
      <w:szCs w:val="21"/>
    </w:rPr>
  </w:style>
  <w:style w:type="paragraph" w:customStyle="1" w:styleId="54">
    <w:name w:val="表头文字"/>
    <w:qFormat/>
    <w:uiPriority w:val="0"/>
    <w:pPr>
      <w:widowControl w:val="0"/>
      <w:adjustRightInd w:val="0"/>
      <w:snapToGrid w:val="0"/>
      <w:jc w:val="center"/>
    </w:pPr>
    <w:rPr>
      <w:rFonts w:ascii="Times New Roman" w:hAnsi="Times New Roman" w:eastAsia="黑体" w:cs="Times New Roman"/>
      <w:bCs/>
      <w:sz w:val="21"/>
      <w:szCs w:val="24"/>
      <w:lang w:val="en-US" w:eastAsia="zh-CN" w:bidi="ar-SA"/>
    </w:rPr>
  </w:style>
  <w:style w:type="paragraph" w:customStyle="1" w:styleId="55">
    <w:name w:val="表内 定"/>
    <w:basedOn w:val="1"/>
    <w:link w:val="56"/>
    <w:qFormat/>
    <w:uiPriority w:val="0"/>
    <w:pPr>
      <w:jc w:val="left"/>
    </w:pPr>
    <w:rPr>
      <w:rFonts w:eastAsia="仿宋"/>
      <w:snapToGrid w:val="0"/>
      <w:color w:val="000000"/>
      <w:sz w:val="24"/>
      <w:szCs w:val="22"/>
    </w:rPr>
  </w:style>
  <w:style w:type="character" w:customStyle="1" w:styleId="56">
    <w:name w:val="表内 定 Char Char"/>
    <w:basedOn w:val="30"/>
    <w:link w:val="55"/>
    <w:qFormat/>
    <w:uiPriority w:val="0"/>
    <w:rPr>
      <w:rFonts w:eastAsia="仿宋"/>
      <w:snapToGrid w:val="0"/>
      <w:color w:val="000000"/>
      <w:kern w:val="2"/>
      <w:sz w:val="24"/>
      <w:szCs w:val="22"/>
    </w:rPr>
  </w:style>
  <w:style w:type="character" w:customStyle="1" w:styleId="57">
    <w:name w:val="正文缩进 Char"/>
    <w:basedOn w:val="30"/>
    <w:link w:val="6"/>
    <w:qFormat/>
    <w:uiPriority w:val="0"/>
    <w:rPr>
      <w:sz w:val="28"/>
    </w:rPr>
  </w:style>
  <w:style w:type="paragraph" w:customStyle="1" w:styleId="58">
    <w:name w:val="表格文字"/>
    <w:basedOn w:val="1"/>
    <w:next w:val="1"/>
    <w:link w:val="82"/>
    <w:qFormat/>
    <w:uiPriority w:val="0"/>
    <w:pPr>
      <w:adjustRightInd w:val="0"/>
      <w:snapToGrid w:val="0"/>
      <w:jc w:val="center"/>
    </w:pPr>
    <w:rPr>
      <w:szCs w:val="20"/>
    </w:rPr>
  </w:style>
  <w:style w:type="character" w:customStyle="1" w:styleId="59">
    <w:name w:val="unnamed1"/>
    <w:basedOn w:val="30"/>
    <w:qFormat/>
    <w:uiPriority w:val="0"/>
  </w:style>
  <w:style w:type="paragraph" w:customStyle="1" w:styleId="60">
    <w:name w:val="中文报告书样式"/>
    <w:basedOn w:val="1"/>
    <w:qFormat/>
    <w:uiPriority w:val="0"/>
    <w:pPr>
      <w:adjustRightInd w:val="0"/>
      <w:snapToGrid w:val="0"/>
      <w:spacing w:line="360" w:lineRule="auto"/>
      <w:ind w:firstLine="480" w:firstLineChars="200"/>
      <w:textAlignment w:val="baseline"/>
    </w:pPr>
    <w:rPr>
      <w:rFonts w:ascii="Calibri" w:hAnsi="Calibri"/>
      <w:kern w:val="24"/>
      <w:sz w:val="24"/>
    </w:rPr>
  </w:style>
  <w:style w:type="character" w:customStyle="1" w:styleId="61">
    <w:name w:val="小四 1.75 Char Char"/>
    <w:link w:val="62"/>
    <w:qFormat/>
    <w:uiPriority w:val="0"/>
    <w:rPr>
      <w:sz w:val="24"/>
      <w:szCs w:val="24"/>
    </w:rPr>
  </w:style>
  <w:style w:type="paragraph" w:customStyle="1" w:styleId="62">
    <w:name w:val="小四 1.75"/>
    <w:basedOn w:val="1"/>
    <w:link w:val="61"/>
    <w:qFormat/>
    <w:uiPriority w:val="0"/>
    <w:pPr>
      <w:spacing w:line="420" w:lineRule="auto"/>
      <w:ind w:firstLine="480" w:firstLineChars="200"/>
    </w:pPr>
    <w:rPr>
      <w:kern w:val="0"/>
      <w:sz w:val="24"/>
    </w:rPr>
  </w:style>
  <w:style w:type="paragraph" w:customStyle="1" w:styleId="63">
    <w:name w:val="style1"/>
    <w:basedOn w:val="1"/>
    <w:qFormat/>
    <w:uiPriority w:val="0"/>
    <w:pPr>
      <w:widowControl/>
      <w:spacing w:before="100" w:beforeAutospacing="1" w:after="100" w:afterAutospacing="1"/>
      <w:jc w:val="left"/>
    </w:pPr>
    <w:rPr>
      <w:rFonts w:ascii="宋体" w:hAnsi="宋体" w:cs="宋体"/>
      <w:kern w:val="0"/>
      <w:sz w:val="24"/>
    </w:rPr>
  </w:style>
  <w:style w:type="character" w:customStyle="1" w:styleId="64">
    <w:name w:val="文档结构图 Char"/>
    <w:basedOn w:val="30"/>
    <w:link w:val="7"/>
    <w:qFormat/>
    <w:uiPriority w:val="99"/>
    <w:rPr>
      <w:rFonts w:ascii="宋体"/>
      <w:kern w:val="2"/>
      <w:sz w:val="18"/>
      <w:szCs w:val="18"/>
    </w:rPr>
  </w:style>
  <w:style w:type="character" w:customStyle="1" w:styleId="65">
    <w:name w:val="表格标题1 字符"/>
    <w:qFormat/>
    <w:uiPriority w:val="0"/>
    <w:rPr>
      <w:rFonts w:ascii="Times New Roman" w:hAnsi="Times New Roman" w:eastAsia="黑体"/>
      <w:b/>
      <w:sz w:val="24"/>
      <w:szCs w:val="21"/>
    </w:rPr>
  </w:style>
  <w:style w:type="character" w:customStyle="1" w:styleId="66">
    <w:name w:val="表格 Char Char"/>
    <w:qFormat/>
    <w:uiPriority w:val="0"/>
    <w:rPr>
      <w:rFonts w:ascii="Times New Roman" w:hAnsi="Times New Roman" w:eastAsia="宋体"/>
    </w:rPr>
  </w:style>
  <w:style w:type="paragraph" w:styleId="67">
    <w:name w:val="List Paragraph"/>
    <w:basedOn w:val="1"/>
    <w:qFormat/>
    <w:uiPriority w:val="0"/>
    <w:pPr>
      <w:spacing w:line="360" w:lineRule="auto"/>
      <w:ind w:firstLine="420" w:firstLineChars="200"/>
    </w:pPr>
    <w:rPr>
      <w:sz w:val="24"/>
    </w:rPr>
  </w:style>
  <w:style w:type="paragraph" w:customStyle="1" w:styleId="68">
    <w:name w:val="默认段落字体 Para Char Char Char Char"/>
    <w:basedOn w:val="1"/>
    <w:qFormat/>
    <w:uiPriority w:val="0"/>
  </w:style>
  <w:style w:type="paragraph" w:customStyle="1" w:styleId="69">
    <w:name w:val="蓝森正文"/>
    <w:basedOn w:val="1"/>
    <w:next w:val="1"/>
    <w:qFormat/>
    <w:uiPriority w:val="0"/>
    <w:pPr>
      <w:spacing w:line="360" w:lineRule="exact"/>
      <w:jc w:val="center"/>
    </w:pPr>
    <w:rPr>
      <w:bCs/>
      <w:szCs w:val="21"/>
    </w:rPr>
  </w:style>
  <w:style w:type="character" w:customStyle="1" w:styleId="70">
    <w:name w:val="fontstyle01"/>
    <w:basedOn w:val="30"/>
    <w:uiPriority w:val="0"/>
    <w:rPr>
      <w:rFonts w:hint="eastAsia" w:ascii="TimesNewRomanPSMT" w:hAnsi="TimesNewRomanPSMT" w:eastAsia="TimesNewRomanPSMT"/>
      <w:color w:val="000000"/>
      <w:sz w:val="20"/>
      <w:szCs w:val="20"/>
    </w:rPr>
  </w:style>
  <w:style w:type="character" w:customStyle="1" w:styleId="71">
    <w:name w:val="fontstyle11"/>
    <w:basedOn w:val="30"/>
    <w:uiPriority w:val="0"/>
    <w:rPr>
      <w:rFonts w:hint="default" w:ascii="仿宋" w:hAnsi="仿宋"/>
      <w:color w:val="000000"/>
      <w:sz w:val="20"/>
      <w:szCs w:val="20"/>
    </w:rPr>
  </w:style>
  <w:style w:type="character" w:customStyle="1" w:styleId="72">
    <w:name w:val="fontstyle21"/>
    <w:basedOn w:val="30"/>
    <w:uiPriority w:val="0"/>
    <w:rPr>
      <w:rFonts w:hint="eastAsia" w:ascii="TimesNewRomanPSMT" w:hAnsi="TimesNewRomanPSMT" w:eastAsia="TimesNewRomanPSMT"/>
      <w:color w:val="000000"/>
      <w:sz w:val="32"/>
      <w:szCs w:val="32"/>
    </w:rPr>
  </w:style>
  <w:style w:type="character" w:customStyle="1" w:styleId="73">
    <w:name w:val="fontstyle31"/>
    <w:basedOn w:val="30"/>
    <w:uiPriority w:val="0"/>
    <w:rPr>
      <w:rFonts w:hint="eastAsia" w:ascii="TimesNewRomanPSMT" w:hAnsi="TimesNewRomanPSMT" w:eastAsia="TimesNewRomanPSMT"/>
      <w:color w:val="000000"/>
      <w:sz w:val="22"/>
      <w:szCs w:val="22"/>
    </w:rPr>
  </w:style>
  <w:style w:type="character" w:customStyle="1" w:styleId="74">
    <w:name w:val="表格内容5号 Char"/>
    <w:link w:val="75"/>
    <w:qFormat/>
    <w:uiPriority w:val="0"/>
    <w:rPr>
      <w:kern w:val="2"/>
      <w:sz w:val="21"/>
      <w:szCs w:val="24"/>
      <w:lang w:val="en-US" w:eastAsia="zh-CN" w:bidi="ar-SA"/>
    </w:rPr>
  </w:style>
  <w:style w:type="paragraph" w:customStyle="1" w:styleId="75">
    <w:name w:val="表格内容5号"/>
    <w:link w:val="74"/>
    <w:qFormat/>
    <w:uiPriority w:val="0"/>
    <w:pPr>
      <w:widowControl w:val="0"/>
      <w:snapToGrid w:val="0"/>
      <w:spacing w:line="320" w:lineRule="atLeast"/>
      <w:jc w:val="center"/>
    </w:pPr>
    <w:rPr>
      <w:rFonts w:ascii="Times New Roman" w:hAnsi="Times New Roman" w:eastAsia="宋体" w:cs="Times New Roman"/>
      <w:kern w:val="2"/>
      <w:sz w:val="21"/>
      <w:szCs w:val="24"/>
      <w:lang w:val="en-US" w:eastAsia="zh-CN" w:bidi="ar-SA"/>
    </w:rPr>
  </w:style>
  <w:style w:type="character" w:customStyle="1" w:styleId="76">
    <w:name w:val="纯文本 Char1"/>
    <w:link w:val="13"/>
    <w:qFormat/>
    <w:uiPriority w:val="0"/>
    <w:rPr>
      <w:rFonts w:ascii="宋体" w:hAnsi="Courier New" w:eastAsia="Times New Roman"/>
    </w:rPr>
  </w:style>
  <w:style w:type="character" w:customStyle="1" w:styleId="77">
    <w:name w:val="纯文本 Char"/>
    <w:basedOn w:val="30"/>
    <w:qFormat/>
    <w:uiPriority w:val="0"/>
    <w:rPr>
      <w:rFonts w:ascii="宋体" w:hAnsi="Courier New" w:cs="Courier New"/>
      <w:kern w:val="2"/>
      <w:sz w:val="21"/>
      <w:szCs w:val="21"/>
    </w:rPr>
  </w:style>
  <w:style w:type="character" w:customStyle="1" w:styleId="78">
    <w:name w:val="表头 Char Char"/>
    <w:link w:val="79"/>
    <w:qFormat/>
    <w:uiPriority w:val="0"/>
    <w:rPr>
      <w:b/>
      <w:kern w:val="22"/>
      <w:sz w:val="24"/>
    </w:rPr>
  </w:style>
  <w:style w:type="paragraph" w:customStyle="1" w:styleId="79">
    <w:name w:val="表头"/>
    <w:basedOn w:val="1"/>
    <w:next w:val="1"/>
    <w:link w:val="78"/>
    <w:qFormat/>
    <w:uiPriority w:val="0"/>
    <w:pPr>
      <w:snapToGrid w:val="0"/>
      <w:spacing w:before="120" w:after="120" w:line="360" w:lineRule="exact"/>
      <w:jc w:val="center"/>
    </w:pPr>
    <w:rPr>
      <w:b/>
      <w:kern w:val="22"/>
      <w:sz w:val="24"/>
      <w:szCs w:val="20"/>
    </w:rPr>
  </w:style>
  <w:style w:type="paragraph" w:customStyle="1" w:styleId="80">
    <w:name w:val="表头字"/>
    <w:basedOn w:val="1"/>
    <w:link w:val="81"/>
    <w:qFormat/>
    <w:uiPriority w:val="0"/>
    <w:pPr>
      <w:spacing w:line="320" w:lineRule="exact"/>
      <w:jc w:val="center"/>
    </w:pPr>
    <w:rPr>
      <w:rFonts w:eastAsia="黑体"/>
      <w:szCs w:val="21"/>
    </w:rPr>
  </w:style>
  <w:style w:type="character" w:customStyle="1" w:styleId="81">
    <w:name w:val="表头字 Char"/>
    <w:link w:val="80"/>
    <w:qFormat/>
    <w:uiPriority w:val="0"/>
    <w:rPr>
      <w:rFonts w:eastAsia="黑体"/>
      <w:kern w:val="2"/>
      <w:sz w:val="21"/>
      <w:szCs w:val="21"/>
    </w:rPr>
  </w:style>
  <w:style w:type="character" w:customStyle="1" w:styleId="82">
    <w:name w:val="表格文字 Char"/>
    <w:link w:val="58"/>
    <w:qFormat/>
    <w:locked/>
    <w:uiPriority w:val="0"/>
    <w:rPr>
      <w:kern w:val="2"/>
      <w:sz w:val="21"/>
    </w:rPr>
  </w:style>
  <w:style w:type="paragraph" w:customStyle="1" w:styleId="83">
    <w:name w:val="表中文字"/>
    <w:qFormat/>
    <w:uiPriority w:val="0"/>
    <w:pPr>
      <w:widowControl w:val="0"/>
      <w:adjustRightInd w:val="0"/>
      <w:snapToGrid w:val="0"/>
      <w:jc w:val="center"/>
    </w:pPr>
    <w:rPr>
      <w:rFonts w:ascii="Times New Roman" w:hAnsi="Times New Roman" w:eastAsia="宋体" w:cs="Times New Roman"/>
      <w:bCs/>
      <w:sz w:val="21"/>
      <w:szCs w:val="24"/>
      <w:lang w:val="en-US" w:eastAsia="zh-CN" w:bidi="ar-SA"/>
    </w:rPr>
  </w:style>
  <w:style w:type="character" w:customStyle="1" w:styleId="84">
    <w:name w:val="标题 Char"/>
    <w:basedOn w:val="30"/>
    <w:link w:val="24"/>
    <w:uiPriority w:val="0"/>
    <w:rPr>
      <w:rFonts w:ascii="Cambria" w:hAnsi="Cambria" w:eastAsia="黑体" w:cs="Times New Roman"/>
      <w:bCs/>
      <w:kern w:val="2"/>
      <w:sz w:val="32"/>
      <w:szCs w:val="32"/>
    </w:rPr>
  </w:style>
  <w:style w:type="character" w:customStyle="1" w:styleId="85">
    <w:name w:val="标题 2 Char"/>
    <w:basedOn w:val="30"/>
    <w:link w:val="3"/>
    <w:qFormat/>
    <w:uiPriority w:val="0"/>
    <w:rPr>
      <w:rFonts w:ascii="Cambria" w:hAnsi="Cambria" w:eastAsia="宋体" w:cs="Times New Roman"/>
      <w:b/>
      <w:bCs/>
      <w:kern w:val="2"/>
      <w:sz w:val="32"/>
      <w:szCs w:val="32"/>
    </w:rPr>
  </w:style>
  <w:style w:type="character" w:customStyle="1" w:styleId="86">
    <w:name w:val="标题 3 Char1"/>
    <w:basedOn w:val="30"/>
    <w:link w:val="4"/>
    <w:semiHidden/>
    <w:qFormat/>
    <w:uiPriority w:val="9"/>
    <w:rPr>
      <w:b/>
      <w:bCs/>
      <w:kern w:val="2"/>
      <w:sz w:val="32"/>
      <w:szCs w:val="32"/>
    </w:rPr>
  </w:style>
  <w:style w:type="paragraph" w:customStyle="1" w:styleId="87">
    <w:name w:val="报告书正文"/>
    <w:basedOn w:val="1"/>
    <w:qFormat/>
    <w:uiPriority w:val="0"/>
    <w:pPr>
      <w:autoSpaceDE w:val="0"/>
      <w:autoSpaceDN w:val="0"/>
      <w:spacing w:line="520" w:lineRule="exact"/>
      <w:ind w:firstLine="200" w:firstLineChars="200"/>
    </w:pPr>
    <w:rPr>
      <w:sz w:val="28"/>
      <w:szCs w:val="28"/>
    </w:rPr>
  </w:style>
  <w:style w:type="paragraph" w:customStyle="1" w:styleId="8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9">
    <w:name w:val="y15o7290r"/>
    <w:basedOn w:val="30"/>
    <w:qFormat/>
    <w:uiPriority w:val="0"/>
  </w:style>
  <w:style w:type="character" w:customStyle="1" w:styleId="90">
    <w:name w:val="正文文本缩进 2 Char"/>
    <w:basedOn w:val="30"/>
    <w:link w:val="16"/>
    <w:qFormat/>
    <w:uiPriority w:val="0"/>
    <w:rPr>
      <w:kern w:val="2"/>
      <w:sz w:val="21"/>
      <w:szCs w:val="24"/>
    </w:rPr>
  </w:style>
  <w:style w:type="character" w:customStyle="1" w:styleId="91">
    <w:name w:val="标题 3 Char"/>
    <w:qFormat/>
    <w:uiPriority w:val="0"/>
    <w:rPr>
      <w:rFonts w:ascii="Times New Roman" w:hAnsi="Times New Roman"/>
      <w:b/>
      <w:bCs/>
      <w:kern w:val="2"/>
      <w:sz w:val="32"/>
      <w:szCs w:val="32"/>
    </w:rPr>
  </w:style>
  <w:style w:type="paragraph" w:customStyle="1" w:styleId="92">
    <w:name w:val="6表内文字 居中"/>
    <w:basedOn w:val="1"/>
    <w:qFormat/>
    <w:uiPriority w:val="0"/>
    <w:pPr>
      <w:adjustRightInd w:val="0"/>
      <w:spacing w:line="340" w:lineRule="exact"/>
      <w:jc w:val="center"/>
      <w:textAlignment w:val="baseline"/>
    </w:pPr>
    <w:rPr>
      <w:snapToGrid w:val="0"/>
      <w:kern w:val="0"/>
    </w:rPr>
  </w:style>
  <w:style w:type="paragraph" w:customStyle="1" w:styleId="93">
    <w:name w:val="7表格内容"/>
    <w:link w:val="94"/>
    <w:qFormat/>
    <w:uiPriority w:val="0"/>
    <w:pPr>
      <w:widowControl w:val="0"/>
      <w:spacing w:line="320" w:lineRule="exact"/>
      <w:jc w:val="center"/>
    </w:pPr>
    <w:rPr>
      <w:rFonts w:ascii="Times New Roman" w:hAnsi="Times New Roman" w:eastAsia="宋体" w:cs="Times New Roman"/>
      <w:kern w:val="2"/>
      <w:sz w:val="21"/>
      <w:szCs w:val="24"/>
      <w:lang w:val="en-US" w:eastAsia="zh-CN" w:bidi="ar-SA"/>
    </w:rPr>
  </w:style>
  <w:style w:type="character" w:customStyle="1" w:styleId="94">
    <w:name w:val="7表格内容 Char Char"/>
    <w:link w:val="93"/>
    <w:qFormat/>
    <w:uiPriority w:val="0"/>
    <w:rPr>
      <w:kern w:val="2"/>
      <w:sz w:val="21"/>
      <w:szCs w:val="24"/>
    </w:rPr>
  </w:style>
  <w:style w:type="character" w:customStyle="1" w:styleId="95">
    <w:name w:val="标题 4 Char"/>
    <w:basedOn w:val="30"/>
    <w:link w:val="5"/>
    <w:semiHidden/>
    <w:qFormat/>
    <w:uiPriority w:val="9"/>
    <w:rPr>
      <w:rFonts w:asciiTheme="majorHAnsi" w:hAnsiTheme="majorHAnsi" w:eastAsiaTheme="majorEastAsia" w:cstheme="majorBidi"/>
      <w:b/>
      <w:bCs/>
      <w:kern w:val="2"/>
      <w:sz w:val="28"/>
      <w:szCs w:val="28"/>
    </w:rPr>
  </w:style>
  <w:style w:type="character" w:customStyle="1" w:styleId="96">
    <w:name w:val="正文文本 3 Char"/>
    <w:basedOn w:val="30"/>
    <w:link w:val="9"/>
    <w:qFormat/>
    <w:uiPriority w:val="99"/>
    <w:rPr>
      <w:kern w:val="2"/>
      <w:sz w:val="16"/>
      <w:szCs w:val="16"/>
    </w:rPr>
  </w:style>
  <w:style w:type="character" w:customStyle="1" w:styleId="97">
    <w:name w:val="正文文本 2 Char"/>
    <w:basedOn w:val="30"/>
    <w:link w:val="22"/>
    <w:qFormat/>
    <w:uiPriority w:val="0"/>
    <w:rPr>
      <w:kern w:val="2"/>
      <w:sz w:val="21"/>
      <w:szCs w:val="24"/>
    </w:rPr>
  </w:style>
  <w:style w:type="paragraph" w:customStyle="1" w:styleId="98">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99">
    <w:name w:val="apple-converted-space"/>
    <w:basedOn w:val="30"/>
    <w:qFormat/>
    <w:uiPriority w:val="0"/>
  </w:style>
  <w:style w:type="character" w:customStyle="1" w:styleId="100">
    <w:name w:val="Char Char"/>
    <w:qFormat/>
    <w:uiPriority w:val="0"/>
    <w:rPr>
      <w:rFonts w:eastAsia="宋体"/>
      <w:kern w:val="2"/>
      <w:sz w:val="24"/>
      <w:lang w:val="en-US" w:eastAsia="zh-CN" w:bidi="ar-SA"/>
    </w:rPr>
  </w:style>
  <w:style w:type="character" w:customStyle="1" w:styleId="101">
    <w:name w:val="常用正文样式 Char1"/>
    <w:link w:val="102"/>
    <w:qFormat/>
    <w:uiPriority w:val="0"/>
    <w:rPr>
      <w:rFonts w:ascii="宋体" w:hAnsi="宋体" w:cs="宋体"/>
      <w:bCs/>
      <w:kern w:val="28"/>
      <w:sz w:val="24"/>
    </w:rPr>
  </w:style>
  <w:style w:type="paragraph" w:customStyle="1" w:styleId="102">
    <w:name w:val="常用正文样式"/>
    <w:basedOn w:val="1"/>
    <w:link w:val="101"/>
    <w:qFormat/>
    <w:uiPriority w:val="0"/>
    <w:pPr>
      <w:spacing w:line="360" w:lineRule="auto"/>
      <w:ind w:firstLine="480" w:firstLineChars="200"/>
    </w:pPr>
    <w:rPr>
      <w:rFonts w:ascii="宋体" w:hAnsi="宋体" w:cs="宋体"/>
      <w:bCs/>
      <w:kern w:val="28"/>
      <w:sz w:val="24"/>
      <w:szCs w:val="20"/>
    </w:rPr>
  </w:style>
  <w:style w:type="paragraph" w:customStyle="1" w:styleId="103">
    <w:name w:val="Char"/>
    <w:basedOn w:val="1"/>
    <w:qFormat/>
    <w:uiPriority w:val="0"/>
    <w:pPr>
      <w:snapToGrid w:val="0"/>
      <w:spacing w:line="360" w:lineRule="auto"/>
      <w:ind w:firstLine="529" w:firstLineChars="200"/>
    </w:pPr>
    <w:rPr>
      <w:rFonts w:ascii="宋体" w:hAnsi="宋体"/>
      <w:b/>
      <w:sz w:val="28"/>
    </w:rPr>
  </w:style>
  <w:style w:type="character" w:styleId="104">
    <w:name w:val="Placeholder Text"/>
    <w:basedOn w:val="30"/>
    <w:semiHidden/>
    <w:qFormat/>
    <w:uiPriority w:val="99"/>
    <w:rPr>
      <w:color w:val="808080"/>
    </w:rPr>
  </w:style>
  <w:style w:type="character" w:customStyle="1" w:styleId="105">
    <w:name w:val="font11"/>
    <w:qFormat/>
    <w:uiPriority w:val="0"/>
    <w:rPr>
      <w:rFonts w:hint="eastAsia" w:ascii="宋体" w:hAnsi="宋体" w:eastAsia="宋体" w:cs="宋体"/>
      <w:color w:val="000000"/>
      <w:sz w:val="22"/>
      <w:szCs w:val="22"/>
      <w:u w:val="none"/>
    </w:rPr>
  </w:style>
  <w:style w:type="character" w:customStyle="1" w:styleId="106">
    <w:name w:val="font21"/>
    <w:qFormat/>
    <w:uiPriority w:val="0"/>
    <w:rPr>
      <w:rFonts w:hint="default" w:ascii="Times New Roman" w:hAnsi="Times New Roman" w:cs="Times New Roman"/>
      <w:color w:val="000000"/>
      <w:sz w:val="22"/>
      <w:szCs w:val="22"/>
      <w:u w:val="none"/>
    </w:rPr>
  </w:style>
  <w:style w:type="character" w:customStyle="1" w:styleId="107">
    <w:name w:val="ca-1"/>
    <w:basedOn w:val="30"/>
    <w:qFormat/>
    <w:uiPriority w:val="0"/>
  </w:style>
  <w:style w:type="paragraph" w:customStyle="1" w:styleId="108">
    <w:name w:val="mtitle"/>
    <w:basedOn w:val="1"/>
    <w:qFormat/>
    <w:uiPriority w:val="0"/>
    <w:pPr>
      <w:widowControl/>
      <w:spacing w:before="30"/>
      <w:jc w:val="center"/>
    </w:pPr>
    <w:rPr>
      <w:rFonts w:hint="eastAsia" w:ascii="方正小标宋简体" w:hAnsi="宋体" w:eastAsia="方正小标宋简体"/>
      <w:color w:val="000000"/>
      <w:kern w:val="0"/>
      <w:sz w:val="44"/>
      <w:szCs w:val="44"/>
    </w:rPr>
  </w:style>
  <w:style w:type="paragraph" w:customStyle="1" w:styleId="109">
    <w:name w:val="表内字"/>
    <w:basedOn w:val="1"/>
    <w:semiHidden/>
    <w:qFormat/>
    <w:uiPriority w:val="0"/>
    <w:pPr>
      <w:spacing w:line="300" w:lineRule="exact"/>
      <w:jc w:val="center"/>
    </w:pPr>
    <w:rPr>
      <w:szCs w:val="21"/>
    </w:rPr>
  </w:style>
  <w:style w:type="character" w:customStyle="1" w:styleId="110">
    <w:name w:val="正文首行缩进 Char"/>
    <w:basedOn w:val="40"/>
    <w:link w:val="26"/>
    <w:qFormat/>
    <w:uiPriority w:val="99"/>
    <w:rPr>
      <w:kern w:val="2"/>
      <w:sz w:val="21"/>
    </w:rPr>
  </w:style>
  <w:style w:type="character" w:customStyle="1" w:styleId="111">
    <w:name w:val="表头 Char2"/>
    <w:qFormat/>
    <w:uiPriority w:val="0"/>
    <w:rPr>
      <w:rFonts w:eastAsia="仿宋_GB2312"/>
      <w:b/>
      <w:sz w:val="30"/>
    </w:rPr>
  </w:style>
  <w:style w:type="paragraph" w:customStyle="1" w:styleId="112">
    <w:name w:val="正文111"/>
    <w:basedOn w:val="1"/>
    <w:qFormat/>
    <w:uiPriority w:val="0"/>
    <w:pPr>
      <w:spacing w:line="440" w:lineRule="exact"/>
      <w:ind w:firstLine="480"/>
    </w:pPr>
    <w:rPr>
      <w:szCs w:val="20"/>
    </w:rPr>
  </w:style>
  <w:style w:type="character" w:customStyle="1" w:styleId="113">
    <w:name w:val="正文首行缩进 2 Char"/>
    <w:basedOn w:val="49"/>
    <w:link w:val="27"/>
    <w:qFormat/>
    <w:uiPriority w:val="99"/>
    <w:rPr>
      <w:rFonts w:ascii="Times New Roman" w:hAnsi="Times New Roman" w:eastAsia="宋体"/>
      <w:kern w:val="2"/>
      <w:sz w:val="21"/>
    </w:rPr>
  </w:style>
  <w:style w:type="character" w:customStyle="1" w:styleId="114">
    <w:name w:val="5正文 Char"/>
    <w:link w:val="115"/>
    <w:qFormat/>
    <w:uiPriority w:val="0"/>
    <w:rPr>
      <w:sz w:val="24"/>
      <w:szCs w:val="24"/>
    </w:rPr>
  </w:style>
  <w:style w:type="paragraph" w:customStyle="1" w:styleId="115">
    <w:name w:val="5正文"/>
    <w:link w:val="114"/>
    <w:qFormat/>
    <w:uiPriority w:val="0"/>
    <w:pPr>
      <w:widowControl w:val="0"/>
      <w:spacing w:line="520" w:lineRule="exact"/>
      <w:ind w:firstLine="200" w:firstLineChars="200"/>
      <w:jc w:val="both"/>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512"/>
    <customShpInfo spid="_x0000_s2513"/>
    <customShpInfo spid="_x0000_s2514"/>
    <customShpInfo spid="_x0000_s2515"/>
    <customShpInfo spid="_x0000_s2516"/>
    <customShpInfo spid="_x0000_s2517"/>
    <customShpInfo spid="_x0000_s2518"/>
    <customShpInfo spid="_x0000_s2519"/>
    <customShpInfo spid="_x0000_s2520"/>
    <customShpInfo spid="_x0000_s2521"/>
    <customShpInfo spid="_x0000_s2522"/>
    <customShpInfo spid="_x0000_s2523"/>
    <customShpInfo spid="_x0000_s2524"/>
    <customShpInfo spid="_x0000_s2525"/>
    <customShpInfo spid="_x0000_s2526"/>
    <customShpInfo spid="_x0000_s2527"/>
    <customShpInfo spid="_x0000_s2528"/>
    <customShpInfo spid="_x0000_s2529"/>
    <customShpInfo spid="_x0000_s2532"/>
    <customShpInfo spid="_x0000_s2533"/>
    <customShpInfo spid="_x0000_s2547"/>
    <customShpInfo spid="_x0000_s2548"/>
    <customShpInfo spid="_x0000_s2549"/>
    <customShpInfo spid="_x0000_s2551"/>
    <customShpInfo spid="_x0000_s2552"/>
    <customShpInfo spid="_x0000_s2557"/>
    <customShpInfo spid="_x0000_s2604"/>
    <customShpInfo spid="_x0000_s2605"/>
    <customShpInfo spid="_x0000_s2606"/>
    <customShpInfo spid="_x0000_s2607"/>
    <customShpInfo spid="_x0000_s2608"/>
    <customShpInfo spid="_x0000_s2609"/>
    <customShpInfo spid="_x0000_s2511"/>
    <customShpInfo spid="_x0000_s2560"/>
    <customShpInfo spid="_x0000_s2561"/>
    <customShpInfo spid="_x0000_s2562"/>
    <customShpInfo spid="_x0000_s2563"/>
    <customShpInfo spid="_x0000_s2564"/>
    <customShpInfo spid="_x0000_s2565"/>
    <customShpInfo spid="_x0000_s2567"/>
    <customShpInfo spid="_x0000_s2569"/>
    <customShpInfo spid="_x0000_s2570"/>
    <customShpInfo spid="_x0000_s2571"/>
    <customShpInfo spid="_x0000_s2572"/>
    <customShpInfo spid="_x0000_s2573"/>
    <customShpInfo spid="_x0000_s2574"/>
    <customShpInfo spid="_x0000_s2575"/>
    <customShpInfo spid="_x0000_s2576"/>
    <customShpInfo spid="_x0000_s2577"/>
    <customShpInfo spid="_x0000_s2578"/>
    <customShpInfo spid="_x0000_s2579"/>
    <customShpInfo spid="_x0000_s2580"/>
    <customShpInfo spid="_x0000_s2581"/>
    <customShpInfo spid="_x0000_s2582"/>
    <customShpInfo spid="_x0000_s2583"/>
    <customShpInfo spid="_x0000_s2584"/>
    <customShpInfo spid="_x0000_s2585"/>
    <customShpInfo spid="_x0000_s2586"/>
    <customShpInfo spid="_x0000_s2587"/>
    <customShpInfo spid="_x0000_s2588"/>
    <customShpInfo spid="_x0000_s2589"/>
    <customShpInfo spid="_x0000_s2590"/>
    <customShpInfo spid="_x0000_s2591"/>
    <customShpInfo spid="_x0000_s2592"/>
    <customShpInfo spid="_x0000_s2593"/>
    <customShpInfo spid="_x0000_s2594"/>
    <customShpInfo spid="_x0000_s2595"/>
    <customShpInfo spid="_x0000_s2596"/>
    <customShpInfo spid="_x0000_s2597"/>
    <customShpInfo spid="_x0000_s2598"/>
    <customShpInfo spid="_x0000_s2599"/>
    <customShpInfo spid="_x0000_s2600"/>
    <customShpInfo spid="_x0000_s2601"/>
    <customShpInfo spid="_x0000_s2611"/>
    <customShpInfo spid="_x0000_s2612"/>
    <customShpInfo spid="_x0000_s2613"/>
    <customShpInfo spid="_x0000_s2614"/>
    <customShpInfo spid="_x0000_s2615"/>
    <customShpInfo spid="_x0000_s2616"/>
    <customShpInfo spid="_x0000_s255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3CFF1C-48C2-4ECD-861B-A5A85A5AF196}">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58</Pages>
  <Words>36735</Words>
  <Characters>41494</Characters>
  <Lines>317</Lines>
  <Paragraphs>89</Paragraphs>
  <TotalTime>5434</TotalTime>
  <ScaleCrop>false</ScaleCrop>
  <LinksUpToDate>false</LinksUpToDate>
  <CharactersWithSpaces>41548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2022-09-22T06:45:00Z</dcterms:created>
  <dc:creator>lhj</dc:creator>
  <cp:lastModifiedBy>烟雨任平生</cp:lastModifiedBy>
  <cp:lastPrinted>2020-12-29T02:43:00Z</cp:lastPrinted>
  <dcterms:modified xsi:type="dcterms:W3CDTF">2023-12-28T09:00:01Z</dcterms:modified>
  <dc:title>附件2</dc:title>
  <cp:revision>1630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CC9D77B2851143F9A9B20230097E684B_12</vt:lpwstr>
  </property>
</Properties>
</file>