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59"/>
        </w:tabs>
        <w:spacing w:line="600" w:lineRule="exact"/>
        <w:ind w:firstLine="1760" w:firstLineChars="400"/>
        <w:jc w:val="both"/>
        <w:rPr>
          <w:rFonts w:hint="eastAsia" w:ascii="方正小标宋简体" w:hAnsi="仿宋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宋体"/>
          <w:color w:val="231F20"/>
          <w:sz w:val="44"/>
          <w:szCs w:val="44"/>
          <w:lang w:eastAsia="zh-CN"/>
        </w:rPr>
        <w:t>洛阳市偃师区市场监督管理局</w:t>
      </w:r>
    </w:p>
    <w:p>
      <w:pPr>
        <w:spacing w:line="600" w:lineRule="exact"/>
        <w:ind w:firstLine="3080" w:firstLineChars="700"/>
        <w:jc w:val="both"/>
        <w:rPr>
          <w:rFonts w:hint="eastAsia" w:ascii="方正小标宋简体" w:hAnsi="仿宋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宋体"/>
          <w:color w:val="231F20"/>
          <w:sz w:val="44"/>
          <w:szCs w:val="44"/>
          <w:lang w:eastAsia="zh-CN"/>
        </w:rPr>
        <w:t>行政处罚决定书</w:t>
      </w:r>
    </w:p>
    <w:p>
      <w:pPr>
        <w:pStyle w:val="5"/>
        <w:tabs>
          <w:tab w:val="left" w:pos="319"/>
          <w:tab w:val="left" w:pos="1486"/>
          <w:tab w:val="left" w:pos="2353"/>
          <w:tab w:val="left" w:pos="3199"/>
        </w:tabs>
        <w:spacing w:line="600" w:lineRule="exact"/>
        <w:ind w:firstLine="2240" w:firstLineChars="700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_GB2312"/>
          <w:color w:val="231F20"/>
          <w:lang w:eastAsia="zh-CN"/>
        </w:rPr>
        <w:t>偃市监处罚〔202</w:t>
      </w:r>
      <w:r>
        <w:rPr>
          <w:rFonts w:ascii="仿宋" w:hAnsi="仿宋" w:eastAsia="仿宋" w:cs="仿宋_GB2312"/>
          <w:color w:val="231F20"/>
          <w:lang w:eastAsia="zh-CN"/>
        </w:rPr>
        <w:t>4</w:t>
      </w:r>
      <w:r>
        <w:rPr>
          <w:rFonts w:hint="eastAsia" w:ascii="仿宋" w:hAnsi="仿宋" w:eastAsia="仿宋" w:cs="仿宋_GB2312"/>
          <w:color w:val="231F20"/>
          <w:lang w:eastAsia="zh-CN"/>
        </w:rPr>
        <w:t>〕2</w:t>
      </w:r>
      <w:r>
        <w:rPr>
          <w:rFonts w:ascii="仿宋" w:hAnsi="仿宋" w:eastAsia="仿宋" w:cs="仿宋_GB2312"/>
          <w:color w:val="231F20"/>
          <w:lang w:eastAsia="zh-CN"/>
        </w:rPr>
        <w:t>023</w:t>
      </w:r>
      <w:r>
        <w:rPr>
          <w:rFonts w:hint="eastAsia" w:ascii="仿宋" w:hAnsi="仿宋" w:eastAsia="仿宋" w:cs="仿宋_GB2312"/>
          <w:color w:val="231F20"/>
          <w:lang w:eastAsia="zh-CN"/>
        </w:rPr>
        <w:t>151号</w:t>
      </w:r>
    </w:p>
    <w:p>
      <w:pPr>
        <w:pStyle w:val="5"/>
        <w:tabs>
          <w:tab w:val="left" w:pos="4440"/>
          <w:tab w:val="left" w:pos="8920"/>
        </w:tabs>
        <w:spacing w:line="600" w:lineRule="exact"/>
        <w:ind w:left="0" w:right="118"/>
        <w:jc w:val="both"/>
        <w:rPr>
          <w:rFonts w:ascii="仿宋" w:hAnsi="仿宋" w:eastAsia="仿宋" w:cs="仿宋"/>
          <w:color w:val="231F20"/>
          <w:lang w:eastAsia="zh-CN"/>
        </w:rPr>
      </w:pPr>
    </w:p>
    <w:p>
      <w:pPr>
        <w:pStyle w:val="5"/>
        <w:tabs>
          <w:tab w:val="left" w:pos="4440"/>
          <w:tab w:val="left" w:pos="8920"/>
        </w:tabs>
        <w:spacing w:line="600" w:lineRule="exact"/>
        <w:ind w:left="0" w:right="118"/>
        <w:jc w:val="both"/>
        <w:rPr>
          <w:rFonts w:ascii="仿宋" w:hAnsi="仿宋" w:eastAsia="仿宋" w:cs="仿宋"/>
          <w:color w:val="231F20"/>
          <w:lang w:eastAsia="zh-CN"/>
        </w:rPr>
      </w:pPr>
      <w:r>
        <w:rPr>
          <w:rFonts w:hint="eastAsia" w:ascii="仿宋" w:hAnsi="仿宋" w:eastAsia="仿宋" w:cs="仿宋"/>
          <w:color w:val="231F20"/>
          <w:lang w:eastAsia="zh-CN"/>
        </w:rPr>
        <w:t>当事人：</w:t>
      </w:r>
      <w:r>
        <w:rPr>
          <w:rFonts w:hint="eastAsia" w:ascii="仿宋" w:hAnsi="仿宋" w:eastAsia="仿宋" w:cs="仿宋"/>
          <w:lang w:eastAsia="zh-CN"/>
        </w:rPr>
        <w:t>洛阳市自然之声助听器经营部</w:t>
      </w:r>
    </w:p>
    <w:p>
      <w:pPr>
        <w:pStyle w:val="5"/>
        <w:tabs>
          <w:tab w:val="left" w:pos="3785"/>
          <w:tab w:val="left" w:pos="8920"/>
        </w:tabs>
        <w:spacing w:line="600" w:lineRule="exact"/>
        <w:ind w:left="0" w:right="118"/>
        <w:jc w:val="both"/>
        <w:rPr>
          <w:rFonts w:ascii="仿宋" w:hAnsi="仿宋" w:eastAsia="仿宋" w:cs="仿宋_GB2312"/>
          <w:color w:val="000000"/>
          <w:lang w:eastAsia="zh-CN"/>
        </w:rPr>
      </w:pPr>
      <w:r>
        <w:rPr>
          <w:rFonts w:ascii="仿宋" w:hAnsi="仿宋" w:eastAsia="仿宋" w:cs="仿宋_GB2312"/>
          <w:color w:val="000000"/>
          <w:lang w:eastAsia="zh-CN"/>
        </w:rPr>
        <w:t>主体资格证照名称：</w:t>
      </w:r>
      <w:r>
        <w:rPr>
          <w:rFonts w:hint="eastAsia" w:ascii="仿宋" w:hAnsi="仿宋" w:eastAsia="仿宋" w:cs="仿宋_GB2312"/>
          <w:color w:val="000000"/>
          <w:lang w:eastAsia="zh-CN"/>
        </w:rPr>
        <w:t>《营业执照》</w:t>
      </w:r>
    </w:p>
    <w:p>
      <w:pPr>
        <w:pStyle w:val="5"/>
        <w:tabs>
          <w:tab w:val="left" w:pos="3785"/>
          <w:tab w:val="left" w:pos="8920"/>
        </w:tabs>
        <w:spacing w:line="600" w:lineRule="exact"/>
        <w:ind w:left="0" w:right="118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_GB2312"/>
          <w:color w:val="000000"/>
          <w:lang w:eastAsia="zh-CN"/>
        </w:rPr>
        <w:t>统一社会信用代码：91410307MA9LLYWA52</w:t>
      </w:r>
    </w:p>
    <w:p>
      <w:pPr>
        <w:pStyle w:val="5"/>
        <w:tabs>
          <w:tab w:val="left" w:pos="3785"/>
          <w:tab w:val="left" w:pos="8920"/>
        </w:tabs>
        <w:spacing w:line="600" w:lineRule="exact"/>
        <w:ind w:left="2240" w:right="118" w:hanging="2240" w:hangingChars="700"/>
        <w:jc w:val="both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231F20"/>
          <w:lang w:eastAsia="zh-CN"/>
        </w:rPr>
        <w:t>地址：</w:t>
      </w:r>
      <w:r>
        <w:rPr>
          <w:rFonts w:hint="eastAsia" w:ascii="仿宋" w:hAnsi="仿宋" w:eastAsia="仿宋" w:cs="仿宋"/>
          <w:lang w:eastAsia="zh-CN"/>
        </w:rPr>
        <w:t>河南省洛阳市偃师区槐新街道西亳大道25号</w:t>
      </w:r>
    </w:p>
    <w:p>
      <w:pPr>
        <w:pStyle w:val="5"/>
        <w:tabs>
          <w:tab w:val="left" w:pos="3785"/>
          <w:tab w:val="left" w:pos="8920"/>
        </w:tabs>
        <w:spacing w:line="600" w:lineRule="exact"/>
        <w:ind w:left="0" w:right="118"/>
        <w:jc w:val="both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231F20"/>
          <w:lang w:eastAsia="zh-CN"/>
        </w:rPr>
        <w:t>法定代表人：</w:t>
      </w:r>
      <w:r>
        <w:rPr>
          <w:rFonts w:hint="eastAsia" w:ascii="仿宋" w:hAnsi="仿宋" w:eastAsia="仿宋" w:cs="仿宋_GB2312"/>
          <w:color w:val="000000"/>
          <w:lang w:eastAsia="zh-CN"/>
        </w:rPr>
        <w:t>季天凤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" w:hAnsi="仿宋" w:eastAsia="仿宋" w:cs="仿宋_GB2312"/>
          <w:sz w:val="32"/>
          <w:szCs w:val="32"/>
          <w:lang w:eastAsia="zh-CN"/>
        </w:rPr>
        <w:t>2022年9月14日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局</w:t>
      </w:r>
      <w:r>
        <w:rPr>
          <w:rFonts w:ascii="仿宋" w:hAnsi="仿宋" w:eastAsia="仿宋" w:cs="仿宋_GB2312"/>
          <w:sz w:val="32"/>
          <w:szCs w:val="32"/>
          <w:lang w:eastAsia="zh-CN"/>
        </w:rPr>
        <w:t>执法人员对当事人进行日常检查，抽查其使用的医疗器械助听器（智悦4G6右耳），发现其未建立医疗器械进货查验记录制度，不能提供医疗器械查验记录。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我局执法人员</w:t>
      </w:r>
      <w:r>
        <w:rPr>
          <w:rFonts w:ascii="仿宋" w:hAnsi="仿宋" w:eastAsia="仿宋" w:cs="仿宋_GB2312"/>
          <w:sz w:val="32"/>
          <w:szCs w:val="32"/>
          <w:lang w:eastAsia="zh-CN"/>
        </w:rPr>
        <w:t>责令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</w:t>
      </w:r>
      <w:r>
        <w:rPr>
          <w:rFonts w:ascii="仿宋" w:hAnsi="仿宋" w:eastAsia="仿宋" w:cs="仿宋_GB2312"/>
          <w:sz w:val="32"/>
          <w:szCs w:val="32"/>
          <w:lang w:eastAsia="zh-CN"/>
        </w:rPr>
        <w:t>改正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  <w:lang w:eastAsia="zh-CN"/>
        </w:rPr>
        <w:t>并给予警告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。2023年10月23日，</w:t>
      </w:r>
      <w:r>
        <w:rPr>
          <w:rFonts w:ascii="仿宋" w:hAnsi="仿宋" w:eastAsia="仿宋" w:cs="仿宋_GB2312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局</w:t>
      </w:r>
      <w:r>
        <w:rPr>
          <w:rFonts w:ascii="仿宋" w:hAnsi="仿宋" w:eastAsia="仿宋" w:cs="仿宋_GB2312"/>
          <w:sz w:val="32"/>
          <w:szCs w:val="32"/>
          <w:lang w:eastAsia="zh-CN"/>
        </w:rPr>
        <w:t>执法人员对当事人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再次</w:t>
      </w:r>
      <w:r>
        <w:rPr>
          <w:rFonts w:ascii="仿宋" w:hAnsi="仿宋" w:eastAsia="仿宋" w:cs="仿宋_GB2312"/>
          <w:sz w:val="32"/>
          <w:szCs w:val="32"/>
          <w:lang w:eastAsia="zh-CN"/>
        </w:rPr>
        <w:t>进行检查，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其仍未改正上述违法行为。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上述事实，主要有以下证据证明：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1.《现场检查笔录》，证明我局对当事人的现场检查情况；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2.《医疗机构执业许可证》、《事业单位法人证书》复印件1份，证明当事人许可登记情况；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3.《调查笔录》，证明该单位未建立医疗器械进货查验记录制度的有关情况；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4.《偃师区市场监督管管理局当场行政处罚决定书》和《偃师区市场监督管理局责令改正通知书》复印件，证明对该单位未建立医疗器械进货查验记录制度的违法行为已于2022年9月14日责令其限期改正并给予警告。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 我局于2023年12月15日向当事人送达了《偃师区市场监督管理局行政处罚告知书》，告知当事人我局拟作出行政处罚决定的事实、理由、依据、内容以及当事人依法享有的陈述权、申辩权，当事人在法定期限内未提出陈述、申辩意见。当事人的行为，根据其违法的事实、性质、情节，参照《</w:t>
      </w:r>
      <w:r>
        <w:rPr>
          <w:rFonts w:ascii="仿宋" w:hAnsi="仿宋" w:eastAsia="仿宋" w:cs="仿宋_GB2312"/>
          <w:sz w:val="32"/>
          <w:szCs w:val="32"/>
          <w:lang w:eastAsia="zh-CN"/>
        </w:rPr>
        <w:t>河南省市场监督管理行政处罚裁量权适用通则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  <w:r>
        <w:rPr>
          <w:rFonts w:ascii="仿宋" w:hAnsi="仿宋" w:eastAsia="仿宋" w:cs="仿宋_GB2312"/>
          <w:sz w:val="32"/>
          <w:szCs w:val="32"/>
          <w:lang w:eastAsia="zh-CN"/>
        </w:rPr>
        <w:t>第十条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的规定，</w:t>
      </w:r>
      <w:r>
        <w:rPr>
          <w:rFonts w:ascii="仿宋" w:hAnsi="仿宋" w:eastAsia="仿宋" w:cs="仿宋_GB2312"/>
          <w:sz w:val="32"/>
          <w:szCs w:val="32"/>
          <w:lang w:eastAsia="zh-CN"/>
        </w:rPr>
        <w:t>可以依法对其从轻行政处罚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tabs>
          <w:tab w:val="left" w:pos="2440"/>
          <w:tab w:val="left" w:pos="8964"/>
        </w:tabs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当事人未建立医疗器械进货查验记录制度的行为违反了《医疗器械监督管理条例》第四十五条“医疗器械经营企业、使用单位应当从具备合法资质的医疗器械注册人、备案人、生产经营企业购进医疗器械。购进医疗器械时，应当查验供货者的资质和医疗器械的合格证明文件，建立进货查验记录制度。”的规定，依据《医疗器械监督管理条例》第八十九条“有下列情形之一的，由负责药品监督管理的部门和卫生主管部门依据各自职责责令改正，给予警告；拒不改正的，处1万元以上10万元以下罚款；情节严重的，责令停产停业，直至由原发证部门吊销医疗器械注册证、医疗器械生产许可证、医疗器械经营许可证，对违法单位的法定代表人、主要负责人、直接负责的主管人员和其他责任人员处1万元以上3万元以下罚款：（三）医疗器械经营企业、使用单位未依照本条例规定建立并执行医疗器械进货查验记录制度；”的规定，参照《</w:t>
      </w:r>
      <w:r>
        <w:rPr>
          <w:rFonts w:ascii="仿宋" w:hAnsi="仿宋" w:eastAsia="仿宋" w:cs="仿宋_GB2312"/>
          <w:sz w:val="32"/>
          <w:szCs w:val="32"/>
          <w:lang w:eastAsia="zh-CN"/>
        </w:rPr>
        <w:t>河南省市场监督管理行政处罚裁量基准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》“</w:t>
      </w:r>
      <w:r>
        <w:rPr>
          <w:rFonts w:ascii="仿宋" w:hAnsi="仿宋" w:eastAsia="仿宋" w:cs="仿宋_GB2312"/>
          <w:sz w:val="32"/>
          <w:szCs w:val="32"/>
          <w:lang w:eastAsia="zh-CN"/>
        </w:rPr>
        <w:t>9.1.8 依据《医疗器械监督管理条例》第八十九条实施的行政处罚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仿宋_GB2312"/>
          <w:sz w:val="32"/>
          <w:szCs w:val="32"/>
          <w:lang w:eastAsia="zh-CN"/>
        </w:rPr>
        <w:t>裁量基准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 由负责药品监督管理的部门和卫生主管部门</w:t>
      </w:r>
      <w:r>
        <w:rPr>
          <w:rFonts w:ascii="仿宋" w:hAnsi="仿宋" w:eastAsia="仿宋" w:cs="仿宋_GB2312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依据各自职责责令改正，给予警告；拒不改正的，处</w:t>
      </w:r>
      <w:r>
        <w:rPr>
          <w:rFonts w:ascii="仿宋" w:hAnsi="仿宋" w:eastAsia="仿宋" w:cs="仿宋_GB2312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万元以上</w:t>
      </w:r>
      <w:r>
        <w:rPr>
          <w:rFonts w:ascii="仿宋" w:hAnsi="仿宋" w:eastAsia="仿宋" w:cs="仿宋_GB2312"/>
          <w:sz w:val="32"/>
          <w:szCs w:val="32"/>
          <w:lang w:eastAsia="zh-CN"/>
        </w:rPr>
        <w:t>3.7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万元以下罚款；情节严重的，责令停产停业，直至由原发证部门吊销医疗器械注册证、医疗器械生产许可证、医疗器械经营许可证，对违法单位的法定代表人、主要负责人、直接负责的主管人员和其他责任人员处</w:t>
      </w:r>
      <w:r>
        <w:rPr>
          <w:rFonts w:ascii="仿宋" w:hAnsi="仿宋" w:eastAsia="仿宋" w:cs="仿宋_GB2312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万元以上</w:t>
      </w:r>
      <w:r>
        <w:rPr>
          <w:rFonts w:ascii="仿宋" w:hAnsi="仿宋" w:eastAsia="仿宋" w:cs="仿宋_GB2312"/>
          <w:sz w:val="32"/>
          <w:szCs w:val="32"/>
          <w:lang w:eastAsia="zh-CN"/>
        </w:rPr>
        <w:t>1.6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万元以下罚款。”的规定，决定对洛阳市自然之声助听器经营部处2万元的罚款。 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>当事</w:t>
      </w:r>
      <w:r>
        <w:rPr>
          <w:rFonts w:ascii="仿宋" w:hAnsi="仿宋" w:eastAsia="仿宋" w:cs="仿宋"/>
          <w:sz w:val="32"/>
          <w:szCs w:val="32"/>
          <w:lang w:eastAsia="zh-CN"/>
        </w:rPr>
        <w:t>人收到本处罚决定之日起15日内，缴清上述罚款。（当事人可选择以下银行缴纳罚款：1.农业银行偃师市支行，户名：洛阳市偃师区财政局财政专户，账号：16129101040000020。2.工商银行偃师市支行，户名：洛阳市偃师区财政局财政专户，账号：1705027009064004971。3.中国银行偃师市支行，户名：洛阳市偃师区财政局财政专户，账号：2494071</w:t>
      </w:r>
      <w:r>
        <w:rPr>
          <w:rFonts w:ascii="仿宋" w:hAnsi="仿宋" w:eastAsia="仿宋" w:cs="仿宋_GB2312"/>
          <w:sz w:val="32"/>
          <w:szCs w:val="32"/>
          <w:lang w:eastAsia="zh-CN"/>
        </w:rPr>
        <w:t>56581。4.农商银行偃师营业部，户名：洛阳市偃师区财政局财政专户，账号：00000005583396678012。5.建设银行偃师支行，户名：洛阳市偃师区财政局财政专户，账号：41001591110058000003。6.中原银行偃师市支行，户名：洛阳市偃师区财政局财政专户，账号：671610090000000753。7.邮储银行偃师市支行，户名：洛阳市偃师区财政局财政专户，账号：100216664840019999。）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 xml:space="preserve">根据《行政处罚法》第七十二条规定，当事人逾期不履行行政处罚决定的，本机关可以采取以下措施：（一）到期不缴纳罚款的，每日按罚款数额的百分之三加处罚款；（二）申请人民法院强制执行。            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 xml:space="preserve">如不服本处罚决定，可自接文之日起六十日内向洛阳市偃师区人民政府申请复议，也可于接文之日起六个月内向洛阳市偃师区人民法院提起诉讼。行政复议或者行政诉讼期间，本行政处罚决定不停止执行。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                            </w:t>
      </w: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600" w:lineRule="exact"/>
        <w:ind w:left="5760" w:hanging="5760" w:hangingChars="18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                       </w:t>
      </w:r>
    </w:p>
    <w:p>
      <w:pPr>
        <w:spacing w:line="600" w:lineRule="exact"/>
        <w:ind w:firstLine="3840" w:firstLineChars="1200"/>
        <w:jc w:val="both"/>
        <w:rPr>
          <w:rFonts w:ascii="仿宋" w:hAnsi="仿宋" w:eastAsia="仿宋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洛阳市偃师区市场监督管理局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                        </w:t>
      </w:r>
    </w:p>
    <w:p>
      <w:pPr>
        <w:spacing w:line="600" w:lineRule="exact"/>
        <w:ind w:firstLine="4800" w:firstLineChars="1500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202</w:t>
      </w:r>
      <w:r>
        <w:rPr>
          <w:rFonts w:ascii="仿宋" w:hAnsi="仿宋" w:eastAsia="仿宋" w:cs="仿宋_GB2312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</w:t>
      </w:r>
      <w:r>
        <w:rPr>
          <w:rFonts w:ascii="仿宋" w:hAnsi="仿宋" w:eastAsia="仿宋" w:cs="仿宋_GB2312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月</w:t>
      </w:r>
      <w:r>
        <w:rPr>
          <w:rFonts w:ascii="仿宋" w:hAnsi="仿宋" w:eastAsia="仿宋" w:cs="仿宋_GB2312"/>
          <w:sz w:val="32"/>
          <w:szCs w:val="32"/>
          <w:lang w:eastAsia="zh-CN"/>
        </w:rPr>
        <w:t>15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日</w:t>
      </w: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2"/>
        <w:spacing w:line="600" w:lineRule="exact"/>
        <w:ind w:left="440" w:firstLine="64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tabs>
          <w:tab w:val="left" w:pos="2440"/>
          <w:tab w:val="left" w:pos="8964"/>
        </w:tabs>
        <w:spacing w:line="600" w:lineRule="exact"/>
        <w:jc w:val="both"/>
        <w:rPr>
          <w:rFonts w:ascii="仿宋" w:hAnsi="仿宋" w:eastAsia="仿宋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（市场监督管理部门将依法向社会公示本行政处罚决定信息）</w:t>
      </w:r>
    </w:p>
    <w:p>
      <w:pPr>
        <w:tabs>
          <w:tab w:val="left" w:pos="2440"/>
          <w:tab w:val="left" w:pos="8964"/>
        </w:tabs>
        <w:spacing w:line="600" w:lineRule="exact"/>
        <w:ind w:firstLine="320" w:firstLineChars="100"/>
        <w:jc w:val="both"/>
        <w:rPr>
          <w:rFonts w:ascii="仿宋" w:hAnsi="仿宋" w:eastAsia="仿宋" w:cs="仿宋_GB2312"/>
          <w:bCs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37465</wp:posOffset>
                </wp:positionV>
                <wp:extent cx="5305425" cy="0"/>
                <wp:effectExtent l="0" t="0" r="0" b="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9.55pt;margin-top:2.95pt;height:0pt;width:417.75pt;z-index:251659264;mso-width-relative:page;mso-height-relative:page;" filled="f" stroked="t" coordsize="21600,21600" o:gfxdata="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Pr/L9UAAAAGAQAADwAAAAAAAAABACAAAAAiAAAAZHJzL2Rvd25yZXYueG1sUEsBAhQAFAAA&#10;AAgAh07iQB1++APyAQAA5w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本文书一式三份，一份送达，一份归档，一份办案机构留存。</w:t>
      </w:r>
    </w:p>
    <w:sectPr>
      <w:footerReference r:id="rId3" w:type="default"/>
      <w:pgSz w:w="11905" w:h="16838"/>
      <w:pgMar w:top="1417" w:right="1417" w:bottom="1417" w:left="1417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538688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220"/>
  <w:drawingGridVerticalSpacing w:val="-79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NzdiMWY1ZWU2ZWU3NmE4ZTUxNGRmYWVhMzdjNDQifQ=="/>
  </w:docVars>
  <w:rsids>
    <w:rsidRoot w:val="0015616F"/>
    <w:rsid w:val="0015616F"/>
    <w:rsid w:val="001D6B6F"/>
    <w:rsid w:val="00210058"/>
    <w:rsid w:val="002422C5"/>
    <w:rsid w:val="002F2FA6"/>
    <w:rsid w:val="003D77FB"/>
    <w:rsid w:val="00461248"/>
    <w:rsid w:val="00470C18"/>
    <w:rsid w:val="00533E8F"/>
    <w:rsid w:val="007F2A28"/>
    <w:rsid w:val="00956576"/>
    <w:rsid w:val="00C07C65"/>
    <w:rsid w:val="00C62430"/>
    <w:rsid w:val="00D842AC"/>
    <w:rsid w:val="02064FFB"/>
    <w:rsid w:val="0F12795B"/>
    <w:rsid w:val="14C56374"/>
    <w:rsid w:val="17854713"/>
    <w:rsid w:val="199221E1"/>
    <w:rsid w:val="1BCA4141"/>
    <w:rsid w:val="1FC87A64"/>
    <w:rsid w:val="227F4BB4"/>
    <w:rsid w:val="2E5779DB"/>
    <w:rsid w:val="2E586C8C"/>
    <w:rsid w:val="340771B5"/>
    <w:rsid w:val="351548D3"/>
    <w:rsid w:val="3CAE656C"/>
    <w:rsid w:val="3D9832FE"/>
    <w:rsid w:val="4615686A"/>
    <w:rsid w:val="47DA696D"/>
    <w:rsid w:val="4927359F"/>
    <w:rsid w:val="56D97F48"/>
    <w:rsid w:val="632B0469"/>
    <w:rsid w:val="645F5A22"/>
    <w:rsid w:val="6B597DBA"/>
    <w:rsid w:val="70373EE4"/>
    <w:rsid w:val="72FF5977"/>
    <w:rsid w:val="750F0403"/>
    <w:rsid w:val="767E3BD5"/>
    <w:rsid w:val="7E4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Calibri" w:cs="黑体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2"/>
      <w:szCs w:val="4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"/>
    <w:basedOn w:val="1"/>
    <w:autoRedefine/>
    <w:qFormat/>
    <w:uiPriority w:val="1"/>
    <w:pPr>
      <w:ind w:left="220"/>
    </w:pPr>
    <w:rPr>
      <w:rFonts w:ascii="Arial Unicode MS" w:hAnsi="Arial Unicode MS" w:eastAsia="Arial Unicode MS"/>
      <w:sz w:val="32"/>
      <w:szCs w:val="32"/>
    </w:rPr>
  </w:style>
  <w:style w:type="paragraph" w:styleId="6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after="150"/>
    </w:pPr>
    <w:rPr>
      <w:sz w:val="24"/>
      <w:lang w:eastAsia="zh-CN"/>
    </w:rPr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列表段落1"/>
    <w:basedOn w:val="1"/>
    <w:autoRedefine/>
    <w:qFormat/>
    <w:uiPriority w:val="34"/>
    <w:pPr>
      <w:ind w:firstLine="420" w:firstLineChars="200"/>
      <w:jc w:val="both"/>
    </w:pPr>
    <w:rPr>
      <w:rFonts w:eastAsia="宋体"/>
      <w:kern w:val="2"/>
      <w:sz w:val="21"/>
      <w:lang w:eastAsia="zh-CN"/>
    </w:rPr>
  </w:style>
  <w:style w:type="paragraph" w:customStyle="1" w:styleId="14">
    <w:name w:val="列表段落11"/>
    <w:basedOn w:val="1"/>
    <w:autoRedefine/>
    <w:qFormat/>
    <w:uiPriority w:val="34"/>
    <w:pPr>
      <w:ind w:firstLine="420" w:firstLineChars="200"/>
      <w:jc w:val="both"/>
    </w:pPr>
    <w:rPr>
      <w:rFonts w:eastAsia="宋体"/>
      <w:kern w:val="2"/>
      <w:sz w:val="21"/>
      <w:lang w:eastAsia="zh-CN"/>
    </w:rPr>
  </w:style>
  <w:style w:type="character" w:customStyle="1" w:styleId="15">
    <w:name w:val="日期 字符"/>
    <w:basedOn w:val="11"/>
    <w:link w:val="6"/>
    <w:autoRedefine/>
    <w:qFormat/>
    <w:uiPriority w:val="0"/>
    <w:rPr>
      <w:rFonts w:ascii="Calibri" w:hAnsi="Calibri" w:eastAsia="Calibri" w:cs="黑体"/>
      <w:sz w:val="22"/>
      <w:szCs w:val="22"/>
      <w:lang w:eastAsia="en-US"/>
    </w:rPr>
  </w:style>
  <w:style w:type="character" w:customStyle="1" w:styleId="16">
    <w:name w:val="页脚 字符"/>
    <w:basedOn w:val="11"/>
    <w:link w:val="7"/>
    <w:autoRedefine/>
    <w:qFormat/>
    <w:uiPriority w:val="99"/>
    <w:rPr>
      <w:rFonts w:ascii="Calibri" w:hAnsi="Calibri" w:eastAsia="Calibri" w:cs="黑体"/>
      <w:sz w:val="1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64E39-5901-4FF0-B5D0-E203847AF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</Words>
  <Characters>1773</Characters>
  <Lines>14</Lines>
  <Paragraphs>4</Paragraphs>
  <TotalTime>2</TotalTime>
  <ScaleCrop>false</ScaleCrop>
  <LinksUpToDate>false</LinksUpToDate>
  <CharactersWithSpaces>2080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2024-01-15T02:08:00Z</dcterms:created>
  <dc:creator>Administrator</dc:creator>
  <cp:lastModifiedBy>王建清</cp:lastModifiedBy>
  <cp:lastPrinted>2021-05-06T01:27:00Z</cp:lastPrinted>
  <dcterms:modified xsi:type="dcterms:W3CDTF">2024-03-06T09:09:36Z</dcterms:modified>
  <dc:title>偃师市市场监督管理局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BFC4444664CE4A0389C17938DC39C220_13</vt:lpwstr>
  </property>
</Properties>
</file>