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b/>
          <w:bCs/>
          <w:sz w:val="36"/>
          <w:szCs w:val="36"/>
        </w:rPr>
      </w:pPr>
      <w:r>
        <w:rPr>
          <w:rFonts w:hint="eastAsia"/>
          <w:b/>
          <w:bCs/>
          <w:sz w:val="36"/>
          <w:szCs w:val="36"/>
        </w:rPr>
        <w:t>2022年度储备粮油专项资金</w:t>
      </w:r>
    </w:p>
    <w:p>
      <w:pPr>
        <w:spacing w:beforeLines="50"/>
        <w:jc w:val="center"/>
        <w:rPr>
          <w:b/>
          <w:bCs/>
          <w:sz w:val="44"/>
          <w:szCs w:val="44"/>
        </w:rPr>
      </w:pPr>
      <w:r>
        <w:rPr>
          <w:rFonts w:hint="eastAsia"/>
          <w:b/>
          <w:bCs/>
          <w:sz w:val="44"/>
          <w:szCs w:val="44"/>
        </w:rPr>
        <w:t>绩效评价报告</w:t>
      </w:r>
    </w:p>
    <w:p>
      <w:pPr>
        <w:adjustRightInd w:val="0"/>
        <w:snapToGrid w:val="0"/>
        <w:spacing w:line="560" w:lineRule="exact"/>
        <w:rPr>
          <w:rFonts w:ascii="宋体" w:hAnsi="宋体" w:eastAsia="宋体" w:cs="宋体"/>
          <w:b/>
          <w:bCs/>
          <w:spacing w:val="6"/>
          <w:sz w:val="28"/>
          <w:szCs w:val="28"/>
        </w:rPr>
      </w:pPr>
      <w:bookmarkStart w:id="0" w:name="_GoBack"/>
      <w:bookmarkEnd w:id="0"/>
      <w:r>
        <w:rPr>
          <w:rFonts w:hint="eastAsia" w:ascii="宋体" w:hAnsi="宋体" w:eastAsia="宋体" w:cs="宋体"/>
          <w:b/>
          <w:bCs/>
          <w:spacing w:val="6"/>
          <w:sz w:val="28"/>
          <w:szCs w:val="28"/>
        </w:rPr>
        <w:t>洛阳市偃师区财政局：</w:t>
      </w:r>
    </w:p>
    <w:p>
      <w:pPr>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为加强2022年度储备粮油专项资金项目财政支出管理，充分发挥2022年度储备粮油专项资金使用效益，根据《项目支出绩效评价管理办法》（财预[2020]10号）、《洛阳市市级部门预算绩效目标管理办法》等5个办法的通知（洛财效[2020]3号）、《洛阳市市级预算绩效管理委托第三方机构管理办法》（洛财效[2022]4号）等文件精神，受贵单位委托，我事务所成立绩效评价工作小组，于2023年11月30日-2023年12月</w:t>
      </w:r>
      <w:r>
        <w:rPr>
          <w:rFonts w:hint="eastAsia" w:ascii="宋体" w:hAnsi="宋体" w:eastAsia="宋体" w:cs="宋体"/>
          <w:sz w:val="28"/>
          <w:szCs w:val="28"/>
          <w:lang w:val="en-US" w:eastAsia="zh-CN"/>
        </w:rPr>
        <w:t>28</w:t>
      </w:r>
      <w:r>
        <w:rPr>
          <w:rFonts w:hint="eastAsia" w:ascii="宋体" w:hAnsi="宋体" w:eastAsia="宋体" w:cs="宋体"/>
          <w:sz w:val="28"/>
          <w:szCs w:val="28"/>
        </w:rPr>
        <w:t>日对2022年度储备粮油专项资金项目进行了绩效评价，现将有关情况报告如下：</w:t>
      </w:r>
    </w:p>
    <w:p>
      <w:pPr>
        <w:numPr>
          <w:ilvl w:val="0"/>
          <w:numId w:val="1"/>
        </w:numPr>
        <w:adjustRightInd w:val="0"/>
        <w:spacing w:beforeLines="50" w:line="56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项目基本情况</w:t>
      </w:r>
    </w:p>
    <w:p>
      <w:pPr>
        <w:pStyle w:val="6"/>
        <w:widowControl/>
        <w:numPr>
          <w:ilvl w:val="0"/>
          <w:numId w:val="2"/>
        </w:numPr>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项目背景</w:t>
      </w:r>
    </w:p>
    <w:p>
      <w:pPr>
        <w:pStyle w:val="6"/>
        <w:widowControl/>
        <w:adjustRightInd w:val="0"/>
        <w:spacing w:beforeAutospacing="0" w:afterAutospacing="0" w:line="560" w:lineRule="exact"/>
        <w:ind w:firstLine="560"/>
        <w:jc w:val="both"/>
        <w:rPr>
          <w:rFonts w:ascii="宋体" w:hAnsi="宋体" w:eastAsia="宋体" w:cs="宋体"/>
          <w:sz w:val="28"/>
          <w:szCs w:val="28"/>
        </w:rPr>
      </w:pPr>
      <w:r>
        <w:rPr>
          <w:rFonts w:hint="eastAsia" w:ascii="宋体" w:hAnsi="宋体" w:eastAsia="宋体" w:cs="宋体"/>
          <w:sz w:val="28"/>
          <w:szCs w:val="28"/>
        </w:rPr>
        <w:t>我国实行中央和地方分级粮食储备制度。粮食储备用于调节粮食供求、稳定粮食市场，以及应对重大自然灾害或者其他突发事件等情况。</w:t>
      </w:r>
    </w:p>
    <w:p>
      <w:pPr>
        <w:pStyle w:val="6"/>
        <w:widowControl/>
        <w:adjustRightInd w:val="0"/>
        <w:spacing w:beforeAutospacing="0" w:afterAutospacing="0" w:line="560" w:lineRule="exact"/>
        <w:ind w:firstLine="560"/>
        <w:jc w:val="both"/>
        <w:rPr>
          <w:rFonts w:ascii="宋体" w:hAnsi="宋体" w:eastAsia="宋体" w:cs="宋体"/>
          <w:sz w:val="28"/>
          <w:szCs w:val="28"/>
        </w:rPr>
      </w:pPr>
      <w:r>
        <w:rPr>
          <w:rFonts w:hint="eastAsia" w:ascii="宋体" w:hAnsi="宋体" w:eastAsia="宋体" w:cs="宋体"/>
          <w:sz w:val="28"/>
          <w:szCs w:val="28"/>
        </w:rPr>
        <w:t>偃师区地方储备粮油的粮油权属于偃师区人民政府，储备粮油实行政府委托、部门监督、企业运作的管理方式。</w:t>
      </w:r>
    </w:p>
    <w:p>
      <w:pPr>
        <w:pStyle w:val="6"/>
        <w:widowControl/>
        <w:adjustRightInd w:val="0"/>
        <w:spacing w:beforeAutospacing="0" w:afterAutospacing="0" w:line="560" w:lineRule="exact"/>
        <w:ind w:firstLine="560"/>
        <w:jc w:val="both"/>
        <w:rPr>
          <w:rFonts w:ascii="宋体" w:hAnsi="宋体" w:eastAsia="宋体" w:cs="宋体"/>
          <w:sz w:val="28"/>
          <w:szCs w:val="28"/>
        </w:rPr>
      </w:pPr>
      <w:r>
        <w:rPr>
          <w:rFonts w:hint="eastAsia" w:ascii="宋体" w:hAnsi="宋体" w:eastAsia="宋体" w:cs="宋体"/>
          <w:sz w:val="28"/>
          <w:szCs w:val="28"/>
        </w:rPr>
        <w:t>地方储备粮的轮换是指在储备规模不变的情况下，为保持储备粮品质符合国家标准规定，承储储备粮的企业（以下简称“承储企业”）按照下达的轮换计划，以符合国家粮食质量标准、食品安全标准和储备要求的最近粮食生产季生产的新粮替换指定库存粮的业务。</w:t>
      </w:r>
    </w:p>
    <w:p>
      <w:pPr>
        <w:pStyle w:val="6"/>
        <w:widowControl/>
        <w:adjustRightInd w:val="0"/>
        <w:spacing w:beforeAutospacing="0" w:afterAutospacing="0" w:line="560" w:lineRule="exact"/>
        <w:ind w:firstLine="560"/>
        <w:jc w:val="both"/>
        <w:rPr>
          <w:rFonts w:ascii="宋体" w:hAnsi="宋体" w:eastAsia="宋体" w:cs="宋体"/>
          <w:sz w:val="28"/>
          <w:szCs w:val="28"/>
        </w:rPr>
      </w:pPr>
      <w:r>
        <w:rPr>
          <w:rFonts w:hint="eastAsia" w:ascii="宋体" w:hAnsi="宋体" w:eastAsia="宋体" w:cs="宋体"/>
          <w:sz w:val="28"/>
          <w:szCs w:val="28"/>
        </w:rPr>
        <w:t>储备粮油补贴资金实行按季拨付，年终清算的方法。补贴资金包括管理费用补贴、轮换费用补贴、轮换和动用价差亏损补贴、损失损耗补贴和银行贷款利息补贴，其中管理费用补贴和利息补贴每季审核后拨付，轮换费用补贴、价差亏损补贴和损失损耗每年轮换结束后经审核拨付。补贴资金不得跨年度执行。</w:t>
      </w:r>
    </w:p>
    <w:p>
      <w:pPr>
        <w:pStyle w:val="6"/>
        <w:widowControl/>
        <w:numPr>
          <w:ilvl w:val="0"/>
          <w:numId w:val="2"/>
        </w:numPr>
        <w:adjustRightInd w:val="0"/>
        <w:spacing w:beforeAutospacing="0" w:afterAutospacing="0" w:line="560" w:lineRule="exact"/>
        <w:ind w:firstLine="560" w:firstLineChars="200"/>
        <w:jc w:val="both"/>
        <w:rPr>
          <w:rFonts w:ascii="宋体" w:hAnsi="宋体" w:cs="宋体"/>
          <w:sz w:val="28"/>
          <w:szCs w:val="28"/>
        </w:rPr>
      </w:pPr>
      <w:r>
        <w:rPr>
          <w:rFonts w:hint="eastAsia" w:ascii="宋体" w:hAnsi="宋体" w:eastAsia="宋体" w:cs="宋体"/>
          <w:sz w:val="28"/>
          <w:szCs w:val="28"/>
        </w:rPr>
        <w:t>绩效</w:t>
      </w:r>
      <w:r>
        <w:rPr>
          <w:rFonts w:hint="eastAsia" w:ascii="宋体" w:hAnsi="宋体" w:cs="宋体"/>
          <w:sz w:val="28"/>
          <w:szCs w:val="28"/>
        </w:rPr>
        <w:t>评价对象及项目负责部门</w:t>
      </w:r>
    </w:p>
    <w:p>
      <w:pPr>
        <w:snapToGrid w:val="0"/>
        <w:spacing w:line="560" w:lineRule="exact"/>
        <w:ind w:firstLine="560" w:firstLineChars="200"/>
        <w:outlineLvl w:val="0"/>
        <w:rPr>
          <w:rFonts w:ascii="宋体" w:hAnsi="宋体" w:cs="宋体"/>
          <w:sz w:val="28"/>
          <w:szCs w:val="28"/>
        </w:rPr>
      </w:pPr>
      <w:r>
        <w:rPr>
          <w:rFonts w:hint="eastAsia" w:ascii="宋体" w:hAnsi="宋体" w:cs="宋体"/>
          <w:sz w:val="28"/>
          <w:szCs w:val="28"/>
        </w:rPr>
        <w:t>本次绩效评价对象是</w:t>
      </w:r>
      <w:r>
        <w:rPr>
          <w:rFonts w:hint="eastAsia" w:ascii="宋体" w:hAnsi="宋体" w:eastAsia="宋体" w:cs="宋体"/>
          <w:sz w:val="28"/>
          <w:szCs w:val="28"/>
        </w:rPr>
        <w:t>2022年度储备粮油专项资金</w:t>
      </w:r>
      <w:r>
        <w:rPr>
          <w:rFonts w:hint="eastAsia" w:ascii="宋体" w:hAnsi="宋体" w:cs="宋体"/>
          <w:sz w:val="28"/>
          <w:szCs w:val="28"/>
        </w:rPr>
        <w:t>项目工作开展情况，项目负责部门为偃师区发展改革委员会粮食和物资储备科。</w:t>
      </w:r>
    </w:p>
    <w:p>
      <w:pPr>
        <w:snapToGrid w:val="0"/>
        <w:spacing w:line="560" w:lineRule="exact"/>
        <w:ind w:firstLine="560" w:firstLineChars="200"/>
        <w:outlineLvl w:val="0"/>
        <w:rPr>
          <w:rFonts w:ascii="宋体" w:hAnsi="宋体" w:cs="宋体"/>
          <w:sz w:val="28"/>
          <w:szCs w:val="28"/>
        </w:rPr>
      </w:pPr>
      <w:r>
        <w:rPr>
          <w:rFonts w:hint="eastAsia" w:ascii="宋体" w:hAnsi="宋体" w:cs="宋体"/>
          <w:sz w:val="28"/>
          <w:szCs w:val="28"/>
        </w:rPr>
        <w:t>偃师区发展改革委员会粮食和物资储备科（以下简称“粮储科”）的主要职责是：研究提出县（区）级战略和应急物资储备总体规划、总量计划和总体布局的建议；研究提出县（区）储备粮规模、购销计划和动用建议；按规定审批县（区）级粮油轮换计划；组织协调政策性粮食购销工作。建立粮食经营者信用档案，记录日常监督检查结果、违法行为查处情况，并依法向社会公示；负责全区粮食流通和物资储备监督检查工作，监督检查粮食和物资储备有关法律法规和政策的贯彻落实情况，拟订全区粮食和物资储备监督检查制度并组织实施；对县（区）级储备粮油和县（区）级粮事权储备物资执行情况实施依法监督。对粮食经营者从事粮食收购、储存、运输活动和政策性粮食的购销活动，以及执行国家粮食流通统计制度的情况进行监督等。</w:t>
      </w:r>
    </w:p>
    <w:p>
      <w:pPr>
        <w:numPr>
          <w:ilvl w:val="0"/>
          <w:numId w:val="3"/>
        </w:numPr>
        <w:snapToGrid w:val="0"/>
        <w:spacing w:line="560" w:lineRule="exact"/>
        <w:ind w:firstLine="560" w:firstLineChars="200"/>
        <w:outlineLvl w:val="0"/>
        <w:rPr>
          <w:rFonts w:ascii="宋体" w:hAnsi="宋体" w:eastAsia="宋体" w:cs="宋体"/>
          <w:kern w:val="21"/>
          <w:sz w:val="28"/>
          <w:szCs w:val="28"/>
        </w:rPr>
      </w:pPr>
      <w:r>
        <w:rPr>
          <w:rFonts w:hint="eastAsia" w:ascii="宋体" w:hAnsi="宋体" w:cs="宋体"/>
          <w:sz w:val="28"/>
          <w:szCs w:val="28"/>
        </w:rPr>
        <w:t>项目主要内容及实施情况</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1、项目主要内容</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根据《下达2022年度洛阳市偃师区县级储备粮轮换计划的通知》偃发改</w:t>
      </w:r>
      <w:r>
        <w:rPr>
          <w:rFonts w:hint="eastAsia" w:ascii="宋体" w:hAnsi="宋体" w:eastAsia="宋体" w:cs="宋体"/>
          <w:sz w:val="28"/>
          <w:szCs w:val="28"/>
          <w:lang w:val="en-US" w:eastAsia="zh-CN"/>
        </w:rPr>
        <w:t>[</w:t>
      </w:r>
      <w:r>
        <w:rPr>
          <w:rFonts w:hint="eastAsia" w:ascii="宋体" w:hAnsi="宋体" w:eastAsia="宋体" w:cs="宋体"/>
          <w:sz w:val="28"/>
          <w:szCs w:val="28"/>
        </w:rPr>
        <w:t>2022</w:t>
      </w:r>
      <w:r>
        <w:rPr>
          <w:rFonts w:hint="eastAsia" w:ascii="宋体" w:hAnsi="宋体" w:eastAsia="宋体" w:cs="宋体"/>
          <w:sz w:val="28"/>
          <w:szCs w:val="28"/>
          <w:lang w:val="en-US" w:eastAsia="zh-CN"/>
        </w:rPr>
        <w:t>]</w:t>
      </w:r>
      <w:r>
        <w:rPr>
          <w:rFonts w:hint="eastAsia" w:ascii="宋体" w:hAnsi="宋体" w:eastAsia="宋体" w:cs="宋体"/>
          <w:sz w:val="28"/>
          <w:szCs w:val="28"/>
        </w:rPr>
        <w:t>211号文要求，洛阳市偃师区县级储备粮承储企业及相关单位2022年度轮换县级储备粮小麦4426吨、小包装食用油450吨。县级储备粮的轮换采取成本不变、实物兑换的方式进行。轮换补贴政策按《洛阳市偃师区地方储备粮油补贴资金管理办法》偃发改</w:t>
      </w:r>
      <w:r>
        <w:rPr>
          <w:rFonts w:hint="eastAsia" w:ascii="宋体" w:hAnsi="宋体" w:eastAsia="宋体" w:cs="宋体"/>
          <w:sz w:val="28"/>
          <w:szCs w:val="28"/>
          <w:lang w:val="en-US" w:eastAsia="zh-CN"/>
        </w:rPr>
        <w:t>[</w:t>
      </w:r>
      <w:r>
        <w:rPr>
          <w:rFonts w:hint="eastAsia" w:ascii="宋体" w:hAnsi="宋体" w:eastAsia="宋体" w:cs="宋体"/>
          <w:sz w:val="28"/>
          <w:szCs w:val="28"/>
        </w:rPr>
        <w:t>2022</w:t>
      </w:r>
      <w:r>
        <w:rPr>
          <w:rFonts w:hint="eastAsia" w:ascii="宋体" w:hAnsi="宋体" w:eastAsia="宋体" w:cs="宋体"/>
          <w:sz w:val="28"/>
          <w:szCs w:val="28"/>
          <w:lang w:val="en-US" w:eastAsia="zh-CN"/>
        </w:rPr>
        <w:t>]</w:t>
      </w:r>
      <w:r>
        <w:rPr>
          <w:rFonts w:hint="eastAsia" w:ascii="宋体" w:hAnsi="宋体" w:eastAsia="宋体" w:cs="宋体"/>
          <w:sz w:val="28"/>
          <w:szCs w:val="28"/>
        </w:rPr>
        <w:t>82号执行。</w:t>
      </w:r>
    </w:p>
    <w:p>
      <w:pPr>
        <w:pStyle w:val="6"/>
        <w:widowControl/>
        <w:numPr>
          <w:ilvl w:val="0"/>
          <w:numId w:val="4"/>
        </w:numPr>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项目实施情况</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洛阳市偃师区发展和改革委员会委托洛阳市偃师金粮粮油管理有限公司(以下简称金粮粮油)为我区储备粮油的运营主体，具体实施地方储备粮油的收购、销售、出库和轮换、日常管理等相关工作。洛阳市偃师区2022年度地方储备粮小麦轮换4426吨，承储企业分别为洛阳市偃师区高龙金粮粮油购销有限公司（仅轮出，以下简称“高龙金粮”）、洛阳盛隆粮油购销有限公司（以下简称“盛隆粮油”）、洛阳市豫皇粮油购销有限公司（以下简称“豫皇粮油”）及洛阳市偃师区缑氏金粮粮油购销有限公司（仅轮入，以下简称“缑氏金粮”）；地方储备食用油450吨，承储企业为盛隆粮油。</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储备粮小麦轮换是承储企业销售小麦出库后对承储仓房进行空仓验收，由区粮食和物资储备中心实地核查、并备案后方开始轮入当季生产的新粮；检测完成申报审核通过后下发补贴资金。储备油轮换实行动态轮换，2022年轮换完成，保持450吨承储量。</w:t>
      </w:r>
    </w:p>
    <w:p>
      <w:pPr>
        <w:pStyle w:val="6"/>
        <w:widowControl/>
        <w:numPr>
          <w:ilvl w:val="0"/>
          <w:numId w:val="4"/>
        </w:numPr>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资金投入与使用情况</w:t>
      </w:r>
    </w:p>
    <w:p>
      <w:pPr>
        <w:pStyle w:val="6"/>
        <w:widowControl/>
        <w:tabs>
          <w:tab w:val="left" w:pos="0"/>
        </w:tabs>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2022年洛阳市偃师区发展和改革委员会项目预算为502.554万元，2022年支出粮油补贴205.014万元，2022年期末余297.54万元未分配。</w:t>
      </w:r>
    </w:p>
    <w:p>
      <w:pPr>
        <w:pStyle w:val="6"/>
        <w:widowControl/>
        <w:adjustRightInd w:val="0"/>
        <w:spacing w:beforeAutospacing="0" w:afterAutospacing="0" w:line="560" w:lineRule="exact"/>
        <w:ind w:left="420" w:leftChars="200"/>
        <w:jc w:val="both"/>
        <w:rPr>
          <w:rFonts w:ascii="宋体" w:hAnsi="宋体" w:eastAsia="宋体" w:cs="宋体"/>
          <w:sz w:val="28"/>
          <w:szCs w:val="28"/>
        </w:rPr>
      </w:pPr>
      <w:r>
        <w:rPr>
          <w:rFonts w:hint="eastAsia" w:ascii="宋体" w:hAnsi="宋体" w:eastAsia="宋体" w:cs="宋体"/>
          <w:sz w:val="28"/>
          <w:szCs w:val="28"/>
        </w:rPr>
        <w:t>（四）项目绩效目标</w:t>
      </w:r>
    </w:p>
    <w:p>
      <w:pPr>
        <w:pStyle w:val="6"/>
        <w:widowControl/>
        <w:numPr>
          <w:ilvl w:val="0"/>
          <w:numId w:val="5"/>
        </w:numPr>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总体目标</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确保储备粮油数量真实、质量完好和存储安全，调节区域内粮食供求,稳定粮食市场，实现粮食应急保障能力。</w:t>
      </w:r>
    </w:p>
    <w:p>
      <w:pPr>
        <w:pStyle w:val="6"/>
        <w:widowControl/>
        <w:numPr>
          <w:ilvl w:val="0"/>
          <w:numId w:val="5"/>
        </w:numPr>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阶段性目标</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落实粮食储备政策，按时保质保量完成2022年度轮换县级储备粮小麦4426吨、小包装食用油450吨的储备粮油轮换工作，完成补贴资金的拨付。</w:t>
      </w:r>
    </w:p>
    <w:p>
      <w:pPr>
        <w:numPr>
          <w:ilvl w:val="0"/>
          <w:numId w:val="1"/>
        </w:numPr>
        <w:adjustRightInd w:val="0"/>
        <w:spacing w:beforeLines="50" w:line="56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绩效评价工作开展情况</w:t>
      </w:r>
    </w:p>
    <w:p>
      <w:pPr>
        <w:numPr>
          <w:ilvl w:val="0"/>
          <w:numId w:val="6"/>
        </w:numPr>
        <w:adjustRightInd w:val="0"/>
        <w:spacing w:line="560" w:lineRule="exact"/>
        <w:ind w:left="0" w:firstLine="560" w:firstLineChars="200"/>
        <w:rPr>
          <w:rFonts w:ascii="宋体" w:hAnsi="宋体" w:eastAsia="宋体" w:cs="宋体"/>
          <w:kern w:val="0"/>
          <w:sz w:val="28"/>
          <w:szCs w:val="28"/>
        </w:rPr>
      </w:pPr>
      <w:r>
        <w:rPr>
          <w:rFonts w:hint="eastAsia" w:ascii="宋体" w:hAnsi="宋体" w:eastAsia="宋体" w:cs="宋体"/>
          <w:kern w:val="0"/>
          <w:sz w:val="28"/>
          <w:szCs w:val="28"/>
        </w:rPr>
        <w:t>绩效评价目的、对象和范围</w:t>
      </w:r>
    </w:p>
    <w:p>
      <w:pPr>
        <w:numPr>
          <w:ilvl w:val="0"/>
          <w:numId w:val="7"/>
        </w:numPr>
        <w:adjustRightInd w:val="0"/>
        <w:spacing w:line="560" w:lineRule="exact"/>
        <w:ind w:left="0" w:firstLine="560" w:firstLineChars="200"/>
        <w:rPr>
          <w:rFonts w:ascii="宋体" w:hAnsi="宋体" w:eastAsia="宋体" w:cs="宋体"/>
          <w:kern w:val="0"/>
          <w:sz w:val="28"/>
          <w:szCs w:val="28"/>
        </w:rPr>
      </w:pPr>
      <w:r>
        <w:rPr>
          <w:rFonts w:hint="eastAsia" w:ascii="宋体" w:hAnsi="宋体" w:eastAsia="宋体" w:cs="宋体"/>
          <w:kern w:val="0"/>
          <w:sz w:val="28"/>
          <w:szCs w:val="28"/>
        </w:rPr>
        <w:t>绩效评价目的</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本次绩效评价目的是通过对2022年度储备粮油专项资金项目立项、资金使用及执行情况和取得的成效进行评价，目的是全面总结项目执行过程中的经验与问题，进一步推动财政资金使用效果和效率的提高。</w:t>
      </w:r>
    </w:p>
    <w:p>
      <w:pPr>
        <w:numPr>
          <w:ilvl w:val="0"/>
          <w:numId w:val="7"/>
        </w:numPr>
        <w:adjustRightInd w:val="0"/>
        <w:spacing w:line="560" w:lineRule="exact"/>
        <w:ind w:left="0" w:firstLine="560" w:firstLineChars="200"/>
        <w:rPr>
          <w:rFonts w:ascii="宋体" w:hAnsi="宋体" w:eastAsia="宋体" w:cs="宋体"/>
          <w:kern w:val="0"/>
          <w:sz w:val="28"/>
          <w:szCs w:val="28"/>
        </w:rPr>
      </w:pPr>
      <w:r>
        <w:rPr>
          <w:rFonts w:hint="eastAsia" w:ascii="宋体" w:hAnsi="宋体" w:eastAsia="宋体" w:cs="宋体"/>
          <w:kern w:val="0"/>
          <w:sz w:val="28"/>
          <w:szCs w:val="28"/>
        </w:rPr>
        <w:t>绩效评价对象和范围</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本次绩效评价对象为2022年度储备粮油专项资金项目。评价范围为项目决策、过程、产出及效益方面，建立评价指标体系进行评价。</w:t>
      </w:r>
    </w:p>
    <w:p>
      <w:pPr>
        <w:numPr>
          <w:ilvl w:val="0"/>
          <w:numId w:val="6"/>
        </w:numPr>
        <w:adjustRightInd w:val="0"/>
        <w:spacing w:line="560" w:lineRule="exact"/>
        <w:ind w:left="0" w:firstLine="560" w:firstLineChars="200"/>
        <w:rPr>
          <w:rFonts w:ascii="宋体" w:hAnsi="宋体" w:eastAsia="宋体" w:cs="宋体"/>
          <w:kern w:val="0"/>
          <w:sz w:val="28"/>
          <w:szCs w:val="28"/>
        </w:rPr>
      </w:pPr>
      <w:r>
        <w:rPr>
          <w:rFonts w:hint="eastAsia" w:ascii="宋体" w:hAnsi="宋体" w:eastAsia="宋体" w:cs="宋体"/>
          <w:kern w:val="0"/>
          <w:sz w:val="28"/>
          <w:szCs w:val="28"/>
        </w:rPr>
        <w:t>绩效评价原则、评价指标体系和评价方法</w:t>
      </w:r>
    </w:p>
    <w:p>
      <w:pPr>
        <w:numPr>
          <w:ilvl w:val="0"/>
          <w:numId w:val="8"/>
        </w:num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绩效评价原则</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本次绩效评价秉承科学规范、公平公正、绩效相关等原则，按照从预算编制、过程管理到产出、效果的绩效逻辑路径，按照《项目支出绩效评价管理办法》（财预[2020]10号）、《洛阳市市级部门预算绩效目标管理办法》等5个办法的通知（洛财效[2020]3号）等文件规定，结合本项目的实际情况，制定项目绩效评价指标体系。</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具体评价原则如下：</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（1）科学公正原则：运用科学合理的方法，按照规范的程序，以定量分析为主，客观、公正反映项目绩效。</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（2）相关性原则：绩效评价指标与绩效目标有直接的联系，能够恰当反映目标的实现程度。</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（3）系统性原则：将定量指标与定性指标相结合，系统反映财政支出所产生的社会效益、经济效益、环境效益等。</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（4）经济性原则：通俗易懂、简便易行，数据的获得应当考虑现实条件和可操作性，符合成本效益原则。</w:t>
      </w:r>
    </w:p>
    <w:p>
      <w:pPr>
        <w:numPr>
          <w:ilvl w:val="0"/>
          <w:numId w:val="8"/>
        </w:num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评价指标体系</w:t>
      </w:r>
    </w:p>
    <w:p>
      <w:p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评价组根据项目评价原则结合项目实施特点制定评价指标体系，共有四个一级指标十个二级指标十七个三级指标，一级指标分别为决策指标、过程指标、产出指标和效益指标；二级指标为项目立项、绩效目标、资金投入、资金管理、组织实施、项目产出、经济效益、社会效益、可持续影响和满意度指标；三级指标为立项依据充分性、绩效目标合理性、绩效目标明确性、资金分配合理性、预算编制科学性、资金到位率、预算执行率、资金使用合规性、项目管理制度健全性、制度执行有效性、产出数量指标、产出质量指标、产出时效指标、促进农户收入指标、应对灾害、应急保障能力指标、保护农民种粮积极性和运营、承储企业满意度指标。指标设定贯穿本项目立项、实施全过程。指标考核90分以上为“优”，80-89分的为“良”，60-79分的为“中”，59分以下的为“差”。</w:t>
      </w:r>
    </w:p>
    <w:p>
      <w:pPr>
        <w:numPr>
          <w:ilvl w:val="0"/>
          <w:numId w:val="8"/>
        </w:numPr>
        <w:tabs>
          <w:tab w:val="left" w:pos="21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评价方法</w:t>
      </w:r>
    </w:p>
    <w:p>
      <w:pPr>
        <w:tabs>
          <w:tab w:val="left" w:pos="0"/>
        </w:tabs>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绩效评价小组通过启动座谈会、访谈相关人员、查看相关资料、进行问卷调查、抽取电话访谈、听取汇报等形式开展项目评价工作。</w:t>
      </w:r>
    </w:p>
    <w:p>
      <w:pPr>
        <w:numPr>
          <w:ilvl w:val="0"/>
          <w:numId w:val="6"/>
        </w:numPr>
        <w:adjustRightInd w:val="0"/>
        <w:spacing w:line="560" w:lineRule="exact"/>
        <w:ind w:left="0" w:firstLine="560" w:firstLineChars="200"/>
        <w:rPr>
          <w:rFonts w:ascii="宋体" w:hAnsi="宋体" w:eastAsia="宋体" w:cs="宋体"/>
          <w:kern w:val="0"/>
          <w:sz w:val="28"/>
          <w:szCs w:val="28"/>
        </w:rPr>
      </w:pPr>
      <w:r>
        <w:rPr>
          <w:rFonts w:hint="eastAsia" w:ascii="宋体" w:hAnsi="宋体" w:eastAsia="宋体" w:cs="宋体"/>
          <w:kern w:val="0"/>
          <w:sz w:val="28"/>
          <w:szCs w:val="28"/>
        </w:rPr>
        <w:t>评价工作情况</w:t>
      </w:r>
    </w:p>
    <w:p>
      <w:pPr>
        <w:numPr>
          <w:ilvl w:val="0"/>
          <w:numId w:val="9"/>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前期准备</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2023年12月6日，由偃师区财政局牵头，组织项目实施单位相关人员及负责本次绩效评价小组成员会谈，明确评价目的。绩效评价小组听取2022年度储备粮油专项资金项目汇报，初步收集资料。</w:t>
      </w:r>
    </w:p>
    <w:p>
      <w:pPr>
        <w:numPr>
          <w:ilvl w:val="0"/>
          <w:numId w:val="9"/>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组织实施</w:t>
      </w:r>
    </w:p>
    <w:p>
      <w:pPr>
        <w:adjustRightInd w:val="0"/>
        <w:spacing w:line="560" w:lineRule="exact"/>
        <w:ind w:firstLine="560" w:firstLineChars="200"/>
        <w:rPr>
          <w:rFonts w:ascii="宋体" w:hAnsi="宋体" w:cs="宋体"/>
          <w:sz w:val="28"/>
          <w:szCs w:val="28"/>
        </w:rPr>
      </w:pPr>
      <w:r>
        <w:rPr>
          <w:rFonts w:hint="eastAsia" w:ascii="宋体" w:hAnsi="宋体" w:cs="宋体"/>
          <w:sz w:val="28"/>
          <w:szCs w:val="28"/>
        </w:rPr>
        <w:t>2023年12月7日至2023年12月20日，绩效评价小组对项目的开展情况进行调研，进一步了解项目实施和开展情况。</w:t>
      </w:r>
    </w:p>
    <w:p>
      <w:pPr>
        <w:adjustRightInd w:val="0"/>
        <w:spacing w:line="560" w:lineRule="exact"/>
        <w:ind w:firstLine="560" w:firstLineChars="200"/>
        <w:rPr>
          <w:rFonts w:ascii="宋体" w:hAnsi="宋体" w:eastAsia="宋体" w:cs="宋体"/>
          <w:kern w:val="0"/>
          <w:sz w:val="28"/>
          <w:szCs w:val="28"/>
        </w:rPr>
      </w:pPr>
      <w:r>
        <w:rPr>
          <w:rFonts w:hint="eastAsia" w:ascii="宋体" w:hAnsi="宋体" w:cs="宋体"/>
          <w:sz w:val="28"/>
          <w:szCs w:val="28"/>
        </w:rPr>
        <w:t>一是数据收集。</w:t>
      </w:r>
      <w:r>
        <w:rPr>
          <w:rFonts w:hint="eastAsia" w:ascii="宋体" w:hAnsi="宋体" w:eastAsia="宋体" w:cs="宋体"/>
          <w:kern w:val="0"/>
          <w:sz w:val="28"/>
          <w:szCs w:val="28"/>
        </w:rPr>
        <w:t>评价小组对项目立项、实施过程及资金拨付相关材料进行核查，核实相关制度是否完善，审批程序是否规范，资金使用是否合规、手续是否齐全，是否存在截留、挪用等情况。</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二是制作发放调查问卷。评价小组根据项目情况，制定调查问卷，并发给项目组织实施单位相关人员，采用微信渠道进行问卷调查，通过问卷上的封闭式问题和开放式问题进一步了解项目情况。经问卷调查，共收集到33份调查问卷，并对问卷数据进行汇总、分析。</w:t>
      </w:r>
    </w:p>
    <w:p>
      <w:pPr>
        <w:numPr>
          <w:ilvl w:val="0"/>
          <w:numId w:val="9"/>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分析评价</w:t>
      </w:r>
    </w:p>
    <w:p>
      <w:pPr>
        <w:snapToGrid w:val="0"/>
        <w:spacing w:line="560" w:lineRule="exact"/>
        <w:ind w:firstLine="560" w:firstLineChars="200"/>
        <w:outlineLvl w:val="0"/>
        <w:rPr>
          <w:rFonts w:ascii="宋体" w:hAnsi="宋体" w:cs="宋体"/>
          <w:sz w:val="28"/>
          <w:szCs w:val="28"/>
        </w:rPr>
      </w:pPr>
      <w:r>
        <w:rPr>
          <w:rFonts w:hint="eastAsia" w:ascii="宋体" w:hAnsi="宋体" w:cs="宋体"/>
          <w:sz w:val="28"/>
          <w:szCs w:val="28"/>
        </w:rPr>
        <w:t>2023年12月21日至2023年12月</w:t>
      </w:r>
      <w:r>
        <w:rPr>
          <w:rFonts w:hint="eastAsia" w:ascii="宋体" w:hAnsi="宋体" w:cs="宋体"/>
          <w:sz w:val="28"/>
          <w:szCs w:val="28"/>
          <w:lang w:val="en-US" w:eastAsia="zh-CN"/>
        </w:rPr>
        <w:t>28</w:t>
      </w:r>
      <w:r>
        <w:rPr>
          <w:rFonts w:hint="eastAsia" w:ascii="宋体" w:hAnsi="宋体" w:cs="宋体"/>
          <w:sz w:val="28"/>
          <w:szCs w:val="28"/>
        </w:rPr>
        <w:t>日，绩效评价小组内部沟通项目情况及开展中存在的问题，对相关资料进行综合分析，结合问卷调查、电话访谈情况，分析问题形成原因，得出评价结论，并提出相关改进建议，撰写项目绩效评价报告。</w:t>
      </w:r>
    </w:p>
    <w:p>
      <w:pPr>
        <w:numPr>
          <w:ilvl w:val="0"/>
          <w:numId w:val="1"/>
        </w:numPr>
        <w:adjustRightInd w:val="0"/>
        <w:spacing w:beforeLines="50" w:line="56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综合评价情况及评价结论</w:t>
      </w:r>
    </w:p>
    <w:p>
      <w:pPr>
        <w:numPr>
          <w:ilvl w:val="0"/>
          <w:numId w:val="10"/>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评价结论</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评价小组对照项目绩效评价指标体系，从项目决策、项目过程、项目产出和项目效益四个维度，通过数据采集、问卷调查及访谈等方式，对2022年度储备粮油专项资金项目绩效进行客观分析，最终项目绩效评价得分为95.33分，评价等级为“优”。</w:t>
      </w:r>
    </w:p>
    <w:p>
      <w:pPr>
        <w:numPr>
          <w:ilvl w:val="0"/>
          <w:numId w:val="10"/>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取得的绩效</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2022年度储备粮油专项资金项目立项合理、规范，立项依据充分，与战略目标适应，有助于促进农户收入、保护农民种粮积极性，促进粮食生产，维护粮食流通秩序，保障了应对灾害、应急保障能力，得到了运营企业、承储企业的认可，取得了一定的社会效益。</w:t>
      </w:r>
    </w:p>
    <w:p>
      <w:pPr>
        <w:numPr>
          <w:ilvl w:val="0"/>
          <w:numId w:val="1"/>
        </w:numPr>
        <w:adjustRightInd w:val="0"/>
        <w:spacing w:beforeLines="50" w:line="56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绩效评价指标分析</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本次绩效评价从决策、过程、产出和效益四个方面，分别对17个指标进行评价，具体分析如下：</w:t>
      </w:r>
    </w:p>
    <w:p>
      <w:pPr>
        <w:numPr>
          <w:ilvl w:val="0"/>
          <w:numId w:val="11"/>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项目决策情况</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项目决策共设有3个二级指标和4个三级指标：</w:t>
      </w:r>
    </w:p>
    <w:tbl>
      <w:tblPr>
        <w:tblStyle w:val="7"/>
        <w:tblW w:w="4998" w:type="pct"/>
        <w:tblInd w:w="0" w:type="dxa"/>
        <w:tblLayout w:type="autofit"/>
        <w:tblCellMar>
          <w:top w:w="0" w:type="dxa"/>
          <w:left w:w="108" w:type="dxa"/>
          <w:bottom w:w="0" w:type="dxa"/>
          <w:right w:w="108" w:type="dxa"/>
        </w:tblCellMar>
      </w:tblPr>
      <w:tblGrid>
        <w:gridCol w:w="1605"/>
        <w:gridCol w:w="2023"/>
        <w:gridCol w:w="2514"/>
        <w:gridCol w:w="1560"/>
        <w:gridCol w:w="1490"/>
      </w:tblGrid>
      <w:tr>
        <w:tblPrEx>
          <w:tblCellMar>
            <w:top w:w="0" w:type="dxa"/>
            <w:left w:w="108" w:type="dxa"/>
            <w:bottom w:w="0" w:type="dxa"/>
            <w:right w:w="108" w:type="dxa"/>
          </w:tblCellMar>
        </w:tblPrEx>
        <w:trPr>
          <w:trHeight w:val="454"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b/>
                <w:bCs/>
                <w:color w:val="000000"/>
                <w:kern w:val="0"/>
                <w:sz w:val="20"/>
                <w:szCs w:val="20"/>
              </w:rPr>
              <w:t>一级指标</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b/>
                <w:bCs/>
                <w:color w:val="000000"/>
                <w:kern w:val="0"/>
                <w:sz w:val="20"/>
                <w:szCs w:val="20"/>
              </w:rPr>
              <w:t>二级指标</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b/>
                <w:bCs/>
                <w:color w:val="000000"/>
                <w:kern w:val="0"/>
                <w:sz w:val="20"/>
                <w:szCs w:val="20"/>
              </w:rPr>
              <w:t>三级指标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b/>
                <w:bCs/>
                <w:color w:val="000000"/>
                <w:kern w:val="0"/>
                <w:sz w:val="20"/>
                <w:szCs w:val="20"/>
              </w:rPr>
              <w:t>权重</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0"/>
                <w:szCs w:val="20"/>
              </w:rPr>
              <w:t>得分</w:t>
            </w:r>
          </w:p>
        </w:tc>
      </w:tr>
      <w:tr>
        <w:tblPrEx>
          <w:tblCellMar>
            <w:top w:w="0" w:type="dxa"/>
            <w:left w:w="108" w:type="dxa"/>
            <w:bottom w:w="0" w:type="dxa"/>
            <w:right w:w="108" w:type="dxa"/>
          </w:tblCellMar>
        </w:tblPrEx>
        <w:trPr>
          <w:trHeight w:val="454" w:hRule="exact"/>
        </w:trPr>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Style w:val="15"/>
                <w:rFonts w:hint="default"/>
              </w:rPr>
              <w:t>决策 （</w:t>
            </w:r>
            <w:r>
              <w:rPr>
                <w:rFonts w:hint="eastAsia" w:ascii="宋体" w:hAnsi="宋体" w:eastAsia="宋体" w:cs="宋体"/>
                <w:color w:val="000000"/>
                <w:kern w:val="0"/>
                <w:sz w:val="20"/>
                <w:szCs w:val="20"/>
              </w:rPr>
              <w:t>20</w:t>
            </w:r>
            <w:r>
              <w:rPr>
                <w:rStyle w:val="15"/>
                <w:rFonts w:hint="default"/>
              </w:rPr>
              <w:t>分）</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项目立项（4分）</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0"/>
                <w:szCs w:val="20"/>
              </w:rPr>
              <w:t>立项依据充分性</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4</w:t>
            </w:r>
          </w:p>
        </w:tc>
      </w:tr>
      <w:tr>
        <w:tblPrEx>
          <w:tblCellMar>
            <w:top w:w="0" w:type="dxa"/>
            <w:left w:w="108" w:type="dxa"/>
            <w:bottom w:w="0" w:type="dxa"/>
            <w:right w:w="108" w:type="dxa"/>
          </w:tblCellMar>
        </w:tblPrEx>
        <w:trPr>
          <w:trHeight w:val="454" w:hRule="exact"/>
        </w:trPr>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绩效目标（8分）</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0"/>
                <w:szCs w:val="20"/>
              </w:rPr>
              <w:t>绩效目标合理性</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4</w:t>
            </w:r>
          </w:p>
        </w:tc>
      </w:tr>
      <w:tr>
        <w:tblPrEx>
          <w:tblCellMar>
            <w:top w:w="0" w:type="dxa"/>
            <w:left w:w="108" w:type="dxa"/>
            <w:bottom w:w="0" w:type="dxa"/>
            <w:right w:w="108" w:type="dxa"/>
          </w:tblCellMar>
        </w:tblPrEx>
        <w:trPr>
          <w:trHeight w:val="454" w:hRule="exact"/>
        </w:trPr>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0"/>
                <w:szCs w:val="20"/>
              </w:rPr>
              <w:t>绩效目标明确性</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4</w:t>
            </w:r>
          </w:p>
        </w:tc>
      </w:tr>
      <w:tr>
        <w:tblPrEx>
          <w:tblCellMar>
            <w:top w:w="0" w:type="dxa"/>
            <w:left w:w="108" w:type="dxa"/>
            <w:bottom w:w="0" w:type="dxa"/>
            <w:right w:w="108" w:type="dxa"/>
          </w:tblCellMar>
        </w:tblPrEx>
        <w:trPr>
          <w:trHeight w:val="454" w:hRule="exact"/>
        </w:trPr>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资金投入（8分）</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0"/>
                <w:szCs w:val="20"/>
              </w:rPr>
              <w:t>资金分配合理性</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0"/>
                <w:szCs w:val="20"/>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4</w:t>
            </w:r>
          </w:p>
        </w:tc>
      </w:tr>
      <w:tr>
        <w:tblPrEx>
          <w:tblCellMar>
            <w:top w:w="0" w:type="dxa"/>
            <w:left w:w="108" w:type="dxa"/>
            <w:bottom w:w="0" w:type="dxa"/>
            <w:right w:w="108" w:type="dxa"/>
          </w:tblCellMar>
        </w:tblPrEx>
        <w:trPr>
          <w:trHeight w:val="454" w:hRule="exact"/>
        </w:trPr>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Style w:val="11"/>
                <w:rFonts w:hint="default"/>
                <w:color w:val="auto"/>
              </w:rPr>
            </w:pP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0"/>
                <w:szCs w:val="20"/>
              </w:rPr>
              <w:t>预算编制科学性</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4</w:t>
            </w:r>
          </w:p>
        </w:tc>
      </w:tr>
    </w:tbl>
    <w:p>
      <w:pPr>
        <w:numPr>
          <w:ilvl w:val="0"/>
          <w:numId w:val="12"/>
        </w:numPr>
        <w:adjustRightInd w:val="0"/>
        <w:spacing w:beforeLines="50"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立项依据充分性：该项权重分为4分，实际得分4分。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河南省储备粮管理办法》中指出粮食和储备行政管理部门会同财政部门下达本级政府储备年度轮换计划。地方政府储备年度轮换计划包括轮换数量、品种、质量、地点（库点）等内容，由地方政府储备运营主体负责实施，承储企业应予配合。</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《关于下达2022年度洛阳市偃师区县级储备粮轮换计划的通知》偃发改</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2021</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211号明确2022年度计划轮换县级储备粮小麦4426吨、小包装食用油450吨。</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21"/>
          <w:sz w:val="28"/>
          <w:szCs w:val="28"/>
        </w:rPr>
        <w:t>粮储科职责是研究提出县（区）级战略和应急物资储备总体规划、总量计划和总体布局的建议；研究提出县（区）储备粮规模、购销计划和动用建议；按规定审批县（区）级粮油轮换计划；组织协调政策性粮食购销工作。建立粮食经营者信用档案，记录日常监督检查结果、违法行为查处情况，并依法向社会公示；负责全区粮食流通和物资储备监督检查工作，监督检查粮食和物资储备有关法律法规和政策的贯彻落实情况，拟订全区粮食和物资储备监督检查制度并组织实施；对县（区）级储备粮油和县（区）级粮事权储备物资执行情况实施依法监督。对粮食经营者从事粮食收购、储存、运输活动和政策性粮食的购销活动，以及执行国家粮食流通统计制度的情况进行监督等。</w:t>
      </w:r>
    </w:p>
    <w:p>
      <w:pPr>
        <w:adjustRightInd w:val="0"/>
        <w:spacing w:line="560" w:lineRule="exact"/>
        <w:ind w:firstLine="560" w:firstLineChars="200"/>
        <w:rPr>
          <w:rFonts w:ascii="宋体" w:hAnsi="宋体" w:eastAsia="宋体" w:cs="宋体"/>
          <w:kern w:val="21"/>
          <w:sz w:val="28"/>
          <w:szCs w:val="28"/>
        </w:rPr>
      </w:pPr>
      <w:r>
        <w:rPr>
          <w:rFonts w:hint="eastAsia" w:ascii="宋体" w:hAnsi="宋体" w:eastAsia="宋体" w:cs="宋体"/>
          <w:kern w:val="21"/>
          <w:sz w:val="28"/>
          <w:szCs w:val="28"/>
        </w:rPr>
        <w:t>2022年度储备粮油专项资金项目立项符合国家法律法规、发展规划，符合粮储科的部门职能，属于财政支持范围。根据评分细则，该指标得满分。</w:t>
      </w:r>
    </w:p>
    <w:p>
      <w:pPr>
        <w:pStyle w:val="6"/>
        <w:widowControl/>
        <w:numPr>
          <w:ilvl w:val="0"/>
          <w:numId w:val="12"/>
        </w:numPr>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kern w:val="21"/>
          <w:sz w:val="28"/>
          <w:szCs w:val="28"/>
        </w:rPr>
        <w:t>绩效目标合理性：该项权重分为4分</w:t>
      </w:r>
      <w:r>
        <w:rPr>
          <w:rFonts w:hint="eastAsia" w:ascii="宋体" w:hAnsi="宋体" w:eastAsia="宋体" w:cs="宋体"/>
          <w:sz w:val="28"/>
          <w:szCs w:val="28"/>
        </w:rPr>
        <w:t>，实际得分4分。</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具体依据为：项目总体目标是确保储备粮油数量真实、质量完好和存储安全，调节区域内粮食供求,稳定粮食市场，实现粮食应急保障能力。阶段性目标为落实粮食储备政策，按时保质保量完成2022年度轮换县级储备粮小麦4426吨、小包装食用油450吨的储备粮油轮换工作，完成补贴资金的拨付。</w:t>
      </w:r>
    </w:p>
    <w:p>
      <w:pPr>
        <w:pStyle w:val="6"/>
        <w:widowControl/>
        <w:adjustRightInd w:val="0"/>
        <w:spacing w:beforeAutospacing="0" w:afterAutospacing="0" w:line="560" w:lineRule="exact"/>
        <w:ind w:firstLine="560" w:firstLineChars="200"/>
        <w:jc w:val="both"/>
        <w:rPr>
          <w:rFonts w:ascii="宋体" w:hAnsi="宋体" w:eastAsia="宋体" w:cs="宋体"/>
          <w:sz w:val="28"/>
          <w:szCs w:val="28"/>
        </w:rPr>
      </w:pPr>
      <w:r>
        <w:rPr>
          <w:rFonts w:hint="eastAsia" w:ascii="宋体" w:hAnsi="宋体" w:eastAsia="宋体" w:cs="宋体"/>
          <w:sz w:val="28"/>
          <w:szCs w:val="28"/>
        </w:rPr>
        <w:t>本项目绩效目标与实际工作内容相关，与项目能达到的预计产出目标及实现效益相关。根据评分细则，该指标满分。</w:t>
      </w:r>
    </w:p>
    <w:p>
      <w:pPr>
        <w:numPr>
          <w:ilvl w:val="0"/>
          <w:numId w:val="12"/>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绩效目标明确性：该项权重分为4分，实际得分4分。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具体依据为：储备粮油补贴专项资金项目支出绩效自评表中该项目的绩效目标分解成了3个一级指标，9个二级指标和12个三级指标。</w:t>
      </w:r>
      <w:r>
        <w:rPr>
          <w:rFonts w:hint="eastAsia" w:ascii="宋体" w:hAnsi="宋体" w:eastAsia="宋体" w:cs="宋体"/>
          <w:sz w:val="28"/>
          <w:szCs w:val="28"/>
        </w:rPr>
        <w:t>绩效指标明确清晰可衡量，与项目相对应。</w:t>
      </w:r>
      <w:r>
        <w:rPr>
          <w:rFonts w:hint="eastAsia" w:ascii="宋体" w:hAnsi="宋体" w:eastAsia="宋体" w:cs="宋体"/>
          <w:kern w:val="0"/>
          <w:sz w:val="28"/>
          <w:szCs w:val="28"/>
        </w:rPr>
        <w:t>根据评分细则，该指标得满分。</w:t>
      </w:r>
    </w:p>
    <w:p>
      <w:pPr>
        <w:numPr>
          <w:ilvl w:val="0"/>
          <w:numId w:val="12"/>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资金分配合理性：该项权重分为4分，实际得分4分。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2022年地方储备粮油补贴预算依据《洛阳市偃师区地方储备粮油补贴资金管理办法》及实际粮油储备量、贷款金额及贷款利率计算。项目预算资金分配有测算依据，与项目相适应。根据评分细则，该指标得满分。</w:t>
      </w:r>
    </w:p>
    <w:p>
      <w:pPr>
        <w:numPr>
          <w:ilvl w:val="0"/>
          <w:numId w:val="12"/>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预算编制科学性：该项权重分为4分，实际得分4分。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根据2022年地方储备粮油补贴预算计算依据及《洛阳市偃师区地方储备粮油补贴资金管理办法》，地方储备粮油补贴专项资金包括管理费用补贴、轮换费用补贴、轮换和动用价差亏损补贴、损失损耗补贴、银行贷款利息补贴。管理费用补贴依据保管费用*补贴单价，轮换费用依据测算轮换的量*补贴单价，银行贷款利息补贴依据粮油价款*贷款年利率。轮换和动用价差亏损补贴、损失损耗补贴据实补贴。预算内容与项目内容相匹配，预算确定的项目金额与工作任务相匹配，根据评分细则，该项指标得满分。</w:t>
      </w:r>
    </w:p>
    <w:p>
      <w:pPr>
        <w:numPr>
          <w:ilvl w:val="0"/>
          <w:numId w:val="11"/>
        </w:numPr>
        <w:adjustRightInd w:val="0"/>
        <w:spacing w:beforeLines="50"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项目过程情况</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项目过程共设有2个二级指标和5个三级指标：</w:t>
      </w:r>
    </w:p>
    <w:tbl>
      <w:tblPr>
        <w:tblStyle w:val="7"/>
        <w:tblW w:w="4998" w:type="pct"/>
        <w:tblInd w:w="0" w:type="dxa"/>
        <w:tblLayout w:type="autofit"/>
        <w:tblCellMar>
          <w:top w:w="0" w:type="dxa"/>
          <w:left w:w="108" w:type="dxa"/>
          <w:bottom w:w="0" w:type="dxa"/>
          <w:right w:w="108" w:type="dxa"/>
        </w:tblCellMar>
      </w:tblPr>
      <w:tblGrid>
        <w:gridCol w:w="1659"/>
        <w:gridCol w:w="1979"/>
        <w:gridCol w:w="2504"/>
        <w:gridCol w:w="1525"/>
        <w:gridCol w:w="1525"/>
      </w:tblGrid>
      <w:tr>
        <w:tblPrEx>
          <w:tblCellMar>
            <w:top w:w="0" w:type="dxa"/>
            <w:left w:w="108" w:type="dxa"/>
            <w:bottom w:w="0" w:type="dxa"/>
            <w:right w:w="108" w:type="dxa"/>
          </w:tblCellMar>
        </w:tblPrEx>
        <w:trPr>
          <w:trHeight w:val="454" w:hRule="exact"/>
        </w:trPr>
        <w:tc>
          <w:tcPr>
            <w:tcW w:w="9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sz w:val="28"/>
                <w:szCs w:val="28"/>
              </w:rPr>
            </w:pPr>
            <w:r>
              <w:rPr>
                <w:rFonts w:hint="eastAsia" w:ascii="宋体" w:hAnsi="宋体" w:eastAsia="宋体" w:cs="宋体"/>
                <w:kern w:val="0"/>
                <w:sz w:val="24"/>
              </w:rPr>
              <w:t>一级指标</w:t>
            </w:r>
          </w:p>
        </w:tc>
        <w:tc>
          <w:tcPr>
            <w:tcW w:w="10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1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sz w:val="24"/>
              </w:rPr>
            </w:pPr>
            <w:r>
              <w:rPr>
                <w:rFonts w:hint="eastAsia" w:ascii="宋体" w:hAnsi="宋体" w:eastAsia="宋体" w:cs="宋体"/>
                <w:kern w:val="0"/>
                <w:sz w:val="24"/>
              </w:rPr>
              <w:t>权重</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kern w:val="0"/>
                <w:sz w:val="24"/>
              </w:rPr>
            </w:pPr>
            <w:r>
              <w:rPr>
                <w:rFonts w:hint="eastAsia" w:ascii="宋体" w:hAnsi="宋体" w:eastAsia="宋体" w:cs="宋体"/>
                <w:kern w:val="0"/>
                <w:sz w:val="24"/>
              </w:rPr>
              <w:t>实际得分</w:t>
            </w:r>
          </w:p>
        </w:tc>
      </w:tr>
      <w:tr>
        <w:tblPrEx>
          <w:tblCellMar>
            <w:top w:w="0" w:type="dxa"/>
            <w:left w:w="108" w:type="dxa"/>
            <w:bottom w:w="0" w:type="dxa"/>
            <w:right w:w="108" w:type="dxa"/>
          </w:tblCellMar>
        </w:tblPrEx>
        <w:trPr>
          <w:trHeight w:val="454" w:hRule="exact"/>
        </w:trPr>
        <w:tc>
          <w:tcPr>
            <w:tcW w:w="9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textAlignment w:val="center"/>
              <w:rPr>
                <w:rFonts w:ascii="宋体" w:hAnsi="宋体" w:eastAsia="宋体" w:cs="宋体"/>
                <w:kern w:val="0"/>
                <w:sz w:val="24"/>
              </w:rPr>
            </w:pPr>
          </w:p>
          <w:p>
            <w:pPr>
              <w:widowControl/>
              <w:adjustRightInd w:val="0"/>
              <w:spacing w:line="560" w:lineRule="exact"/>
              <w:textAlignment w:val="center"/>
              <w:rPr>
                <w:rFonts w:ascii="宋体" w:hAnsi="宋体" w:eastAsia="宋体" w:cs="宋体"/>
                <w:sz w:val="24"/>
              </w:rPr>
            </w:pPr>
            <w:r>
              <w:rPr>
                <w:rFonts w:hint="eastAsia" w:ascii="宋体" w:hAnsi="宋体" w:eastAsia="宋体" w:cs="宋体"/>
                <w:kern w:val="0"/>
                <w:sz w:val="24"/>
                <w:bdr w:val="single" w:color="000000" w:sz="4" w:space="0"/>
              </w:rPr>
              <w:drawing>
                <wp:anchor distT="0" distB="0" distL="114300" distR="114300" simplePos="0" relativeHeight="251659264" behindDoc="0" locked="0" layoutInCell="1" allowOverlap="1">
                  <wp:simplePos x="0" y="0"/>
                  <wp:positionH relativeFrom="column">
                    <wp:posOffset>0</wp:posOffset>
                  </wp:positionH>
                  <wp:positionV relativeFrom="paragraph">
                    <wp:posOffset>419100</wp:posOffset>
                  </wp:positionV>
                  <wp:extent cx="10160" cy="10160"/>
                  <wp:effectExtent l="0" t="0" r="0" b="0"/>
                  <wp:wrapNone/>
                  <wp:docPr id="2" name="图片_1"/>
                  <wp:cNvGraphicFramePr/>
                  <a:graphic xmlns:a="http://schemas.openxmlformats.org/drawingml/2006/main">
                    <a:graphicData uri="http://schemas.openxmlformats.org/drawingml/2006/picture">
                      <pic:pic xmlns:pic="http://schemas.openxmlformats.org/drawingml/2006/picture">
                        <pic:nvPicPr>
                          <pic:cNvPr id="2" name="图片_1"/>
                          <pic:cNvPicPr/>
                        </pic:nvPicPr>
                        <pic:blipFill>
                          <a:blip r:embed="rId6"/>
                          <a:stretch>
                            <a:fillRect/>
                          </a:stretch>
                        </pic:blipFill>
                        <pic:spPr>
                          <a:xfrm>
                            <a:off x="0" y="0"/>
                            <a:ext cx="10160" cy="10160"/>
                          </a:xfrm>
                          <a:prstGeom prst="rect">
                            <a:avLst/>
                          </a:prstGeom>
                          <a:noFill/>
                          <a:ln>
                            <a:noFill/>
                          </a:ln>
                        </pic:spPr>
                      </pic:pic>
                    </a:graphicData>
                  </a:graphic>
                </wp:anchor>
              </w:drawing>
            </w:r>
            <w:r>
              <w:rPr>
                <w:rFonts w:hint="eastAsia" w:ascii="宋体" w:hAnsi="宋体" w:eastAsia="宋体" w:cs="宋体"/>
                <w:kern w:val="0"/>
                <w:sz w:val="24"/>
                <w:bdr w:val="single" w:color="000000" w:sz="4" w:space="0"/>
              </w:rPr>
              <w:drawing>
                <wp:anchor distT="0" distB="0" distL="114300" distR="114300" simplePos="0" relativeHeight="251660288" behindDoc="0" locked="0" layoutInCell="1" allowOverlap="1">
                  <wp:simplePos x="0" y="0"/>
                  <wp:positionH relativeFrom="column">
                    <wp:posOffset>0</wp:posOffset>
                  </wp:positionH>
                  <wp:positionV relativeFrom="paragraph">
                    <wp:posOffset>419100</wp:posOffset>
                  </wp:positionV>
                  <wp:extent cx="29210" cy="10160"/>
                  <wp:effectExtent l="0" t="0" r="0" b="0"/>
                  <wp:wrapNone/>
                  <wp:docPr id="4" name="图片_3"/>
                  <wp:cNvGraphicFramePr/>
                  <a:graphic xmlns:a="http://schemas.openxmlformats.org/drawingml/2006/main">
                    <a:graphicData uri="http://schemas.openxmlformats.org/drawingml/2006/picture">
                      <pic:pic xmlns:pic="http://schemas.openxmlformats.org/drawingml/2006/picture">
                        <pic:nvPicPr>
                          <pic:cNvPr id="4" name="图片_3"/>
                          <pic:cNvPicPr/>
                        </pic:nvPicPr>
                        <pic:blipFill>
                          <a:blip r:embed="rId7"/>
                          <a:stretch>
                            <a:fillRect/>
                          </a:stretch>
                        </pic:blipFill>
                        <pic:spPr>
                          <a:xfrm>
                            <a:off x="0" y="0"/>
                            <a:ext cx="29210" cy="10160"/>
                          </a:xfrm>
                          <a:prstGeom prst="rect">
                            <a:avLst/>
                          </a:prstGeom>
                          <a:noFill/>
                          <a:ln>
                            <a:noFill/>
                          </a:ln>
                        </pic:spPr>
                      </pic:pic>
                    </a:graphicData>
                  </a:graphic>
                </wp:anchor>
              </w:drawing>
            </w:r>
            <w:r>
              <w:rPr>
                <w:rFonts w:hint="eastAsia" w:ascii="宋体" w:hAnsi="宋体" w:eastAsia="宋体" w:cs="宋体"/>
                <w:kern w:val="0"/>
                <w:sz w:val="24"/>
                <w:bdr w:val="single" w:color="000000" w:sz="4" w:space="0"/>
              </w:rPr>
              <w:drawing>
                <wp:anchor distT="0" distB="0" distL="114300" distR="114300" simplePos="0" relativeHeight="251661312" behindDoc="0" locked="0" layoutInCell="1" allowOverlap="1">
                  <wp:simplePos x="0" y="0"/>
                  <wp:positionH relativeFrom="column">
                    <wp:posOffset>0</wp:posOffset>
                  </wp:positionH>
                  <wp:positionV relativeFrom="paragraph">
                    <wp:posOffset>419100</wp:posOffset>
                  </wp:positionV>
                  <wp:extent cx="29210" cy="10160"/>
                  <wp:effectExtent l="0" t="0" r="0" b="0"/>
                  <wp:wrapNone/>
                  <wp:docPr id="1" name="图片_2"/>
                  <wp:cNvGraphicFramePr/>
                  <a:graphic xmlns:a="http://schemas.openxmlformats.org/drawingml/2006/main">
                    <a:graphicData uri="http://schemas.openxmlformats.org/drawingml/2006/picture">
                      <pic:pic xmlns:pic="http://schemas.openxmlformats.org/drawingml/2006/picture">
                        <pic:nvPicPr>
                          <pic:cNvPr id="1" name="图片_2"/>
                          <pic:cNvPicPr/>
                        </pic:nvPicPr>
                        <pic:blipFill>
                          <a:blip r:embed="rId7"/>
                          <a:stretch>
                            <a:fillRect/>
                          </a:stretch>
                        </pic:blipFill>
                        <pic:spPr>
                          <a:xfrm>
                            <a:off x="0" y="0"/>
                            <a:ext cx="29210" cy="10160"/>
                          </a:xfrm>
                          <a:prstGeom prst="rect">
                            <a:avLst/>
                          </a:prstGeom>
                          <a:noFill/>
                          <a:ln>
                            <a:noFill/>
                          </a:ln>
                        </pic:spPr>
                      </pic:pic>
                    </a:graphicData>
                  </a:graphic>
                </wp:anchor>
              </w:drawing>
            </w:r>
            <w:r>
              <w:rPr>
                <w:rFonts w:hint="eastAsia" w:ascii="宋体" w:hAnsi="宋体" w:eastAsia="宋体" w:cs="宋体"/>
                <w:kern w:val="0"/>
                <w:sz w:val="24"/>
                <w:bdr w:val="single" w:color="000000" w:sz="4" w:space="0"/>
              </w:rPr>
              <w:drawing>
                <wp:anchor distT="0" distB="0" distL="114300" distR="114300" simplePos="0" relativeHeight="251662336" behindDoc="0" locked="0" layoutInCell="1" allowOverlap="1">
                  <wp:simplePos x="0" y="0"/>
                  <wp:positionH relativeFrom="column">
                    <wp:posOffset>0</wp:posOffset>
                  </wp:positionH>
                  <wp:positionV relativeFrom="paragraph">
                    <wp:posOffset>419100</wp:posOffset>
                  </wp:positionV>
                  <wp:extent cx="10160" cy="10160"/>
                  <wp:effectExtent l="0" t="0" r="0" b="0"/>
                  <wp:wrapNone/>
                  <wp:docPr id="3" name="图片_4"/>
                  <wp:cNvGraphicFramePr/>
                  <a:graphic xmlns:a="http://schemas.openxmlformats.org/drawingml/2006/main">
                    <a:graphicData uri="http://schemas.openxmlformats.org/drawingml/2006/picture">
                      <pic:pic xmlns:pic="http://schemas.openxmlformats.org/drawingml/2006/picture">
                        <pic:nvPicPr>
                          <pic:cNvPr id="3" name="图片_4"/>
                          <pic:cNvPicPr/>
                        </pic:nvPicPr>
                        <pic:blipFill>
                          <a:blip r:embed="rId6"/>
                          <a:stretch>
                            <a:fillRect/>
                          </a:stretch>
                        </pic:blipFill>
                        <pic:spPr>
                          <a:xfrm>
                            <a:off x="0" y="0"/>
                            <a:ext cx="10160" cy="10160"/>
                          </a:xfrm>
                          <a:prstGeom prst="rect">
                            <a:avLst/>
                          </a:prstGeom>
                          <a:noFill/>
                          <a:ln>
                            <a:noFill/>
                          </a:ln>
                        </pic:spPr>
                      </pic:pic>
                    </a:graphicData>
                  </a:graphic>
                </wp:anchor>
              </w:drawing>
            </w:r>
            <w:r>
              <w:rPr>
                <w:rFonts w:hint="eastAsia" w:ascii="宋体" w:hAnsi="宋体" w:eastAsia="宋体" w:cs="宋体"/>
                <w:kern w:val="0"/>
                <w:sz w:val="24"/>
              </w:rPr>
              <w:t>过程（</w:t>
            </w:r>
            <w:r>
              <w:rPr>
                <w:rFonts w:ascii="Calibri" w:hAnsi="Calibri" w:eastAsia="宋体" w:cs="Calibri"/>
                <w:kern w:val="0"/>
                <w:sz w:val="24"/>
              </w:rPr>
              <w:t>20</w:t>
            </w:r>
            <w:r>
              <w:rPr>
                <w:rFonts w:hint="eastAsia" w:ascii="宋体" w:hAnsi="宋体" w:eastAsia="宋体" w:cs="宋体"/>
                <w:kern w:val="0"/>
                <w:sz w:val="24"/>
              </w:rPr>
              <w:t>分）</w:t>
            </w:r>
          </w:p>
        </w:tc>
        <w:tc>
          <w:tcPr>
            <w:tcW w:w="10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sz w:val="24"/>
              </w:rPr>
            </w:pPr>
            <w:r>
              <w:rPr>
                <w:rFonts w:hint="eastAsia" w:ascii="宋体" w:hAnsi="宋体" w:eastAsia="宋体" w:cs="宋体"/>
                <w:kern w:val="0"/>
                <w:sz w:val="24"/>
              </w:rPr>
              <w:t>资金管理（</w:t>
            </w:r>
            <w:r>
              <w:rPr>
                <w:rFonts w:ascii="Calibri" w:hAnsi="Calibri" w:eastAsia="宋体" w:cs="Calibri"/>
                <w:kern w:val="0"/>
                <w:sz w:val="24"/>
              </w:rPr>
              <w:t>12</w:t>
            </w:r>
            <w:r>
              <w:rPr>
                <w:rFonts w:hint="eastAsia" w:ascii="宋体" w:hAnsi="宋体" w:eastAsia="宋体" w:cs="宋体"/>
                <w:kern w:val="0"/>
                <w:sz w:val="24"/>
              </w:rPr>
              <w:t>分）</w:t>
            </w:r>
          </w:p>
        </w:tc>
        <w:tc>
          <w:tcPr>
            <w:tcW w:w="1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left"/>
              <w:textAlignment w:val="center"/>
              <w:rPr>
                <w:rFonts w:ascii="宋体" w:hAnsi="宋体" w:eastAsia="宋体" w:cs="宋体"/>
                <w:sz w:val="24"/>
              </w:rPr>
            </w:pPr>
            <w:r>
              <w:rPr>
                <w:rFonts w:hint="eastAsia" w:ascii="宋体" w:hAnsi="宋体" w:eastAsia="宋体" w:cs="宋体"/>
                <w:kern w:val="0"/>
                <w:sz w:val="24"/>
              </w:rPr>
              <w:t>资金到位率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sz w:val="24"/>
              </w:rPr>
            </w:pPr>
            <w:r>
              <w:rPr>
                <w:rFonts w:ascii="Calibri" w:hAnsi="Calibri" w:eastAsia="宋体" w:cs="Calibri"/>
                <w:kern w:val="0"/>
                <w:sz w:val="24"/>
              </w:rPr>
              <w:t>4</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kern w:val="0"/>
                <w:sz w:val="24"/>
              </w:rPr>
            </w:pPr>
            <w:r>
              <w:rPr>
                <w:rFonts w:hint="eastAsia" w:ascii="Calibri" w:hAnsi="Calibri" w:eastAsia="宋体" w:cs="Calibri"/>
                <w:kern w:val="0"/>
                <w:sz w:val="24"/>
              </w:rPr>
              <w:t>4</w:t>
            </w:r>
          </w:p>
        </w:tc>
      </w:tr>
      <w:tr>
        <w:tblPrEx>
          <w:tblCellMar>
            <w:top w:w="0" w:type="dxa"/>
            <w:left w:w="108" w:type="dxa"/>
            <w:bottom w:w="0" w:type="dxa"/>
            <w:right w:w="108" w:type="dxa"/>
          </w:tblCellMar>
        </w:tblPrEx>
        <w:trPr>
          <w:trHeight w:val="454" w:hRule="exact"/>
        </w:trPr>
        <w:tc>
          <w:tcPr>
            <w:tcW w:w="9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0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left"/>
              <w:textAlignment w:val="center"/>
              <w:rPr>
                <w:rFonts w:ascii="宋体" w:hAnsi="宋体" w:eastAsia="宋体" w:cs="宋体"/>
                <w:sz w:val="24"/>
              </w:rPr>
            </w:pPr>
            <w:r>
              <w:rPr>
                <w:rFonts w:hint="eastAsia" w:ascii="宋体" w:hAnsi="宋体" w:eastAsia="宋体" w:cs="宋体"/>
                <w:kern w:val="0"/>
                <w:sz w:val="24"/>
              </w:rPr>
              <w:t>预算执行率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sz w:val="24"/>
              </w:rPr>
            </w:pPr>
            <w:r>
              <w:rPr>
                <w:rFonts w:ascii="Calibri" w:hAnsi="Calibri" w:eastAsia="宋体" w:cs="Calibri"/>
                <w:kern w:val="0"/>
                <w:sz w:val="24"/>
              </w:rPr>
              <w:t>4</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kern w:val="0"/>
                <w:sz w:val="24"/>
              </w:rPr>
            </w:pPr>
            <w:r>
              <w:rPr>
                <w:rFonts w:hint="eastAsia" w:ascii="Calibri" w:hAnsi="Calibri" w:eastAsia="宋体" w:cs="Calibri"/>
                <w:kern w:val="0"/>
                <w:sz w:val="24"/>
              </w:rPr>
              <w:t>1.63</w:t>
            </w:r>
          </w:p>
        </w:tc>
      </w:tr>
      <w:tr>
        <w:tblPrEx>
          <w:tblCellMar>
            <w:top w:w="0" w:type="dxa"/>
            <w:left w:w="108" w:type="dxa"/>
            <w:bottom w:w="0" w:type="dxa"/>
            <w:right w:w="108" w:type="dxa"/>
          </w:tblCellMar>
        </w:tblPrEx>
        <w:trPr>
          <w:trHeight w:val="454" w:hRule="exact"/>
        </w:trPr>
        <w:tc>
          <w:tcPr>
            <w:tcW w:w="9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0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left"/>
              <w:textAlignment w:val="center"/>
              <w:rPr>
                <w:rFonts w:ascii="宋体" w:hAnsi="宋体" w:eastAsia="宋体" w:cs="宋体"/>
                <w:sz w:val="24"/>
              </w:rPr>
            </w:pPr>
            <w:r>
              <w:rPr>
                <w:rFonts w:hint="eastAsia" w:ascii="宋体" w:hAnsi="宋体" w:eastAsia="宋体" w:cs="宋体"/>
                <w:kern w:val="0"/>
                <w:sz w:val="24"/>
              </w:rPr>
              <w:t>资金使用合规性</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sz w:val="24"/>
              </w:rPr>
            </w:pPr>
            <w:r>
              <w:rPr>
                <w:rFonts w:ascii="Calibri" w:hAnsi="Calibri" w:eastAsia="宋体" w:cs="Calibri"/>
                <w:kern w:val="0"/>
                <w:sz w:val="24"/>
              </w:rPr>
              <w:t>4</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kern w:val="0"/>
                <w:sz w:val="24"/>
              </w:rPr>
            </w:pPr>
            <w:r>
              <w:rPr>
                <w:rFonts w:hint="eastAsia" w:ascii="Calibri" w:hAnsi="Calibri" w:eastAsia="宋体" w:cs="Calibri"/>
                <w:kern w:val="0"/>
                <w:sz w:val="24"/>
              </w:rPr>
              <w:t>4</w:t>
            </w:r>
          </w:p>
        </w:tc>
      </w:tr>
      <w:tr>
        <w:tblPrEx>
          <w:tblCellMar>
            <w:top w:w="0" w:type="dxa"/>
            <w:left w:w="108" w:type="dxa"/>
            <w:bottom w:w="0" w:type="dxa"/>
            <w:right w:w="108" w:type="dxa"/>
          </w:tblCellMar>
        </w:tblPrEx>
        <w:trPr>
          <w:trHeight w:val="454" w:hRule="exact"/>
        </w:trPr>
        <w:tc>
          <w:tcPr>
            <w:tcW w:w="9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0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宋体" w:hAnsi="宋体" w:eastAsia="宋体" w:cs="宋体"/>
                <w:sz w:val="24"/>
              </w:rPr>
            </w:pPr>
            <w:r>
              <w:rPr>
                <w:rFonts w:hint="eastAsia" w:ascii="宋体" w:hAnsi="宋体" w:eastAsia="宋体" w:cs="宋体"/>
                <w:kern w:val="0"/>
                <w:sz w:val="24"/>
              </w:rPr>
              <w:t>组织实施（</w:t>
            </w:r>
            <w:r>
              <w:rPr>
                <w:rFonts w:ascii="Calibri" w:hAnsi="Calibri" w:eastAsia="宋体" w:cs="Calibri"/>
                <w:kern w:val="0"/>
                <w:sz w:val="24"/>
              </w:rPr>
              <w:t>8</w:t>
            </w:r>
            <w:r>
              <w:rPr>
                <w:rFonts w:hint="eastAsia" w:ascii="宋体" w:hAnsi="宋体" w:eastAsia="宋体" w:cs="宋体"/>
                <w:kern w:val="0"/>
                <w:sz w:val="24"/>
              </w:rPr>
              <w:t>分）</w:t>
            </w:r>
          </w:p>
        </w:tc>
        <w:tc>
          <w:tcPr>
            <w:tcW w:w="1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left"/>
              <w:textAlignment w:val="center"/>
              <w:rPr>
                <w:rFonts w:ascii="宋体" w:hAnsi="宋体" w:eastAsia="宋体" w:cs="宋体"/>
                <w:sz w:val="24"/>
              </w:rPr>
            </w:pPr>
            <w:r>
              <w:rPr>
                <w:rFonts w:hint="eastAsia" w:ascii="宋体" w:hAnsi="宋体" w:eastAsia="宋体" w:cs="宋体"/>
                <w:kern w:val="0"/>
                <w:sz w:val="24"/>
              </w:rPr>
              <w:t>项目管理制度健全性</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sz w:val="24"/>
              </w:rPr>
            </w:pPr>
            <w:r>
              <w:rPr>
                <w:rFonts w:ascii="Calibri" w:hAnsi="Calibri" w:eastAsia="宋体" w:cs="Calibri"/>
                <w:kern w:val="0"/>
                <w:sz w:val="24"/>
              </w:rPr>
              <w:t>4</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kern w:val="0"/>
                <w:sz w:val="24"/>
              </w:rPr>
            </w:pPr>
            <w:r>
              <w:rPr>
                <w:rFonts w:hint="eastAsia" w:ascii="Calibri" w:hAnsi="Calibri" w:eastAsia="宋体" w:cs="Calibri"/>
                <w:kern w:val="0"/>
                <w:sz w:val="24"/>
              </w:rPr>
              <w:t>4</w:t>
            </w:r>
          </w:p>
        </w:tc>
      </w:tr>
      <w:tr>
        <w:tblPrEx>
          <w:tblCellMar>
            <w:top w:w="0" w:type="dxa"/>
            <w:left w:w="108" w:type="dxa"/>
            <w:bottom w:w="0" w:type="dxa"/>
            <w:right w:w="108" w:type="dxa"/>
          </w:tblCellMar>
        </w:tblPrEx>
        <w:trPr>
          <w:trHeight w:val="454" w:hRule="exact"/>
        </w:trPr>
        <w:tc>
          <w:tcPr>
            <w:tcW w:w="9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0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60" w:lineRule="exact"/>
              <w:ind w:firstLine="480" w:firstLineChars="200"/>
              <w:jc w:val="center"/>
              <w:rPr>
                <w:rFonts w:ascii="宋体" w:hAnsi="宋体" w:eastAsia="宋体" w:cs="宋体"/>
                <w:sz w:val="24"/>
              </w:rPr>
            </w:pPr>
          </w:p>
        </w:tc>
        <w:tc>
          <w:tcPr>
            <w:tcW w:w="1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left"/>
              <w:textAlignment w:val="center"/>
              <w:rPr>
                <w:rFonts w:ascii="宋体" w:hAnsi="宋体" w:eastAsia="宋体" w:cs="宋体"/>
                <w:sz w:val="24"/>
              </w:rPr>
            </w:pPr>
            <w:r>
              <w:rPr>
                <w:rFonts w:hint="eastAsia" w:ascii="宋体" w:hAnsi="宋体" w:eastAsia="宋体" w:cs="宋体"/>
                <w:kern w:val="0"/>
                <w:sz w:val="24"/>
              </w:rPr>
              <w:t>制度执行有效性</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sz w:val="24"/>
              </w:rPr>
            </w:pPr>
            <w:r>
              <w:rPr>
                <w:rFonts w:ascii="Calibri" w:hAnsi="Calibri" w:eastAsia="宋体" w:cs="Calibri"/>
                <w:kern w:val="0"/>
                <w:sz w:val="24"/>
              </w:rPr>
              <w:t>4</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60" w:lineRule="exact"/>
              <w:jc w:val="center"/>
              <w:textAlignment w:val="center"/>
              <w:rPr>
                <w:rFonts w:ascii="Calibri" w:hAnsi="Calibri" w:eastAsia="宋体" w:cs="Calibri"/>
                <w:kern w:val="0"/>
                <w:sz w:val="24"/>
              </w:rPr>
            </w:pPr>
            <w:r>
              <w:rPr>
                <w:rFonts w:hint="eastAsia" w:ascii="Calibri" w:hAnsi="Calibri" w:eastAsia="宋体" w:cs="Calibri"/>
                <w:kern w:val="0"/>
                <w:sz w:val="24"/>
              </w:rPr>
              <w:t>3</w:t>
            </w:r>
          </w:p>
        </w:tc>
      </w:tr>
    </w:tbl>
    <w:p>
      <w:pPr>
        <w:numPr>
          <w:ilvl w:val="0"/>
          <w:numId w:val="13"/>
        </w:numPr>
        <w:adjustRightInd w:val="0"/>
        <w:spacing w:beforeLines="50"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资金到位率：该项权重分为4分，实际得分4分。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具体依据为：本项目资金全部为财政资金，预算资金502.554万元，实际到位502.554万元。根据评分细则，该指标得4分。</w:t>
      </w:r>
    </w:p>
    <w:p>
      <w:pPr>
        <w:numPr>
          <w:ilvl w:val="0"/>
          <w:numId w:val="13"/>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预算执行率：该项权重分为4分，实际得分1.63分。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具体依据为：本项目到位资金为502.554万元，实际拨付金额为205.014万元，预算执行率40.79%。根据评分细则，该指标得1.63分。</w:t>
      </w:r>
    </w:p>
    <w:p>
      <w:pPr>
        <w:numPr>
          <w:ilvl w:val="0"/>
          <w:numId w:val="13"/>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资金使用合规性：该项权重分为4分，实际得分4分。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为：资金使用符合《洛阳市偃师区地方储备粮油补贴资金管理办法》，资金的拨付是否有完整的审批程序和手续，符合项目预算批复，未发现截留、挤占、挪用、虚报支出等情况。根据评分细则，该指标得满分。</w:t>
      </w:r>
    </w:p>
    <w:p>
      <w:pPr>
        <w:numPr>
          <w:ilvl w:val="0"/>
          <w:numId w:val="13"/>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项目管理制度健全性：该项权重分为4分，实际得分4分。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项目管理依据《河南省地方储备粮仓储管理暂行办法》、《河南省地方储备粮质量管理暂行办法》，轮换依据《关于下达2022年度洛阳市偃师区县级储备粮轮换计划的通知》，补贴资金计算及拨付依据《洛阳市偃师区地方储备粮油补贴资金管理办法》。项目管理制度合法、合规、完整。根据评价细则，该指标满分。</w:t>
      </w:r>
    </w:p>
    <w:p>
      <w:pPr>
        <w:numPr>
          <w:ilvl w:val="0"/>
          <w:numId w:val="13"/>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制度执行有效性：该项权重分为4分，实际得分3分。</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具体依据：（1）轮换计划方面。</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轮出的3家承储企业于粮食计划轮出前5个工作日制定了详细的出库实施方案，列出了计划开始轮出的具体时间、销售计划、资金结算、保管员质检员配备等情况，金粮粮油审核后于2021年12月27日向区粮食和物资储备中心提出关于2022年度储备粮轮换计划的请示。区粮食和物资储备中心审核后分别报送区发改委、粮食和物资储备局、区财政局和中国农业发展银行偃师市支行，后四部门联合下发《关于下达2022年度洛阳市偃师区县级储备粮轮换计划的通知》偃发改（2021）211号。</w:t>
      </w:r>
    </w:p>
    <w:p>
      <w:pPr>
        <w:numPr>
          <w:ilvl w:val="0"/>
          <w:numId w:val="14"/>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轮换工作方面。</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2022年4月三家承储企业向区粮食和物资储备中心进行了出库申请，后中国农业发展银行偃师支行、偃师市粮食和物资储备局、金粮粮油对承储企业出库能力进行现场核验，在县级储备粮油计划轮入前，承储企业对承储仓房进行空仓验收，确保仓房及相关设施设备完好，报区粮食和物资储备中心备案，由区粮食和物资储备中心实地核查（空仓验收合格证、现场照片、轮入空仓实地核查表）、并备案后开始轮入。因承储企业需要异库点轮换（高龙金粮仓库库顶受损、盛隆粮油南库区调整至首阳山库区），金粮粮油提出申请后报区粮食和物资储备中心审核，经区发改委(粮食和物资储备局)批准同意后下发《关于偃师区地方储备粮调整仓储库点及仓房的批复》偃发改</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2022</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78号，同时抄送区财政局和中国农业发展银行偃师市支行。</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轮换完成、平仓整理后，金粮粮油联合第三方粮油质检单位（驻马店粮油质量检测中心）对轮换入库的粮油进行检查验收，后在10个工作日内将验收结果（质检报告、实物底稿、验收表）向区粮食和物资储备中心提出轮换验收申请，区粮食和物资储备中心向区发改委(粮食和物资储备局)报验收确认申请,区发改委(粮食和物资储备局)会同区财政局、中国农业发展银行偃师市支行对轮入4426吨县级储备粮小麦质量、数量、安全等情况进行核查、确认并出具《关于确认2022年度轮换入库县级储备粮的通知》偃发改</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2022</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212号。</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统计资料方面，按照管理办法的规定承储企业填制轮换出入库日报表，粮食和物资储备中心统计轮换统计日报、周报及月报。</w:t>
      </w:r>
    </w:p>
    <w:p>
      <w:pPr>
        <w:numPr>
          <w:ilvl w:val="0"/>
          <w:numId w:val="14"/>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资金补贴方面</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补贴资金管理依据《洛阳市偃师区地方储备粮油补贴资金管理办法》，其中明确补贴专项资金包括管理费用补贴、轮换费用补贴、轮换和动用价差亏损补贴、损失损耗补贴、银行贷款利息补贴，不得跨年度执行。其中管理费用全年共计168万元，应每季支付一次，实际2022年9月拨付一二季度管理费用，三四季度当年未拨付；轮换费用全年共计53.26万元，应轮换结束验收合格后，采取包干形式支付，实际2022年9月支付53.26万元，与管理办法一致；轮换和过程中形成的价差亏损及损失损耗应由区财政据实补贴，实际由承储企业承担；贷款利息补贴为核定的入库成本*银行贷款利率，据实拨付，实际拨付2022年一二季度利息补贴共计67.754万元。补贴资金应补贴至承贷企业（盛隆粮油），实际区财政直接拨付至运营企业（金粮粮油），由金粮粮油拨付至盛隆粮油及其他承储企业。</w:t>
      </w:r>
    </w:p>
    <w:p>
      <w:pPr>
        <w:numPr>
          <w:ilvl w:val="0"/>
          <w:numId w:val="14"/>
        </w:num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其他方面</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《关于下达2022年度洛阳市偃师区县级储备粮轮换计划的通知》偃发改</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2021</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211号文仓储要求中明确承储企业不得委托其他企业代储或者租仓储存。县级储备油的承储企业为盛隆粮油450吨，2021年11月盛隆粮油与偃师市城关镇益嘉粮油商行签订为期一年的225吨委托承储合同。与规定不符。</w:t>
      </w:r>
    </w:p>
    <w:p>
      <w:pPr>
        <w:adjustRightInd w:val="0"/>
        <w:spacing w:line="56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综上所述，各程序较好的按照管理办法或规定执行，项目轮换计划资料、轮换工作资料、验收鉴定、统计处理及其他相关资料齐全并及时归档。项目实施的仓储要求、场地设备、轮换安全要求落实到位。但部分事项未按管理办法执行，补贴资金中轮换和过程中形成的价差亏损及损失损耗未按管理办法执行，未拨付到位；管理费用、贷款利息补贴未按管理办法执行，存在跨年拨付的现象；补贴资金应拨付至承贷企业实际拨付至运营企业；承储企业有委托承储的现象。根据评价细则，该指标得3分。</w:t>
      </w:r>
    </w:p>
    <w:p>
      <w:pPr>
        <w:numPr>
          <w:ilvl w:val="0"/>
          <w:numId w:val="11"/>
        </w:numPr>
        <w:adjustRightInd w:val="0"/>
        <w:spacing w:beforeLines="50"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项目产出情况</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项目产出共设有1个二级指标和3个三级指标：</w:t>
      </w:r>
    </w:p>
    <w:tbl>
      <w:tblPr>
        <w:tblStyle w:val="7"/>
        <w:tblW w:w="4998" w:type="pct"/>
        <w:tblInd w:w="0" w:type="dxa"/>
        <w:tblLayout w:type="autofit"/>
        <w:tblCellMar>
          <w:top w:w="0" w:type="dxa"/>
          <w:left w:w="108" w:type="dxa"/>
          <w:bottom w:w="0" w:type="dxa"/>
          <w:right w:w="108" w:type="dxa"/>
        </w:tblCellMar>
      </w:tblPr>
      <w:tblGrid>
        <w:gridCol w:w="1808"/>
        <w:gridCol w:w="1606"/>
        <w:gridCol w:w="2342"/>
        <w:gridCol w:w="1753"/>
        <w:gridCol w:w="1683"/>
      </w:tblGrid>
      <w:tr>
        <w:tblPrEx>
          <w:tblCellMar>
            <w:top w:w="0" w:type="dxa"/>
            <w:left w:w="108" w:type="dxa"/>
            <w:bottom w:w="0" w:type="dxa"/>
            <w:right w:w="108" w:type="dxa"/>
          </w:tblCellMar>
        </w:tblPrEx>
        <w:trPr>
          <w:trHeight w:val="454" w:hRule="exact"/>
        </w:trPr>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8"/>
                <w:szCs w:val="28"/>
              </w:rPr>
            </w:pPr>
            <w:r>
              <w:rPr>
                <w:rFonts w:hint="eastAsia" w:ascii="宋体" w:hAnsi="宋体" w:eastAsia="宋体" w:cs="宋体"/>
                <w:kern w:val="0"/>
                <w:sz w:val="24"/>
              </w:rPr>
              <w:t>一级指标</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4"/>
              </w:rPr>
            </w:pPr>
            <w:r>
              <w:rPr>
                <w:rFonts w:hint="eastAsia" w:ascii="宋体" w:hAnsi="宋体" w:eastAsia="宋体" w:cs="宋体"/>
                <w:kern w:val="0"/>
                <w:sz w:val="24"/>
              </w:rPr>
              <w:t>权重</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4"/>
              </w:rPr>
            </w:pPr>
            <w:r>
              <w:rPr>
                <w:rFonts w:hint="eastAsia" w:ascii="宋体" w:hAnsi="宋体" w:eastAsia="宋体" w:cs="宋体"/>
                <w:kern w:val="0"/>
                <w:sz w:val="24"/>
              </w:rPr>
              <w:t>得分</w:t>
            </w:r>
          </w:p>
        </w:tc>
      </w:tr>
      <w:tr>
        <w:tblPrEx>
          <w:tblCellMar>
            <w:top w:w="0" w:type="dxa"/>
            <w:left w:w="108" w:type="dxa"/>
            <w:bottom w:w="0" w:type="dxa"/>
            <w:right w:w="108" w:type="dxa"/>
          </w:tblCellMar>
        </w:tblPrEx>
        <w:trPr>
          <w:trHeight w:val="454" w:hRule="exact"/>
        </w:trPr>
        <w:tc>
          <w:tcPr>
            <w:tcW w:w="9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4"/>
              </w:rPr>
            </w:pPr>
            <w:r>
              <w:rPr>
                <w:rStyle w:val="13"/>
                <w:rFonts w:hint="default"/>
                <w:color w:val="auto"/>
              </w:rPr>
              <w:t>产</w:t>
            </w:r>
            <w:r>
              <w:rPr>
                <w:rStyle w:val="13"/>
                <w:rFonts w:hint="eastAsia" w:eastAsia="宋体"/>
                <w:color w:val="auto"/>
                <w:lang w:eastAsia="zh-CN"/>
              </w:rPr>
              <w:t>（</w:t>
            </w:r>
            <w:r>
              <w:rPr>
                <w:rFonts w:ascii="Calibri" w:hAnsi="Calibri" w:eastAsia="宋体" w:cs="Calibri"/>
                <w:kern w:val="0"/>
                <w:sz w:val="24"/>
              </w:rPr>
              <w:t>30</w:t>
            </w:r>
            <w:r>
              <w:rPr>
                <w:rStyle w:val="13"/>
                <w:rFonts w:hint="default"/>
                <w:color w:val="auto"/>
              </w:rPr>
              <w:t>分）</w:t>
            </w:r>
          </w:p>
        </w:tc>
        <w:tc>
          <w:tcPr>
            <w:tcW w:w="8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宋体" w:hAnsi="宋体" w:eastAsia="宋体" w:cs="宋体"/>
                <w:sz w:val="24"/>
              </w:rPr>
            </w:pPr>
            <w:r>
              <w:rPr>
                <w:rStyle w:val="13"/>
                <w:rFonts w:hint="default"/>
                <w:color w:val="auto"/>
              </w:rPr>
              <w:t>产出（</w:t>
            </w:r>
            <w:r>
              <w:rPr>
                <w:rFonts w:ascii="Calibri" w:hAnsi="Calibri" w:eastAsia="宋体" w:cs="Calibri"/>
                <w:kern w:val="0"/>
                <w:sz w:val="24"/>
              </w:rPr>
              <w:t>30</w:t>
            </w:r>
            <w:r>
              <w:rPr>
                <w:rStyle w:val="13"/>
                <w:rFonts w:hint="default"/>
                <w:color w:val="auto"/>
              </w:rPr>
              <w:t>分）</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left"/>
              <w:textAlignment w:val="center"/>
              <w:rPr>
                <w:rFonts w:ascii="宋体" w:hAnsi="宋体" w:eastAsia="宋体" w:cs="宋体"/>
                <w:sz w:val="24"/>
              </w:rPr>
            </w:pPr>
            <w:r>
              <w:rPr>
                <w:rFonts w:hint="eastAsia" w:ascii="宋体" w:hAnsi="宋体" w:eastAsia="宋体" w:cs="宋体"/>
                <w:kern w:val="0"/>
                <w:sz w:val="24"/>
              </w:rPr>
              <w:t>数量指标</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Calibri" w:hAnsi="Calibri" w:eastAsia="宋体" w:cs="Calibri"/>
                <w:sz w:val="24"/>
              </w:rPr>
            </w:pPr>
            <w:r>
              <w:rPr>
                <w:rFonts w:ascii="Calibri" w:hAnsi="Calibri" w:eastAsia="宋体" w:cs="Calibri"/>
                <w:kern w:val="0"/>
                <w:sz w:val="24"/>
              </w:rPr>
              <w:t>10</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Calibri" w:hAnsi="Calibri" w:eastAsia="宋体" w:cs="Calibri"/>
                <w:sz w:val="24"/>
              </w:rPr>
            </w:pPr>
            <w:r>
              <w:rPr>
                <w:rFonts w:ascii="Calibri" w:hAnsi="Calibri" w:eastAsia="宋体" w:cs="Calibri"/>
                <w:kern w:val="0"/>
                <w:sz w:val="24"/>
              </w:rPr>
              <w:t>10</w:t>
            </w:r>
          </w:p>
        </w:tc>
      </w:tr>
      <w:tr>
        <w:tblPrEx>
          <w:tblCellMar>
            <w:top w:w="0" w:type="dxa"/>
            <w:left w:w="108" w:type="dxa"/>
            <w:bottom w:w="0" w:type="dxa"/>
            <w:right w:w="108" w:type="dxa"/>
          </w:tblCellMar>
        </w:tblPrEx>
        <w:trPr>
          <w:trHeight w:val="454" w:hRule="exact"/>
        </w:trPr>
        <w:tc>
          <w:tcPr>
            <w:tcW w:w="9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80" w:lineRule="exact"/>
              <w:ind w:firstLine="480" w:firstLineChars="200"/>
              <w:jc w:val="center"/>
              <w:rPr>
                <w:rFonts w:ascii="宋体" w:hAnsi="宋体" w:eastAsia="宋体" w:cs="宋体"/>
                <w:sz w:val="24"/>
              </w:rPr>
            </w:pPr>
          </w:p>
        </w:tc>
        <w:tc>
          <w:tcPr>
            <w:tcW w:w="8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80" w:lineRule="exact"/>
              <w:ind w:firstLine="480" w:firstLineChars="200"/>
              <w:jc w:val="center"/>
              <w:rPr>
                <w:rFonts w:ascii="宋体" w:hAnsi="宋体" w:eastAsia="宋体" w:cs="宋体"/>
                <w:sz w:val="24"/>
              </w:rPr>
            </w:pP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left"/>
              <w:textAlignment w:val="center"/>
              <w:rPr>
                <w:rFonts w:ascii="宋体" w:hAnsi="宋体" w:eastAsia="宋体" w:cs="宋体"/>
                <w:sz w:val="24"/>
              </w:rPr>
            </w:pPr>
            <w:r>
              <w:rPr>
                <w:rFonts w:hint="eastAsia" w:ascii="宋体" w:hAnsi="宋体" w:eastAsia="宋体" w:cs="宋体"/>
                <w:kern w:val="0"/>
                <w:sz w:val="24"/>
              </w:rPr>
              <w:t>质量指标</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Calibri" w:hAnsi="Calibri" w:eastAsia="宋体" w:cs="Calibri"/>
                <w:sz w:val="24"/>
              </w:rPr>
            </w:pPr>
            <w:r>
              <w:rPr>
                <w:rFonts w:ascii="Calibri" w:hAnsi="Calibri" w:eastAsia="宋体" w:cs="Calibri"/>
                <w:kern w:val="0"/>
                <w:sz w:val="24"/>
              </w:rPr>
              <w:t>10</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Calibri" w:hAnsi="Calibri" w:eastAsia="宋体" w:cs="Calibri"/>
                <w:sz w:val="24"/>
              </w:rPr>
            </w:pPr>
            <w:r>
              <w:rPr>
                <w:rFonts w:ascii="Calibri" w:hAnsi="Calibri" w:eastAsia="宋体" w:cs="Calibri"/>
                <w:kern w:val="0"/>
                <w:sz w:val="24"/>
              </w:rPr>
              <w:t>10</w:t>
            </w:r>
          </w:p>
        </w:tc>
      </w:tr>
      <w:tr>
        <w:tblPrEx>
          <w:tblCellMar>
            <w:top w:w="0" w:type="dxa"/>
            <w:left w:w="108" w:type="dxa"/>
            <w:bottom w:w="0" w:type="dxa"/>
            <w:right w:w="108" w:type="dxa"/>
          </w:tblCellMar>
        </w:tblPrEx>
        <w:trPr>
          <w:trHeight w:val="454" w:hRule="exact"/>
        </w:trPr>
        <w:tc>
          <w:tcPr>
            <w:tcW w:w="9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80" w:lineRule="exact"/>
              <w:ind w:firstLine="480" w:firstLineChars="200"/>
              <w:jc w:val="center"/>
              <w:rPr>
                <w:rFonts w:ascii="宋体" w:hAnsi="宋体" w:eastAsia="宋体" w:cs="宋体"/>
                <w:sz w:val="24"/>
              </w:rPr>
            </w:pPr>
          </w:p>
        </w:tc>
        <w:tc>
          <w:tcPr>
            <w:tcW w:w="8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580" w:lineRule="exact"/>
              <w:ind w:firstLine="480" w:firstLineChars="200"/>
              <w:jc w:val="center"/>
              <w:rPr>
                <w:rFonts w:ascii="宋体" w:hAnsi="宋体" w:eastAsia="宋体" w:cs="宋体"/>
                <w:sz w:val="24"/>
              </w:rPr>
            </w:pP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left"/>
              <w:textAlignment w:val="center"/>
              <w:rPr>
                <w:rFonts w:ascii="宋体" w:hAnsi="宋体" w:eastAsia="宋体" w:cs="宋体"/>
                <w:sz w:val="24"/>
              </w:rPr>
            </w:pPr>
            <w:r>
              <w:rPr>
                <w:rFonts w:hint="eastAsia" w:ascii="宋体" w:hAnsi="宋体" w:eastAsia="宋体" w:cs="宋体"/>
                <w:kern w:val="0"/>
                <w:sz w:val="24"/>
              </w:rPr>
              <w:t>时效指标</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Calibri" w:hAnsi="Calibri" w:eastAsia="宋体" w:cs="Calibri"/>
                <w:sz w:val="24"/>
              </w:rPr>
            </w:pPr>
            <w:r>
              <w:rPr>
                <w:rFonts w:ascii="Calibri" w:hAnsi="Calibri" w:eastAsia="宋体" w:cs="Calibri"/>
                <w:kern w:val="0"/>
                <w:sz w:val="24"/>
              </w:rPr>
              <w:t>10</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pacing w:line="580" w:lineRule="exact"/>
              <w:jc w:val="center"/>
              <w:textAlignment w:val="center"/>
              <w:rPr>
                <w:rFonts w:ascii="Calibri" w:hAnsi="Calibri" w:eastAsia="宋体" w:cs="Calibri"/>
                <w:sz w:val="24"/>
              </w:rPr>
            </w:pPr>
            <w:r>
              <w:rPr>
                <w:rFonts w:hint="eastAsia" w:ascii="Calibri" w:hAnsi="Calibri" w:eastAsia="宋体" w:cs="Calibri"/>
                <w:kern w:val="0"/>
                <w:sz w:val="24"/>
              </w:rPr>
              <w:t>10</w:t>
            </w:r>
          </w:p>
        </w:tc>
      </w:tr>
    </w:tbl>
    <w:p>
      <w:pPr>
        <w:numPr>
          <w:ilvl w:val="0"/>
          <w:numId w:val="15"/>
        </w:numPr>
        <w:adjustRightInd w:val="0"/>
        <w:spacing w:beforeLines="50"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数量指标：该项权重分为10分，实际得分10分。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具体依据：2022年度计划轮换县级储备粮小麦4426吨、小包装食用油450吨，实际轮换储备粮小麦4426吨、小包装食用油450吨，实际轮换数量与计划一致。根据评价细则，该指标得满分。</w:t>
      </w:r>
    </w:p>
    <w:p>
      <w:pPr>
        <w:numPr>
          <w:ilvl w:val="0"/>
          <w:numId w:val="15"/>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质量指标：该项权重分为10分，实际得分10分。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县级储备小麦销售(出库)粮油、收购(入库)必检项目为品质检验质量指标、储存品质指标和主要食品安全指标及油脂，2022年轮换时均进行了检测，质量达标。轮入的粮油是2022年生产的新粮，符合要求。根据评价细则，该指标得满分。</w:t>
      </w:r>
    </w:p>
    <w:p>
      <w:pPr>
        <w:numPr>
          <w:ilvl w:val="0"/>
          <w:numId w:val="15"/>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时效指标：该项权重分为10分，实际得分10分。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具体依据：县级储备粮的计划轮换时间为2022年1月1日起至2022年12月</w:t>
      </w:r>
      <w:r>
        <w:rPr>
          <w:rFonts w:hint="eastAsia" w:ascii="宋体" w:hAnsi="宋体" w:eastAsia="宋体" w:cs="宋体"/>
          <w:kern w:val="0"/>
          <w:sz w:val="28"/>
          <w:szCs w:val="28"/>
          <w:lang w:val="en-US" w:eastAsia="zh-CN"/>
        </w:rPr>
        <w:t>28</w:t>
      </w:r>
      <w:r>
        <w:rPr>
          <w:rFonts w:hint="eastAsia" w:ascii="宋体" w:hAnsi="宋体" w:eastAsia="宋体" w:cs="宋体"/>
          <w:kern w:val="0"/>
          <w:sz w:val="28"/>
          <w:szCs w:val="28"/>
        </w:rPr>
        <w:t>日止，轮换架空期为4个月。实际县级储备小麦2022年4月轮出，8月轮入完成验收，轮换架空期少于4个月。储备油实行动态轮换管理，年终储备量450吨。2022年度内粮油储备轮换项目完成且轮换架空期少于4个月。</w:t>
      </w:r>
      <w:r>
        <w:rPr>
          <w:rFonts w:hint="eastAsia" w:ascii="宋体" w:hAnsi="宋体" w:eastAsia="宋体" w:cs="宋体"/>
          <w:sz w:val="28"/>
          <w:szCs w:val="28"/>
        </w:rPr>
        <w:t>根据评分细则，</w:t>
      </w:r>
      <w:r>
        <w:rPr>
          <w:rFonts w:hint="eastAsia" w:ascii="宋体" w:hAnsi="宋体" w:eastAsia="宋体" w:cs="宋体"/>
          <w:kern w:val="0"/>
          <w:sz w:val="28"/>
          <w:szCs w:val="28"/>
        </w:rPr>
        <w:t>该指标得10分。</w:t>
      </w:r>
    </w:p>
    <w:p>
      <w:pPr>
        <w:numPr>
          <w:ilvl w:val="0"/>
          <w:numId w:val="11"/>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项目效益情况</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项目效益共设有4个二级指标和4个三级指标：</w:t>
      </w:r>
    </w:p>
    <w:tbl>
      <w:tblPr>
        <w:tblStyle w:val="7"/>
        <w:tblW w:w="8817" w:type="dxa"/>
        <w:tblInd w:w="93" w:type="dxa"/>
        <w:tblLayout w:type="autofit"/>
        <w:tblCellMar>
          <w:top w:w="0" w:type="dxa"/>
          <w:left w:w="108" w:type="dxa"/>
          <w:bottom w:w="0" w:type="dxa"/>
          <w:right w:w="108" w:type="dxa"/>
        </w:tblCellMar>
      </w:tblPr>
      <w:tblGrid>
        <w:gridCol w:w="1715"/>
        <w:gridCol w:w="2200"/>
        <w:gridCol w:w="2877"/>
        <w:gridCol w:w="1020"/>
        <w:gridCol w:w="1005"/>
      </w:tblGrid>
      <w:tr>
        <w:tblPrEx>
          <w:tblCellMar>
            <w:top w:w="0" w:type="dxa"/>
            <w:left w:w="108" w:type="dxa"/>
            <w:bottom w:w="0" w:type="dxa"/>
            <w:right w:w="108" w:type="dxa"/>
          </w:tblCellMar>
        </w:tblPrEx>
        <w:trPr>
          <w:trHeight w:val="520" w:hRule="atLeast"/>
        </w:trPr>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一级指标</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二级指标</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权重</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得分</w:t>
            </w:r>
          </w:p>
        </w:tc>
      </w:tr>
      <w:tr>
        <w:tblPrEx>
          <w:tblCellMar>
            <w:top w:w="0" w:type="dxa"/>
            <w:left w:w="108" w:type="dxa"/>
            <w:bottom w:w="0" w:type="dxa"/>
            <w:right w:w="108" w:type="dxa"/>
          </w:tblCellMar>
        </w:tblPrEx>
        <w:trPr>
          <w:trHeight w:val="690" w:hRule="atLeast"/>
        </w:trPr>
        <w:tc>
          <w:tcPr>
            <w:tcW w:w="1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效益 （30分）</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经济效益（6分）</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经济效益</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r>
      <w:tr>
        <w:tblPrEx>
          <w:tblCellMar>
            <w:top w:w="0" w:type="dxa"/>
            <w:left w:w="108" w:type="dxa"/>
            <w:bottom w:w="0" w:type="dxa"/>
            <w:right w:w="108" w:type="dxa"/>
          </w:tblCellMar>
        </w:tblPrEx>
        <w:trPr>
          <w:trHeight w:val="720" w:hRule="atLeast"/>
        </w:trPr>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社会效益（7分）</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sz w:val="24"/>
              </w:rPr>
              <w:t>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sz w:val="24"/>
              </w:rPr>
              <w:t>7</w:t>
            </w:r>
          </w:p>
        </w:tc>
      </w:tr>
      <w:tr>
        <w:tblPrEx>
          <w:tblCellMar>
            <w:top w:w="0" w:type="dxa"/>
            <w:left w:w="108" w:type="dxa"/>
            <w:bottom w:w="0" w:type="dxa"/>
            <w:right w:w="108" w:type="dxa"/>
          </w:tblCellMar>
        </w:tblPrEx>
        <w:trPr>
          <w:trHeight w:val="406" w:hRule="atLeast"/>
        </w:trPr>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Style w:val="16"/>
                <w:rFonts w:hint="default"/>
                <w:sz w:val="24"/>
                <w:szCs w:val="24"/>
              </w:rPr>
              <w:t>可持续影响</w:t>
            </w:r>
            <w:r>
              <w:rPr>
                <w:rFonts w:hint="eastAsia" w:ascii="宋体" w:hAnsi="宋体" w:eastAsia="宋体" w:cs="宋体"/>
                <w:color w:val="000000"/>
                <w:kern w:val="0"/>
                <w:sz w:val="24"/>
              </w:rPr>
              <w:t>(7</w:t>
            </w:r>
            <w:r>
              <w:rPr>
                <w:rStyle w:val="16"/>
                <w:rFonts w:hint="default"/>
                <w:sz w:val="24"/>
                <w:szCs w:val="24"/>
              </w:rPr>
              <w:t>分）</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sz w:val="24"/>
              </w:rPr>
              <w:t>7</w:t>
            </w:r>
          </w:p>
        </w:tc>
      </w:tr>
      <w:tr>
        <w:tblPrEx>
          <w:tblCellMar>
            <w:top w:w="0" w:type="dxa"/>
            <w:left w:w="108" w:type="dxa"/>
            <w:bottom w:w="0" w:type="dxa"/>
            <w:right w:w="108" w:type="dxa"/>
          </w:tblCellMar>
        </w:tblPrEx>
        <w:trPr>
          <w:trHeight w:val="422" w:hRule="atLeast"/>
        </w:trPr>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0" w:type="dxa"/>
            <w:left w:w="108" w:type="dxa"/>
            <w:bottom w:w="0" w:type="dxa"/>
            <w:right w:w="108" w:type="dxa"/>
          </w:tblCellMar>
        </w:tblPrEx>
        <w:trPr>
          <w:trHeight w:val="719" w:hRule="atLeast"/>
        </w:trPr>
        <w:tc>
          <w:tcPr>
            <w:tcW w:w="1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满意度（10分）</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运营、承储企业满意度</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8.7</w:t>
            </w:r>
          </w:p>
        </w:tc>
      </w:tr>
    </w:tbl>
    <w:p>
      <w:pPr>
        <w:numPr>
          <w:ilvl w:val="0"/>
          <w:numId w:val="16"/>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经济效益（促进农户收入）：该项权重分为6分，实际得分6分。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粮油储备可以有效保障农产品价格稳定，确保农民在丰收季节能够获得合理的收入。这有助于激励农户增加粮油作物的种植，提高农产品产量和质量，从而促进农户的经济收入。此外，粮油储备的建立和管理也为农民提供了销售渠道，确保他们的产品能够及时有效地销售，从而保障其收入。</w:t>
      </w:r>
      <w:r>
        <w:rPr>
          <w:rFonts w:hint="eastAsia" w:ascii="宋体" w:hAnsi="宋体" w:eastAsia="宋体" w:cs="宋体"/>
          <w:sz w:val="28"/>
          <w:szCs w:val="28"/>
        </w:rPr>
        <w:t>根据评分细则，</w:t>
      </w:r>
      <w:r>
        <w:rPr>
          <w:rFonts w:hint="eastAsia" w:ascii="宋体" w:hAnsi="宋体" w:eastAsia="宋体" w:cs="宋体"/>
          <w:kern w:val="0"/>
          <w:sz w:val="28"/>
          <w:szCs w:val="28"/>
        </w:rPr>
        <w:t>该指标得6分。</w:t>
      </w:r>
    </w:p>
    <w:p>
      <w:pPr>
        <w:numPr>
          <w:ilvl w:val="0"/>
          <w:numId w:val="16"/>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应对灾害、应急保障能力：该项权重分为7分，实际得分7分。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具体依据：储备粮是国家应对灾害和保障粮食市场稳定的重要举措。而储备粮的轮换管理则是确保储备粮食品质的重要手段，通过定期轮换更新储备粮，带来诸多社会效益。</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首先，储备粮的轮换更新可以保障储备粮的品质和安全。长时间存放的粮食容易受潮发霉、虫害等问题影响，储备粮的质量下降将对应急备用和市场稳定带来严重影响。通过定期轮换更新，可以确保储备粮的品质得到有效保障，从而提高了应对灾害和突发事件的能力。</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其次，储备粮的轮换管理也能够促进粮食行业的发展。在轮换更新储备粮的过程中，需要进行收购、储存、加工等环节，这将为相关企业提供更多的经济机会和资金支持。同时，轮换带动了相关行业的发展，为农民、加工企业、物流运输等相关行业提供了就业机会，促进了社会经济的稳定发展。</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另外，储备粮的轮换管理也有助于调节粮食市场供求关系。在轮换过程中，部分老旧储备粮被替代出库，供应市场，从而在一定程度上增加了市场供应量，缓解了市场的紧张局势，有利于稳定市场价格，减少价格波动带来的社会不稳定因素。</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此外，储备粮的轮换管理还有利于提高政府对市场调控的能力。通过有序的轮换操作，政府可以及时了解储备粮的储量情况，掌握市场供应的动态，为灾害发生时的应急救援提供更加及时有效的支持。</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总的来说，储备粮的轮换管理为确保粮食市场供应的可靠性和稳定性提供了重要保障，也促进了社会经济的发展和调控能力的提升，取得较好的社会效益。</w:t>
      </w:r>
      <w:r>
        <w:rPr>
          <w:rFonts w:hint="eastAsia" w:ascii="宋体" w:hAnsi="宋体" w:eastAsia="宋体" w:cs="宋体"/>
          <w:sz w:val="28"/>
          <w:szCs w:val="28"/>
        </w:rPr>
        <w:t>根据评分细则，</w:t>
      </w:r>
      <w:r>
        <w:rPr>
          <w:rFonts w:hint="eastAsia" w:ascii="宋体" w:hAnsi="宋体" w:eastAsia="宋体" w:cs="宋体"/>
          <w:kern w:val="0"/>
          <w:sz w:val="28"/>
          <w:szCs w:val="28"/>
        </w:rPr>
        <w:t>该指标得7分。</w:t>
      </w:r>
    </w:p>
    <w:p>
      <w:pPr>
        <w:numPr>
          <w:ilvl w:val="0"/>
          <w:numId w:val="16"/>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可持续影响：该项权重分7分，实际得分7分。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发放的33份调查问卷中，对调查问题4“您认为目前销售粮食是否容易?”的回答中，30人选择“是”，占比90.9%。对调查问题5“您是否愿意将粮油销售给洛阳市偃师区的粮油公司?”的回答中，31人选择“是”，占比93.9%。对调查问题7“您认为该项目能否保护农民种粮积极性?”的回答中，31人选择“能”，占比93.9%。</w:t>
      </w:r>
      <w:r>
        <w:rPr>
          <w:rFonts w:hint="eastAsia" w:ascii="宋体" w:hAnsi="宋体" w:eastAsia="宋体" w:cs="宋体"/>
          <w:sz w:val="28"/>
          <w:szCs w:val="28"/>
        </w:rPr>
        <w:t>根据评分细则，</w:t>
      </w:r>
      <w:r>
        <w:rPr>
          <w:rFonts w:hint="eastAsia" w:ascii="宋体" w:hAnsi="宋体" w:eastAsia="宋体" w:cs="宋体"/>
          <w:kern w:val="0"/>
          <w:sz w:val="28"/>
          <w:szCs w:val="28"/>
        </w:rPr>
        <w:t>该指标得7分。</w:t>
      </w:r>
    </w:p>
    <w:p>
      <w:pPr>
        <w:numPr>
          <w:ilvl w:val="0"/>
          <w:numId w:val="16"/>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运营、承储企业满意度：该项权重分为10分，实际得分8.7分。</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具体依据：发放的33份调查问卷中，对调查问题7“您对县级储备粮补贴项目满意吗?”的回答中，19人选择“非常满意”，9人选择满意，5人选择一般，根据</w:t>
      </w:r>
      <w:r>
        <w:rPr>
          <w:rFonts w:hint="eastAsia" w:ascii="宋体" w:hAnsi="宋体" w:eastAsia="宋体" w:cs="宋体"/>
          <w:sz w:val="28"/>
          <w:szCs w:val="28"/>
        </w:rPr>
        <w:t>评分细则，</w:t>
      </w:r>
      <w:r>
        <w:rPr>
          <w:rFonts w:hint="eastAsia" w:ascii="宋体" w:hAnsi="宋体" w:eastAsia="宋体" w:cs="宋体"/>
          <w:kern w:val="0"/>
          <w:sz w:val="28"/>
          <w:szCs w:val="28"/>
        </w:rPr>
        <w:t>该指标得8.7分。</w:t>
      </w:r>
    </w:p>
    <w:p>
      <w:pPr>
        <w:numPr>
          <w:ilvl w:val="0"/>
          <w:numId w:val="1"/>
        </w:numPr>
        <w:adjustRightInd w:val="0"/>
        <w:spacing w:line="58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主要经验及做法、存在的问题</w:t>
      </w:r>
    </w:p>
    <w:p>
      <w:pPr>
        <w:numPr>
          <w:ilvl w:val="0"/>
          <w:numId w:val="17"/>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主要经验及做法</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项目的实施，确保了县区储备粮数量真实、质量良好、储存安全、常储常新，做到了在急需时调得动、用得上，为保证区粮食市场供应和价格稳定，增强区粮食宏观调控能力，保障区粮食安全发挥了重要作用。</w:t>
      </w:r>
    </w:p>
    <w:p>
      <w:pPr>
        <w:adjustRightInd w:val="0"/>
        <w:spacing w:line="580" w:lineRule="exact"/>
        <w:ind w:firstLine="560" w:firstLineChars="200"/>
        <w:rPr>
          <w:rFonts w:ascii="宋体" w:hAnsi="宋体" w:eastAsia="宋体" w:cs="宋体"/>
          <w:b/>
          <w:bCs/>
          <w:kern w:val="0"/>
          <w:sz w:val="28"/>
          <w:szCs w:val="28"/>
        </w:rPr>
      </w:pPr>
      <w:r>
        <w:rPr>
          <w:rFonts w:hint="eastAsia" w:ascii="宋体" w:hAnsi="宋体" w:eastAsia="宋体" w:cs="宋体"/>
          <w:kern w:val="0"/>
          <w:sz w:val="28"/>
          <w:szCs w:val="28"/>
        </w:rPr>
        <w:t>同时，促进了种粮积极性，维护农业生态环境和社会稳定、经济发展，奠定了国家长治久安的生活和生产的物质基础。</w:t>
      </w:r>
    </w:p>
    <w:p>
      <w:pPr>
        <w:numPr>
          <w:ilvl w:val="0"/>
          <w:numId w:val="17"/>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存在的问题</w:t>
      </w:r>
    </w:p>
    <w:p>
      <w:pPr>
        <w:numPr>
          <w:ilvl w:val="0"/>
          <w:numId w:val="18"/>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委托其他企业仓储</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县级储备油承储企业为盛隆粮油450吨，2021年11月盛隆粮油与偃师市城关镇益嘉粮油商行签订为期一年的225吨委托承储合同。</w:t>
      </w:r>
    </w:p>
    <w:p>
      <w:pPr>
        <w:numPr>
          <w:ilvl w:val="0"/>
          <w:numId w:val="18"/>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部分补贴资金应补未补</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轮换和过程中形成的价差亏损及损失损耗应由区财政据实补贴，实际由承储企业承担。</w:t>
      </w:r>
    </w:p>
    <w:p>
      <w:pPr>
        <w:numPr>
          <w:ilvl w:val="0"/>
          <w:numId w:val="18"/>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资金拨付不及时</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2022年三四季度贷款利息费用，三四季度管理费用当年未拨付，跨年度执行。</w:t>
      </w:r>
    </w:p>
    <w:p>
      <w:pPr>
        <w:numPr>
          <w:ilvl w:val="0"/>
          <w:numId w:val="1"/>
        </w:numPr>
        <w:adjustRightInd w:val="0"/>
        <w:spacing w:line="58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有关建议</w:t>
      </w:r>
    </w:p>
    <w:p>
      <w:pPr>
        <w:numPr>
          <w:ilvl w:val="0"/>
          <w:numId w:val="19"/>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明确管理职责，杜绝委托代储</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进一步规范和加强区储备粮仓储管理，明晰储备粮油的管理职责，不委托其他企业代储，以保障调节区域内粮食供求,稳定粮食市场,及应对重大自然灾害或者其他突发事件等情况。</w:t>
      </w:r>
    </w:p>
    <w:p>
      <w:pPr>
        <w:numPr>
          <w:ilvl w:val="0"/>
          <w:numId w:val="19"/>
        </w:num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明确补贴范围，落实补贴资金</w:t>
      </w:r>
    </w:p>
    <w:p>
      <w:pPr>
        <w:adjustRightInd w:val="0"/>
        <w:spacing w:line="580" w:lineRule="exact"/>
        <w:ind w:firstLine="560" w:firstLineChars="200"/>
        <w:rPr>
          <w:rFonts w:ascii="宋体" w:hAnsi="宋体" w:eastAsia="宋体" w:cs="宋体"/>
          <w:kern w:val="0"/>
          <w:sz w:val="28"/>
          <w:szCs w:val="28"/>
        </w:rPr>
      </w:pPr>
      <w:r>
        <w:rPr>
          <w:rFonts w:hint="eastAsia" w:ascii="宋体" w:hAnsi="宋体" w:eastAsia="宋体" w:cs="宋体"/>
          <w:kern w:val="0"/>
          <w:sz w:val="28"/>
          <w:szCs w:val="28"/>
        </w:rPr>
        <w:t>加强地方储备粮油财政补贴资金管理，对于应当纳入财政性补贴范围的各项费用，应及时、足额依据管理办法严格执行。对于应由相关单位和人员承担的费用，明确依据、范围及相关责任并严格执行。</w:t>
      </w:r>
    </w:p>
    <w:p>
      <w:pPr>
        <w:numPr>
          <w:ilvl w:val="0"/>
          <w:numId w:val="1"/>
        </w:numPr>
        <w:adjustRightInd w:val="0"/>
        <w:spacing w:line="58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其他需要说明的问题</w:t>
      </w:r>
    </w:p>
    <w:p>
      <w:pPr>
        <w:adjustRightInd w:val="0"/>
        <w:spacing w:line="580" w:lineRule="exact"/>
        <w:ind w:left="420" w:leftChars="200"/>
        <w:rPr>
          <w:rFonts w:ascii="宋体" w:hAnsi="宋体" w:eastAsia="宋体" w:cs="宋体"/>
          <w:kern w:val="0"/>
          <w:sz w:val="28"/>
          <w:szCs w:val="28"/>
        </w:rPr>
      </w:pPr>
      <w:r>
        <w:rPr>
          <w:rFonts w:hint="eastAsia" w:ascii="宋体" w:hAnsi="宋体" w:eastAsia="宋体" w:cs="宋体"/>
          <w:kern w:val="0"/>
          <w:sz w:val="28"/>
          <w:szCs w:val="28"/>
        </w:rPr>
        <w:t>无。</w:t>
      </w:r>
    </w:p>
    <w:p>
      <w:pPr>
        <w:numPr>
          <w:ilvl w:val="0"/>
          <w:numId w:val="1"/>
        </w:numPr>
        <w:adjustRightInd w:val="0"/>
        <w:spacing w:line="580" w:lineRule="exact"/>
        <w:ind w:left="0" w:firstLine="562" w:firstLineChars="200"/>
        <w:rPr>
          <w:rFonts w:ascii="宋体" w:hAnsi="宋体" w:eastAsia="宋体" w:cs="宋体"/>
          <w:b/>
          <w:bCs/>
          <w:kern w:val="0"/>
          <w:sz w:val="28"/>
          <w:szCs w:val="28"/>
        </w:rPr>
      </w:pPr>
      <w:r>
        <w:rPr>
          <w:rFonts w:hint="eastAsia" w:ascii="宋体" w:hAnsi="宋体" w:eastAsia="宋体" w:cs="宋体"/>
          <w:b/>
          <w:bCs/>
          <w:kern w:val="0"/>
          <w:sz w:val="28"/>
          <w:szCs w:val="28"/>
        </w:rPr>
        <w:t>附件</w:t>
      </w:r>
    </w:p>
    <w:p>
      <w:pPr>
        <w:adjustRightInd w:val="0"/>
        <w:spacing w:line="580" w:lineRule="exact"/>
        <w:ind w:left="420" w:leftChars="200"/>
        <w:rPr>
          <w:rFonts w:ascii="宋体" w:hAnsi="宋体" w:eastAsia="宋体" w:cs="宋体"/>
          <w:kern w:val="0"/>
          <w:sz w:val="28"/>
          <w:szCs w:val="28"/>
        </w:rPr>
      </w:pPr>
      <w:r>
        <w:rPr>
          <w:rFonts w:hint="eastAsia" w:ascii="宋体" w:hAnsi="宋体" w:eastAsia="宋体" w:cs="宋体"/>
          <w:kern w:val="0"/>
          <w:sz w:val="28"/>
          <w:szCs w:val="28"/>
        </w:rPr>
        <w:t>附件1：洛阳市偃师区粮油储备项目绩效评价体系及评分表</w:t>
      </w:r>
    </w:p>
    <w:p>
      <w:pPr>
        <w:adjustRightInd w:val="0"/>
        <w:spacing w:line="560" w:lineRule="exact"/>
        <w:ind w:left="420" w:leftChars="200"/>
        <w:rPr>
          <w:rFonts w:ascii="宋体" w:hAnsi="宋体" w:eastAsia="宋体" w:cs="宋体"/>
          <w:kern w:val="0"/>
          <w:sz w:val="28"/>
          <w:szCs w:val="28"/>
        </w:rPr>
      </w:pPr>
    </w:p>
    <w:p>
      <w:pPr>
        <w:snapToGrid w:val="0"/>
        <w:spacing w:line="560" w:lineRule="exact"/>
        <w:rPr>
          <w:rFonts w:ascii="宋体" w:hAnsi="宋体" w:cs="宋体"/>
          <w:sz w:val="28"/>
          <w:szCs w:val="28"/>
        </w:rPr>
      </w:pPr>
    </w:p>
    <w:p>
      <w:pPr>
        <w:snapToGrid w:val="0"/>
        <w:spacing w:line="560" w:lineRule="exact"/>
        <w:rPr>
          <w:rFonts w:ascii="宋体" w:hAnsi="宋体" w:cs="宋体"/>
          <w:sz w:val="28"/>
          <w:szCs w:val="28"/>
        </w:rPr>
      </w:pPr>
      <w:r>
        <w:rPr>
          <w:rFonts w:hint="eastAsia" w:ascii="宋体" w:hAnsi="宋体" w:cs="宋体"/>
          <w:sz w:val="28"/>
          <w:szCs w:val="28"/>
        </w:rPr>
        <w:t>河南燎旺会计师事务所（普通合伙)         中国注册会计师：</w:t>
      </w:r>
    </w:p>
    <w:p>
      <w:pPr>
        <w:snapToGrid w:val="0"/>
        <w:spacing w:line="560" w:lineRule="exact"/>
        <w:rPr>
          <w:rFonts w:ascii="宋体" w:hAnsi="宋体" w:cs="宋体"/>
          <w:sz w:val="28"/>
          <w:szCs w:val="28"/>
        </w:rPr>
      </w:pPr>
    </w:p>
    <w:p>
      <w:pPr>
        <w:snapToGrid w:val="0"/>
        <w:spacing w:line="560" w:lineRule="exact"/>
        <w:ind w:firstLine="840" w:firstLineChars="300"/>
        <w:rPr>
          <w:rFonts w:ascii="宋体" w:hAnsi="宋体" w:cs="宋体"/>
          <w:sz w:val="28"/>
          <w:szCs w:val="28"/>
        </w:rPr>
      </w:pPr>
      <w:r>
        <w:rPr>
          <w:rFonts w:hint="eastAsia" w:ascii="宋体" w:hAnsi="宋体" w:cs="宋体"/>
          <w:sz w:val="28"/>
          <w:szCs w:val="28"/>
        </w:rPr>
        <w:t>中国·洛阳                        中国注册会计师：</w:t>
      </w:r>
    </w:p>
    <w:p>
      <w:pPr>
        <w:snapToGrid w:val="0"/>
        <w:spacing w:line="560" w:lineRule="exact"/>
        <w:rPr>
          <w:rFonts w:ascii="宋体" w:hAnsi="宋体" w:cs="宋体"/>
          <w:sz w:val="28"/>
          <w:szCs w:val="28"/>
        </w:rPr>
      </w:pPr>
    </w:p>
    <w:p>
      <w:pPr>
        <w:adjustRightInd w:val="0"/>
        <w:spacing w:line="560" w:lineRule="exact"/>
        <w:ind w:firstLine="560" w:firstLineChars="200"/>
        <w:jc w:val="center"/>
        <w:rPr>
          <w:rFonts w:ascii="宋体" w:hAnsi="宋体" w:eastAsia="宋体" w:cs="宋体"/>
          <w:kern w:val="21"/>
          <w:sz w:val="28"/>
          <w:szCs w:val="28"/>
        </w:rPr>
      </w:pPr>
      <w:r>
        <w:rPr>
          <w:rFonts w:hint="eastAsia" w:ascii="宋体" w:hAnsi="宋体" w:cs="宋体"/>
          <w:sz w:val="28"/>
          <w:szCs w:val="28"/>
        </w:rPr>
        <w:t xml:space="preserve">                          二〇二三年十二月二十</w:t>
      </w:r>
      <w:r>
        <w:rPr>
          <w:rFonts w:hint="eastAsia" w:ascii="宋体" w:hAnsi="宋体" w:cs="宋体"/>
          <w:sz w:val="28"/>
          <w:szCs w:val="28"/>
          <w:lang w:eastAsia="zh-CN"/>
        </w:rPr>
        <w:t>八</w:t>
      </w:r>
      <w:r>
        <w:rPr>
          <w:rFonts w:hint="eastAsia" w:ascii="宋体" w:hAnsi="宋体" w:cs="宋体"/>
          <w:sz w:val="28"/>
          <w:szCs w:val="28"/>
        </w:rPr>
        <w:t>日</w:t>
      </w:r>
    </w:p>
    <w:p>
      <w:pPr>
        <w:spacing w:line="560" w:lineRule="exact"/>
        <w:rPr>
          <w:rFonts w:ascii="宋体" w:hAnsi="宋体" w:eastAsia="宋体" w:cs="宋体"/>
          <w:kern w:val="0"/>
          <w:sz w:val="28"/>
          <w:szCs w:val="28"/>
        </w:rPr>
      </w:pPr>
    </w:p>
    <w:sectPr>
      <w:headerReference r:id="rId3" w:type="default"/>
      <w:footerReference r:id="rId4" w:type="default"/>
      <w:pgSz w:w="11906" w:h="16838"/>
      <w:pgMar w:top="1440" w:right="1463" w:bottom="1440" w:left="1463" w:header="107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double" w:color="auto" w:sz="4" w:space="1"/>
      </w:pBdr>
      <w:ind w:right="360"/>
      <w:jc w:val="both"/>
      <w:rPr>
        <w:szCs w:val="15"/>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Style w:val="9"/>
                            </w:rPr>
                          </w:pPr>
                          <w:r>
                            <w:fldChar w:fldCharType="begin"/>
                          </w:r>
                          <w:r>
                            <w:rPr>
                              <w:rStyle w:val="9"/>
                            </w:rPr>
                            <w:instrText xml:space="preserve">PAGE  </w:instrText>
                          </w:r>
                          <w:r>
                            <w:fldChar w:fldCharType="separate"/>
                          </w:r>
                          <w:r>
                            <w:rPr>
                              <w:rStyle w:val="9"/>
                            </w:rPr>
                            <w:t>17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TuusYBAACb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LZO66xgEAAJsDAAAOAAAAAAAAAAEAIAAAAB4BAABkcnMvZTJvRG9jLnht&#10;bFBLBQYAAAAABgAGAFkBAABWBQAAAAA=&#10;">
              <v:fill on="f" focussize="0,0"/>
              <v:stroke on="f"/>
              <v:imagedata o:title=""/>
              <o:lock v:ext="edit" aspectratio="f"/>
              <v:textbox inset="0mm,0mm,0mm,0mm" style="mso-fit-shape-to-text:t;">
                <w:txbxContent>
                  <w:p>
                    <w:pPr>
                      <w:pStyle w:val="4"/>
                      <w:rPr>
                        <w:rStyle w:val="9"/>
                      </w:rPr>
                    </w:pPr>
                    <w:r>
                      <w:fldChar w:fldCharType="begin"/>
                    </w:r>
                    <w:r>
                      <w:rPr>
                        <w:rStyle w:val="9"/>
                      </w:rPr>
                      <w:instrText xml:space="preserve">PAGE  </w:instrText>
                    </w:r>
                    <w:r>
                      <w:fldChar w:fldCharType="separate"/>
                    </w:r>
                    <w:r>
                      <w:rPr>
                        <w:rStyle w:val="9"/>
                      </w:rPr>
                      <w:t>17</w:t>
                    </w:r>
                    <w:r>
                      <w:fldChar w:fldCharType="end"/>
                    </w:r>
                  </w:p>
                </w:txbxContent>
              </v:textbox>
            </v:shape>
          </w:pict>
        </mc:Fallback>
      </mc:AlternateContent>
    </w:r>
    <w:r>
      <w:rPr>
        <w:rFonts w:hint="eastAsia"/>
        <w:szCs w:val="15"/>
      </w:rPr>
      <w:t xml:space="preserve"> 河南燎旺会计师事务所（普通合伙）</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double" w:color="auto" w:sz="8" w:space="1"/>
      </w:pBdr>
    </w:pPr>
    <w:r>
      <w:rPr>
        <w:rFonts w:hint="eastAsia" w:ascii="宋体"/>
        <w:iCs/>
      </w:rPr>
      <w:t>偃师区</w:t>
    </w:r>
    <w:r>
      <w:rPr>
        <w:rFonts w:hint="eastAsia"/>
      </w:rPr>
      <w:t>2022年度储备粮油专项资金绩效评价报告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871E2"/>
    <w:multiLevelType w:val="singleLevel"/>
    <w:tmpl w:val="989871E2"/>
    <w:lvl w:ilvl="0" w:tentative="0">
      <w:start w:val="1"/>
      <w:numFmt w:val="decimal"/>
      <w:suff w:val="nothing"/>
      <w:lvlText w:val="%1、"/>
      <w:lvlJc w:val="left"/>
    </w:lvl>
  </w:abstractNum>
  <w:abstractNum w:abstractNumId="1">
    <w:nsid w:val="A702CF27"/>
    <w:multiLevelType w:val="singleLevel"/>
    <w:tmpl w:val="A702CF27"/>
    <w:lvl w:ilvl="0" w:tentative="0">
      <w:start w:val="1"/>
      <w:numFmt w:val="decimal"/>
      <w:suff w:val="nothing"/>
      <w:lvlText w:val="%1、"/>
      <w:lvlJc w:val="left"/>
    </w:lvl>
  </w:abstractNum>
  <w:abstractNum w:abstractNumId="2">
    <w:nsid w:val="ABE89A98"/>
    <w:multiLevelType w:val="singleLevel"/>
    <w:tmpl w:val="ABE89A98"/>
    <w:lvl w:ilvl="0" w:tentative="0">
      <w:start w:val="1"/>
      <w:numFmt w:val="decimal"/>
      <w:suff w:val="nothing"/>
      <w:lvlText w:val="%1、"/>
      <w:lvlJc w:val="left"/>
    </w:lvl>
  </w:abstractNum>
  <w:abstractNum w:abstractNumId="3">
    <w:nsid w:val="AC0A4065"/>
    <w:multiLevelType w:val="singleLevel"/>
    <w:tmpl w:val="AC0A4065"/>
    <w:lvl w:ilvl="0" w:tentative="0">
      <w:start w:val="1"/>
      <w:numFmt w:val="decimal"/>
      <w:suff w:val="nothing"/>
      <w:lvlText w:val="%1、"/>
      <w:lvlJc w:val="left"/>
      <w:pPr>
        <w:ind w:left="240" w:firstLine="0"/>
      </w:pPr>
    </w:lvl>
  </w:abstractNum>
  <w:abstractNum w:abstractNumId="4">
    <w:nsid w:val="B43CC8F9"/>
    <w:multiLevelType w:val="singleLevel"/>
    <w:tmpl w:val="B43CC8F9"/>
    <w:lvl w:ilvl="0" w:tentative="0">
      <w:start w:val="1"/>
      <w:numFmt w:val="decimal"/>
      <w:suff w:val="nothing"/>
      <w:lvlText w:val="%1、"/>
      <w:lvlJc w:val="left"/>
    </w:lvl>
  </w:abstractNum>
  <w:abstractNum w:abstractNumId="5">
    <w:nsid w:val="BB83A846"/>
    <w:multiLevelType w:val="singleLevel"/>
    <w:tmpl w:val="BB83A846"/>
    <w:lvl w:ilvl="0" w:tentative="0">
      <w:start w:val="1"/>
      <w:numFmt w:val="decimal"/>
      <w:suff w:val="nothing"/>
      <w:lvlText w:val="%1、"/>
      <w:lvlJc w:val="left"/>
    </w:lvl>
  </w:abstractNum>
  <w:abstractNum w:abstractNumId="6">
    <w:nsid w:val="D806020D"/>
    <w:multiLevelType w:val="singleLevel"/>
    <w:tmpl w:val="D806020D"/>
    <w:lvl w:ilvl="0" w:tentative="0">
      <w:start w:val="2"/>
      <w:numFmt w:val="decimal"/>
      <w:suff w:val="nothing"/>
      <w:lvlText w:val="%1、"/>
      <w:lvlJc w:val="left"/>
    </w:lvl>
  </w:abstractNum>
  <w:abstractNum w:abstractNumId="7">
    <w:nsid w:val="D9B73A04"/>
    <w:multiLevelType w:val="singleLevel"/>
    <w:tmpl w:val="D9B73A04"/>
    <w:lvl w:ilvl="0" w:tentative="0">
      <w:start w:val="1"/>
      <w:numFmt w:val="chineseCounting"/>
      <w:suff w:val="nothing"/>
      <w:lvlText w:val="（%1）"/>
      <w:lvlJc w:val="left"/>
      <w:rPr>
        <w:rFonts w:hint="eastAsia"/>
      </w:rPr>
    </w:lvl>
  </w:abstractNum>
  <w:abstractNum w:abstractNumId="8">
    <w:nsid w:val="E5453E5B"/>
    <w:multiLevelType w:val="singleLevel"/>
    <w:tmpl w:val="E5453E5B"/>
    <w:lvl w:ilvl="0" w:tentative="0">
      <w:start w:val="1"/>
      <w:numFmt w:val="chineseCounting"/>
      <w:suff w:val="nothing"/>
      <w:lvlText w:val="（%1）"/>
      <w:lvlJc w:val="left"/>
      <w:rPr>
        <w:rFonts w:hint="eastAsia"/>
      </w:rPr>
    </w:lvl>
  </w:abstractNum>
  <w:abstractNum w:abstractNumId="9">
    <w:nsid w:val="EC1DB6BA"/>
    <w:multiLevelType w:val="singleLevel"/>
    <w:tmpl w:val="EC1DB6BA"/>
    <w:lvl w:ilvl="0" w:tentative="0">
      <w:start w:val="1"/>
      <w:numFmt w:val="chineseCounting"/>
      <w:suff w:val="nothing"/>
      <w:lvlText w:val="（%1）"/>
      <w:lvlJc w:val="left"/>
      <w:rPr>
        <w:rFonts w:hint="eastAsia"/>
        <w:b w:val="0"/>
        <w:bCs w:val="0"/>
      </w:rPr>
    </w:lvl>
  </w:abstractNum>
  <w:abstractNum w:abstractNumId="10">
    <w:nsid w:val="01D75A28"/>
    <w:multiLevelType w:val="singleLevel"/>
    <w:tmpl w:val="01D75A28"/>
    <w:lvl w:ilvl="0" w:tentative="0">
      <w:start w:val="1"/>
      <w:numFmt w:val="chineseCounting"/>
      <w:suff w:val="nothing"/>
      <w:lvlText w:val="%1、"/>
      <w:lvlJc w:val="left"/>
      <w:pPr>
        <w:ind w:left="720" w:firstLine="0"/>
      </w:pPr>
      <w:rPr>
        <w:rFonts w:hint="eastAsia"/>
      </w:rPr>
    </w:lvl>
  </w:abstractNum>
  <w:abstractNum w:abstractNumId="11">
    <w:nsid w:val="0788AB28"/>
    <w:multiLevelType w:val="singleLevel"/>
    <w:tmpl w:val="0788AB28"/>
    <w:lvl w:ilvl="0" w:tentative="0">
      <w:start w:val="1"/>
      <w:numFmt w:val="decimal"/>
      <w:suff w:val="nothing"/>
      <w:lvlText w:val="%1、"/>
      <w:lvlJc w:val="left"/>
    </w:lvl>
  </w:abstractNum>
  <w:abstractNum w:abstractNumId="12">
    <w:nsid w:val="0B719522"/>
    <w:multiLevelType w:val="singleLevel"/>
    <w:tmpl w:val="0B719522"/>
    <w:lvl w:ilvl="0" w:tentative="0">
      <w:start w:val="1"/>
      <w:numFmt w:val="chineseCounting"/>
      <w:suff w:val="nothing"/>
      <w:lvlText w:val="（%1）"/>
      <w:lvlJc w:val="left"/>
      <w:rPr>
        <w:rFonts w:hint="eastAsia"/>
      </w:rPr>
    </w:lvl>
  </w:abstractNum>
  <w:abstractNum w:abstractNumId="13">
    <w:nsid w:val="26516587"/>
    <w:multiLevelType w:val="singleLevel"/>
    <w:tmpl w:val="26516587"/>
    <w:lvl w:ilvl="0" w:tentative="0">
      <w:start w:val="1"/>
      <w:numFmt w:val="chineseCounting"/>
      <w:suff w:val="nothing"/>
      <w:lvlText w:val="（%1）"/>
      <w:lvlJc w:val="left"/>
      <w:pPr>
        <w:ind w:left="-2"/>
      </w:pPr>
      <w:rPr>
        <w:rFonts w:hint="eastAsia"/>
      </w:rPr>
    </w:lvl>
  </w:abstractNum>
  <w:abstractNum w:abstractNumId="14">
    <w:nsid w:val="355E2A03"/>
    <w:multiLevelType w:val="singleLevel"/>
    <w:tmpl w:val="355E2A03"/>
    <w:lvl w:ilvl="0" w:tentative="0">
      <w:start w:val="2"/>
      <w:numFmt w:val="chineseCounting"/>
      <w:suff w:val="nothing"/>
      <w:lvlText w:val="（%1）"/>
      <w:lvlJc w:val="left"/>
      <w:rPr>
        <w:rFonts w:hint="eastAsia"/>
      </w:rPr>
    </w:lvl>
  </w:abstractNum>
  <w:abstractNum w:abstractNumId="15">
    <w:nsid w:val="3D83B757"/>
    <w:multiLevelType w:val="singleLevel"/>
    <w:tmpl w:val="3D83B757"/>
    <w:lvl w:ilvl="0" w:tentative="0">
      <w:start w:val="1"/>
      <w:numFmt w:val="chineseCounting"/>
      <w:suff w:val="nothing"/>
      <w:lvlText w:val="（%1）"/>
      <w:lvlJc w:val="left"/>
      <w:rPr>
        <w:rFonts w:hint="eastAsia"/>
      </w:rPr>
    </w:lvl>
  </w:abstractNum>
  <w:abstractNum w:abstractNumId="16">
    <w:nsid w:val="4CFA782A"/>
    <w:multiLevelType w:val="singleLevel"/>
    <w:tmpl w:val="4CFA782A"/>
    <w:lvl w:ilvl="0" w:tentative="0">
      <w:start w:val="1"/>
      <w:numFmt w:val="decimal"/>
      <w:suff w:val="nothing"/>
      <w:lvlText w:val="%1、"/>
      <w:lvlJc w:val="left"/>
    </w:lvl>
  </w:abstractNum>
  <w:abstractNum w:abstractNumId="17">
    <w:nsid w:val="6307073C"/>
    <w:multiLevelType w:val="singleLevel"/>
    <w:tmpl w:val="6307073C"/>
    <w:lvl w:ilvl="0" w:tentative="0">
      <w:start w:val="2"/>
      <w:numFmt w:val="decimal"/>
      <w:suff w:val="nothing"/>
      <w:lvlText w:val="（%1）"/>
      <w:lvlJc w:val="left"/>
    </w:lvl>
  </w:abstractNum>
  <w:abstractNum w:abstractNumId="18">
    <w:nsid w:val="71DD0344"/>
    <w:multiLevelType w:val="singleLevel"/>
    <w:tmpl w:val="71DD0344"/>
    <w:lvl w:ilvl="0" w:tentative="0">
      <w:start w:val="1"/>
      <w:numFmt w:val="decimal"/>
      <w:suff w:val="nothing"/>
      <w:lvlText w:val="%1、"/>
      <w:lvlJc w:val="left"/>
    </w:lvl>
  </w:abstractNum>
  <w:num w:numId="1">
    <w:abstractNumId w:val="10"/>
  </w:num>
  <w:num w:numId="2">
    <w:abstractNumId w:val="9"/>
  </w:num>
  <w:num w:numId="3">
    <w:abstractNumId w:val="14"/>
  </w:num>
  <w:num w:numId="4">
    <w:abstractNumId w:val="6"/>
  </w:num>
  <w:num w:numId="5">
    <w:abstractNumId w:val="5"/>
  </w:num>
  <w:num w:numId="6">
    <w:abstractNumId w:val="13"/>
  </w:num>
  <w:num w:numId="7">
    <w:abstractNumId w:val="3"/>
  </w:num>
  <w:num w:numId="8">
    <w:abstractNumId w:val="1"/>
  </w:num>
  <w:num w:numId="9">
    <w:abstractNumId w:val="2"/>
  </w:num>
  <w:num w:numId="10">
    <w:abstractNumId w:val="15"/>
  </w:num>
  <w:num w:numId="11">
    <w:abstractNumId w:val="8"/>
  </w:num>
  <w:num w:numId="12">
    <w:abstractNumId w:val="4"/>
  </w:num>
  <w:num w:numId="13">
    <w:abstractNumId w:val="0"/>
  </w:num>
  <w:num w:numId="14">
    <w:abstractNumId w:val="17"/>
  </w:num>
  <w:num w:numId="15">
    <w:abstractNumId w:val="11"/>
  </w:num>
  <w:num w:numId="16">
    <w:abstractNumId w:val="16"/>
  </w:num>
  <w:num w:numId="17">
    <w:abstractNumId w:val="7"/>
  </w:num>
  <w:num w:numId="18">
    <w:abstractNumId w:val="1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MDUzNjhhOTYyNmMxMmZlN2UyMzAwZmZlMzAxYjUifQ=="/>
  </w:docVars>
  <w:rsids>
    <w:rsidRoot w:val="00C3682E"/>
    <w:rsid w:val="00085A9A"/>
    <w:rsid w:val="003A6AAC"/>
    <w:rsid w:val="004A1E40"/>
    <w:rsid w:val="00C075AA"/>
    <w:rsid w:val="00C3682E"/>
    <w:rsid w:val="00C672CE"/>
    <w:rsid w:val="00C67E14"/>
    <w:rsid w:val="00DB6412"/>
    <w:rsid w:val="00F31D1C"/>
    <w:rsid w:val="01BB15EC"/>
    <w:rsid w:val="02C501A8"/>
    <w:rsid w:val="04403E93"/>
    <w:rsid w:val="05B13426"/>
    <w:rsid w:val="05B72A07"/>
    <w:rsid w:val="06C21663"/>
    <w:rsid w:val="07D460CD"/>
    <w:rsid w:val="07D97ECC"/>
    <w:rsid w:val="0895702F"/>
    <w:rsid w:val="08A50077"/>
    <w:rsid w:val="0B9319D4"/>
    <w:rsid w:val="0C655A19"/>
    <w:rsid w:val="0CC53C98"/>
    <w:rsid w:val="0D41561E"/>
    <w:rsid w:val="0DAD6BC9"/>
    <w:rsid w:val="0DE620DB"/>
    <w:rsid w:val="0E1C2DAB"/>
    <w:rsid w:val="0E5A6FBC"/>
    <w:rsid w:val="10161884"/>
    <w:rsid w:val="10D465E5"/>
    <w:rsid w:val="123245E1"/>
    <w:rsid w:val="126857B5"/>
    <w:rsid w:val="130354DD"/>
    <w:rsid w:val="159159E8"/>
    <w:rsid w:val="16A26844"/>
    <w:rsid w:val="18075128"/>
    <w:rsid w:val="18452129"/>
    <w:rsid w:val="1973377C"/>
    <w:rsid w:val="1A787B9A"/>
    <w:rsid w:val="1D6849BD"/>
    <w:rsid w:val="1DEC57A6"/>
    <w:rsid w:val="1F0F5C0E"/>
    <w:rsid w:val="20A976C4"/>
    <w:rsid w:val="20B85662"/>
    <w:rsid w:val="230A1F70"/>
    <w:rsid w:val="23F944BF"/>
    <w:rsid w:val="24C50845"/>
    <w:rsid w:val="26431A21"/>
    <w:rsid w:val="26585C9B"/>
    <w:rsid w:val="27FB02CF"/>
    <w:rsid w:val="28253922"/>
    <w:rsid w:val="29F00112"/>
    <w:rsid w:val="2AE24D41"/>
    <w:rsid w:val="2B2A2AA9"/>
    <w:rsid w:val="2B5621F6"/>
    <w:rsid w:val="2BC52ED8"/>
    <w:rsid w:val="2CA9712B"/>
    <w:rsid w:val="2EC91D97"/>
    <w:rsid w:val="310425C2"/>
    <w:rsid w:val="317653A0"/>
    <w:rsid w:val="31FD6E43"/>
    <w:rsid w:val="35040F15"/>
    <w:rsid w:val="3724789B"/>
    <w:rsid w:val="37A91900"/>
    <w:rsid w:val="383B4C4E"/>
    <w:rsid w:val="395F6B34"/>
    <w:rsid w:val="3A2A0EE7"/>
    <w:rsid w:val="3AC25A70"/>
    <w:rsid w:val="3AD9074E"/>
    <w:rsid w:val="3AFB5B22"/>
    <w:rsid w:val="3B7D06D1"/>
    <w:rsid w:val="3EF26282"/>
    <w:rsid w:val="3F0640DC"/>
    <w:rsid w:val="3FAA090B"/>
    <w:rsid w:val="40093884"/>
    <w:rsid w:val="41AF401A"/>
    <w:rsid w:val="41FA16D6"/>
    <w:rsid w:val="42545C96"/>
    <w:rsid w:val="44A818BD"/>
    <w:rsid w:val="45C64599"/>
    <w:rsid w:val="462208B5"/>
    <w:rsid w:val="47E53083"/>
    <w:rsid w:val="47F63184"/>
    <w:rsid w:val="488570E6"/>
    <w:rsid w:val="4933371F"/>
    <w:rsid w:val="4BA537C9"/>
    <w:rsid w:val="4D357A66"/>
    <w:rsid w:val="4D9C5D37"/>
    <w:rsid w:val="4EDD2163"/>
    <w:rsid w:val="4FA7250F"/>
    <w:rsid w:val="4FB123EA"/>
    <w:rsid w:val="4FC13E1A"/>
    <w:rsid w:val="4FFF120E"/>
    <w:rsid w:val="506C636E"/>
    <w:rsid w:val="50CA2BBB"/>
    <w:rsid w:val="50E33E4A"/>
    <w:rsid w:val="52524894"/>
    <w:rsid w:val="53ED5E3B"/>
    <w:rsid w:val="56064695"/>
    <w:rsid w:val="5610622C"/>
    <w:rsid w:val="56F72230"/>
    <w:rsid w:val="58093FC9"/>
    <w:rsid w:val="5814115E"/>
    <w:rsid w:val="59757637"/>
    <w:rsid w:val="5997558A"/>
    <w:rsid w:val="59D2488F"/>
    <w:rsid w:val="5BA25CE6"/>
    <w:rsid w:val="5C2B7DB9"/>
    <w:rsid w:val="5CD526CC"/>
    <w:rsid w:val="5D0B2519"/>
    <w:rsid w:val="5DE37986"/>
    <w:rsid w:val="5E642C29"/>
    <w:rsid w:val="5E81506C"/>
    <w:rsid w:val="5FE377F5"/>
    <w:rsid w:val="60B62814"/>
    <w:rsid w:val="62A274F4"/>
    <w:rsid w:val="63514A76"/>
    <w:rsid w:val="642E74E2"/>
    <w:rsid w:val="649329CA"/>
    <w:rsid w:val="65546503"/>
    <w:rsid w:val="682269E1"/>
    <w:rsid w:val="694E3F32"/>
    <w:rsid w:val="696372B1"/>
    <w:rsid w:val="6B4D1282"/>
    <w:rsid w:val="6BD6020E"/>
    <w:rsid w:val="6C060B62"/>
    <w:rsid w:val="6C3A254B"/>
    <w:rsid w:val="6C77379F"/>
    <w:rsid w:val="6CDC3602"/>
    <w:rsid w:val="6E0760EF"/>
    <w:rsid w:val="6E697457"/>
    <w:rsid w:val="6F235519"/>
    <w:rsid w:val="711E1809"/>
    <w:rsid w:val="718A0CF2"/>
    <w:rsid w:val="724E5251"/>
    <w:rsid w:val="72DA6836"/>
    <w:rsid w:val="72F82419"/>
    <w:rsid w:val="74020E8F"/>
    <w:rsid w:val="76F46004"/>
    <w:rsid w:val="77935205"/>
    <w:rsid w:val="77FC0D3A"/>
    <w:rsid w:val="7838111A"/>
    <w:rsid w:val="789D458E"/>
    <w:rsid w:val="78A33979"/>
    <w:rsid w:val="793547C6"/>
    <w:rsid w:val="79DE14A6"/>
    <w:rsid w:val="7A8552D9"/>
    <w:rsid w:val="7B0C1557"/>
    <w:rsid w:val="7BE147B2"/>
    <w:rsid w:val="7C287C52"/>
    <w:rsid w:val="7CD752C8"/>
    <w:rsid w:val="7DE71E07"/>
    <w:rsid w:val="7DFA26CE"/>
    <w:rsid w:val="7E906E3D"/>
    <w:rsid w:val="7ECC4EC0"/>
    <w:rsid w:val="7EE840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alloon Text"/>
    <w:basedOn w:val="1"/>
    <w:link w:val="17"/>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pPr>
      <w:spacing w:beforeAutospacing="1" w:afterAutospacing="1"/>
      <w:jc w:val="left"/>
    </w:pPr>
    <w:rPr>
      <w:rFonts w:cs="Times New Roman"/>
      <w:kern w:val="0"/>
      <w:sz w:val="24"/>
    </w:rPr>
  </w:style>
  <w:style w:type="character" w:styleId="9">
    <w:name w:val="page number"/>
    <w:basedOn w:val="8"/>
    <w:autoRedefine/>
    <w:qFormat/>
    <w:uiPriority w:val="0"/>
  </w:style>
  <w:style w:type="character" w:styleId="10">
    <w:name w:val="annotation reference"/>
    <w:basedOn w:val="8"/>
    <w:uiPriority w:val="0"/>
    <w:rPr>
      <w:sz w:val="21"/>
      <w:szCs w:val="21"/>
    </w:rPr>
  </w:style>
  <w:style w:type="character" w:customStyle="1" w:styleId="11">
    <w:name w:val="font41"/>
    <w:basedOn w:val="8"/>
    <w:autoRedefine/>
    <w:qFormat/>
    <w:uiPriority w:val="0"/>
    <w:rPr>
      <w:rFonts w:hint="eastAsia" w:ascii="宋体" w:hAnsi="宋体" w:eastAsia="宋体" w:cs="宋体"/>
      <w:color w:val="000000"/>
      <w:sz w:val="24"/>
      <w:szCs w:val="24"/>
      <w:u w:val="none"/>
    </w:rPr>
  </w:style>
  <w:style w:type="character" w:customStyle="1" w:styleId="12">
    <w:name w:val="font31"/>
    <w:basedOn w:val="8"/>
    <w:autoRedefine/>
    <w:qFormat/>
    <w:uiPriority w:val="0"/>
    <w:rPr>
      <w:rFonts w:ascii="Calibri" w:hAnsi="Calibri" w:cs="Calibri"/>
      <w:color w:val="000000"/>
      <w:sz w:val="24"/>
      <w:szCs w:val="24"/>
      <w:u w:val="none"/>
    </w:rPr>
  </w:style>
  <w:style w:type="character" w:customStyle="1" w:styleId="13">
    <w:name w:val="font51"/>
    <w:basedOn w:val="8"/>
    <w:autoRedefine/>
    <w:qFormat/>
    <w:uiPriority w:val="0"/>
    <w:rPr>
      <w:rFonts w:hint="eastAsia" w:ascii="宋体" w:hAnsi="宋体" w:eastAsia="宋体" w:cs="宋体"/>
      <w:color w:val="000000"/>
      <w:sz w:val="24"/>
      <w:szCs w:val="24"/>
      <w:u w:val="none"/>
    </w:rPr>
  </w:style>
  <w:style w:type="character" w:customStyle="1" w:styleId="14">
    <w:name w:val="font61"/>
    <w:basedOn w:val="8"/>
    <w:autoRedefine/>
    <w:qFormat/>
    <w:uiPriority w:val="0"/>
    <w:rPr>
      <w:rFonts w:hint="default" w:ascii="Calibri" w:hAnsi="Calibri" w:cs="Calibri"/>
      <w:color w:val="000000"/>
      <w:sz w:val="24"/>
      <w:szCs w:val="24"/>
      <w:u w:val="none"/>
    </w:rPr>
  </w:style>
  <w:style w:type="character" w:customStyle="1" w:styleId="15">
    <w:name w:val="font11"/>
    <w:basedOn w:val="8"/>
    <w:autoRedefine/>
    <w:qFormat/>
    <w:uiPriority w:val="0"/>
    <w:rPr>
      <w:rFonts w:hint="eastAsia" w:ascii="宋体" w:hAnsi="宋体" w:eastAsia="宋体" w:cs="宋体"/>
      <w:color w:val="000000"/>
      <w:sz w:val="20"/>
      <w:szCs w:val="20"/>
      <w:u w:val="none"/>
    </w:rPr>
  </w:style>
  <w:style w:type="character" w:customStyle="1" w:styleId="16">
    <w:name w:val="font71"/>
    <w:basedOn w:val="8"/>
    <w:autoRedefine/>
    <w:qFormat/>
    <w:uiPriority w:val="0"/>
    <w:rPr>
      <w:rFonts w:hint="eastAsia" w:ascii="宋体" w:hAnsi="宋体" w:eastAsia="宋体" w:cs="宋体"/>
      <w:color w:val="000000"/>
      <w:sz w:val="20"/>
      <w:szCs w:val="20"/>
      <w:u w:val="none"/>
    </w:rPr>
  </w:style>
  <w:style w:type="character" w:customStyle="1" w:styleId="17">
    <w:name w:val="批注框文本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17</Pages>
  <Words>9311</Words>
  <Characters>642</Characters>
  <Lines>5</Lines>
  <Paragraphs>19</Paragraphs>
  <TotalTime>24</TotalTime>
  <ScaleCrop>false</ScaleCrop>
  <LinksUpToDate>false</LinksUpToDate>
  <CharactersWithSpaces>9934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2024-01-25T08:34:00Z</dcterms:created>
  <dc:creator>Administrator.PC-202201121600</dc:creator>
  <cp:lastModifiedBy>74201</cp:lastModifiedBy>
  <cp:lastPrinted>2023-01-30T02:30:00Z</cp:lastPrinted>
  <dcterms:modified xsi:type="dcterms:W3CDTF">2024-04-08T01:17:40Z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8E246EB4290E42B696FF10211DF6272D_13</vt:lpwstr>
  </property>
</Properties>
</file>