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6"/>
          <w:szCs w:val="36"/>
          <w:lang w:val="en-US" w:eastAsia="zh-CN"/>
        </w:rPr>
        <w:t>2023年偃师区农业农村领域行政执法情况公示</w:t>
      </w:r>
      <w:bookmarkStart w:id="0" w:name="_GoBack"/>
      <w:bookmarkEnd w:id="0"/>
    </w:p>
    <w:p>
      <w:pPr>
        <w:jc w:val="center"/>
        <w:rPr>
          <w:rFonts w:hint="eastAsia" w:asciiTheme="majorEastAsia" w:hAnsiTheme="majorEastAsia" w:eastAsiaTheme="majorEastAsia" w:cstheme="majorEastAsia"/>
          <w:b/>
          <w:bCs/>
          <w:sz w:val="32"/>
          <w:szCs w:val="32"/>
          <w:lang w:val="en-US" w:eastAsia="zh-CN"/>
        </w:rPr>
      </w:pPr>
    </w:p>
    <w:tbl>
      <w:tblPr>
        <w:tblStyle w:val="3"/>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1420"/>
        <w:gridCol w:w="1420"/>
        <w:gridCol w:w="1420"/>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违法事实</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处罚依据</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行政相对人名称</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处罚决定日期</w:t>
            </w:r>
          </w:p>
        </w:tc>
        <w:tc>
          <w:tcPr>
            <w:tcW w:w="286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未取得限用农药经营许可证，经营限用农药</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《农药管理条例》第五十五条</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偃师市顾县镇兴农种子经销部</w:t>
            </w:r>
          </w:p>
        </w:tc>
        <w:tc>
          <w:tcPr>
            <w:tcW w:w="1420" w:type="dxa"/>
          </w:tcPr>
          <w:p>
            <w:pPr>
              <w:keepNext w:val="0"/>
              <w:keepLines w:val="0"/>
              <w:widowControl/>
              <w:suppressLineNumbers w:val="0"/>
              <w:jc w:val="left"/>
            </w:pPr>
            <w:r>
              <w:rPr>
                <w:rFonts w:ascii="宋体" w:hAnsi="宋体" w:eastAsia="宋体" w:cs="宋体"/>
                <w:kern w:val="0"/>
                <w:sz w:val="24"/>
                <w:szCs w:val="24"/>
                <w:lang w:val="en-US" w:eastAsia="zh-CN" w:bidi="ar"/>
              </w:rPr>
              <w:t>2023年12月18日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p>
        </w:tc>
        <w:tc>
          <w:tcPr>
            <w:tcW w:w="2869" w:type="dxa"/>
          </w:tcPr>
          <w:p>
            <w:pPr>
              <w:keepNext w:val="0"/>
              <w:keepLines w:val="0"/>
              <w:widowControl/>
              <w:suppressLineNumbers w:val="0"/>
              <w:jc w:val="left"/>
            </w:pPr>
            <w:r>
              <w:rPr>
                <w:rFonts w:ascii="宋体" w:hAnsi="宋体" w:eastAsia="宋体" w:cs="宋体"/>
                <w:kern w:val="0"/>
                <w:sz w:val="24"/>
                <w:szCs w:val="24"/>
                <w:lang w:val="en-US" w:eastAsia="zh-CN" w:bidi="ar"/>
              </w:rPr>
              <w:t xml:space="preserve">没收违法所得人民币240元整 </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处以罚款人民币5000元整。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销售假农药</w:t>
            </w:r>
          </w:p>
        </w:tc>
        <w:tc>
          <w:tcPr>
            <w:tcW w:w="1420" w:type="dxa"/>
          </w:tcPr>
          <w:p>
            <w:pPr>
              <w:keepNext w:val="0"/>
              <w:keepLines w:val="0"/>
              <w:widowControl/>
              <w:suppressLineNumbers w:val="0"/>
              <w:jc w:val="left"/>
            </w:pPr>
            <w:r>
              <w:rPr>
                <w:rFonts w:ascii="宋体" w:hAnsi="宋体" w:eastAsia="宋体" w:cs="宋体"/>
                <w:kern w:val="0"/>
                <w:sz w:val="24"/>
                <w:szCs w:val="24"/>
                <w:lang w:val="en-US" w:eastAsia="zh-CN" w:bidi="ar"/>
              </w:rPr>
              <w:t>《农药管理条例》第四十四条</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偃师市槐新街道办事处万丰种子经营部</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2023年9月26日</w:t>
            </w:r>
          </w:p>
        </w:tc>
        <w:tc>
          <w:tcPr>
            <w:tcW w:w="286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没收违法所得共计人民币680元整</w:t>
            </w:r>
            <w:r>
              <w:rPr>
                <w:rFonts w:hint="eastAsia" w:ascii="宋体" w:hAnsi="宋体" w:eastAsia="宋体" w:cs="宋体"/>
                <w:sz w:val="24"/>
                <w:szCs w:val="24"/>
                <w:lang w:val="en-US" w:eastAsia="zh-CN"/>
              </w:rPr>
              <w:t>；</w:t>
            </w:r>
            <w:r>
              <w:rPr>
                <w:rFonts w:ascii="宋体" w:hAnsi="宋体" w:eastAsia="宋体" w:cs="宋体"/>
                <w:sz w:val="24"/>
                <w:szCs w:val="24"/>
              </w:rPr>
              <w:t xml:space="preserve"> 处以罚款人民币5000元整。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该公司销售的霸王标识的电热蝇香液农药名称与农药登记证的农药名称不一致，包装和标签不符合规定。</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《农药管理条例》第二十八条</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洛阳一达商贸有限公司</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2023-8-16</w:t>
            </w:r>
          </w:p>
        </w:tc>
        <w:tc>
          <w:tcPr>
            <w:tcW w:w="286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 xml:space="preserve">没收违法所得人民币 1862 元整 </w:t>
            </w:r>
            <w:r>
              <w:rPr>
                <w:rFonts w:hint="eastAsia" w:ascii="宋体" w:hAnsi="宋体" w:eastAsia="宋体" w:cs="宋体"/>
                <w:sz w:val="24"/>
                <w:szCs w:val="24"/>
                <w:lang w:val="en-US" w:eastAsia="zh-CN"/>
              </w:rPr>
              <w:t>；</w:t>
            </w:r>
            <w:r>
              <w:rPr>
                <w:rFonts w:ascii="宋体" w:hAnsi="宋体" w:eastAsia="宋体" w:cs="宋体"/>
                <w:sz w:val="24"/>
                <w:szCs w:val="24"/>
              </w:rPr>
              <w:t>罚款人民币5000元整。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无兽药经营许可证经营兽用生物制品</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《兽药管理条例》第72条、《兽用生物制品经营管理办法》第七条</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偃师市伊洛街道办事处泰之美宠物诊所</w:t>
            </w:r>
          </w:p>
        </w:tc>
        <w:tc>
          <w:tcPr>
            <w:tcW w:w="1420" w:type="dxa"/>
          </w:tcPr>
          <w:p>
            <w:pPr>
              <w:keepNext w:val="0"/>
              <w:keepLines w:val="0"/>
              <w:widowControl/>
              <w:suppressLineNumbers w:val="0"/>
              <w:jc w:val="left"/>
            </w:pPr>
            <w:r>
              <w:rPr>
                <w:rFonts w:ascii="宋体" w:hAnsi="宋体" w:eastAsia="宋体" w:cs="宋体"/>
                <w:kern w:val="0"/>
                <w:sz w:val="24"/>
                <w:szCs w:val="24"/>
                <w:lang w:val="en-US" w:eastAsia="zh-CN" w:bidi="ar"/>
              </w:rPr>
              <w:t>2023-08-02</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p>
        </w:tc>
        <w:tc>
          <w:tcPr>
            <w:tcW w:w="286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没收违法所得240元，罚款1280元。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widowControl/>
              <w:suppressLineNumbers w:val="0"/>
              <w:jc w:val="left"/>
            </w:pPr>
            <w:r>
              <w:rPr>
                <w:rFonts w:ascii="宋体" w:hAnsi="宋体" w:eastAsia="宋体" w:cs="宋体"/>
                <w:kern w:val="0"/>
                <w:sz w:val="24"/>
                <w:szCs w:val="24"/>
                <w:lang w:val="en-US" w:eastAsia="zh-CN" w:bidi="ar"/>
              </w:rPr>
              <w:t>该公司生产的批号为20220530混合型饲料添加剂液态苦艾提取物（I）型（兔爸爸皮癣专家），因产品标签标示有治疗动物疾病的功效，以非兽药冒充兽药，属于假兽药。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《兽药管理条例》第十八条，第五十六条第一款</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洛阳牧野药业有限公司</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2023-07-18</w:t>
            </w:r>
          </w:p>
        </w:tc>
        <w:tc>
          <w:tcPr>
            <w:tcW w:w="286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.没收违法所得：壹佰叁拾伍元整【135元（30瓶×4.5元）】； 2.执行2倍罚款：玖佰元整【900元（100×4.5元×2倍）】； 合计：壹仟零叁拾伍元整（1035元）。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未取得动物诊疗许可证从事动物诊疗活动</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《中华人民共和国动物防疫法》第62条，第105条。</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偃师市岳滩镇惠民兽药经营部</w:t>
            </w:r>
          </w:p>
        </w:tc>
        <w:tc>
          <w:tcPr>
            <w:tcW w:w="1420" w:type="dxa"/>
          </w:tcPr>
          <w:p>
            <w:pPr>
              <w:keepNext w:val="0"/>
              <w:keepLines w:val="0"/>
              <w:widowControl/>
              <w:suppressLineNumbers w:val="0"/>
              <w:jc w:val="left"/>
            </w:pPr>
            <w:r>
              <w:rPr>
                <w:rFonts w:ascii="宋体" w:hAnsi="宋体" w:eastAsia="宋体" w:cs="宋体"/>
                <w:kern w:val="0"/>
                <w:sz w:val="24"/>
                <w:szCs w:val="24"/>
                <w:lang w:val="en-US" w:eastAsia="zh-CN" w:bidi="ar"/>
              </w:rPr>
              <w:t>2023-06-02</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p>
        </w:tc>
        <w:tc>
          <w:tcPr>
            <w:tcW w:w="2869" w:type="dxa"/>
          </w:tcPr>
          <w:p>
            <w:pPr>
              <w:keepNext w:val="0"/>
              <w:keepLines w:val="0"/>
              <w:widowControl/>
              <w:suppressLineNumbers w:val="0"/>
              <w:jc w:val="left"/>
            </w:pPr>
            <w:r>
              <w:rPr>
                <w:rFonts w:ascii="宋体" w:hAnsi="宋体" w:eastAsia="宋体" w:cs="宋体"/>
                <w:kern w:val="0"/>
                <w:sz w:val="24"/>
                <w:szCs w:val="24"/>
                <w:lang w:val="en-US" w:eastAsia="zh-CN" w:bidi="ar"/>
              </w:rPr>
              <w:t>没收违法所得10元，罚款3000元。</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r>
              <w:rPr>
                <w:rFonts w:ascii="宋体" w:hAnsi="宋体" w:eastAsia="宋体" w:cs="宋体"/>
                <w:sz w:val="24"/>
                <w:szCs w:val="24"/>
              </w:rPr>
              <w:t>种植的葱检验结论为不合格</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r>
              <w:rPr>
                <w:rFonts w:ascii="宋体" w:hAnsi="宋体" w:eastAsia="宋体" w:cs="宋体"/>
                <w:sz w:val="24"/>
                <w:szCs w:val="24"/>
              </w:rPr>
              <w:t>《中华人民共和国农产品质量安全法》第二十九条 、》第七十条</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r>
              <w:rPr>
                <w:rFonts w:ascii="宋体" w:hAnsi="宋体" w:eastAsia="宋体" w:cs="宋体"/>
                <w:sz w:val="24"/>
                <w:szCs w:val="24"/>
              </w:rPr>
              <w:t>师东亮</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2023-11-01</w:t>
            </w:r>
          </w:p>
        </w:tc>
        <w:tc>
          <w:tcPr>
            <w:tcW w:w="286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1.责令立即停止该违法生产行为。2.罚款人民币1000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r>
              <w:rPr>
                <w:rFonts w:ascii="宋体" w:hAnsi="宋体" w:eastAsia="宋体" w:cs="宋体"/>
                <w:sz w:val="24"/>
                <w:szCs w:val="24"/>
              </w:rPr>
              <w:t>销售农药残留不符合农产品质量安全标准的农产品（韭菜）</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r>
              <w:rPr>
                <w:rFonts w:ascii="宋体" w:hAnsi="宋体" w:eastAsia="宋体" w:cs="宋体"/>
                <w:sz w:val="24"/>
                <w:szCs w:val="24"/>
              </w:rPr>
              <w:t>《中华人民共和国农产品质量安全法》第三十六条，第七十一条。</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r>
              <w:rPr>
                <w:rFonts w:ascii="宋体" w:hAnsi="宋体" w:eastAsia="宋体" w:cs="宋体"/>
                <w:sz w:val="24"/>
                <w:szCs w:val="24"/>
              </w:rPr>
              <w:t>曲华中</w:t>
            </w:r>
          </w:p>
        </w:tc>
        <w:tc>
          <w:tcPr>
            <w:tcW w:w="1420"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28"/>
                <w:szCs w:val="28"/>
                <w:vertAlign w:val="baseline"/>
                <w:lang w:val="en-US" w:eastAsia="zh-CN"/>
              </w:rPr>
            </w:pPr>
            <w:r>
              <w:rPr>
                <w:rFonts w:ascii="宋体" w:hAnsi="宋体" w:eastAsia="宋体" w:cs="宋体"/>
                <w:sz w:val="24"/>
                <w:szCs w:val="24"/>
              </w:rPr>
              <w:t>2023年8月1日</w:t>
            </w:r>
          </w:p>
        </w:tc>
        <w:tc>
          <w:tcPr>
            <w:tcW w:w="2869" w:type="dxa"/>
          </w:tcPr>
          <w:p>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asciiTheme="minorEastAsia" w:hAnsiTheme="minorEastAsia" w:cstheme="minorEastAsia"/>
                <w:sz w:val="28"/>
                <w:szCs w:val="28"/>
                <w:vertAlign w:val="baseline"/>
                <w:lang w:val="en-US" w:eastAsia="zh-CN"/>
              </w:rPr>
            </w:pPr>
            <w:r>
              <w:rPr>
                <w:rFonts w:ascii="宋体" w:hAnsi="宋体" w:eastAsia="宋体" w:cs="宋体"/>
                <w:sz w:val="24"/>
                <w:szCs w:val="24"/>
              </w:rPr>
              <w:t xml:space="preserve">没收违法所得人民币 59.5 元整 </w:t>
            </w:r>
            <w:r>
              <w:rPr>
                <w:rFonts w:hint="eastAsia" w:ascii="宋体" w:hAnsi="宋体" w:eastAsia="宋体" w:cs="宋体"/>
                <w:sz w:val="24"/>
                <w:szCs w:val="24"/>
                <w:lang w:val="en-US" w:eastAsia="zh-CN"/>
              </w:rPr>
              <w:t>；</w:t>
            </w:r>
            <w:r>
              <w:rPr>
                <w:rFonts w:ascii="宋体" w:hAnsi="宋体" w:eastAsia="宋体" w:cs="宋体"/>
                <w:sz w:val="24"/>
                <w:szCs w:val="24"/>
              </w:rPr>
              <w:t>罚款人民币500元整</w:t>
            </w:r>
            <w:r>
              <w:rPr>
                <w:rFonts w:hint="eastAsia" w:ascii="宋体" w:hAnsi="宋体" w:eastAsia="宋体" w:cs="宋体"/>
                <w:sz w:val="24"/>
                <w:szCs w:val="24"/>
                <w:lang w:eastAsia="zh-CN"/>
              </w:rPr>
              <w:t>。</w:t>
            </w:r>
          </w:p>
        </w:tc>
      </w:tr>
    </w:tbl>
    <w:p>
      <w:pPr>
        <w:keepNext w:val="0"/>
        <w:keepLines w:val="0"/>
        <w:pageBreakBefore w:val="0"/>
        <w:widowControl w:val="0"/>
        <w:kinsoku/>
        <w:wordWrap/>
        <w:overflowPunct/>
        <w:topLinePunct w:val="0"/>
        <w:autoSpaceDE/>
        <w:autoSpaceDN/>
        <w:bidi w:val="0"/>
        <w:adjustRightInd/>
        <w:snapToGrid/>
        <w:ind w:firstLine="5600" w:firstLineChars="20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0" w:firstLineChars="20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0" w:firstLineChars="20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0" w:firstLineChars="20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0" w:firstLineChars="2000"/>
        <w:jc w:val="both"/>
        <w:textAlignment w:val="auto"/>
        <w:rPr>
          <w:rFonts w:hint="default"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jc5ZWYyODJkODkxNDViZDM1ZWNhNzAwNDhlM2EifQ=="/>
  </w:docVars>
  <w:rsids>
    <w:rsidRoot w:val="00000000"/>
    <w:rsid w:val="12AD7339"/>
    <w:rsid w:val="2CFD1B58"/>
    <w:rsid w:val="7FF4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264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2024-04-11T02:52:00Z</dcterms:created>
  <dc:creator>Lenovo</dc:creator>
  <cp:lastModifiedBy>梁庆波</cp:lastModifiedBy>
  <cp:lastPrinted>2024-04-11T03:31:09Z</cp:lastPrinted>
  <dcterms:modified xsi:type="dcterms:W3CDTF">2024-04-11T07:25:56Z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82156808516F44C7A95194C40BA36537_13</vt:lpwstr>
  </property>
</Properties>
</file>