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200"/>
        <w:rPr>
          <w:rFonts w:ascii="黑体" w:hAnsi="黑体" w:eastAsia="黑体"/>
          <w:sz w:val="48"/>
          <w:szCs w:val="48"/>
        </w:rPr>
      </w:pPr>
      <w:r>
        <w:rPr>
          <w:rFonts w:hint="eastAsia" w:ascii="黑体" w:hAnsi="黑体" w:eastAsia="黑体"/>
          <w:sz w:val="48"/>
          <w:szCs w:val="48"/>
        </w:rPr>
        <w:t>洛阳市偃师区市场监督管理局</w:t>
      </w:r>
    </w:p>
    <w:p>
      <w:pPr>
        <w:ind w:firstLine="2400" w:firstLineChars="500"/>
        <w:rPr>
          <w:rFonts w:ascii="黑体" w:hAnsi="黑体" w:eastAsia="黑体"/>
          <w:sz w:val="48"/>
          <w:szCs w:val="48"/>
        </w:rPr>
      </w:pPr>
      <w:r>
        <w:rPr>
          <w:rFonts w:hint="eastAsia" w:ascii="黑体" w:hAnsi="黑体" w:eastAsia="黑体"/>
          <w:sz w:val="48"/>
          <w:szCs w:val="48"/>
        </w:rPr>
        <w:t>行政处罚决定书</w:t>
      </w:r>
    </w:p>
    <w:p>
      <w:pPr>
        <w:ind w:firstLine="2100" w:firstLineChars="700"/>
        <w:rPr>
          <w:rFonts w:ascii="宋体" w:hAnsi="宋体" w:eastAsia="宋体"/>
          <w:sz w:val="30"/>
          <w:szCs w:val="30"/>
        </w:rPr>
      </w:pPr>
      <w:r>
        <w:rPr>
          <w:rFonts w:hint="eastAsia" w:ascii="宋体" w:hAnsi="宋体" w:eastAsia="宋体"/>
          <w:sz w:val="30"/>
          <w:szCs w:val="30"/>
        </w:rPr>
        <w:t>偃市监处罚〔</w:t>
      </w:r>
      <w:r>
        <w:rPr>
          <w:rFonts w:ascii="宋体" w:hAnsi="宋体" w:eastAsia="宋体"/>
          <w:sz w:val="30"/>
          <w:szCs w:val="30"/>
        </w:rPr>
        <w:t>2024〕2023202号</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当事人：洛阳市水云涧保健服务有限公司</w:t>
      </w:r>
    </w:p>
    <w:p>
      <w:pPr>
        <w:spacing w:line="600" w:lineRule="exact"/>
        <w:rPr>
          <w:rFonts w:ascii="仿宋" w:hAnsi="仿宋" w:eastAsia="仿宋"/>
          <w:sz w:val="32"/>
          <w:szCs w:val="32"/>
        </w:rPr>
      </w:pPr>
      <w:r>
        <w:rPr>
          <w:rFonts w:hint="eastAsia" w:ascii="仿宋" w:hAnsi="仿宋" w:eastAsia="仿宋"/>
          <w:sz w:val="32"/>
          <w:szCs w:val="32"/>
        </w:rPr>
        <w:t>主体资格证照名称：营业执照</w:t>
      </w:r>
    </w:p>
    <w:p>
      <w:pPr>
        <w:spacing w:line="600" w:lineRule="exact"/>
        <w:rPr>
          <w:rFonts w:ascii="仿宋" w:hAnsi="仿宋" w:eastAsia="仿宋"/>
          <w:sz w:val="32"/>
          <w:szCs w:val="32"/>
        </w:rPr>
      </w:pPr>
      <w:r>
        <w:rPr>
          <w:rFonts w:hint="eastAsia" w:ascii="仿宋" w:hAnsi="仿宋" w:eastAsia="仿宋"/>
          <w:sz w:val="32"/>
          <w:szCs w:val="32"/>
        </w:rPr>
        <w:t>统一社会信用代码：</w:t>
      </w:r>
      <w:r>
        <w:rPr>
          <w:rFonts w:ascii="仿宋" w:hAnsi="仿宋" w:eastAsia="仿宋"/>
          <w:sz w:val="32"/>
          <w:szCs w:val="32"/>
        </w:rPr>
        <w:t>91410307MA9KRWC029</w:t>
      </w:r>
    </w:p>
    <w:p>
      <w:pPr>
        <w:spacing w:line="600" w:lineRule="exact"/>
        <w:rPr>
          <w:rFonts w:ascii="仿宋" w:hAnsi="仿宋" w:eastAsia="仿宋"/>
          <w:sz w:val="32"/>
          <w:szCs w:val="32"/>
        </w:rPr>
      </w:pPr>
      <w:r>
        <w:rPr>
          <w:rFonts w:hint="eastAsia" w:ascii="仿宋" w:hAnsi="仿宋" w:eastAsia="仿宋"/>
          <w:sz w:val="32"/>
          <w:szCs w:val="32"/>
        </w:rPr>
        <w:t>住所</w:t>
      </w:r>
      <w:r>
        <w:rPr>
          <w:rFonts w:hint="eastAsia" w:ascii="仿宋" w:hAnsi="仿宋" w:eastAsia="仿宋"/>
          <w:spacing w:val="-20"/>
          <w:sz w:val="32"/>
          <w:szCs w:val="32"/>
        </w:rPr>
        <w:t>：河南省</w:t>
      </w:r>
      <w:r>
        <w:rPr>
          <w:rFonts w:hint="eastAsia" w:ascii="仿宋" w:hAnsi="仿宋" w:eastAsia="仿宋"/>
          <w:sz w:val="32"/>
          <w:szCs w:val="32"/>
        </w:rPr>
        <w:t>洛阳市偃师区槐新街道洛神花园北院二楼中部</w:t>
      </w:r>
      <w:r>
        <w:rPr>
          <w:rFonts w:ascii="仿宋" w:hAnsi="仿宋" w:eastAsia="仿宋"/>
          <w:sz w:val="32"/>
          <w:szCs w:val="32"/>
        </w:rPr>
        <w:t xml:space="preserve"> </w:t>
      </w:r>
    </w:p>
    <w:p>
      <w:pPr>
        <w:spacing w:line="600" w:lineRule="exact"/>
        <w:rPr>
          <w:rFonts w:ascii="仿宋" w:hAnsi="仿宋" w:eastAsia="仿宋"/>
          <w:sz w:val="32"/>
          <w:szCs w:val="32"/>
        </w:rPr>
      </w:pPr>
      <w:r>
        <w:rPr>
          <w:rFonts w:hint="eastAsia" w:ascii="仿宋" w:hAnsi="仿宋" w:eastAsia="仿宋"/>
          <w:sz w:val="32"/>
          <w:szCs w:val="32"/>
        </w:rPr>
        <w:t>法定代表人：柴杰</w:t>
      </w:r>
    </w:p>
    <w:p>
      <w:pPr>
        <w:spacing w:line="600" w:lineRule="exact"/>
        <w:ind w:firstLine="640" w:firstLineChars="200"/>
        <w:rPr>
          <w:rFonts w:ascii="仿宋" w:hAnsi="仿宋" w:eastAsia="仿宋"/>
          <w:sz w:val="32"/>
          <w:szCs w:val="32"/>
        </w:rPr>
      </w:pPr>
      <w:r>
        <w:rPr>
          <w:rFonts w:ascii="仿宋" w:hAnsi="仿宋" w:eastAsia="仿宋"/>
          <w:sz w:val="32"/>
          <w:szCs w:val="32"/>
        </w:rPr>
        <w:t>2023年12月26日，我局接洛阳市偃师区平安建设工作领导小组办公室工作函，该函显示当事人于2020年11月至2023年11月，在经营期间，连续三次因存在卖淫、嫖娼行为被区公安分局责令停业整顿并处罚款。为进一步查清事实，我局执法人员同日对当事人立案，并通过现场检查、询问当事人、调取相关证据等方式进行了案件调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经查：当事人接手洛阳悠然足道有限责任公司生意后，于</w:t>
      </w:r>
      <w:r>
        <w:rPr>
          <w:rFonts w:ascii="仿宋" w:hAnsi="仿宋" w:eastAsia="仿宋"/>
          <w:sz w:val="32"/>
          <w:szCs w:val="32"/>
        </w:rPr>
        <w:t>2022年2月21日办理营业执照。洛阳悠然足道有限责任公司于2020年及2021年因存在卖淫、嫖娼行为被公安机关行政处罚并停业整顿，行政处罚决定书文号分别为：1.偃师市公安局行政处罚决定书（偃公（镇）行罚决字{2020}1206号、2.偃师市公安局行政处罚决定书（偃公（镇）行罚决字{2021}1949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我局查询洛阳悠然足道有限责任公司登记情况：名称：洛阳悠然足道有限责任公司；统一社会信用代码：</w:t>
      </w:r>
      <w:r>
        <w:rPr>
          <w:rFonts w:ascii="仿宋" w:hAnsi="仿宋" w:eastAsia="仿宋"/>
          <w:sz w:val="32"/>
          <w:szCs w:val="32"/>
        </w:rPr>
        <w:t>91410381MA47EW9E65；企业类型：有限责任公司；法定代表人：黄培培；成立日期2019年09月24日；经营状态：注销；核准日期：2022年04月08日；住所：河南省洛阳市偃师市槐新街道办事处洛神花园临街楼2楼；经营范围：足浴、保健按摩服务。并查询到当事人法定代表人柴杰为原洛阳悠然足道有限责任公司监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当事人法定代表人曾任原洛阳悠然足道有限责任公司监事，应当知道原洛阳悠然足道有限责任公司被公安机关停业整顿及罚款情况。</w:t>
      </w:r>
    </w:p>
    <w:p>
      <w:pPr>
        <w:spacing w:line="600" w:lineRule="exact"/>
        <w:ind w:firstLine="640" w:firstLineChars="200"/>
        <w:rPr>
          <w:rFonts w:ascii="仿宋" w:hAnsi="仿宋" w:eastAsia="仿宋"/>
          <w:sz w:val="32"/>
          <w:szCs w:val="32"/>
        </w:rPr>
      </w:pPr>
      <w:r>
        <w:rPr>
          <w:rFonts w:ascii="仿宋" w:hAnsi="仿宋" w:eastAsia="仿宋"/>
          <w:sz w:val="32"/>
          <w:szCs w:val="32"/>
        </w:rPr>
        <w:t>2023年11月30日，当事人又因存在卖淫、嫖娼行为受到洛阳市公安局偃师分局槐新所行政处罚，行政处罚决定书文号：（偃公（槐）行罚决字{2023}2378号，处罚内容为：对洛阳市水云涧保健服务有限公司责令停业整顿十五日，并处罚款伍万元处罚。其后被公安机关贴封条停业十五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上述事实，主要有以下证据证明：</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1.当事人营业执照复印件，证明当事人主体经营资格情况；                                                </w:t>
      </w:r>
    </w:p>
    <w:p>
      <w:pPr>
        <w:spacing w:line="600" w:lineRule="exact"/>
        <w:ind w:firstLine="640" w:firstLineChars="200"/>
        <w:rPr>
          <w:rFonts w:ascii="仿宋" w:hAnsi="仿宋" w:eastAsia="仿宋"/>
          <w:sz w:val="32"/>
          <w:szCs w:val="32"/>
        </w:rPr>
      </w:pPr>
      <w:r>
        <w:rPr>
          <w:rFonts w:ascii="仿宋" w:hAnsi="仿宋" w:eastAsia="仿宋"/>
          <w:sz w:val="32"/>
          <w:szCs w:val="32"/>
        </w:rPr>
        <w:t>2.现场笔录，证明我局执法人员现场检查的情况；</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3.询问笔录，证明当事人和洛阳悠然足道有限责任公司被公安机关处罚的事实；    </w:t>
      </w:r>
    </w:p>
    <w:p>
      <w:pPr>
        <w:spacing w:line="600" w:lineRule="exact"/>
        <w:ind w:firstLine="640" w:firstLineChars="200"/>
        <w:rPr>
          <w:rFonts w:ascii="仿宋" w:hAnsi="仿宋" w:eastAsia="仿宋"/>
          <w:sz w:val="32"/>
          <w:szCs w:val="32"/>
        </w:rPr>
      </w:pPr>
      <w:r>
        <w:rPr>
          <w:rFonts w:ascii="仿宋" w:hAnsi="仿宋" w:eastAsia="仿宋"/>
          <w:sz w:val="32"/>
          <w:szCs w:val="32"/>
        </w:rPr>
        <w:t>4.洛阳市偃师区平安建设工作领导小组办公室工作函及附件，证明当事人和洛阳悠然足道有限责任公司受到行政处罚情况，及建议我局吊销营业执照情况；</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5.河南省市场监督管理局综合业务系统查询页面及公司登记（备案）申请书，证明当事人及洛阳悠然足道有限责任公司的登记情况。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当事人上述行为违反了《全国人民代表大会常务委员会关于严禁卖淫嫖娼的决定（</w:t>
      </w:r>
      <w:r>
        <w:rPr>
          <w:rFonts w:ascii="仿宋" w:hAnsi="仿宋" w:eastAsia="仿宋"/>
          <w:sz w:val="32"/>
          <w:szCs w:val="32"/>
        </w:rPr>
        <w:t>2009年修正本）》“七、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之规定。</w:t>
      </w:r>
    </w:p>
    <w:p>
      <w:pPr>
        <w:spacing w:line="600" w:lineRule="exact"/>
        <w:ind w:firstLine="640" w:firstLineChars="200"/>
        <w:rPr>
          <w:rFonts w:ascii="仿宋" w:hAnsi="仿宋" w:eastAsia="仿宋"/>
          <w:sz w:val="32"/>
          <w:szCs w:val="32"/>
        </w:rPr>
      </w:pPr>
      <w:r>
        <w:rPr>
          <w:rFonts w:ascii="仿宋" w:hAnsi="仿宋" w:eastAsia="仿宋"/>
          <w:sz w:val="32"/>
          <w:szCs w:val="32"/>
        </w:rPr>
        <w:t>2024年1月31日，我局向当事人送达偃市监罚告〔2024〕2023202号《行政处罚告知书》，告知当事人我局拟做出行政处罚决定的事实、理由、依据、内容以及当事人依法享有的陈述、申辩权，并可以要求听证。当事人在法定期限内未要求举行听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依据《全国人民代表大会常务委员会关于严禁卖淫嫖娼的决定（</w:t>
      </w:r>
      <w:r>
        <w:rPr>
          <w:rFonts w:ascii="仿宋" w:hAnsi="仿宋" w:eastAsia="仿宋"/>
          <w:sz w:val="32"/>
          <w:szCs w:val="32"/>
        </w:rPr>
        <w:t>2009年修正本）》“七、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之规定。经我局研究，决定吊销洛阳市水云涧保健服务有限公司的营业执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如不服本处罚决定，可自接文之日起六十日内向洛阳市偃师区人民政府申请复议，也可于接文之日起六个月内向洛阳市偃师区人民法院提起诉讼。如果需要通过互联网渠道申请行政复议，可以通过行政复议服务平台（</w:t>
      </w:r>
      <w:r>
        <w:rPr>
          <w:rFonts w:ascii="仿宋" w:hAnsi="仿宋" w:eastAsia="仿宋"/>
          <w:sz w:val="32"/>
          <w:szCs w:val="32"/>
        </w:rPr>
        <w:t>https://xzfy.moj.gov.cn/）网站提交申请。</w:t>
      </w:r>
      <w:r>
        <w:rPr>
          <w:rFonts w:hint="eastAsia" w:ascii="仿宋" w:hAnsi="仿宋" w:eastAsia="仿宋"/>
          <w:sz w:val="32"/>
          <w:szCs w:val="32"/>
        </w:rPr>
        <w:t>行政复议或者行政诉讼期间，本行政处罚决定不停止执行。</w:t>
      </w:r>
    </w:p>
    <w:p>
      <w:pPr>
        <w:spacing w:line="600" w:lineRule="exact"/>
        <w:rPr>
          <w:rFonts w:hint="eastAsia" w:ascii="仿宋" w:hAnsi="仿宋" w:eastAsia="仿宋"/>
          <w:sz w:val="32"/>
          <w:szCs w:val="32"/>
        </w:rPr>
      </w:pPr>
      <w:bookmarkStart w:id="0" w:name="_GoBack"/>
      <w:bookmarkEnd w:id="0"/>
    </w:p>
    <w:p>
      <w:pPr>
        <w:spacing w:line="600" w:lineRule="exact"/>
        <w:rPr>
          <w:rFonts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2880" w:firstLineChars="900"/>
        <w:rPr>
          <w:rFonts w:ascii="仿宋" w:hAnsi="仿宋" w:eastAsia="仿宋"/>
          <w:sz w:val="32"/>
          <w:szCs w:val="32"/>
        </w:rPr>
      </w:pPr>
      <w:r>
        <w:rPr>
          <w:rFonts w:hint="eastAsia" w:ascii="仿宋" w:hAnsi="仿宋" w:eastAsia="仿宋"/>
          <w:sz w:val="32"/>
          <w:szCs w:val="32"/>
        </w:rPr>
        <w:t>洛阳市偃师区市场监督管理局</w:t>
      </w:r>
    </w:p>
    <w:p>
      <w:pPr>
        <w:spacing w:line="600" w:lineRule="exact"/>
        <w:rPr>
          <w:rFonts w:ascii="仿宋" w:hAnsi="仿宋" w:eastAsia="仿宋"/>
          <w:sz w:val="32"/>
          <w:szCs w:val="32"/>
        </w:rPr>
      </w:pPr>
      <w:r>
        <w:rPr>
          <w:rFonts w:ascii="仿宋" w:hAnsi="仿宋" w:eastAsia="仿宋"/>
          <w:sz w:val="32"/>
          <w:szCs w:val="32"/>
        </w:rPr>
        <w:t xml:space="preserve">                       </w:t>
      </w:r>
    </w:p>
    <w:p>
      <w:pPr>
        <w:spacing w:line="6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2024年</w:t>
      </w:r>
      <w:r>
        <w:rPr>
          <w:rFonts w:hint="eastAsia" w:ascii="仿宋" w:hAnsi="仿宋" w:eastAsia="仿宋"/>
          <w:sz w:val="32"/>
          <w:szCs w:val="32"/>
        </w:rPr>
        <w:t>4</w:t>
      </w:r>
      <w:r>
        <w:rPr>
          <w:rFonts w:ascii="仿宋" w:hAnsi="仿宋" w:eastAsia="仿宋"/>
          <w:sz w:val="32"/>
          <w:szCs w:val="32"/>
        </w:rPr>
        <w:t>月</w:t>
      </w:r>
      <w:r>
        <w:rPr>
          <w:rFonts w:hint="eastAsia" w:ascii="仿宋" w:hAnsi="仿宋" w:eastAsia="仿宋"/>
          <w:sz w:val="32"/>
          <w:szCs w:val="32"/>
        </w:rPr>
        <w:t>9</w:t>
      </w:r>
      <w:r>
        <w:rPr>
          <w:rFonts w:ascii="仿宋" w:hAnsi="仿宋" w:eastAsia="仿宋"/>
          <w:sz w:val="32"/>
          <w:szCs w:val="32"/>
        </w:rPr>
        <w:t>日</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pStyle w:val="2"/>
        <w:tabs>
          <w:tab w:val="left" w:pos="8400"/>
          <w:tab w:val="left" w:pos="9072"/>
        </w:tabs>
        <w:spacing w:line="580" w:lineRule="exact"/>
        <w:ind w:right="-92" w:rightChars="-44" w:firstLine="640" w:firstLineChars="200"/>
        <w:jc w:val="both"/>
        <w:rPr>
          <w:rFonts w:ascii="仿宋" w:hAnsi="仿宋" w:eastAsia="仿宋" w:cs="仿宋"/>
          <w:color w:val="000000"/>
        </w:rPr>
      </w:pPr>
    </w:p>
    <w:p>
      <w:pPr>
        <w:pStyle w:val="2"/>
        <w:tabs>
          <w:tab w:val="left" w:pos="9072"/>
        </w:tabs>
        <w:spacing w:line="580" w:lineRule="exact"/>
        <w:ind w:right="-197" w:rightChars="-94"/>
        <w:jc w:val="both"/>
        <w:rPr>
          <w:rFonts w:ascii="宋体" w:hAnsi="宋体" w:eastAsia="宋体" w:cs="仿宋"/>
          <w:bCs/>
          <w:color w:val="000000"/>
          <w:sz w:val="30"/>
          <w:szCs w:val="30"/>
        </w:rPr>
      </w:pPr>
      <w:r>
        <w:rPr>
          <w:rFonts w:hint="eastAsia" w:ascii="宋体" w:hAnsi="宋体" w:eastAsia="宋体"/>
          <w:color w:val="231F20"/>
          <w:spacing w:val="-16"/>
          <w:sz w:val="30"/>
          <w:szCs w:val="30"/>
        </w:rPr>
        <w:t>（</w:t>
      </w:r>
      <w:r>
        <w:rPr>
          <w:rFonts w:hint="eastAsia" w:ascii="宋体" w:hAnsi="宋体" w:eastAsia="宋体"/>
          <w:color w:val="231F20"/>
          <w:sz w:val="30"/>
          <w:szCs w:val="30"/>
        </w:rPr>
        <w:t>市场监督管理部门将依法向社会公开行政处罚决定信息</w:t>
      </w:r>
      <w:r>
        <w:rPr>
          <w:rFonts w:hint="eastAsia" w:ascii="宋体" w:hAnsi="宋体" w:eastAsia="宋体"/>
          <w:color w:val="231F20"/>
          <w:spacing w:val="-16"/>
          <w:sz w:val="30"/>
          <w:szCs w:val="30"/>
        </w:rPr>
        <w:t>）</w:t>
      </w:r>
    </w:p>
    <w:p>
      <w:pPr>
        <w:spacing w:line="600" w:lineRule="exact"/>
        <w:ind w:left="105" w:leftChars="50"/>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4445</wp:posOffset>
                </wp:positionV>
                <wp:extent cx="5029200" cy="16510"/>
                <wp:effectExtent l="0" t="0" r="0" b="2540"/>
                <wp:wrapNone/>
                <wp:docPr id="1065349273" name="直接连接符 2"/>
                <wp:cNvGraphicFramePr/>
                <a:graphic xmlns:a="http://schemas.openxmlformats.org/drawingml/2006/main">
                  <a:graphicData uri="http://schemas.microsoft.com/office/word/2010/wordprocessingShape">
                    <wps:wsp>
                      <wps:cNvCnPr/>
                      <wps:spPr>
                        <a:xfrm flipV="1">
                          <a:off x="0" y="0"/>
                          <a:ext cx="5029200" cy="1651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flip:y;margin-left:4.35pt;margin-top:0.35pt;height:1.3pt;width:396pt;z-index:251659264;mso-width-relative:page;mso-height-relative:page;" filled="f" stroked="t" coordsize="21600,21600" o:gfxdata="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2W3p0gAAAAQBAAAPAAAAAAAAAAEAIAAAACIAAABkcnMvZG93&#10;bnJldi54bWxQSwECFAAUAAAACACHTuJAWtR9+gYCAAD+AwAADgAAAAAAAAABACAAAAAhAQAAZHJz&#10;L2Uyb0RvYy54bWxQSwUGAAAAAAYABgBZAQAAmQUAAAAA&#10;">
                <v:fill on="f" focussize="0,0"/>
                <v:stroke weight="1.25pt" color="#000000" joinstyle="round"/>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19050" t="19050" r="9525" b="17780"/>
                <wp:wrapNone/>
                <wp:docPr id="974450682"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zkdcAAAAKAQAADwAAAAAAAAABACAAAAAiAAAAZHJzL2Rvd25yZXYu&#10;eG1sUEsBAhQAFAAAAAgAh07iQL/mwe78AQAA7wMAAA4AAAAAAAAAAQAgAAAAJgEAAGRycy9lMm9E&#10;b2MueG1sUEsFBgAAAAAGAAYAWQEAAJQFAAAAAA==&#10;">
                <v:fill on="f" focussize="0,0"/>
                <v:stroke weight="0.737007874015748pt" color="#000000" joinstyle="round" endcap="square"/>
                <v:imagedata o:title=""/>
                <o:lock v:ext="edit" aspectratio="f"/>
              </v:line>
            </w:pict>
          </mc:Fallback>
        </mc:AlternateContent>
      </w:r>
      <w:r>
        <w:rPr>
          <w:rFonts w:hint="eastAsia" w:ascii="宋体" w:hAnsi="宋体" w:eastAsia="宋体" w:cs="仿宋"/>
          <w:color w:val="000000"/>
          <w:sz w:val="30"/>
          <w:szCs w:val="30"/>
        </w:rPr>
        <w:t>本文书一式</w:t>
      </w:r>
      <w:r>
        <w:rPr>
          <w:rFonts w:hint="eastAsia" w:ascii="宋体" w:hAnsi="宋体" w:eastAsia="宋体" w:cs="仿宋"/>
          <w:color w:val="000000"/>
          <w:sz w:val="30"/>
          <w:szCs w:val="30"/>
          <w:u w:val="single"/>
        </w:rPr>
        <w:t>三</w:t>
      </w:r>
      <w:r>
        <w:rPr>
          <w:rFonts w:hint="eastAsia" w:ascii="宋体" w:hAnsi="宋体" w:eastAsia="宋体" w:cs="仿宋"/>
          <w:color w:val="000000"/>
          <w:sz w:val="30"/>
          <w:szCs w:val="30"/>
        </w:rPr>
        <w:t>份，</w:t>
      </w:r>
      <w:r>
        <w:rPr>
          <w:rFonts w:hint="eastAsia" w:ascii="宋体" w:hAnsi="宋体" w:eastAsia="宋体" w:cs="仿宋"/>
          <w:color w:val="000000"/>
          <w:sz w:val="30"/>
          <w:szCs w:val="30"/>
          <w:u w:val="single"/>
        </w:rPr>
        <w:t>一</w:t>
      </w:r>
      <w:r>
        <w:rPr>
          <w:rFonts w:hint="eastAsia" w:ascii="宋体" w:hAnsi="宋体" w:eastAsia="宋体" w:cs="仿宋"/>
          <w:color w:val="000000"/>
          <w:sz w:val="30"/>
          <w:szCs w:val="30"/>
        </w:rPr>
        <w:t>份送达，</w:t>
      </w:r>
      <w:r>
        <w:rPr>
          <w:rFonts w:hint="eastAsia" w:ascii="宋体" w:hAnsi="宋体" w:eastAsia="宋体" w:cs="仿宋"/>
          <w:color w:val="000000"/>
          <w:sz w:val="30"/>
          <w:szCs w:val="30"/>
          <w:u w:val="single"/>
        </w:rPr>
        <w:t>一</w:t>
      </w:r>
      <w:r>
        <w:rPr>
          <w:rFonts w:hint="eastAsia" w:ascii="宋体" w:hAnsi="宋体" w:eastAsia="宋体" w:cs="仿宋"/>
          <w:color w:val="000000"/>
          <w:sz w:val="30"/>
          <w:szCs w:val="30"/>
        </w:rPr>
        <w:t>份归档，</w:t>
      </w:r>
      <w:r>
        <w:rPr>
          <w:rFonts w:hint="eastAsia" w:ascii="宋体" w:hAnsi="宋体" w:eastAsia="宋体" w:cs="仿宋"/>
          <w:color w:val="000000"/>
          <w:sz w:val="30"/>
          <w:szCs w:val="30"/>
          <w:u w:val="single"/>
        </w:rPr>
        <w:t>一</w:t>
      </w:r>
      <w:r>
        <w:rPr>
          <w:rFonts w:hint="eastAsia" w:ascii="宋体" w:hAnsi="宋体" w:eastAsia="宋体" w:cs="仿宋"/>
          <w:color w:val="000000"/>
          <w:sz w:val="30"/>
          <w:szCs w:val="30"/>
        </w:rPr>
        <w:t>份办案机构留存。</w:t>
      </w:r>
    </w:p>
    <w:sectPr>
      <w:footerReference r:id="rId3" w:type="default"/>
      <w:pgSz w:w="11906" w:h="16838"/>
      <w:pgMar w:top="1440" w:right="1800" w:bottom="1440" w:left="1800" w:header="720" w:footer="720"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239944"/>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kNzdiMWY1ZWU2ZWU3NmE4ZTUxNGRmYWVhMzdjNDQifQ=="/>
  </w:docVars>
  <w:rsids>
    <w:rsidRoot w:val="00D80ED4"/>
    <w:rsid w:val="00223040"/>
    <w:rsid w:val="002605B3"/>
    <w:rsid w:val="005E69B8"/>
    <w:rsid w:val="006941FC"/>
    <w:rsid w:val="00BC4241"/>
    <w:rsid w:val="00C87805"/>
    <w:rsid w:val="00D80ED4"/>
    <w:rsid w:val="00FC51C2"/>
    <w:rsid w:val="20C718F8"/>
    <w:rsid w:val="242149F9"/>
    <w:rsid w:val="33784CD4"/>
    <w:rsid w:val="51E04BDE"/>
    <w:rsid w:val="7B5F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1"/>
    <w:pPr>
      <w:autoSpaceDE w:val="0"/>
      <w:autoSpaceDN w:val="0"/>
      <w:adjustRightInd w:val="0"/>
      <w:jc w:val="left"/>
    </w:pPr>
    <w:rPr>
      <w:rFonts w:ascii="Arial Unicode MS" w:hAnsi="Times New Roman" w:eastAsia="Arial Unicode MS" w:cs="Times New Roman"/>
      <w:kern w:val="0"/>
      <w:sz w:val="32"/>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uiPriority w:val="1"/>
    <w:rPr>
      <w:rFonts w:ascii="Arial Unicode MS" w:hAnsi="Times New Roman" w:eastAsia="Arial Unicode MS" w:cs="Times New Roman"/>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1750</Words>
  <Characters>1927</Characters>
  <Lines>14</Lines>
  <Paragraphs>4</Paragraphs>
  <TotalTime>0</TotalTime>
  <ScaleCrop>false</ScaleCrop>
  <LinksUpToDate>false</LinksUpToDate>
  <CharactersWithSpaces>2023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2024-04-09T01:52:00Z</dcterms:created>
  <dc:creator>zhe wang</dc:creator>
  <cp:lastModifiedBy>王建清</cp:lastModifiedBy>
  <dcterms:modified xsi:type="dcterms:W3CDTF">2024-05-30T09:00:01Z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8E36E67F9749455B97C76F536E910C20_13</vt:lpwstr>
  </property>
</Properties>
</file>