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1259"/>
        </w:tabs>
        <w:spacing w:line="600" w:lineRule="exact"/>
        <w:ind w:firstLine="1920" w:firstLineChars="400"/>
        <w:jc w:val="both"/>
        <w:rPr>
          <w:rFonts w:ascii="黑体" w:hAnsi="黑体" w:eastAsia="黑体" w:cs="宋体"/>
          <w:sz w:val="48"/>
          <w:szCs w:val="48"/>
          <w:lang w:eastAsia="zh-CN"/>
        </w:rPr>
      </w:pPr>
      <w:r>
        <w:rPr>
          <w:rFonts w:hint="eastAsia" w:ascii="黑体" w:hAnsi="黑体" w:eastAsia="黑体" w:cs="宋体"/>
          <w:color w:val="231F20"/>
          <w:sz w:val="48"/>
          <w:szCs w:val="48"/>
          <w:lang w:eastAsia="zh-CN"/>
        </w:rPr>
        <w:t>洛阳市偃师区市场监督管理局</w:t>
      </w:r>
    </w:p>
    <w:p>
      <w:pPr>
        <w:spacing w:line="600" w:lineRule="exact"/>
        <w:ind w:firstLine="3360" w:firstLineChars="700"/>
        <w:jc w:val="both"/>
        <w:rPr>
          <w:rFonts w:ascii="黑体" w:hAnsi="黑体" w:eastAsia="黑体" w:cs="宋体"/>
          <w:sz w:val="48"/>
          <w:szCs w:val="48"/>
          <w:lang w:eastAsia="zh-CN"/>
        </w:rPr>
      </w:pPr>
      <w:r>
        <w:rPr>
          <w:rFonts w:hint="eastAsia" w:ascii="黑体" w:hAnsi="黑体" w:eastAsia="黑体" w:cs="宋体"/>
          <w:color w:val="231F20"/>
          <w:sz w:val="48"/>
          <w:szCs w:val="48"/>
          <w:lang w:eastAsia="zh-CN"/>
        </w:rPr>
        <w:t>行政处罚决定书</w:t>
      </w:r>
    </w:p>
    <w:p>
      <w:pPr>
        <w:pStyle w:val="5"/>
        <w:tabs>
          <w:tab w:val="left" w:pos="319"/>
          <w:tab w:val="left" w:pos="1486"/>
          <w:tab w:val="left" w:pos="2353"/>
          <w:tab w:val="left" w:pos="3199"/>
        </w:tabs>
        <w:spacing w:line="600" w:lineRule="exact"/>
        <w:ind w:firstLine="3000" w:firstLineChars="1000"/>
        <w:jc w:val="both"/>
        <w:rPr>
          <w:rFonts w:ascii="仿宋" w:hAnsi="仿宋" w:eastAsia="仿宋" w:cs="仿宋"/>
          <w:lang w:eastAsia="zh-CN"/>
        </w:rPr>
      </w:pPr>
      <w:r>
        <w:rPr>
          <w:rFonts w:hint="eastAsia" w:ascii="宋体" w:hAnsi="宋体" w:eastAsia="宋体" w:cs="仿宋_GB2312"/>
          <w:color w:val="231F20"/>
          <w:sz w:val="30"/>
          <w:szCs w:val="30"/>
          <w:lang w:eastAsia="zh-CN"/>
        </w:rPr>
        <w:t>偃市监处罚〔202</w:t>
      </w:r>
      <w:r>
        <w:rPr>
          <w:rFonts w:ascii="宋体" w:hAnsi="宋体" w:eastAsia="宋体" w:cs="仿宋_GB2312"/>
          <w:color w:val="231F20"/>
          <w:sz w:val="30"/>
          <w:szCs w:val="30"/>
          <w:lang w:eastAsia="zh-CN"/>
        </w:rPr>
        <w:t>4</w:t>
      </w:r>
      <w:r>
        <w:rPr>
          <w:rFonts w:hint="eastAsia" w:ascii="宋体" w:hAnsi="宋体" w:eastAsia="宋体" w:cs="仿宋_GB2312"/>
          <w:color w:val="231F20"/>
          <w:sz w:val="30"/>
          <w:szCs w:val="30"/>
          <w:lang w:eastAsia="zh-CN"/>
        </w:rPr>
        <w:t>〕31号</w:t>
      </w:r>
    </w:p>
    <w:p>
      <w:pPr>
        <w:pStyle w:val="5"/>
        <w:tabs>
          <w:tab w:val="left" w:pos="4440"/>
          <w:tab w:val="left" w:pos="8920"/>
        </w:tabs>
        <w:spacing w:line="600" w:lineRule="exact"/>
        <w:ind w:left="0" w:right="118"/>
        <w:jc w:val="both"/>
        <w:rPr>
          <w:rFonts w:ascii="仿宋" w:hAnsi="仿宋" w:eastAsia="仿宋" w:cs="仿宋"/>
          <w:color w:val="231F20"/>
          <w:lang w:eastAsia="zh-CN"/>
        </w:rPr>
      </w:pPr>
    </w:p>
    <w:p>
      <w:pPr>
        <w:pStyle w:val="5"/>
        <w:tabs>
          <w:tab w:val="left" w:pos="4440"/>
          <w:tab w:val="left" w:pos="8920"/>
        </w:tabs>
        <w:spacing w:line="600" w:lineRule="exact"/>
        <w:ind w:left="0" w:right="118"/>
        <w:jc w:val="both"/>
        <w:rPr>
          <w:rFonts w:ascii="仿宋" w:hAnsi="仿宋" w:eastAsia="仿宋" w:cs="仿宋"/>
          <w:color w:val="231F20"/>
          <w:lang w:eastAsia="zh-CN"/>
        </w:rPr>
      </w:pPr>
      <w:r>
        <w:rPr>
          <w:rFonts w:hint="eastAsia" w:ascii="仿宋" w:hAnsi="仿宋" w:eastAsia="仿宋" w:cs="仿宋"/>
          <w:color w:val="231F20"/>
          <w:lang w:eastAsia="zh-CN"/>
        </w:rPr>
        <w:t>当事人：</w:t>
      </w:r>
      <w:r>
        <w:rPr>
          <w:rFonts w:hint="eastAsia" w:ascii="仿宋" w:hAnsi="仿宋" w:eastAsia="仿宋" w:cs="仿宋_GB2312"/>
          <w:lang w:eastAsia="zh-CN"/>
        </w:rPr>
        <w:t>洛阳璟宏健康管理有限公司</w:t>
      </w:r>
    </w:p>
    <w:p>
      <w:pPr>
        <w:pStyle w:val="5"/>
        <w:tabs>
          <w:tab w:val="left" w:pos="3785"/>
          <w:tab w:val="left" w:pos="8920"/>
        </w:tabs>
        <w:spacing w:line="600" w:lineRule="exact"/>
        <w:ind w:left="0" w:right="118"/>
        <w:jc w:val="both"/>
        <w:rPr>
          <w:rFonts w:ascii="仿宋" w:hAnsi="仿宋" w:eastAsia="仿宋" w:cs="仿宋_GB2312"/>
          <w:color w:val="000000"/>
          <w:lang w:eastAsia="zh-CN"/>
        </w:rPr>
      </w:pPr>
      <w:r>
        <w:rPr>
          <w:rFonts w:ascii="仿宋" w:hAnsi="仿宋" w:eastAsia="仿宋" w:cs="仿宋_GB2312"/>
          <w:color w:val="000000"/>
          <w:lang w:eastAsia="zh-CN"/>
        </w:rPr>
        <w:t>主体资格证照名称：</w:t>
      </w:r>
      <w:r>
        <w:rPr>
          <w:rFonts w:hint="eastAsia" w:ascii="仿宋" w:hAnsi="仿宋" w:eastAsia="仿宋" w:cs="仿宋_GB2312"/>
          <w:color w:val="000000"/>
          <w:lang w:eastAsia="zh-CN"/>
        </w:rPr>
        <w:t>《营业执照》</w:t>
      </w:r>
    </w:p>
    <w:p>
      <w:pPr>
        <w:pStyle w:val="5"/>
        <w:tabs>
          <w:tab w:val="left" w:pos="3785"/>
          <w:tab w:val="left" w:pos="8920"/>
        </w:tabs>
        <w:spacing w:line="600" w:lineRule="exact"/>
        <w:ind w:left="0" w:right="118"/>
        <w:jc w:val="both"/>
        <w:rPr>
          <w:rFonts w:ascii="仿宋" w:hAnsi="仿宋" w:eastAsia="仿宋" w:cs="仿宋"/>
          <w:lang w:eastAsia="zh-CN"/>
        </w:rPr>
      </w:pPr>
      <w:r>
        <w:rPr>
          <w:rFonts w:hint="eastAsia" w:ascii="仿宋" w:hAnsi="仿宋" w:eastAsia="仿宋" w:cs="仿宋_GB2312"/>
          <w:color w:val="000000"/>
          <w:lang w:eastAsia="zh-CN"/>
        </w:rPr>
        <w:t>统一社会信用代码：91410307MADCQ4HM2W</w:t>
      </w:r>
    </w:p>
    <w:p>
      <w:pPr>
        <w:pStyle w:val="5"/>
        <w:tabs>
          <w:tab w:val="left" w:pos="3785"/>
          <w:tab w:val="left" w:pos="8920"/>
        </w:tabs>
        <w:spacing w:line="600" w:lineRule="exact"/>
        <w:ind w:left="2240" w:right="118" w:hanging="2240" w:hangingChars="700"/>
        <w:jc w:val="both"/>
        <w:rPr>
          <w:rFonts w:ascii="仿宋" w:hAnsi="仿宋" w:eastAsia="仿宋" w:cs="仿宋"/>
          <w:lang w:eastAsia="zh-CN"/>
        </w:rPr>
      </w:pPr>
      <w:r>
        <w:rPr>
          <w:rFonts w:hint="eastAsia" w:ascii="仿宋" w:hAnsi="仿宋" w:eastAsia="仿宋" w:cs="仿宋"/>
          <w:color w:val="231F20"/>
          <w:lang w:eastAsia="zh-CN"/>
        </w:rPr>
        <w:t>地址：</w:t>
      </w:r>
      <w:r>
        <w:rPr>
          <w:rFonts w:hint="eastAsia" w:ascii="仿宋" w:hAnsi="仿宋" w:eastAsia="仿宋" w:cs="仿宋_GB2312"/>
          <w:lang w:eastAsia="zh-CN"/>
        </w:rPr>
        <w:t>河南省洛阳市偃师区伊洛街道新新路祥和小区10号门市</w:t>
      </w:r>
    </w:p>
    <w:p>
      <w:pPr>
        <w:pStyle w:val="5"/>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
          <w:color w:val="231F20"/>
          <w:lang w:eastAsia="zh-CN"/>
        </w:rPr>
        <w:t>法定代表人：</w:t>
      </w:r>
      <w:r>
        <w:rPr>
          <w:rFonts w:hint="eastAsia" w:ascii="仿宋" w:hAnsi="仿宋" w:eastAsia="仿宋" w:cs="仿宋_GB2312"/>
          <w:color w:val="000000"/>
          <w:lang w:eastAsia="zh-CN"/>
        </w:rPr>
        <w:t>崔莉</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bookmarkStart w:id="0" w:name="_GoBack"/>
      <w:bookmarkEnd w:id="0"/>
      <w:r>
        <w:rPr>
          <w:rFonts w:hint="eastAsia" w:ascii="仿宋" w:hAnsi="仿宋" w:eastAsia="仿宋" w:cs="仿宋_GB2312"/>
          <w:sz w:val="32"/>
          <w:szCs w:val="32"/>
          <w:lang w:eastAsia="zh-CN"/>
        </w:rPr>
        <w:t>2024年3月26日，我局执法人员对当事人进行日常检查，发现其</w:t>
      </w:r>
      <w:r>
        <w:rPr>
          <w:rFonts w:ascii="仿宋" w:hAnsi="仿宋" w:eastAsia="仿宋" w:cs="仿宋_GB2312"/>
          <w:sz w:val="32"/>
          <w:szCs w:val="32"/>
          <w:lang w:eastAsia="zh-CN"/>
        </w:rPr>
        <w:t>店内发放的口罩上印有清鼻堂广告宣传彩页“鼻炎 鼻窦炎 过敏性鼻炎 请到清鼻堂 不打针 不吃药 不塞药 不手术 无痛苦”等字样,但其产品《广告审查准予许可决定书（苏广审准许字【2022】第072337号）》广告样件显示内容为“适用于慢性鼻窦炎的辅助治疗，可缓解或消除慢性鼻窦炎引起的鼻塞、流脓性或黏性鼻涕、嗅觉减退、头痛、头昏等症状”</w:t>
      </w:r>
      <w:r>
        <w:rPr>
          <w:rFonts w:hint="eastAsia" w:ascii="仿宋" w:hAnsi="仿宋" w:eastAsia="仿宋" w:cs="仿宋_GB2312"/>
          <w:sz w:val="32"/>
          <w:szCs w:val="32"/>
          <w:lang w:eastAsia="zh-CN"/>
        </w:rPr>
        <w:t>。其</w:t>
      </w:r>
      <w:r>
        <w:rPr>
          <w:rFonts w:ascii="仿宋" w:hAnsi="仿宋" w:eastAsia="仿宋" w:cs="仿宋_GB2312"/>
          <w:sz w:val="32"/>
          <w:szCs w:val="32"/>
          <w:lang w:eastAsia="zh-CN"/>
        </w:rPr>
        <w:t>经营产品的广告内容与审批的广告内容不一致</w:t>
      </w:r>
      <w:r>
        <w:rPr>
          <w:rFonts w:hint="eastAsia" w:ascii="仿宋" w:hAnsi="仿宋" w:eastAsia="仿宋" w:cs="仿宋_GB2312"/>
          <w:sz w:val="32"/>
          <w:szCs w:val="32"/>
          <w:lang w:eastAsia="zh-CN"/>
        </w:rPr>
        <w:t>。</w:t>
      </w:r>
      <w:r>
        <w:rPr>
          <w:rFonts w:ascii="仿宋" w:hAnsi="仿宋" w:eastAsia="仿宋" w:cs="仿宋_GB2312"/>
          <w:sz w:val="32"/>
          <w:szCs w:val="32"/>
          <w:lang w:eastAsia="zh-CN"/>
        </w:rPr>
        <w:t>广告费用2000元。</w:t>
      </w:r>
    </w:p>
    <w:p>
      <w:pPr>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1.《现场检查笔录》，证明我局对当事人的现场检查情况；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2.《营业执照》复印件1份，证明当事人许可登记情况；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3.《调查笔录》，证明该单位宣传经营产品的广告内容与审批的广告内容不一致及广告费用；</w:t>
      </w:r>
    </w:p>
    <w:p>
      <w:pPr>
        <w:tabs>
          <w:tab w:val="left" w:pos="2440"/>
          <w:tab w:val="left" w:pos="8964"/>
        </w:tabs>
        <w:spacing w:line="600" w:lineRule="exact"/>
        <w:ind w:firstLine="320" w:firstLineChars="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4.《拍摄的宣传图片》，证明当事人广告宣传的内容；</w:t>
      </w:r>
    </w:p>
    <w:p>
      <w:pPr>
        <w:tabs>
          <w:tab w:val="left" w:pos="2440"/>
          <w:tab w:val="left" w:pos="8964"/>
        </w:tabs>
        <w:spacing w:line="600" w:lineRule="exact"/>
        <w:ind w:firstLine="320" w:firstLineChars="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5.《广告审查准予许可决定书（苏广审准许字【2022】第072337号）》，证明当事人经营产品批准的广告内容。</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r>
        <w:rPr>
          <w:rFonts w:ascii="仿宋" w:hAnsi="仿宋" w:eastAsia="仿宋" w:cs="仿宋_GB2312"/>
          <w:sz w:val="32"/>
          <w:szCs w:val="32"/>
          <w:lang w:eastAsia="zh-CN"/>
        </w:rPr>
        <w:t>当事人的行为违反了《中华人民共和国广告法》第十六条“医疗、药品、医疗器械广告不得含有下列内容：（五）法律、行政法规规定禁止的其他内容。”的规定</w:t>
      </w:r>
      <w:r>
        <w:rPr>
          <w:rFonts w:hint="eastAsia" w:ascii="仿宋" w:hAnsi="仿宋" w:eastAsia="仿宋" w:cs="仿宋_GB2312"/>
          <w:sz w:val="32"/>
          <w:szCs w:val="32"/>
          <w:lang w:eastAsia="zh-CN"/>
        </w:rPr>
        <w:t>。</w:t>
      </w:r>
      <w:r>
        <w:rPr>
          <w:rFonts w:ascii="仿宋" w:hAnsi="仿宋" w:eastAsia="仿宋" w:cs="仿宋_GB2312"/>
          <w:sz w:val="32"/>
          <w:szCs w:val="32"/>
          <w:lang w:eastAsia="zh-CN"/>
        </w:rPr>
        <w:t>当事人初次违反，根据其违法的事实、性质、情节，参照《河南省市场监督管理行政处罚裁量权适用通则》第十条的规定，可以依法对其从轻行政处罚。</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2024年5月7日向当事人送达了《偃师区市场监督管理局行政处罚告知书》，告知当事人我局拟作出行政处罚决定的事实、理由、依据、内容以及当事人依法享有的陈述权、申辩权，当事人在法定期限内未提出陈述、申辩意见。</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依据《中华人民共和国广告法》第五十八条“</w:t>
      </w:r>
      <w:r>
        <w:rPr>
          <w:rFonts w:ascii="仿宋" w:hAnsi="仿宋" w:eastAsia="仿宋" w:cs="仿宋_GB2312"/>
          <w:sz w:val="32"/>
          <w:szCs w:val="32"/>
          <w:lang w:eastAsia="zh-CN"/>
        </w:rPr>
        <w:t>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r>
        <w:rPr>
          <w:rFonts w:hint="eastAsia" w:ascii="仿宋" w:hAnsi="仿宋" w:eastAsia="仿宋" w:cs="仿宋_GB2312"/>
          <w:sz w:val="32"/>
          <w:szCs w:val="32"/>
          <w:lang w:eastAsia="zh-CN"/>
        </w:rPr>
        <w:t xml:space="preserve">（一）违反本法第十六条规定发布医疗、药品、医疗器械广告的；”的规定的规定，参照《河南省市场监督管理行政处罚裁量基准》3.3.4 </w:t>
      </w:r>
      <w:r>
        <w:rPr>
          <w:rFonts w:ascii="仿宋" w:hAnsi="仿宋" w:eastAsia="仿宋" w:cs="仿宋_GB2312"/>
          <w:sz w:val="32"/>
          <w:szCs w:val="32"/>
          <w:lang w:eastAsia="zh-CN"/>
        </w:rPr>
        <w:t>“依据《广告法》第五十八条第一款规定实施的行政处罚</w:t>
      </w:r>
      <w:r>
        <w:rPr>
          <w:rFonts w:hint="eastAsia" w:ascii="仿宋" w:hAnsi="仿宋" w:eastAsia="仿宋" w:cs="仿宋_GB2312"/>
          <w:sz w:val="32"/>
          <w:szCs w:val="32"/>
          <w:lang w:eastAsia="zh-CN"/>
        </w:rPr>
        <w:t xml:space="preserve"> </w:t>
      </w:r>
      <w:r>
        <w:rPr>
          <w:rFonts w:ascii="仿宋" w:hAnsi="仿宋" w:eastAsia="仿宋" w:cs="仿宋_GB2312"/>
          <w:sz w:val="32"/>
          <w:szCs w:val="32"/>
          <w:lang w:eastAsia="zh-CN"/>
        </w:rPr>
        <w:t>裁量基准</w:t>
      </w:r>
      <w:r>
        <w:rPr>
          <w:rFonts w:hint="eastAsia" w:ascii="仿宋" w:hAnsi="仿宋" w:eastAsia="仿宋" w:cs="仿宋_GB2312"/>
          <w:sz w:val="32"/>
          <w:szCs w:val="32"/>
          <w:lang w:eastAsia="zh-CN"/>
        </w:rPr>
        <w:t xml:space="preserve"> </w:t>
      </w:r>
      <w:r>
        <w:rPr>
          <w:rFonts w:ascii="仿宋" w:hAnsi="仿宋" w:eastAsia="仿宋" w:cs="仿宋_GB2312"/>
          <w:sz w:val="32"/>
          <w:szCs w:val="32"/>
          <w:lang w:eastAsia="zh-CN"/>
        </w:rPr>
        <w:t>责令停止发布广告，责令广告主在相应范围内消除影响，处广告费用1倍以上1.6倍以下罚款，广告费用无法计算或者明显偏低的，处10万元以上13万元以下罚款。</w:t>
      </w:r>
      <w:r>
        <w:rPr>
          <w:rFonts w:hint="eastAsia" w:ascii="仿宋" w:hAnsi="仿宋" w:eastAsia="仿宋" w:cs="仿宋_GB2312"/>
          <w:sz w:val="32"/>
          <w:szCs w:val="32"/>
          <w:lang w:eastAsia="zh-CN"/>
        </w:rPr>
        <w:t>”的规定，决定对洛阳璟宏健康管理有限公司</w:t>
      </w:r>
      <w:r>
        <w:rPr>
          <w:rFonts w:ascii="仿宋" w:hAnsi="仿宋" w:eastAsia="仿宋" w:cs="仿宋_GB2312"/>
          <w:sz w:val="32"/>
          <w:szCs w:val="32"/>
          <w:lang w:eastAsia="zh-CN"/>
        </w:rPr>
        <w:t>责令停止发布广告，责令</w:t>
      </w:r>
      <w:r>
        <w:rPr>
          <w:rFonts w:hint="eastAsia" w:ascii="仿宋" w:hAnsi="仿宋" w:eastAsia="仿宋" w:cs="仿宋_GB2312"/>
          <w:sz w:val="32"/>
          <w:szCs w:val="32"/>
          <w:lang w:eastAsia="zh-CN"/>
        </w:rPr>
        <w:t>其</w:t>
      </w:r>
      <w:r>
        <w:rPr>
          <w:rFonts w:ascii="仿宋" w:hAnsi="仿宋" w:eastAsia="仿宋" w:cs="仿宋_GB2312"/>
          <w:sz w:val="32"/>
          <w:szCs w:val="32"/>
          <w:lang w:eastAsia="zh-CN"/>
        </w:rPr>
        <w:t>在相应范围内消除影响，</w:t>
      </w:r>
      <w:r>
        <w:rPr>
          <w:rFonts w:hint="eastAsia" w:ascii="仿宋" w:hAnsi="仿宋" w:eastAsia="仿宋" w:cs="仿宋_GB2312"/>
          <w:sz w:val="32"/>
          <w:szCs w:val="32"/>
          <w:lang w:eastAsia="zh-CN"/>
        </w:rPr>
        <w:t xml:space="preserve">处3000元的罚款。 </w:t>
      </w:r>
    </w:p>
    <w:p>
      <w:pPr>
        <w:spacing w:line="600" w:lineRule="exact"/>
        <w:ind w:firstLine="640" w:firstLineChars="200"/>
        <w:jc w:val="both"/>
        <w:rPr>
          <w:rFonts w:ascii="仿宋" w:hAnsi="仿宋" w:eastAsia="仿宋" w:cs="仿宋_GB2312"/>
          <w:sz w:val="32"/>
          <w:szCs w:val="32"/>
          <w:lang w:eastAsia="zh-CN"/>
        </w:rPr>
      </w:pPr>
      <w:r>
        <w:rPr>
          <w:rFonts w:ascii="仿宋" w:hAnsi="仿宋" w:eastAsia="仿宋" w:cs="仿宋_GB2312"/>
          <w:sz w:val="32"/>
          <w:szCs w:val="32"/>
          <w:lang w:eastAsia="zh-CN"/>
        </w:rPr>
        <w:t>当事</w:t>
      </w:r>
      <w:r>
        <w:rPr>
          <w:rFonts w:ascii="仿宋" w:hAnsi="仿宋" w:eastAsia="仿宋" w:cs="仿宋"/>
          <w:sz w:val="32"/>
          <w:szCs w:val="32"/>
          <w:lang w:eastAsia="zh-CN"/>
        </w:rPr>
        <w:t>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w:t>
      </w:r>
      <w:r>
        <w:rPr>
          <w:rFonts w:ascii="仿宋" w:hAnsi="仿宋" w:eastAsia="仿宋" w:cs="仿宋_GB2312"/>
          <w:sz w:val="32"/>
          <w:szCs w:val="32"/>
          <w:lang w:eastAsia="zh-CN"/>
        </w:rPr>
        <w:t>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jc w:val="both"/>
        <w:rPr>
          <w:rFonts w:ascii="仿宋" w:hAnsi="仿宋" w:eastAsia="仿宋" w:cs="仿宋_GB2312"/>
          <w:sz w:val="32"/>
          <w:szCs w:val="32"/>
          <w:lang w:eastAsia="zh-CN"/>
        </w:rPr>
      </w:pPr>
      <w:r>
        <w:rPr>
          <w:rFonts w:ascii="仿宋" w:hAnsi="仿宋" w:eastAsia="仿宋" w:cs="仿宋_GB2312"/>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spacing w:line="600" w:lineRule="exact"/>
        <w:ind w:firstLine="640" w:firstLineChars="200"/>
        <w:jc w:val="both"/>
        <w:rPr>
          <w:rFonts w:ascii="仿宋" w:hAnsi="仿宋" w:eastAsia="仿宋" w:cs="仿宋_GB2312"/>
          <w:sz w:val="32"/>
          <w:szCs w:val="32"/>
          <w:lang w:eastAsia="zh-CN"/>
        </w:rPr>
      </w:pPr>
      <w:r>
        <w:rPr>
          <w:rFonts w:ascii="仿宋" w:hAnsi="仿宋" w:eastAsia="仿宋" w:cs="仿宋_GB2312"/>
          <w:sz w:val="32"/>
          <w:szCs w:val="32"/>
          <w:lang w:eastAsia="zh-CN"/>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r>
        <w:rPr>
          <w:rFonts w:hint="eastAsia" w:ascii="仿宋" w:hAnsi="仿宋" w:eastAsia="仿宋" w:cs="仿宋_GB2312"/>
          <w:sz w:val="32"/>
          <w:szCs w:val="32"/>
          <w:lang w:eastAsia="zh-CN"/>
        </w:rPr>
        <w:t xml:space="preserve">                           </w:t>
      </w:r>
    </w:p>
    <w:p>
      <w:pPr>
        <w:spacing w:line="600" w:lineRule="exact"/>
        <w:ind w:left="5760" w:hanging="5760" w:hangingChars="18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spacing w:line="600" w:lineRule="exact"/>
        <w:ind w:firstLine="3520" w:firstLineChars="1100"/>
        <w:jc w:val="both"/>
        <w:rPr>
          <w:rFonts w:ascii="仿宋" w:hAnsi="仿宋" w:eastAsia="仿宋" w:cs="仿宋_GB2312"/>
          <w:bCs/>
          <w:sz w:val="32"/>
          <w:szCs w:val="32"/>
          <w:lang w:eastAsia="zh-CN"/>
        </w:rPr>
      </w:pPr>
    </w:p>
    <w:p>
      <w:pPr>
        <w:spacing w:line="600" w:lineRule="exact"/>
        <w:ind w:firstLine="3520" w:firstLineChars="1100"/>
        <w:jc w:val="both"/>
        <w:rPr>
          <w:rFonts w:ascii="仿宋" w:hAnsi="仿宋" w:eastAsia="仿宋" w:cs="仿宋_GB2312"/>
          <w:bCs/>
          <w:sz w:val="32"/>
          <w:szCs w:val="32"/>
          <w:lang w:eastAsia="zh-CN"/>
        </w:rPr>
      </w:pPr>
    </w:p>
    <w:p>
      <w:pPr>
        <w:spacing w:line="600" w:lineRule="exact"/>
        <w:ind w:firstLine="3520" w:firstLineChars="11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洛阳市偃师区市场监督管理局</w:t>
      </w:r>
    </w:p>
    <w:p>
      <w:pPr>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spacing w:line="600" w:lineRule="exact"/>
        <w:ind w:firstLine="4480" w:firstLineChars="14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w:t>
      </w:r>
      <w:r>
        <w:rPr>
          <w:rFonts w:ascii="仿宋" w:hAnsi="仿宋" w:eastAsia="仿宋" w:cs="仿宋_GB2312"/>
          <w:sz w:val="32"/>
          <w:szCs w:val="32"/>
          <w:lang w:eastAsia="zh-CN"/>
        </w:rPr>
        <w:t>4</w:t>
      </w:r>
      <w:r>
        <w:rPr>
          <w:rFonts w:hint="eastAsia" w:ascii="仿宋" w:hAnsi="仿宋" w:eastAsia="仿宋" w:cs="仿宋_GB2312"/>
          <w:sz w:val="32"/>
          <w:szCs w:val="32"/>
          <w:lang w:eastAsia="zh-CN"/>
        </w:rPr>
        <w:t>年5月</w:t>
      </w:r>
      <w:r>
        <w:rPr>
          <w:rFonts w:ascii="仿宋" w:hAnsi="仿宋" w:eastAsia="仿宋" w:cs="仿宋_GB2312"/>
          <w:sz w:val="32"/>
          <w:szCs w:val="32"/>
          <w:lang w:eastAsia="zh-CN"/>
        </w:rPr>
        <w:t>1</w:t>
      </w:r>
      <w:r>
        <w:rPr>
          <w:rFonts w:hint="eastAsia" w:ascii="仿宋" w:hAnsi="仿宋" w:eastAsia="仿宋" w:cs="仿宋_GB2312"/>
          <w:sz w:val="32"/>
          <w:szCs w:val="32"/>
          <w:lang w:eastAsia="zh-CN"/>
        </w:rPr>
        <w:t>1日</w:t>
      </w: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ascii="仿宋" w:hAnsi="仿宋" w:eastAsia="仿宋"/>
          <w:sz w:val="32"/>
          <w:szCs w:val="32"/>
          <w:lang w:eastAsia="zh-CN"/>
        </w:rPr>
      </w:pPr>
    </w:p>
    <w:p>
      <w:pPr>
        <w:pStyle w:val="2"/>
        <w:spacing w:line="600" w:lineRule="exact"/>
        <w:ind w:left="440" w:firstLine="640"/>
        <w:jc w:val="both"/>
        <w:rPr>
          <w:rFonts w:hint="eastAsia" w:ascii="仿宋" w:hAnsi="仿宋" w:eastAsia="仿宋"/>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（市场监督管理部门将依法向社会公示本行政处罚决定信息）</w:t>
      </w:r>
    </w:p>
    <w:p>
      <w:pPr>
        <w:tabs>
          <w:tab w:val="left" w:pos="2440"/>
          <w:tab w:val="left" w:pos="8964"/>
        </w:tabs>
        <w:spacing w:line="600" w:lineRule="exact"/>
        <w:ind w:firstLine="320" w:firstLineChars="100"/>
        <w:jc w:val="both"/>
        <w:rPr>
          <w:rFonts w:ascii="仿宋" w:hAnsi="仿宋" w:eastAsia="仿宋" w:cs="仿宋_GB2312"/>
          <w:bCs/>
          <w:sz w:val="32"/>
          <w:szCs w:val="32"/>
          <w:lang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121285</wp:posOffset>
                </wp:positionH>
                <wp:positionV relativeFrom="paragraph">
                  <wp:posOffset>37465</wp:posOffset>
                </wp:positionV>
                <wp:extent cx="5305425" cy="0"/>
                <wp:effectExtent l="0" t="0" r="0" b="0"/>
                <wp:wrapNone/>
                <wp:docPr id="1" name="直接连接符 4"/>
                <wp:cNvGraphicFramePr/>
                <a:graphic xmlns:a="http://schemas.openxmlformats.org/drawingml/2006/main">
                  <a:graphicData uri="http://schemas.microsoft.com/office/word/2010/wordprocessingShape">
                    <wps:wsp>
                      <wps:cNvCnPr/>
                      <wps:spPr>
                        <a:xfrm>
                          <a:off x="0" y="0"/>
                          <a:ext cx="5305425"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9.55pt;margin-top:2.95pt;height:0pt;width:417.75pt;z-index:251659264;mso-width-relative:page;mso-height-relative:page;" filled="f" stroked="t" coordsize="21600,21600" o:gfxdata="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Pr/L9UAAAAGAQAADwAAAAAAAAABACAAAAAiAAAAZHJzL2Rvd25yZXYueG1sUEsBAhQAFAAA&#10;AAgAh07iQB1++APyAQAA5wMAAA4AAAAAAAAAAQAgAAAAJAEAAGRycy9lMm9Eb2MueG1sUEsFBgAA&#10;AAAGAAYAWQEAAIgFA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lang w:eastAsia="zh-CN"/>
        </w:rPr>
        <w:t>本文书一式三份，一份送达，一份归档，一份办案机构留存。</w:t>
      </w:r>
    </w:p>
    <w:sectPr>
      <w:footerReference r:id="rId3" w:type="default"/>
      <w:pgSz w:w="11905" w:h="16838"/>
      <w:pgMar w:top="1417" w:right="1417" w:bottom="1417" w:left="1417" w:header="0" w:footer="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5386884"/>
    </w:sdtPr>
    <w:sdtContent>
      <w:p>
        <w:pPr>
          <w:pStyle w:val="7"/>
          <w:jc w:val="center"/>
        </w:pPr>
        <w:r>
          <w:fldChar w:fldCharType="begin"/>
        </w:r>
        <w:r>
          <w:instrText xml:space="preserve">PAGE   \* MERGEFORMAT</w:instrText>
        </w:r>
        <w:r>
          <w:fldChar w:fldCharType="separate"/>
        </w:r>
        <w:r>
          <w:rPr>
            <w:lang w:val="zh-CN" w:eastAsia="zh-CN"/>
          </w:rPr>
          <w:t>2</w:t>
        </w:r>
        <w:r>
          <w:fldChar w:fldCharType="end"/>
        </w:r>
      </w:p>
    </w:sdtContent>
  </w:sdt>
  <w:p>
    <w:pPr>
      <w:spacing w:line="14" w:lineRule="auto"/>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220"/>
  <w:drawingGridVerticalSpacing w:val="-794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5616F"/>
    <w:rsid w:val="0015616F"/>
    <w:rsid w:val="00190126"/>
    <w:rsid w:val="001D6B6F"/>
    <w:rsid w:val="00210058"/>
    <w:rsid w:val="002422C5"/>
    <w:rsid w:val="002F2FA6"/>
    <w:rsid w:val="003D77FB"/>
    <w:rsid w:val="00461248"/>
    <w:rsid w:val="00470C18"/>
    <w:rsid w:val="00533E8F"/>
    <w:rsid w:val="00727AEB"/>
    <w:rsid w:val="007467B1"/>
    <w:rsid w:val="00775A05"/>
    <w:rsid w:val="007F2A28"/>
    <w:rsid w:val="00956576"/>
    <w:rsid w:val="00C07C65"/>
    <w:rsid w:val="00C62430"/>
    <w:rsid w:val="00D33DD7"/>
    <w:rsid w:val="00D842AC"/>
    <w:rsid w:val="00ED5DB1"/>
    <w:rsid w:val="00F4016A"/>
    <w:rsid w:val="02064FFB"/>
    <w:rsid w:val="0F12795B"/>
    <w:rsid w:val="12B72FCD"/>
    <w:rsid w:val="12FA4B63"/>
    <w:rsid w:val="14C56374"/>
    <w:rsid w:val="17854713"/>
    <w:rsid w:val="199221E1"/>
    <w:rsid w:val="1BCA4141"/>
    <w:rsid w:val="1FC87A64"/>
    <w:rsid w:val="227F4BB4"/>
    <w:rsid w:val="28F94914"/>
    <w:rsid w:val="2DB32053"/>
    <w:rsid w:val="2E5779DB"/>
    <w:rsid w:val="2E586C8C"/>
    <w:rsid w:val="2F06087B"/>
    <w:rsid w:val="2FD51A6C"/>
    <w:rsid w:val="30E74640"/>
    <w:rsid w:val="324A2916"/>
    <w:rsid w:val="340771B5"/>
    <w:rsid w:val="351548D3"/>
    <w:rsid w:val="3CAE656C"/>
    <w:rsid w:val="3D9832FE"/>
    <w:rsid w:val="3F0D3AA8"/>
    <w:rsid w:val="42232B44"/>
    <w:rsid w:val="4615686A"/>
    <w:rsid w:val="47DA696D"/>
    <w:rsid w:val="4A2A6191"/>
    <w:rsid w:val="4CD63235"/>
    <w:rsid w:val="544613ED"/>
    <w:rsid w:val="56D97F48"/>
    <w:rsid w:val="5DB1138B"/>
    <w:rsid w:val="632B0469"/>
    <w:rsid w:val="638B61DA"/>
    <w:rsid w:val="645F5A22"/>
    <w:rsid w:val="6B597DBA"/>
    <w:rsid w:val="6C506213"/>
    <w:rsid w:val="70373EE4"/>
    <w:rsid w:val="710D6FC3"/>
    <w:rsid w:val="72FF5977"/>
    <w:rsid w:val="750F0403"/>
    <w:rsid w:val="767E3BD5"/>
    <w:rsid w:val="7ABD386F"/>
    <w:rsid w:val="7E4A346D"/>
    <w:rsid w:val="7E520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Calibri" w:hAnsi="Calibri" w:eastAsia="Calibri" w:cs="黑体"/>
      <w:sz w:val="22"/>
      <w:szCs w:val="22"/>
      <w:lang w:val="en-US" w:eastAsia="en-US" w:bidi="ar-SA"/>
    </w:rPr>
  </w:style>
  <w:style w:type="paragraph" w:styleId="4">
    <w:name w:val="heading 1"/>
    <w:basedOn w:val="1"/>
    <w:next w:val="1"/>
    <w:autoRedefine/>
    <w:qFormat/>
    <w:uiPriority w:val="1"/>
    <w:pPr>
      <w:outlineLvl w:val="0"/>
    </w:pPr>
    <w:rPr>
      <w:rFonts w:ascii="Arial Unicode MS" w:hAnsi="Arial Unicode MS" w:eastAsia="Arial Unicode MS"/>
      <w:sz w:val="42"/>
      <w:szCs w:val="4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autoRedefine/>
    <w:qFormat/>
    <w:uiPriority w:val="0"/>
    <w:pPr>
      <w:spacing w:after="120"/>
      <w:ind w:left="420" w:leftChars="200"/>
    </w:pPr>
  </w:style>
  <w:style w:type="paragraph" w:styleId="5">
    <w:name w:val="Body Text"/>
    <w:basedOn w:val="1"/>
    <w:autoRedefine/>
    <w:qFormat/>
    <w:uiPriority w:val="1"/>
    <w:pPr>
      <w:ind w:left="220"/>
    </w:pPr>
    <w:rPr>
      <w:rFonts w:ascii="Arial Unicode MS" w:hAnsi="Arial Unicode MS" w:eastAsia="Arial Unicode MS"/>
      <w:sz w:val="32"/>
      <w:szCs w:val="32"/>
    </w:rPr>
  </w:style>
  <w:style w:type="paragraph" w:styleId="6">
    <w:name w:val="Date"/>
    <w:basedOn w:val="1"/>
    <w:next w:val="1"/>
    <w:link w:val="15"/>
    <w:autoRedefine/>
    <w:qFormat/>
    <w:uiPriority w:val="0"/>
    <w:pPr>
      <w:ind w:left="100" w:leftChars="2500"/>
    </w:pPr>
  </w:style>
  <w:style w:type="paragraph" w:styleId="7">
    <w:name w:val="footer"/>
    <w:basedOn w:val="1"/>
    <w:link w:val="16"/>
    <w:autoRedefine/>
    <w:qFormat/>
    <w:uiPriority w:val="99"/>
    <w:pPr>
      <w:tabs>
        <w:tab w:val="center" w:pos="4153"/>
        <w:tab w:val="right" w:pos="8306"/>
      </w:tabs>
      <w:snapToGrid w:val="0"/>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autoRedefine/>
    <w:qFormat/>
    <w:uiPriority w:val="0"/>
    <w:pPr>
      <w:spacing w:after="150"/>
    </w:pPr>
    <w:rPr>
      <w:sz w:val="24"/>
      <w:lang w:eastAsia="zh-CN"/>
    </w:rPr>
  </w:style>
  <w:style w:type="paragraph" w:customStyle="1" w:styleId="12">
    <w:name w:val="Table Paragraph"/>
    <w:basedOn w:val="1"/>
    <w:autoRedefine/>
    <w:qFormat/>
    <w:uiPriority w:val="1"/>
  </w:style>
  <w:style w:type="paragraph" w:customStyle="1" w:styleId="13">
    <w:name w:val="列表段落1"/>
    <w:basedOn w:val="1"/>
    <w:autoRedefine/>
    <w:qFormat/>
    <w:uiPriority w:val="34"/>
    <w:pPr>
      <w:ind w:firstLine="420" w:firstLineChars="200"/>
      <w:jc w:val="both"/>
    </w:pPr>
    <w:rPr>
      <w:rFonts w:eastAsia="宋体"/>
      <w:kern w:val="2"/>
      <w:sz w:val="21"/>
      <w:lang w:eastAsia="zh-CN"/>
    </w:rPr>
  </w:style>
  <w:style w:type="paragraph" w:customStyle="1" w:styleId="14">
    <w:name w:val="列表段落11"/>
    <w:basedOn w:val="1"/>
    <w:autoRedefine/>
    <w:qFormat/>
    <w:uiPriority w:val="34"/>
    <w:pPr>
      <w:ind w:firstLine="420" w:firstLineChars="200"/>
      <w:jc w:val="both"/>
    </w:pPr>
    <w:rPr>
      <w:rFonts w:eastAsia="宋体"/>
      <w:kern w:val="2"/>
      <w:sz w:val="21"/>
      <w:lang w:eastAsia="zh-CN"/>
    </w:rPr>
  </w:style>
  <w:style w:type="character" w:customStyle="1" w:styleId="15">
    <w:name w:val="日期 字符"/>
    <w:basedOn w:val="11"/>
    <w:link w:val="6"/>
    <w:autoRedefine/>
    <w:qFormat/>
    <w:uiPriority w:val="0"/>
    <w:rPr>
      <w:rFonts w:ascii="Calibri" w:hAnsi="Calibri" w:eastAsia="Calibri" w:cs="黑体"/>
      <w:sz w:val="22"/>
      <w:szCs w:val="22"/>
      <w:lang w:eastAsia="en-US"/>
    </w:rPr>
  </w:style>
  <w:style w:type="character" w:customStyle="1" w:styleId="16">
    <w:name w:val="页脚 字符"/>
    <w:basedOn w:val="11"/>
    <w:link w:val="7"/>
    <w:autoRedefine/>
    <w:qFormat/>
    <w:uiPriority w:val="99"/>
    <w:rPr>
      <w:rFonts w:ascii="Calibri" w:hAnsi="Calibri" w:eastAsia="Calibri" w:cs="黑体"/>
      <w:sz w:val="18"/>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164E39-5901-4FF0-B5D0-E203847AF35C}">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1720</Words>
  <Characters>1953</Characters>
  <Lines>14</Lines>
  <Paragraphs>4</Paragraphs>
  <TotalTime>16</TotalTime>
  <ScaleCrop>false</ScaleCrop>
  <LinksUpToDate>false</LinksUpToDate>
  <CharactersWithSpaces>2054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2024-05-17T01:05:00Z</dcterms:created>
  <dc:creator>Administrator</dc:creator>
  <cp:lastModifiedBy>王建清</cp:lastModifiedBy>
  <cp:lastPrinted>2024-05-17T01:24:00Z</cp:lastPrinted>
  <dcterms:modified xsi:type="dcterms:W3CDTF">2024-06-26T07:54:49Z</dcterms:modified>
  <dc:title>偃师市市场监督管理局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43827BBCC28C4F718212B91433082BC7_13</vt:lpwstr>
  </property>
</Properties>
</file>